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2.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8.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AC0" w:rsidRPr="00254AC0" w:rsidRDefault="00254AC0" w:rsidP="00254AC0">
      <w:pPr>
        <w:tabs>
          <w:tab w:val="left" w:pos="720"/>
        </w:tabs>
        <w:spacing w:after="0" w:line="276" w:lineRule="auto"/>
        <w:jc w:val="right"/>
        <w:rPr>
          <w:rFonts w:asciiTheme="majorHAnsi" w:eastAsia="Times New Roman" w:hAnsiTheme="majorHAnsi" w:cs="Times New Roman"/>
          <w:bCs/>
          <w:sz w:val="24"/>
          <w:szCs w:val="24"/>
          <w:lang w:val="ro-MD"/>
        </w:rPr>
      </w:pPr>
      <w:r w:rsidRPr="00254AC0">
        <w:rPr>
          <w:rFonts w:asciiTheme="majorHAnsi" w:eastAsia="Times New Roman" w:hAnsiTheme="majorHAnsi" w:cs="Times New Roman"/>
          <w:bCs/>
          <w:sz w:val="24"/>
          <w:szCs w:val="24"/>
          <w:lang w:val="ro-MD"/>
        </w:rPr>
        <w:t xml:space="preserve">Anexă </w:t>
      </w:r>
    </w:p>
    <w:p w:rsidR="00254AC0" w:rsidRPr="00254AC0" w:rsidRDefault="00254AC0" w:rsidP="00254AC0">
      <w:pPr>
        <w:tabs>
          <w:tab w:val="left" w:pos="720"/>
        </w:tabs>
        <w:spacing w:after="0" w:line="276" w:lineRule="auto"/>
        <w:jc w:val="right"/>
        <w:rPr>
          <w:rFonts w:asciiTheme="majorHAnsi" w:eastAsia="Times New Roman" w:hAnsiTheme="majorHAnsi" w:cs="Times New Roman"/>
          <w:bCs/>
          <w:sz w:val="24"/>
          <w:szCs w:val="24"/>
          <w:lang w:val="ro-MD"/>
        </w:rPr>
      </w:pPr>
      <w:r w:rsidRPr="00254AC0">
        <w:rPr>
          <w:rFonts w:asciiTheme="majorHAnsi" w:eastAsia="Times New Roman" w:hAnsiTheme="majorHAnsi" w:cs="Times New Roman"/>
          <w:bCs/>
          <w:sz w:val="24"/>
          <w:szCs w:val="24"/>
          <w:lang w:val="ro-MD"/>
        </w:rPr>
        <w:t xml:space="preserve">la Hotărârea Curții de Conturi </w:t>
      </w:r>
    </w:p>
    <w:p w:rsidR="00254AC0" w:rsidRPr="00254AC0" w:rsidRDefault="00254AC0" w:rsidP="00254AC0">
      <w:pPr>
        <w:tabs>
          <w:tab w:val="left" w:pos="720"/>
        </w:tabs>
        <w:spacing w:after="0" w:line="276" w:lineRule="auto"/>
        <w:jc w:val="right"/>
        <w:rPr>
          <w:rFonts w:asciiTheme="majorHAnsi" w:eastAsia="Times New Roman" w:hAnsiTheme="majorHAnsi" w:cs="Times New Roman"/>
          <w:bCs/>
          <w:color w:val="1F4E79" w:themeColor="accent1" w:themeShade="80"/>
          <w:sz w:val="24"/>
          <w:szCs w:val="24"/>
          <w:lang w:val="ro-MD"/>
        </w:rPr>
      </w:pPr>
      <w:r w:rsidRPr="00254AC0">
        <w:rPr>
          <w:rFonts w:asciiTheme="majorHAnsi" w:eastAsia="Times New Roman" w:hAnsiTheme="majorHAnsi" w:cs="Times New Roman"/>
          <w:bCs/>
          <w:sz w:val="24"/>
          <w:szCs w:val="24"/>
          <w:lang w:val="ro-MD"/>
        </w:rPr>
        <w:t>nr.38  din 28 iulie 2020</w:t>
      </w:r>
    </w:p>
    <w:p w:rsidR="00254AC0" w:rsidRPr="00254AC0" w:rsidRDefault="00254AC0" w:rsidP="00254AC0">
      <w:pPr>
        <w:spacing w:after="0" w:line="276" w:lineRule="auto"/>
        <w:rPr>
          <w:rFonts w:asciiTheme="majorHAnsi" w:hAnsiTheme="majorHAnsi" w:cs="Times New Roman"/>
          <w:lang w:val="ro-MD"/>
        </w:rPr>
      </w:pPr>
    </w:p>
    <w:p w:rsidR="00254AC0" w:rsidRPr="00254AC0" w:rsidRDefault="00254AC0" w:rsidP="00254AC0">
      <w:pPr>
        <w:spacing w:after="0" w:line="276" w:lineRule="auto"/>
        <w:rPr>
          <w:rFonts w:asciiTheme="majorHAnsi" w:hAnsiTheme="majorHAnsi" w:cs="Times New Roman"/>
          <w:lang w:val="ro-MD"/>
        </w:rPr>
      </w:pPr>
    </w:p>
    <w:p w:rsidR="00254AC0" w:rsidRPr="00254AC0" w:rsidRDefault="00254AC0" w:rsidP="00254AC0">
      <w:pPr>
        <w:spacing w:after="0" w:line="276" w:lineRule="auto"/>
        <w:rPr>
          <w:rFonts w:asciiTheme="majorHAnsi" w:hAnsiTheme="majorHAnsi" w:cs="Times New Roman"/>
          <w:lang w:val="ro-MD"/>
        </w:rPr>
      </w:pPr>
    </w:p>
    <w:p w:rsidR="00254AC0" w:rsidRPr="00254AC0" w:rsidRDefault="00254AC0" w:rsidP="00254AC0">
      <w:pPr>
        <w:spacing w:after="0" w:line="276" w:lineRule="auto"/>
        <w:rPr>
          <w:rFonts w:asciiTheme="majorHAnsi" w:hAnsiTheme="majorHAnsi" w:cs="Times New Roman"/>
          <w:lang w:val="ro-MD"/>
        </w:rPr>
      </w:pPr>
    </w:p>
    <w:p w:rsidR="00254AC0" w:rsidRPr="00254AC0" w:rsidRDefault="003F6EE9" w:rsidP="00254AC0">
      <w:pPr>
        <w:spacing w:after="0" w:line="276" w:lineRule="auto"/>
        <w:jc w:val="center"/>
        <w:rPr>
          <w:rFonts w:asciiTheme="majorHAnsi" w:hAnsiTheme="majorHAnsi" w:cs="Times New Roman"/>
          <w:b/>
          <w:sz w:val="28"/>
          <w:szCs w:val="28"/>
          <w:lang w:val="ro-MD"/>
        </w:rPr>
      </w:pPr>
      <w:r>
        <w:rPr>
          <w:noProof/>
          <w:lang w:val="ru-RU" w:eastAsia="ru-RU"/>
        </w:rPr>
        <w:drawing>
          <wp:inline distT="0" distB="0" distL="0" distR="0" wp14:anchorId="3E0550A4" wp14:editId="55DFAF5E">
            <wp:extent cx="948055" cy="948055"/>
            <wp:effectExtent l="0" t="0" r="4445" b="4445"/>
            <wp:docPr id="4" name="Picture 1" descr="cid:image003.jpg@01D53192.824E8D70"/>
            <wp:cNvGraphicFramePr/>
            <a:graphic xmlns:a="http://schemas.openxmlformats.org/drawingml/2006/main">
              <a:graphicData uri="http://schemas.openxmlformats.org/drawingml/2006/picture">
                <pic:pic xmlns:pic="http://schemas.openxmlformats.org/drawingml/2006/picture">
                  <pic:nvPicPr>
                    <pic:cNvPr id="1" name="Picture 1" descr="cid:image003.jpg@01D53192.824E8D7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48055" cy="948055"/>
                    </a:xfrm>
                    <a:prstGeom prst="rect">
                      <a:avLst/>
                    </a:prstGeom>
                    <a:noFill/>
                    <a:ln>
                      <a:noFill/>
                    </a:ln>
                  </pic:spPr>
                </pic:pic>
              </a:graphicData>
            </a:graphic>
          </wp:inline>
        </w:drawing>
      </w:r>
      <w:bookmarkStart w:id="0" w:name="_GoBack"/>
      <w:bookmarkEnd w:id="0"/>
    </w:p>
    <w:p w:rsidR="00254AC0" w:rsidRPr="00254AC0" w:rsidRDefault="00254AC0" w:rsidP="00254AC0">
      <w:pPr>
        <w:spacing w:after="0" w:line="276" w:lineRule="auto"/>
        <w:jc w:val="center"/>
        <w:rPr>
          <w:rFonts w:asciiTheme="majorHAnsi" w:hAnsiTheme="majorHAnsi" w:cs="Times New Roman"/>
          <w:b/>
          <w:sz w:val="28"/>
          <w:szCs w:val="28"/>
          <w:lang w:val="ro-MD"/>
        </w:rPr>
      </w:pPr>
    </w:p>
    <w:p w:rsidR="00254AC0" w:rsidRPr="00254AC0" w:rsidRDefault="00254AC0" w:rsidP="00254AC0">
      <w:pPr>
        <w:spacing w:after="0" w:line="276" w:lineRule="auto"/>
        <w:rPr>
          <w:rFonts w:asciiTheme="majorHAnsi" w:hAnsiTheme="majorHAnsi" w:cs="Times New Roman"/>
          <w:b/>
          <w:sz w:val="28"/>
          <w:szCs w:val="28"/>
          <w:lang w:val="ro-MD"/>
        </w:rPr>
      </w:pPr>
    </w:p>
    <w:p w:rsidR="00254AC0" w:rsidRPr="00254AC0" w:rsidRDefault="00254AC0" w:rsidP="00254AC0">
      <w:pPr>
        <w:spacing w:after="0" w:line="276" w:lineRule="auto"/>
        <w:jc w:val="center"/>
        <w:rPr>
          <w:rFonts w:asciiTheme="majorHAnsi" w:hAnsiTheme="majorHAnsi" w:cs="Times New Roman"/>
          <w:b/>
          <w:sz w:val="28"/>
          <w:szCs w:val="28"/>
          <w:lang w:val="ro-MD"/>
        </w:rPr>
      </w:pPr>
      <w:r w:rsidRPr="00254AC0">
        <w:rPr>
          <w:rFonts w:asciiTheme="majorHAnsi" w:hAnsiTheme="majorHAnsi" w:cs="Times New Roman"/>
          <w:b/>
          <w:sz w:val="28"/>
          <w:szCs w:val="28"/>
          <w:lang w:val="ro-MD"/>
        </w:rPr>
        <w:t>CURTEA DE CONTURI A REPUBLICII MOLDOVA</w:t>
      </w:r>
    </w:p>
    <w:p w:rsidR="00254AC0" w:rsidRPr="00254AC0" w:rsidRDefault="00254AC0" w:rsidP="00254AC0">
      <w:pPr>
        <w:spacing w:after="0" w:line="276" w:lineRule="auto"/>
        <w:rPr>
          <w:rFonts w:asciiTheme="majorHAnsi" w:hAnsiTheme="majorHAnsi" w:cs="Times New Roman"/>
          <w:lang w:val="ro-MD"/>
        </w:rPr>
      </w:pPr>
    </w:p>
    <w:p w:rsidR="00254AC0" w:rsidRPr="00254AC0" w:rsidRDefault="00254AC0" w:rsidP="00254AC0">
      <w:pPr>
        <w:tabs>
          <w:tab w:val="left" w:pos="720"/>
        </w:tabs>
        <w:spacing w:after="0" w:line="276" w:lineRule="auto"/>
        <w:jc w:val="right"/>
        <w:rPr>
          <w:rFonts w:asciiTheme="majorHAnsi" w:eastAsia="Times New Roman" w:hAnsiTheme="majorHAnsi" w:cs="Times New Roman"/>
          <w:b/>
          <w:bCs/>
          <w:color w:val="1F4E79" w:themeColor="accent1" w:themeShade="80"/>
          <w:sz w:val="24"/>
          <w:szCs w:val="24"/>
          <w:lang w:val="ro-MD"/>
        </w:rPr>
      </w:pPr>
    </w:p>
    <w:p w:rsidR="00254AC0" w:rsidRPr="00254AC0" w:rsidRDefault="00254AC0" w:rsidP="00254AC0">
      <w:pPr>
        <w:tabs>
          <w:tab w:val="left" w:pos="720"/>
        </w:tabs>
        <w:spacing w:after="0" w:line="276" w:lineRule="auto"/>
        <w:jc w:val="right"/>
        <w:rPr>
          <w:rFonts w:asciiTheme="majorHAnsi" w:eastAsia="Times New Roman" w:hAnsiTheme="majorHAnsi" w:cs="Times New Roman"/>
          <w:b/>
          <w:bCs/>
          <w:color w:val="1F4E79" w:themeColor="accent1" w:themeShade="80"/>
          <w:sz w:val="24"/>
          <w:szCs w:val="24"/>
          <w:lang w:val="ro-MD"/>
        </w:rPr>
      </w:pPr>
    </w:p>
    <w:tbl>
      <w:tblPr>
        <w:tblStyle w:val="a3"/>
        <w:tblW w:w="0" w:type="auto"/>
        <w:tblBorders>
          <w:top w:val="thinThickSmallGap" w:sz="12"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54AC0" w:rsidRPr="00254AC0" w:rsidTr="00A36731">
        <w:trPr>
          <w:trHeight w:val="435"/>
        </w:trPr>
        <w:tc>
          <w:tcPr>
            <w:tcW w:w="9350" w:type="dxa"/>
          </w:tcPr>
          <w:p w:rsidR="00254AC0" w:rsidRPr="00254AC0" w:rsidRDefault="00254AC0" w:rsidP="00254AC0">
            <w:pPr>
              <w:tabs>
                <w:tab w:val="left" w:pos="720"/>
              </w:tabs>
              <w:spacing w:line="276" w:lineRule="auto"/>
              <w:jc w:val="center"/>
              <w:rPr>
                <w:rFonts w:asciiTheme="majorHAnsi" w:hAnsiTheme="majorHAnsi" w:cs="Times New Roman"/>
                <w:b/>
                <w:color w:val="0563C1" w:themeColor="hyperlink"/>
                <w:sz w:val="18"/>
                <w:szCs w:val="18"/>
                <w:u w:val="single"/>
                <w:lang w:val="ro-MD"/>
              </w:rPr>
            </w:pPr>
            <w:r w:rsidRPr="00254AC0">
              <w:rPr>
                <w:rFonts w:asciiTheme="majorHAnsi" w:hAnsiTheme="majorHAnsi" w:cs="Times New Roman"/>
                <w:sz w:val="18"/>
                <w:szCs w:val="18"/>
                <w:lang w:val="ro-MD"/>
              </w:rPr>
              <w:t xml:space="preserve">MD-2001, mun. Chișinău, bd. Ștefan cel Mare și Sfânt 69, tel.: (+373) 22 23 25 79, fax: (+373) 22 23 30 20, </w:t>
            </w:r>
            <w:r w:rsidRPr="00254AC0">
              <w:rPr>
                <w:rFonts w:asciiTheme="majorHAnsi" w:hAnsiTheme="majorHAnsi" w:cs="Times New Roman"/>
                <w:b/>
                <w:color w:val="4472C4" w:themeColor="accent5"/>
                <w:sz w:val="18"/>
                <w:szCs w:val="18"/>
                <w:lang w:val="ro-MD"/>
              </w:rPr>
              <w:t>www.ccrm.md</w:t>
            </w:r>
            <w:r w:rsidRPr="00254AC0">
              <w:rPr>
                <w:rFonts w:asciiTheme="majorHAnsi" w:hAnsiTheme="majorHAnsi" w:cs="Times New Roman"/>
                <w:b/>
                <w:color w:val="0563C1" w:themeColor="hyperlink"/>
                <w:sz w:val="18"/>
                <w:szCs w:val="18"/>
                <w:u w:val="single"/>
                <w:lang w:val="ro-MD"/>
              </w:rPr>
              <w:t>;</w:t>
            </w:r>
          </w:p>
          <w:p w:rsidR="00254AC0" w:rsidRPr="00254AC0" w:rsidRDefault="00254AC0" w:rsidP="00254AC0">
            <w:pPr>
              <w:tabs>
                <w:tab w:val="left" w:pos="720"/>
              </w:tabs>
              <w:spacing w:line="276" w:lineRule="auto"/>
              <w:jc w:val="center"/>
              <w:rPr>
                <w:rFonts w:asciiTheme="majorHAnsi" w:eastAsia="Times New Roman" w:hAnsiTheme="majorHAnsi" w:cs="Times New Roman"/>
                <w:b/>
                <w:bCs/>
                <w:color w:val="1F4E79" w:themeColor="accent1" w:themeShade="80"/>
                <w:sz w:val="24"/>
                <w:szCs w:val="24"/>
                <w:lang w:val="ro-MD"/>
              </w:rPr>
            </w:pPr>
            <w:r w:rsidRPr="00254AC0">
              <w:rPr>
                <w:rFonts w:asciiTheme="majorHAnsi" w:hAnsiTheme="majorHAnsi" w:cs="Times New Roman"/>
                <w:sz w:val="18"/>
                <w:szCs w:val="18"/>
                <w:lang w:val="ro-MD"/>
              </w:rPr>
              <w:t xml:space="preserve">e-mail: </w:t>
            </w:r>
            <w:hyperlink r:id="rId10" w:history="1">
              <w:r w:rsidRPr="00254AC0">
                <w:rPr>
                  <w:rFonts w:asciiTheme="majorHAnsi" w:hAnsiTheme="majorHAnsi" w:cs="Times New Roman"/>
                  <w:b/>
                  <w:color w:val="0563C1" w:themeColor="hyperlink"/>
                  <w:sz w:val="18"/>
                  <w:szCs w:val="18"/>
                  <w:u w:val="single"/>
                  <w:lang w:val="ro-MD"/>
                </w:rPr>
                <w:t>ccrm@ccrm.md</w:t>
              </w:r>
            </w:hyperlink>
          </w:p>
        </w:tc>
      </w:tr>
    </w:tbl>
    <w:p w:rsidR="00254AC0" w:rsidRPr="00254AC0" w:rsidRDefault="00254AC0" w:rsidP="00254AC0">
      <w:pPr>
        <w:tabs>
          <w:tab w:val="left" w:pos="720"/>
        </w:tabs>
        <w:spacing w:after="0" w:line="276" w:lineRule="auto"/>
        <w:jc w:val="right"/>
        <w:rPr>
          <w:rFonts w:asciiTheme="majorHAnsi" w:eastAsia="Times New Roman" w:hAnsiTheme="majorHAnsi" w:cs="Times New Roman"/>
          <w:b/>
          <w:bCs/>
          <w:color w:val="1F4E79" w:themeColor="accent1" w:themeShade="80"/>
          <w:sz w:val="24"/>
          <w:szCs w:val="24"/>
          <w:lang w:val="ro-MD"/>
        </w:rPr>
      </w:pPr>
    </w:p>
    <w:p w:rsidR="00254AC0" w:rsidRPr="00254AC0" w:rsidRDefault="00254AC0" w:rsidP="00254AC0">
      <w:pPr>
        <w:tabs>
          <w:tab w:val="left" w:pos="720"/>
        </w:tabs>
        <w:spacing w:after="0" w:line="276" w:lineRule="auto"/>
        <w:jc w:val="right"/>
        <w:rPr>
          <w:rFonts w:asciiTheme="majorHAnsi" w:eastAsia="Times New Roman" w:hAnsiTheme="majorHAnsi" w:cs="Times New Roman"/>
          <w:b/>
          <w:bCs/>
          <w:color w:val="1F4E79" w:themeColor="accent1" w:themeShade="80"/>
          <w:sz w:val="24"/>
          <w:szCs w:val="24"/>
          <w:lang w:val="ro-MD"/>
        </w:rPr>
      </w:pPr>
    </w:p>
    <w:p w:rsidR="00254AC0" w:rsidRPr="00254AC0" w:rsidRDefault="00254AC0" w:rsidP="00254AC0">
      <w:pPr>
        <w:tabs>
          <w:tab w:val="left" w:pos="720"/>
        </w:tabs>
        <w:spacing w:after="0" w:line="276" w:lineRule="auto"/>
        <w:ind w:firstLine="720"/>
        <w:jc w:val="center"/>
        <w:rPr>
          <w:rFonts w:asciiTheme="majorHAnsi" w:eastAsia="Times New Roman" w:hAnsiTheme="majorHAnsi" w:cs="Times New Roman"/>
          <w:b/>
          <w:bCs/>
          <w:sz w:val="32"/>
          <w:szCs w:val="32"/>
          <w:lang w:val="ro-MD"/>
        </w:rPr>
      </w:pPr>
    </w:p>
    <w:p w:rsidR="00254AC0" w:rsidRPr="00254AC0" w:rsidRDefault="00254AC0" w:rsidP="00254AC0">
      <w:pPr>
        <w:tabs>
          <w:tab w:val="left" w:pos="720"/>
        </w:tabs>
        <w:spacing w:after="0" w:line="276" w:lineRule="auto"/>
        <w:jc w:val="center"/>
        <w:rPr>
          <w:rFonts w:asciiTheme="majorHAnsi" w:eastAsia="Times New Roman" w:hAnsiTheme="majorHAnsi" w:cs="Times New Roman"/>
          <w:b/>
          <w:bCs/>
          <w:sz w:val="32"/>
          <w:szCs w:val="32"/>
          <w:lang w:val="ro-MD"/>
        </w:rPr>
      </w:pPr>
      <w:r w:rsidRPr="00254AC0">
        <w:rPr>
          <w:rFonts w:asciiTheme="majorHAnsi" w:eastAsia="Times New Roman" w:hAnsiTheme="majorHAnsi" w:cs="Times New Roman"/>
          <w:b/>
          <w:bCs/>
          <w:sz w:val="32"/>
          <w:szCs w:val="32"/>
          <w:lang w:val="ro-MD"/>
        </w:rPr>
        <w:t xml:space="preserve">RAPORTUL </w:t>
      </w:r>
    </w:p>
    <w:p w:rsidR="00254AC0" w:rsidRPr="00254AC0" w:rsidRDefault="00254AC0" w:rsidP="00254AC0">
      <w:pPr>
        <w:tabs>
          <w:tab w:val="left" w:pos="0"/>
        </w:tabs>
        <w:spacing w:after="0" w:line="276" w:lineRule="auto"/>
        <w:jc w:val="center"/>
        <w:rPr>
          <w:rFonts w:asciiTheme="majorHAnsi" w:eastAsia="Times New Roman" w:hAnsiTheme="majorHAnsi" w:cs="Times New Roman"/>
          <w:bCs/>
          <w:sz w:val="32"/>
          <w:szCs w:val="32"/>
          <w:lang w:val="ro-MD"/>
        </w:rPr>
      </w:pPr>
      <w:r w:rsidRPr="00254AC0">
        <w:rPr>
          <w:rFonts w:asciiTheme="majorHAnsi" w:eastAsia="Times New Roman" w:hAnsiTheme="majorHAnsi" w:cs="Times New Roman"/>
          <w:bCs/>
          <w:sz w:val="32"/>
          <w:szCs w:val="32"/>
          <w:lang w:val="ro-MD"/>
        </w:rPr>
        <w:t>auditului financiar asupra Raportului Guvernului privind executarea bugetului de stat pe anul 2019</w:t>
      </w:r>
    </w:p>
    <w:p w:rsidR="00254AC0" w:rsidRPr="00254AC0" w:rsidRDefault="00254AC0" w:rsidP="00254AC0">
      <w:pPr>
        <w:tabs>
          <w:tab w:val="left" w:pos="720"/>
        </w:tabs>
        <w:spacing w:after="0" w:line="276" w:lineRule="auto"/>
        <w:ind w:firstLine="720"/>
        <w:jc w:val="center"/>
        <w:rPr>
          <w:rFonts w:asciiTheme="majorHAnsi" w:eastAsia="Times New Roman" w:hAnsiTheme="majorHAnsi" w:cs="Times New Roman"/>
          <w:b/>
          <w:bCs/>
          <w:sz w:val="32"/>
          <w:szCs w:val="32"/>
          <w:lang w:val="ro-MD"/>
        </w:rPr>
      </w:pPr>
    </w:p>
    <w:p w:rsidR="00254AC0" w:rsidRPr="00254AC0" w:rsidRDefault="00254AC0" w:rsidP="00254AC0">
      <w:pPr>
        <w:tabs>
          <w:tab w:val="left" w:pos="720"/>
        </w:tabs>
        <w:spacing w:after="0" w:line="276" w:lineRule="auto"/>
        <w:jc w:val="center"/>
        <w:rPr>
          <w:rFonts w:asciiTheme="majorHAnsi" w:eastAsia="Times New Roman" w:hAnsiTheme="majorHAnsi" w:cs="Times New Roman"/>
          <w:b/>
          <w:bCs/>
          <w:sz w:val="28"/>
          <w:szCs w:val="28"/>
          <w:lang w:val="ro-MD"/>
        </w:rPr>
      </w:pPr>
    </w:p>
    <w:p w:rsidR="00254AC0" w:rsidRPr="00254AC0" w:rsidRDefault="00254AC0" w:rsidP="00254AC0">
      <w:pPr>
        <w:tabs>
          <w:tab w:val="left" w:pos="720"/>
        </w:tabs>
        <w:spacing w:after="0" w:line="276" w:lineRule="auto"/>
        <w:jc w:val="center"/>
        <w:rPr>
          <w:rFonts w:asciiTheme="majorHAnsi" w:eastAsia="Times New Roman" w:hAnsiTheme="majorHAnsi" w:cs="Times New Roman"/>
          <w:b/>
          <w:bCs/>
          <w:sz w:val="28"/>
          <w:szCs w:val="28"/>
          <w:lang w:val="ro-MD"/>
        </w:rPr>
      </w:pPr>
    </w:p>
    <w:p w:rsidR="00254AC0" w:rsidRPr="00254AC0" w:rsidRDefault="00254AC0" w:rsidP="00254AC0">
      <w:pPr>
        <w:tabs>
          <w:tab w:val="left" w:pos="720"/>
        </w:tabs>
        <w:spacing w:after="0" w:line="276" w:lineRule="auto"/>
        <w:jc w:val="center"/>
        <w:rPr>
          <w:rFonts w:asciiTheme="majorHAnsi" w:eastAsia="Times New Roman" w:hAnsiTheme="majorHAnsi" w:cs="Times New Roman"/>
          <w:b/>
          <w:bCs/>
          <w:sz w:val="28"/>
          <w:szCs w:val="28"/>
          <w:lang w:val="ro-MD"/>
        </w:rPr>
      </w:pPr>
    </w:p>
    <w:p w:rsidR="00254AC0" w:rsidRPr="00254AC0" w:rsidRDefault="00254AC0" w:rsidP="00254AC0">
      <w:pPr>
        <w:tabs>
          <w:tab w:val="left" w:pos="720"/>
        </w:tabs>
        <w:spacing w:after="0" w:line="276" w:lineRule="auto"/>
        <w:jc w:val="center"/>
        <w:rPr>
          <w:rFonts w:asciiTheme="majorHAnsi" w:eastAsia="Times New Roman" w:hAnsiTheme="majorHAnsi" w:cs="Times New Roman"/>
          <w:b/>
          <w:bCs/>
          <w:sz w:val="28"/>
          <w:szCs w:val="28"/>
          <w:lang w:val="ro-MD"/>
        </w:rPr>
      </w:pPr>
    </w:p>
    <w:p w:rsidR="00254AC0" w:rsidRPr="00254AC0" w:rsidRDefault="00254AC0" w:rsidP="00254AC0">
      <w:pPr>
        <w:tabs>
          <w:tab w:val="left" w:pos="720"/>
        </w:tabs>
        <w:spacing w:after="0" w:line="276" w:lineRule="auto"/>
        <w:jc w:val="center"/>
        <w:rPr>
          <w:rFonts w:asciiTheme="majorHAnsi" w:eastAsia="Times New Roman" w:hAnsiTheme="majorHAnsi" w:cs="Times New Roman"/>
          <w:b/>
          <w:bCs/>
          <w:sz w:val="28"/>
          <w:szCs w:val="28"/>
          <w:lang w:val="ro-MD"/>
        </w:rPr>
      </w:pPr>
    </w:p>
    <w:p w:rsidR="00254AC0" w:rsidRPr="00254AC0" w:rsidRDefault="00254AC0" w:rsidP="00254AC0">
      <w:pPr>
        <w:tabs>
          <w:tab w:val="left" w:pos="720"/>
        </w:tabs>
        <w:spacing w:after="0" w:line="276" w:lineRule="auto"/>
        <w:jc w:val="center"/>
        <w:rPr>
          <w:rFonts w:asciiTheme="majorHAnsi" w:eastAsia="Times New Roman" w:hAnsiTheme="majorHAnsi" w:cs="Times New Roman"/>
          <w:b/>
          <w:bCs/>
          <w:sz w:val="28"/>
          <w:szCs w:val="28"/>
          <w:lang w:val="ro-MD"/>
        </w:rPr>
      </w:pPr>
    </w:p>
    <w:p w:rsidR="00254AC0" w:rsidRPr="00254AC0" w:rsidRDefault="00254AC0" w:rsidP="00254AC0">
      <w:pPr>
        <w:tabs>
          <w:tab w:val="left" w:pos="720"/>
        </w:tabs>
        <w:spacing w:after="0" w:line="276" w:lineRule="auto"/>
        <w:jc w:val="center"/>
        <w:rPr>
          <w:rFonts w:asciiTheme="majorHAnsi" w:eastAsia="Times New Roman" w:hAnsiTheme="majorHAnsi" w:cs="Times New Roman"/>
          <w:b/>
          <w:bCs/>
          <w:sz w:val="28"/>
          <w:szCs w:val="28"/>
          <w:lang w:val="ro-MD"/>
        </w:rPr>
      </w:pPr>
    </w:p>
    <w:p w:rsidR="00254AC0" w:rsidRPr="00254AC0" w:rsidRDefault="00254AC0" w:rsidP="00254AC0">
      <w:pPr>
        <w:tabs>
          <w:tab w:val="left" w:pos="720"/>
        </w:tabs>
        <w:spacing w:after="0" w:line="276" w:lineRule="auto"/>
        <w:jc w:val="center"/>
        <w:rPr>
          <w:rFonts w:asciiTheme="majorHAnsi" w:eastAsia="Times New Roman" w:hAnsiTheme="majorHAnsi" w:cs="Times New Roman"/>
          <w:b/>
          <w:bCs/>
          <w:sz w:val="28"/>
          <w:szCs w:val="28"/>
          <w:lang w:val="ro-MD"/>
        </w:rPr>
      </w:pPr>
    </w:p>
    <w:p w:rsidR="00254AC0" w:rsidRPr="00254AC0" w:rsidRDefault="00254AC0" w:rsidP="00254AC0">
      <w:pPr>
        <w:tabs>
          <w:tab w:val="left" w:pos="720"/>
        </w:tabs>
        <w:spacing w:after="0" w:line="276" w:lineRule="auto"/>
        <w:jc w:val="center"/>
        <w:rPr>
          <w:rFonts w:asciiTheme="majorHAnsi" w:eastAsia="Times New Roman" w:hAnsiTheme="majorHAnsi" w:cs="Times New Roman"/>
          <w:b/>
          <w:bCs/>
          <w:sz w:val="28"/>
          <w:szCs w:val="28"/>
          <w:lang w:val="ro-MD"/>
        </w:rPr>
      </w:pPr>
    </w:p>
    <w:p w:rsidR="00254AC0" w:rsidRPr="00254AC0" w:rsidRDefault="00254AC0" w:rsidP="00254AC0">
      <w:pPr>
        <w:tabs>
          <w:tab w:val="left" w:pos="720"/>
        </w:tabs>
        <w:spacing w:after="0" w:line="276" w:lineRule="auto"/>
        <w:jc w:val="center"/>
        <w:rPr>
          <w:rFonts w:asciiTheme="majorHAnsi" w:eastAsia="Times New Roman" w:hAnsiTheme="majorHAnsi" w:cs="Times New Roman"/>
          <w:b/>
          <w:bCs/>
          <w:sz w:val="28"/>
          <w:szCs w:val="28"/>
          <w:lang w:val="ro-MD"/>
        </w:rPr>
      </w:pPr>
    </w:p>
    <w:p w:rsidR="00254AC0" w:rsidRPr="00254AC0" w:rsidRDefault="00254AC0" w:rsidP="00254AC0">
      <w:pPr>
        <w:tabs>
          <w:tab w:val="left" w:pos="720"/>
        </w:tabs>
        <w:spacing w:after="0" w:line="276" w:lineRule="auto"/>
        <w:jc w:val="center"/>
        <w:rPr>
          <w:rFonts w:asciiTheme="majorHAnsi" w:eastAsia="Times New Roman" w:hAnsiTheme="majorHAnsi" w:cs="Times New Roman"/>
          <w:b/>
          <w:bCs/>
          <w:sz w:val="28"/>
          <w:szCs w:val="28"/>
          <w:lang w:val="ro-MD"/>
        </w:rPr>
      </w:pPr>
      <w:r w:rsidRPr="00254AC0">
        <w:rPr>
          <w:rFonts w:asciiTheme="majorHAnsi" w:eastAsia="Times New Roman" w:hAnsiTheme="majorHAnsi" w:cs="Times New Roman"/>
          <w:b/>
          <w:bCs/>
          <w:sz w:val="28"/>
          <w:szCs w:val="28"/>
          <w:lang w:val="ro-MD"/>
        </w:rPr>
        <w:lastRenderedPageBreak/>
        <w:t>Lista acronimelor</w:t>
      </w:r>
    </w:p>
    <w:tbl>
      <w:tblPr>
        <w:tblStyle w:val="-1"/>
        <w:tblW w:w="0" w:type="auto"/>
        <w:jc w:val="center"/>
        <w:tblLook w:val="04A0" w:firstRow="1" w:lastRow="0" w:firstColumn="1" w:lastColumn="0" w:noHBand="0" w:noVBand="1"/>
      </w:tblPr>
      <w:tblGrid>
        <w:gridCol w:w="1555"/>
        <w:gridCol w:w="7229"/>
      </w:tblGrid>
      <w:tr w:rsidR="00254AC0" w:rsidRPr="00254AC0" w:rsidTr="00A3673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tcPr>
          <w:p w:rsidR="00254AC0" w:rsidRPr="00254AC0" w:rsidRDefault="00254AC0" w:rsidP="00254AC0">
            <w:pPr>
              <w:tabs>
                <w:tab w:val="left" w:pos="720"/>
              </w:tabs>
              <w:spacing w:line="276" w:lineRule="auto"/>
              <w:jc w:val="center"/>
              <w:rPr>
                <w:rFonts w:asciiTheme="majorHAnsi" w:eastAsia="Times New Roman" w:hAnsiTheme="majorHAnsi" w:cs="Times New Roman"/>
                <w:sz w:val="20"/>
                <w:szCs w:val="20"/>
                <w:lang w:val="ro-MD"/>
              </w:rPr>
            </w:pPr>
            <w:r w:rsidRPr="00254AC0">
              <w:rPr>
                <w:rFonts w:asciiTheme="majorHAnsi" w:eastAsia="Times New Roman" w:hAnsiTheme="majorHAnsi" w:cs="Times New Roman"/>
                <w:sz w:val="20"/>
                <w:szCs w:val="20"/>
                <w:lang w:val="ro-MD"/>
              </w:rPr>
              <w:t>Acronimul</w:t>
            </w:r>
          </w:p>
        </w:tc>
        <w:tc>
          <w:tcPr>
            <w:tcW w:w="7229" w:type="dxa"/>
          </w:tcPr>
          <w:p w:rsidR="00254AC0" w:rsidRPr="00254AC0" w:rsidRDefault="00254AC0" w:rsidP="00254AC0">
            <w:pPr>
              <w:tabs>
                <w:tab w:val="left" w:pos="720"/>
              </w:tabs>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ro-MD"/>
              </w:rPr>
            </w:pPr>
            <w:r w:rsidRPr="00254AC0">
              <w:rPr>
                <w:rFonts w:asciiTheme="majorHAnsi" w:eastAsia="Times New Roman" w:hAnsiTheme="majorHAnsi" w:cs="Times New Roman"/>
                <w:sz w:val="20"/>
                <w:szCs w:val="20"/>
                <w:lang w:val="ro-MD"/>
              </w:rPr>
              <w:t>Termenul abreviat</w:t>
            </w:r>
          </w:p>
        </w:tc>
      </w:tr>
      <w:tr w:rsidR="00254AC0" w:rsidRPr="00254AC0" w:rsidTr="00A36731">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254AC0" w:rsidRPr="00254AC0" w:rsidRDefault="00254AC0" w:rsidP="00254AC0">
            <w:pPr>
              <w:tabs>
                <w:tab w:val="left" w:pos="720"/>
              </w:tabs>
              <w:spacing w:line="276" w:lineRule="auto"/>
              <w:jc w:val="center"/>
              <w:rPr>
                <w:rFonts w:asciiTheme="majorHAnsi" w:eastAsia="Times New Roman" w:hAnsiTheme="majorHAnsi" w:cs="Times New Roman"/>
                <w:sz w:val="20"/>
                <w:szCs w:val="20"/>
                <w:lang w:val="ro-MD"/>
              </w:rPr>
            </w:pPr>
            <w:r w:rsidRPr="00254AC0">
              <w:rPr>
                <w:rFonts w:asciiTheme="majorHAnsi" w:eastAsia="Times New Roman" w:hAnsiTheme="majorHAnsi" w:cs="Times New Roman"/>
                <w:sz w:val="20"/>
                <w:szCs w:val="20"/>
                <w:lang w:val="ro-MD"/>
              </w:rPr>
              <w:t>APC</w:t>
            </w:r>
          </w:p>
        </w:tc>
        <w:tc>
          <w:tcPr>
            <w:tcW w:w="7229" w:type="dxa"/>
          </w:tcPr>
          <w:p w:rsidR="00254AC0" w:rsidRPr="00254AC0" w:rsidRDefault="00254AC0" w:rsidP="00254AC0">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sidRPr="00254AC0">
              <w:rPr>
                <w:rFonts w:asciiTheme="majorHAnsi" w:eastAsia="Times New Roman" w:hAnsiTheme="majorHAnsi" w:cs="Times New Roman"/>
                <w:bCs/>
                <w:sz w:val="20"/>
                <w:szCs w:val="20"/>
                <w:lang w:val="ro-MD"/>
              </w:rPr>
              <w:t>Administrația publică centrală</w:t>
            </w:r>
          </w:p>
        </w:tc>
      </w:tr>
      <w:tr w:rsidR="00254AC0" w:rsidRPr="00254AC0" w:rsidTr="00A36731">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254AC0" w:rsidRPr="00254AC0" w:rsidRDefault="00254AC0" w:rsidP="00254AC0">
            <w:pPr>
              <w:tabs>
                <w:tab w:val="left" w:pos="720"/>
              </w:tabs>
              <w:spacing w:line="276" w:lineRule="auto"/>
              <w:jc w:val="center"/>
              <w:rPr>
                <w:rFonts w:asciiTheme="majorHAnsi" w:eastAsia="Times New Roman" w:hAnsiTheme="majorHAnsi" w:cs="Times New Roman"/>
                <w:sz w:val="20"/>
                <w:szCs w:val="20"/>
                <w:lang w:val="ro-MD"/>
              </w:rPr>
            </w:pPr>
            <w:r w:rsidRPr="00254AC0">
              <w:rPr>
                <w:rFonts w:asciiTheme="majorHAnsi" w:eastAsia="Times New Roman" w:hAnsiTheme="majorHAnsi" w:cs="Times New Roman"/>
                <w:sz w:val="20"/>
                <w:szCs w:val="20"/>
                <w:lang w:val="ro-MD"/>
              </w:rPr>
              <w:t>APL</w:t>
            </w:r>
          </w:p>
        </w:tc>
        <w:tc>
          <w:tcPr>
            <w:tcW w:w="7229" w:type="dxa"/>
          </w:tcPr>
          <w:p w:rsidR="00254AC0" w:rsidRPr="00254AC0" w:rsidRDefault="00254AC0" w:rsidP="00254AC0">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sidRPr="00254AC0">
              <w:rPr>
                <w:rFonts w:asciiTheme="majorHAnsi" w:eastAsia="Times New Roman" w:hAnsiTheme="majorHAnsi" w:cs="Times New Roman"/>
                <w:bCs/>
                <w:sz w:val="20"/>
                <w:szCs w:val="20"/>
                <w:lang w:val="ro-MD"/>
              </w:rPr>
              <w:t>Administrația publică locală</w:t>
            </w:r>
          </w:p>
        </w:tc>
      </w:tr>
      <w:tr w:rsidR="00254AC0" w:rsidRPr="00254AC0" w:rsidTr="00A36731">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254AC0" w:rsidRPr="00254AC0" w:rsidRDefault="00254AC0" w:rsidP="00254AC0">
            <w:pPr>
              <w:tabs>
                <w:tab w:val="left" w:pos="720"/>
              </w:tabs>
              <w:spacing w:line="276" w:lineRule="auto"/>
              <w:jc w:val="center"/>
              <w:rPr>
                <w:rFonts w:asciiTheme="majorHAnsi" w:eastAsia="Times New Roman" w:hAnsiTheme="majorHAnsi" w:cs="Times New Roman"/>
                <w:sz w:val="20"/>
                <w:szCs w:val="20"/>
                <w:lang w:val="ro-MD"/>
              </w:rPr>
            </w:pPr>
            <w:r w:rsidRPr="00254AC0">
              <w:rPr>
                <w:rFonts w:asciiTheme="majorHAnsi" w:eastAsia="Times New Roman" w:hAnsiTheme="majorHAnsi" w:cs="Times New Roman"/>
                <w:sz w:val="20"/>
                <w:szCs w:val="20"/>
                <w:lang w:val="ro-MD"/>
              </w:rPr>
              <w:t>APP</w:t>
            </w:r>
          </w:p>
        </w:tc>
        <w:tc>
          <w:tcPr>
            <w:tcW w:w="7229" w:type="dxa"/>
          </w:tcPr>
          <w:p w:rsidR="00254AC0" w:rsidRPr="00254AC0" w:rsidRDefault="00254AC0" w:rsidP="00254AC0">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sidRPr="00254AC0">
              <w:rPr>
                <w:rFonts w:asciiTheme="majorHAnsi" w:eastAsia="Times New Roman" w:hAnsiTheme="majorHAnsi" w:cs="Times New Roman"/>
                <w:bCs/>
                <w:sz w:val="20"/>
                <w:szCs w:val="20"/>
                <w:lang w:val="ro-MD"/>
              </w:rPr>
              <w:t>Agenția Proprietății Publice</w:t>
            </w:r>
          </w:p>
        </w:tc>
      </w:tr>
      <w:tr w:rsidR="00254AC0" w:rsidRPr="00254AC0" w:rsidTr="00A36731">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254AC0" w:rsidRPr="00254AC0" w:rsidRDefault="00254AC0" w:rsidP="00254AC0">
            <w:pPr>
              <w:tabs>
                <w:tab w:val="left" w:pos="720"/>
              </w:tabs>
              <w:spacing w:line="276" w:lineRule="auto"/>
              <w:jc w:val="center"/>
              <w:rPr>
                <w:rFonts w:asciiTheme="majorHAnsi" w:eastAsia="Times New Roman" w:hAnsiTheme="majorHAnsi" w:cs="Times New Roman"/>
                <w:sz w:val="20"/>
                <w:szCs w:val="20"/>
                <w:lang w:val="ro-MD"/>
              </w:rPr>
            </w:pPr>
            <w:r w:rsidRPr="00254AC0">
              <w:rPr>
                <w:rFonts w:asciiTheme="majorHAnsi" w:eastAsia="Times New Roman" w:hAnsiTheme="majorHAnsi" w:cs="Times New Roman"/>
                <w:sz w:val="20"/>
                <w:szCs w:val="20"/>
                <w:lang w:val="ro-MD"/>
              </w:rPr>
              <w:t>BASS</w:t>
            </w:r>
          </w:p>
        </w:tc>
        <w:tc>
          <w:tcPr>
            <w:tcW w:w="7229" w:type="dxa"/>
          </w:tcPr>
          <w:p w:rsidR="00254AC0" w:rsidRPr="00254AC0" w:rsidRDefault="00254AC0" w:rsidP="00254AC0">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sidRPr="00254AC0">
              <w:rPr>
                <w:rFonts w:asciiTheme="majorHAnsi" w:eastAsia="Times New Roman" w:hAnsiTheme="majorHAnsi" w:cs="Times New Roman"/>
                <w:bCs/>
                <w:sz w:val="20"/>
                <w:szCs w:val="20"/>
                <w:lang w:val="ro-MD"/>
              </w:rPr>
              <w:t>Bugetul asigurărilor sociale de stat</w:t>
            </w:r>
          </w:p>
        </w:tc>
      </w:tr>
      <w:tr w:rsidR="00254AC0" w:rsidRPr="00254AC0" w:rsidTr="00A36731">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254AC0" w:rsidRPr="00254AC0" w:rsidRDefault="00254AC0" w:rsidP="00254AC0">
            <w:pPr>
              <w:tabs>
                <w:tab w:val="left" w:pos="720"/>
              </w:tabs>
              <w:spacing w:line="276" w:lineRule="auto"/>
              <w:jc w:val="center"/>
              <w:rPr>
                <w:rFonts w:asciiTheme="majorHAnsi" w:eastAsia="Times New Roman" w:hAnsiTheme="majorHAnsi" w:cs="Times New Roman"/>
                <w:sz w:val="20"/>
                <w:szCs w:val="20"/>
                <w:lang w:val="ro-MD"/>
              </w:rPr>
            </w:pPr>
            <w:r w:rsidRPr="00254AC0">
              <w:rPr>
                <w:rFonts w:asciiTheme="majorHAnsi" w:eastAsia="Times New Roman" w:hAnsiTheme="majorHAnsi" w:cs="Times New Roman"/>
                <w:sz w:val="20"/>
                <w:szCs w:val="20"/>
                <w:lang w:val="ro-MD"/>
              </w:rPr>
              <w:t>BNM</w:t>
            </w:r>
          </w:p>
        </w:tc>
        <w:tc>
          <w:tcPr>
            <w:tcW w:w="7229" w:type="dxa"/>
          </w:tcPr>
          <w:p w:rsidR="00254AC0" w:rsidRPr="00254AC0" w:rsidRDefault="00254AC0" w:rsidP="00254AC0">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sidRPr="00254AC0">
              <w:rPr>
                <w:rFonts w:asciiTheme="majorHAnsi" w:eastAsia="Times New Roman" w:hAnsiTheme="majorHAnsi" w:cs="Times New Roman"/>
                <w:bCs/>
                <w:sz w:val="20"/>
                <w:szCs w:val="20"/>
                <w:lang w:val="ro-MD"/>
              </w:rPr>
              <w:t>Banca Națională a Moldovei</w:t>
            </w:r>
          </w:p>
        </w:tc>
      </w:tr>
      <w:tr w:rsidR="00254AC0" w:rsidRPr="00254AC0" w:rsidTr="00A36731">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254AC0" w:rsidRPr="00254AC0" w:rsidRDefault="00254AC0" w:rsidP="00254AC0">
            <w:pPr>
              <w:tabs>
                <w:tab w:val="left" w:pos="720"/>
              </w:tabs>
              <w:spacing w:line="276" w:lineRule="auto"/>
              <w:jc w:val="center"/>
              <w:rPr>
                <w:rFonts w:asciiTheme="majorHAnsi" w:eastAsia="Times New Roman" w:hAnsiTheme="majorHAnsi" w:cs="Times New Roman"/>
                <w:sz w:val="20"/>
                <w:szCs w:val="20"/>
                <w:lang w:val="ro-MD"/>
              </w:rPr>
            </w:pPr>
            <w:r w:rsidRPr="00254AC0">
              <w:rPr>
                <w:rFonts w:asciiTheme="majorHAnsi" w:eastAsia="Times New Roman" w:hAnsiTheme="majorHAnsi" w:cs="Times New Roman"/>
                <w:sz w:val="20"/>
                <w:szCs w:val="20"/>
                <w:lang w:val="ro-MD"/>
              </w:rPr>
              <w:t>BPN</w:t>
            </w:r>
          </w:p>
        </w:tc>
        <w:tc>
          <w:tcPr>
            <w:tcW w:w="7229" w:type="dxa"/>
          </w:tcPr>
          <w:p w:rsidR="00254AC0" w:rsidRPr="00254AC0" w:rsidRDefault="00254AC0" w:rsidP="00254AC0">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sidRPr="00254AC0">
              <w:rPr>
                <w:rFonts w:asciiTheme="majorHAnsi" w:eastAsia="Times New Roman" w:hAnsiTheme="majorHAnsi" w:cs="Times New Roman"/>
                <w:bCs/>
                <w:sz w:val="20"/>
                <w:szCs w:val="20"/>
                <w:lang w:val="ro-MD"/>
              </w:rPr>
              <w:t>Bugetul public național</w:t>
            </w:r>
          </w:p>
        </w:tc>
      </w:tr>
      <w:tr w:rsidR="003B555B" w:rsidRPr="00254AC0" w:rsidTr="00A36731">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3B555B" w:rsidRPr="003B555B" w:rsidRDefault="003B555B" w:rsidP="00254AC0">
            <w:pPr>
              <w:tabs>
                <w:tab w:val="left" w:pos="720"/>
              </w:tabs>
              <w:spacing w:line="276" w:lineRule="auto"/>
              <w:jc w:val="center"/>
              <w:rPr>
                <w:rFonts w:asciiTheme="majorHAnsi" w:eastAsia="Times New Roman" w:hAnsiTheme="majorHAnsi" w:cs="Times New Roman"/>
                <w:bCs w:val="0"/>
                <w:sz w:val="20"/>
                <w:szCs w:val="20"/>
                <w:lang w:val="ro-MD"/>
              </w:rPr>
            </w:pPr>
            <w:r w:rsidRPr="003B555B">
              <w:rPr>
                <w:rFonts w:asciiTheme="majorHAnsi" w:eastAsia="Times New Roman" w:hAnsiTheme="majorHAnsi" w:cs="Times New Roman"/>
                <w:bCs w:val="0"/>
                <w:sz w:val="20"/>
                <w:szCs w:val="20"/>
                <w:lang w:val="ro-MD"/>
              </w:rPr>
              <w:t>BNS</w:t>
            </w:r>
          </w:p>
        </w:tc>
        <w:tc>
          <w:tcPr>
            <w:tcW w:w="7229" w:type="dxa"/>
          </w:tcPr>
          <w:p w:rsidR="003B555B" w:rsidRPr="00254AC0" w:rsidRDefault="003B555B" w:rsidP="00254AC0">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Pr>
                <w:rFonts w:asciiTheme="majorHAnsi" w:eastAsia="Times New Roman" w:hAnsiTheme="majorHAnsi" w:cs="Times New Roman"/>
                <w:bCs/>
                <w:sz w:val="20"/>
                <w:szCs w:val="20"/>
                <w:lang w:val="ro-MD"/>
              </w:rPr>
              <w:t>Biroul Național de Statistică</w:t>
            </w:r>
          </w:p>
        </w:tc>
      </w:tr>
      <w:tr w:rsidR="00254AC0" w:rsidRPr="00254AC0" w:rsidTr="00A36731">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254AC0" w:rsidRPr="00254AC0" w:rsidRDefault="00254AC0" w:rsidP="00254AC0">
            <w:pPr>
              <w:tabs>
                <w:tab w:val="left" w:pos="720"/>
              </w:tabs>
              <w:spacing w:line="276" w:lineRule="auto"/>
              <w:jc w:val="center"/>
              <w:rPr>
                <w:rFonts w:asciiTheme="majorHAnsi" w:eastAsia="Times New Roman" w:hAnsiTheme="majorHAnsi" w:cs="Times New Roman"/>
                <w:sz w:val="20"/>
                <w:szCs w:val="20"/>
                <w:lang w:val="ro-MD"/>
              </w:rPr>
            </w:pPr>
            <w:r w:rsidRPr="00254AC0">
              <w:rPr>
                <w:rFonts w:asciiTheme="majorHAnsi" w:eastAsia="Times New Roman" w:hAnsiTheme="majorHAnsi" w:cs="Times New Roman"/>
                <w:sz w:val="20"/>
                <w:szCs w:val="20"/>
                <w:lang w:val="ro-MD"/>
              </w:rPr>
              <w:t>BUAT</w:t>
            </w:r>
          </w:p>
        </w:tc>
        <w:tc>
          <w:tcPr>
            <w:tcW w:w="7229" w:type="dxa"/>
          </w:tcPr>
          <w:p w:rsidR="00254AC0" w:rsidRPr="00254AC0" w:rsidRDefault="00254AC0" w:rsidP="00254AC0">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sidRPr="00254AC0">
              <w:rPr>
                <w:rFonts w:asciiTheme="majorHAnsi" w:eastAsia="Times New Roman" w:hAnsiTheme="majorHAnsi" w:cs="Times New Roman"/>
                <w:bCs/>
                <w:sz w:val="20"/>
                <w:szCs w:val="20"/>
                <w:lang w:val="ro-MD"/>
              </w:rPr>
              <w:t>Bugetul unităților administrativ-teritoriale</w:t>
            </w:r>
          </w:p>
        </w:tc>
      </w:tr>
      <w:tr w:rsidR="00254AC0" w:rsidRPr="00254AC0" w:rsidTr="00A36731">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254AC0" w:rsidRPr="00254AC0" w:rsidRDefault="00254AC0" w:rsidP="00254AC0">
            <w:pPr>
              <w:tabs>
                <w:tab w:val="left" w:pos="720"/>
              </w:tabs>
              <w:spacing w:line="276" w:lineRule="auto"/>
              <w:jc w:val="center"/>
              <w:rPr>
                <w:rFonts w:asciiTheme="majorHAnsi" w:eastAsia="Times New Roman" w:hAnsiTheme="majorHAnsi" w:cs="Times New Roman"/>
                <w:sz w:val="20"/>
                <w:szCs w:val="20"/>
                <w:lang w:val="ro-MD"/>
              </w:rPr>
            </w:pPr>
            <w:r w:rsidRPr="00254AC0">
              <w:rPr>
                <w:rFonts w:asciiTheme="majorHAnsi" w:eastAsia="Times New Roman" w:hAnsiTheme="majorHAnsi" w:cs="Times New Roman"/>
                <w:sz w:val="20"/>
                <w:szCs w:val="20"/>
                <w:lang w:val="ro-MD"/>
              </w:rPr>
              <w:t>BS</w:t>
            </w:r>
          </w:p>
        </w:tc>
        <w:tc>
          <w:tcPr>
            <w:tcW w:w="7229" w:type="dxa"/>
          </w:tcPr>
          <w:p w:rsidR="00254AC0" w:rsidRPr="00254AC0" w:rsidRDefault="00254AC0" w:rsidP="00254AC0">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sidRPr="00254AC0">
              <w:rPr>
                <w:rFonts w:asciiTheme="majorHAnsi" w:eastAsia="Times New Roman" w:hAnsiTheme="majorHAnsi" w:cs="Times New Roman"/>
                <w:bCs/>
                <w:sz w:val="20"/>
                <w:szCs w:val="20"/>
                <w:lang w:val="ro-MD"/>
              </w:rPr>
              <w:t>Bugetul de stat</w:t>
            </w:r>
          </w:p>
        </w:tc>
      </w:tr>
      <w:tr w:rsidR="00254AC0" w:rsidRPr="00254AC0" w:rsidTr="00A36731">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254AC0" w:rsidRPr="00254AC0" w:rsidRDefault="00254AC0" w:rsidP="00254AC0">
            <w:pPr>
              <w:tabs>
                <w:tab w:val="left" w:pos="720"/>
              </w:tabs>
              <w:spacing w:line="276" w:lineRule="auto"/>
              <w:jc w:val="center"/>
              <w:rPr>
                <w:rFonts w:asciiTheme="majorHAnsi" w:eastAsia="Times New Roman" w:hAnsiTheme="majorHAnsi" w:cs="Times New Roman"/>
                <w:sz w:val="20"/>
                <w:szCs w:val="20"/>
                <w:lang w:val="ro-MD"/>
              </w:rPr>
            </w:pPr>
            <w:r w:rsidRPr="00254AC0">
              <w:rPr>
                <w:rFonts w:asciiTheme="majorHAnsi" w:eastAsia="Times New Roman" w:hAnsiTheme="majorHAnsi" w:cs="Times New Roman"/>
                <w:sz w:val="20"/>
                <w:szCs w:val="20"/>
                <w:lang w:val="ro-MD"/>
              </w:rPr>
              <w:t>CBTM</w:t>
            </w:r>
          </w:p>
        </w:tc>
        <w:tc>
          <w:tcPr>
            <w:tcW w:w="7229" w:type="dxa"/>
          </w:tcPr>
          <w:p w:rsidR="00254AC0" w:rsidRPr="00254AC0" w:rsidRDefault="00254AC0" w:rsidP="00254AC0">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sidRPr="00254AC0">
              <w:rPr>
                <w:rFonts w:asciiTheme="majorHAnsi" w:eastAsia="Times New Roman" w:hAnsiTheme="majorHAnsi" w:cs="Times New Roman"/>
                <w:bCs/>
                <w:sz w:val="20"/>
                <w:szCs w:val="20"/>
                <w:lang w:val="ro-MD"/>
              </w:rPr>
              <w:t>Cadrul bugetar pe termen mediu</w:t>
            </w:r>
          </w:p>
        </w:tc>
      </w:tr>
      <w:tr w:rsidR="00254AC0" w:rsidRPr="00254AC0" w:rsidTr="00A36731">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254AC0" w:rsidRPr="00254AC0" w:rsidRDefault="00254AC0" w:rsidP="00254AC0">
            <w:pPr>
              <w:tabs>
                <w:tab w:val="left" w:pos="720"/>
              </w:tabs>
              <w:spacing w:line="276" w:lineRule="auto"/>
              <w:jc w:val="center"/>
              <w:rPr>
                <w:rFonts w:asciiTheme="majorHAnsi" w:eastAsia="Times New Roman" w:hAnsiTheme="majorHAnsi" w:cs="Times New Roman"/>
                <w:sz w:val="20"/>
                <w:szCs w:val="20"/>
                <w:lang w:val="ro-MD"/>
              </w:rPr>
            </w:pPr>
            <w:r w:rsidRPr="00254AC0">
              <w:rPr>
                <w:rFonts w:asciiTheme="majorHAnsi" w:eastAsia="Times New Roman" w:hAnsiTheme="majorHAnsi" w:cs="Times New Roman"/>
                <w:sz w:val="20"/>
                <w:szCs w:val="20"/>
                <w:lang w:val="ro-MD"/>
              </w:rPr>
              <w:t>CEC</w:t>
            </w:r>
          </w:p>
        </w:tc>
        <w:tc>
          <w:tcPr>
            <w:tcW w:w="7229" w:type="dxa"/>
          </w:tcPr>
          <w:p w:rsidR="00254AC0" w:rsidRPr="00254AC0" w:rsidRDefault="00254AC0" w:rsidP="00254AC0">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sidRPr="00254AC0">
              <w:rPr>
                <w:rFonts w:asciiTheme="majorHAnsi" w:eastAsia="Times New Roman" w:hAnsiTheme="majorHAnsi" w:cs="Times New Roman"/>
                <w:bCs/>
                <w:sz w:val="20"/>
                <w:szCs w:val="20"/>
                <w:lang w:val="ro-MD"/>
              </w:rPr>
              <w:t>Comisia Electorală Centrală</w:t>
            </w:r>
          </w:p>
        </w:tc>
      </w:tr>
      <w:tr w:rsidR="00254AC0" w:rsidRPr="00254AC0" w:rsidTr="00A36731">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254AC0" w:rsidRPr="00254AC0" w:rsidRDefault="00254AC0" w:rsidP="00254AC0">
            <w:pPr>
              <w:tabs>
                <w:tab w:val="left" w:pos="720"/>
              </w:tabs>
              <w:spacing w:line="276" w:lineRule="auto"/>
              <w:jc w:val="center"/>
              <w:rPr>
                <w:rFonts w:asciiTheme="majorHAnsi" w:eastAsia="Times New Roman" w:hAnsiTheme="majorHAnsi" w:cs="Times New Roman"/>
                <w:sz w:val="20"/>
                <w:szCs w:val="20"/>
                <w:lang w:val="ro-MD"/>
              </w:rPr>
            </w:pPr>
            <w:r w:rsidRPr="00254AC0">
              <w:rPr>
                <w:rFonts w:asciiTheme="majorHAnsi" w:eastAsia="Times New Roman" w:hAnsiTheme="majorHAnsi" w:cs="Times New Roman"/>
                <w:sz w:val="20"/>
                <w:szCs w:val="20"/>
                <w:lang w:val="ro-MD"/>
              </w:rPr>
              <w:t>CEDO</w:t>
            </w:r>
          </w:p>
        </w:tc>
        <w:tc>
          <w:tcPr>
            <w:tcW w:w="7229" w:type="dxa"/>
          </w:tcPr>
          <w:p w:rsidR="00254AC0" w:rsidRPr="00254AC0" w:rsidRDefault="00254AC0" w:rsidP="00254AC0">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sidRPr="00254AC0">
              <w:rPr>
                <w:rFonts w:asciiTheme="majorHAnsi" w:eastAsia="Times New Roman" w:hAnsiTheme="majorHAnsi" w:cs="Times New Roman"/>
                <w:sz w:val="20"/>
                <w:szCs w:val="20"/>
                <w:lang w:val="ro-MD"/>
              </w:rPr>
              <w:t>Curtea Europeană a Drepturilor Omului</w:t>
            </w:r>
          </w:p>
        </w:tc>
      </w:tr>
      <w:tr w:rsidR="00254AC0" w:rsidRPr="00254AC0" w:rsidTr="00A36731">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254AC0" w:rsidRPr="00254AC0" w:rsidRDefault="00254AC0" w:rsidP="00254AC0">
            <w:pPr>
              <w:tabs>
                <w:tab w:val="left" w:pos="720"/>
              </w:tabs>
              <w:spacing w:line="276" w:lineRule="auto"/>
              <w:jc w:val="center"/>
              <w:rPr>
                <w:rFonts w:asciiTheme="majorHAnsi" w:eastAsia="Times New Roman" w:hAnsiTheme="majorHAnsi" w:cs="Times New Roman"/>
                <w:sz w:val="20"/>
                <w:szCs w:val="20"/>
                <w:lang w:val="ro-MD"/>
              </w:rPr>
            </w:pPr>
            <w:r w:rsidRPr="00254AC0">
              <w:rPr>
                <w:rFonts w:asciiTheme="majorHAnsi" w:eastAsia="Times New Roman" w:hAnsiTheme="majorHAnsi" w:cs="Times New Roman"/>
                <w:sz w:val="20"/>
                <w:szCs w:val="20"/>
                <w:lang w:val="ro-MD"/>
              </w:rPr>
              <w:t>Cod ECO</w:t>
            </w:r>
          </w:p>
        </w:tc>
        <w:tc>
          <w:tcPr>
            <w:tcW w:w="7229" w:type="dxa"/>
          </w:tcPr>
          <w:p w:rsidR="00254AC0" w:rsidRPr="00254AC0" w:rsidRDefault="00254AC0" w:rsidP="00254AC0">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sidRPr="00254AC0">
              <w:rPr>
                <w:rFonts w:asciiTheme="majorHAnsi" w:eastAsia="Times New Roman" w:hAnsiTheme="majorHAnsi" w:cs="Times New Roman"/>
                <w:bCs/>
                <w:sz w:val="20"/>
                <w:szCs w:val="20"/>
                <w:lang w:val="ro-MD"/>
              </w:rPr>
              <w:t>Cod economic</w:t>
            </w:r>
          </w:p>
        </w:tc>
      </w:tr>
      <w:tr w:rsidR="00965B86" w:rsidRPr="00254AC0" w:rsidTr="00A36731">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965B86" w:rsidRPr="00254AC0" w:rsidRDefault="00965B86" w:rsidP="00254AC0">
            <w:pPr>
              <w:tabs>
                <w:tab w:val="left" w:pos="720"/>
              </w:tabs>
              <w:spacing w:line="276" w:lineRule="auto"/>
              <w:jc w:val="center"/>
              <w:rPr>
                <w:rFonts w:asciiTheme="majorHAnsi" w:eastAsia="Times New Roman" w:hAnsiTheme="majorHAnsi" w:cs="Times New Roman"/>
                <w:sz w:val="20"/>
                <w:szCs w:val="20"/>
                <w:lang w:val="ro-MD"/>
              </w:rPr>
            </w:pPr>
            <w:r>
              <w:rPr>
                <w:rFonts w:asciiTheme="majorHAnsi" w:eastAsia="Times New Roman" w:hAnsiTheme="majorHAnsi" w:cs="Times New Roman"/>
                <w:sz w:val="20"/>
                <w:szCs w:val="20"/>
                <w:lang w:val="ro-MD"/>
              </w:rPr>
              <w:t>CUT</w:t>
            </w:r>
          </w:p>
        </w:tc>
        <w:tc>
          <w:tcPr>
            <w:tcW w:w="7229" w:type="dxa"/>
          </w:tcPr>
          <w:p w:rsidR="00965B86" w:rsidRPr="00254AC0" w:rsidRDefault="00965B86" w:rsidP="00254AC0">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Pr>
                <w:rFonts w:asciiTheme="majorHAnsi" w:eastAsia="Times New Roman" w:hAnsiTheme="majorHAnsi" w:cs="Times New Roman"/>
                <w:bCs/>
                <w:sz w:val="20"/>
                <w:szCs w:val="20"/>
                <w:lang w:val="ro-MD"/>
              </w:rPr>
              <w:t>Cont unic Trezorerial</w:t>
            </w:r>
          </w:p>
        </w:tc>
      </w:tr>
      <w:tr w:rsidR="00254AC0" w:rsidRPr="00254AC0" w:rsidTr="00A36731">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254AC0" w:rsidRPr="00254AC0" w:rsidRDefault="00254AC0" w:rsidP="00254AC0">
            <w:pPr>
              <w:tabs>
                <w:tab w:val="left" w:pos="720"/>
              </w:tabs>
              <w:spacing w:line="276" w:lineRule="auto"/>
              <w:jc w:val="center"/>
              <w:rPr>
                <w:rFonts w:asciiTheme="majorHAnsi" w:eastAsia="Times New Roman" w:hAnsiTheme="majorHAnsi" w:cs="Times New Roman"/>
                <w:sz w:val="20"/>
                <w:szCs w:val="20"/>
                <w:lang w:val="ro-MD"/>
              </w:rPr>
            </w:pPr>
            <w:r w:rsidRPr="00254AC0">
              <w:rPr>
                <w:rFonts w:asciiTheme="majorHAnsi" w:eastAsia="Times New Roman" w:hAnsiTheme="majorHAnsi" w:cs="Times New Roman"/>
                <w:sz w:val="20"/>
                <w:szCs w:val="20"/>
                <w:lang w:val="ro-MD"/>
              </w:rPr>
              <w:t>FAOAM</w:t>
            </w:r>
          </w:p>
        </w:tc>
        <w:tc>
          <w:tcPr>
            <w:tcW w:w="7229" w:type="dxa"/>
          </w:tcPr>
          <w:p w:rsidR="00254AC0" w:rsidRPr="00254AC0" w:rsidRDefault="00254AC0" w:rsidP="00254AC0">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sidRPr="00254AC0">
              <w:rPr>
                <w:rFonts w:asciiTheme="majorHAnsi" w:eastAsia="Times New Roman" w:hAnsiTheme="majorHAnsi" w:cs="Times New Roman"/>
                <w:bCs/>
                <w:sz w:val="20"/>
                <w:szCs w:val="20"/>
                <w:lang w:val="ro-MD"/>
              </w:rPr>
              <w:t>Fondurile asigurării obligatorii de asistență medicală</w:t>
            </w:r>
          </w:p>
        </w:tc>
      </w:tr>
      <w:tr w:rsidR="00254AC0" w:rsidRPr="00254AC0" w:rsidTr="00A36731">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254AC0" w:rsidRPr="00254AC0" w:rsidRDefault="00254AC0" w:rsidP="00254AC0">
            <w:pPr>
              <w:tabs>
                <w:tab w:val="left" w:pos="720"/>
              </w:tabs>
              <w:spacing w:line="276" w:lineRule="auto"/>
              <w:jc w:val="center"/>
              <w:rPr>
                <w:rFonts w:asciiTheme="majorHAnsi" w:eastAsia="Times New Roman" w:hAnsiTheme="majorHAnsi" w:cs="Times New Roman"/>
                <w:sz w:val="20"/>
                <w:szCs w:val="20"/>
                <w:lang w:val="ro-MD"/>
              </w:rPr>
            </w:pPr>
            <w:r w:rsidRPr="00254AC0">
              <w:rPr>
                <w:rFonts w:asciiTheme="majorHAnsi" w:eastAsia="Times New Roman" w:hAnsiTheme="majorHAnsi" w:cs="Times New Roman"/>
                <w:sz w:val="20"/>
                <w:szCs w:val="20"/>
                <w:lang w:val="ro-MD"/>
              </w:rPr>
              <w:t>HG</w:t>
            </w:r>
          </w:p>
        </w:tc>
        <w:tc>
          <w:tcPr>
            <w:tcW w:w="7229" w:type="dxa"/>
          </w:tcPr>
          <w:p w:rsidR="00254AC0" w:rsidRPr="00254AC0" w:rsidRDefault="00254AC0" w:rsidP="00254AC0">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sidRPr="00254AC0">
              <w:rPr>
                <w:rFonts w:asciiTheme="majorHAnsi" w:eastAsia="Times New Roman" w:hAnsiTheme="majorHAnsi" w:cs="Times New Roman"/>
                <w:bCs/>
                <w:sz w:val="20"/>
                <w:szCs w:val="20"/>
                <w:lang w:val="ro-MD"/>
              </w:rPr>
              <w:t>Hotărâre de Guvern</w:t>
            </w:r>
          </w:p>
        </w:tc>
      </w:tr>
      <w:tr w:rsidR="00254AC0" w:rsidRPr="00254AC0" w:rsidTr="00A36731">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254AC0" w:rsidRPr="00254AC0" w:rsidRDefault="00254AC0" w:rsidP="00254AC0">
            <w:pPr>
              <w:tabs>
                <w:tab w:val="left" w:pos="720"/>
              </w:tabs>
              <w:spacing w:line="276" w:lineRule="auto"/>
              <w:jc w:val="center"/>
              <w:rPr>
                <w:rFonts w:asciiTheme="majorHAnsi" w:eastAsia="Times New Roman" w:hAnsiTheme="majorHAnsi" w:cs="Times New Roman"/>
                <w:sz w:val="20"/>
                <w:szCs w:val="20"/>
                <w:lang w:val="ro-MD"/>
              </w:rPr>
            </w:pPr>
            <w:r w:rsidRPr="00254AC0">
              <w:rPr>
                <w:rFonts w:asciiTheme="majorHAnsi" w:eastAsia="Times New Roman" w:hAnsiTheme="majorHAnsi" w:cs="Times New Roman"/>
                <w:sz w:val="20"/>
                <w:szCs w:val="20"/>
                <w:lang w:val="ro-MD"/>
              </w:rPr>
              <w:t>HCC</w:t>
            </w:r>
          </w:p>
        </w:tc>
        <w:tc>
          <w:tcPr>
            <w:tcW w:w="7229" w:type="dxa"/>
          </w:tcPr>
          <w:p w:rsidR="00254AC0" w:rsidRPr="00254AC0" w:rsidRDefault="00254AC0" w:rsidP="00254AC0">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sidRPr="00254AC0">
              <w:rPr>
                <w:rFonts w:asciiTheme="majorHAnsi" w:eastAsia="Times New Roman" w:hAnsiTheme="majorHAnsi" w:cs="Times New Roman"/>
                <w:bCs/>
                <w:sz w:val="20"/>
                <w:szCs w:val="20"/>
                <w:lang w:val="ro-MD"/>
              </w:rPr>
              <w:t>Hotărârea Curții de Conturi</w:t>
            </w:r>
          </w:p>
        </w:tc>
      </w:tr>
      <w:tr w:rsidR="00254AC0" w:rsidRPr="00254AC0" w:rsidTr="00A36731">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254AC0" w:rsidRPr="00254AC0" w:rsidRDefault="00254AC0" w:rsidP="00254AC0">
            <w:pPr>
              <w:tabs>
                <w:tab w:val="left" w:pos="720"/>
              </w:tabs>
              <w:spacing w:line="276" w:lineRule="auto"/>
              <w:jc w:val="center"/>
              <w:rPr>
                <w:rFonts w:asciiTheme="majorHAnsi" w:eastAsia="Times New Roman" w:hAnsiTheme="majorHAnsi" w:cs="Times New Roman"/>
                <w:sz w:val="20"/>
                <w:szCs w:val="20"/>
                <w:lang w:val="ro-MD"/>
              </w:rPr>
            </w:pPr>
            <w:r w:rsidRPr="00254AC0">
              <w:rPr>
                <w:rFonts w:asciiTheme="majorHAnsi" w:eastAsia="Times New Roman" w:hAnsiTheme="majorHAnsi" w:cs="Times New Roman"/>
                <w:sz w:val="20"/>
                <w:szCs w:val="20"/>
                <w:lang w:val="ro-MD"/>
              </w:rPr>
              <w:t>MAI</w:t>
            </w:r>
          </w:p>
        </w:tc>
        <w:tc>
          <w:tcPr>
            <w:tcW w:w="7229" w:type="dxa"/>
          </w:tcPr>
          <w:p w:rsidR="00254AC0" w:rsidRPr="00254AC0" w:rsidRDefault="00254AC0" w:rsidP="00254AC0">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sidRPr="00254AC0">
              <w:rPr>
                <w:rFonts w:asciiTheme="majorHAnsi" w:eastAsia="Times New Roman" w:hAnsiTheme="majorHAnsi" w:cs="Times New Roman"/>
                <w:bCs/>
                <w:sz w:val="20"/>
                <w:szCs w:val="20"/>
                <w:lang w:val="ro-MD"/>
              </w:rPr>
              <w:t>Ministerul Afacerilor Interne</w:t>
            </w:r>
          </w:p>
        </w:tc>
      </w:tr>
      <w:tr w:rsidR="00254AC0" w:rsidRPr="00254AC0" w:rsidTr="00A36731">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254AC0" w:rsidRPr="00254AC0" w:rsidRDefault="00254AC0" w:rsidP="00254AC0">
            <w:pPr>
              <w:tabs>
                <w:tab w:val="left" w:pos="720"/>
              </w:tabs>
              <w:spacing w:line="276" w:lineRule="auto"/>
              <w:jc w:val="center"/>
              <w:rPr>
                <w:rFonts w:asciiTheme="majorHAnsi" w:eastAsia="Times New Roman" w:hAnsiTheme="majorHAnsi" w:cs="Times New Roman"/>
                <w:sz w:val="20"/>
                <w:szCs w:val="20"/>
                <w:lang w:val="ro-MD"/>
              </w:rPr>
            </w:pPr>
            <w:r w:rsidRPr="00254AC0">
              <w:rPr>
                <w:rFonts w:asciiTheme="majorHAnsi" w:eastAsia="Times New Roman" w:hAnsiTheme="majorHAnsi" w:cs="Times New Roman"/>
                <w:sz w:val="20"/>
                <w:szCs w:val="20"/>
                <w:lang w:val="ro-MD"/>
              </w:rPr>
              <w:t>MA</w:t>
            </w:r>
          </w:p>
        </w:tc>
        <w:tc>
          <w:tcPr>
            <w:tcW w:w="7229" w:type="dxa"/>
          </w:tcPr>
          <w:p w:rsidR="00254AC0" w:rsidRPr="00254AC0" w:rsidRDefault="00254AC0" w:rsidP="00254AC0">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sidRPr="00254AC0">
              <w:rPr>
                <w:rFonts w:asciiTheme="majorHAnsi" w:eastAsia="Times New Roman" w:hAnsiTheme="majorHAnsi" w:cs="Times New Roman"/>
                <w:bCs/>
                <w:sz w:val="20"/>
                <w:szCs w:val="20"/>
                <w:lang w:val="ro-MD"/>
              </w:rPr>
              <w:t>Ministerul Apărării</w:t>
            </w:r>
          </w:p>
        </w:tc>
      </w:tr>
      <w:tr w:rsidR="00254AC0" w:rsidRPr="00254AC0" w:rsidTr="00A36731">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254AC0" w:rsidRPr="00503FC4" w:rsidRDefault="00254AC0" w:rsidP="00254AC0">
            <w:pPr>
              <w:tabs>
                <w:tab w:val="left" w:pos="720"/>
              </w:tabs>
              <w:spacing w:line="276" w:lineRule="auto"/>
              <w:jc w:val="center"/>
              <w:rPr>
                <w:rFonts w:asciiTheme="majorHAnsi" w:eastAsia="Times New Roman" w:hAnsiTheme="majorHAnsi" w:cs="Times New Roman"/>
                <w:sz w:val="20"/>
                <w:szCs w:val="20"/>
                <w:lang w:val="ro-MD"/>
              </w:rPr>
            </w:pPr>
            <w:r w:rsidRPr="00503FC4">
              <w:rPr>
                <w:rFonts w:asciiTheme="majorHAnsi" w:eastAsia="Times New Roman" w:hAnsiTheme="majorHAnsi" w:cs="Times New Roman"/>
                <w:sz w:val="20"/>
                <w:szCs w:val="20"/>
                <w:lang w:val="ro-MD"/>
              </w:rPr>
              <w:t>MF</w:t>
            </w:r>
          </w:p>
        </w:tc>
        <w:tc>
          <w:tcPr>
            <w:tcW w:w="7229" w:type="dxa"/>
          </w:tcPr>
          <w:p w:rsidR="00254AC0" w:rsidRPr="00254AC0" w:rsidRDefault="00254AC0" w:rsidP="00254AC0">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sidRPr="00254AC0">
              <w:rPr>
                <w:rFonts w:asciiTheme="majorHAnsi" w:eastAsia="Times New Roman" w:hAnsiTheme="majorHAnsi" w:cs="Times New Roman"/>
                <w:bCs/>
                <w:sz w:val="20"/>
                <w:szCs w:val="20"/>
                <w:lang w:val="ro-MD"/>
              </w:rPr>
              <w:t>Ministerul Finanțelor</w:t>
            </w:r>
          </w:p>
        </w:tc>
      </w:tr>
      <w:tr w:rsidR="00254AC0" w:rsidRPr="00254AC0" w:rsidTr="00A36731">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254AC0" w:rsidRPr="00503FC4" w:rsidRDefault="00254AC0" w:rsidP="00254AC0">
            <w:pPr>
              <w:tabs>
                <w:tab w:val="left" w:pos="720"/>
              </w:tabs>
              <w:spacing w:line="276" w:lineRule="auto"/>
              <w:jc w:val="center"/>
              <w:rPr>
                <w:rFonts w:asciiTheme="majorHAnsi" w:eastAsia="Times New Roman" w:hAnsiTheme="majorHAnsi" w:cs="Times New Roman"/>
                <w:sz w:val="20"/>
                <w:szCs w:val="20"/>
                <w:lang w:val="ro-MD"/>
              </w:rPr>
            </w:pPr>
            <w:r w:rsidRPr="00503FC4">
              <w:rPr>
                <w:rFonts w:asciiTheme="majorHAnsi" w:eastAsia="Times New Roman" w:hAnsiTheme="majorHAnsi" w:cs="Times New Roman"/>
                <w:sz w:val="20"/>
                <w:szCs w:val="20"/>
                <w:lang w:val="ro-MD"/>
              </w:rPr>
              <w:t>MECC</w:t>
            </w:r>
          </w:p>
        </w:tc>
        <w:tc>
          <w:tcPr>
            <w:tcW w:w="7229" w:type="dxa"/>
          </w:tcPr>
          <w:p w:rsidR="00254AC0" w:rsidRPr="00254AC0" w:rsidRDefault="00254AC0" w:rsidP="00254AC0">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sidRPr="00254AC0">
              <w:rPr>
                <w:rFonts w:asciiTheme="majorHAnsi" w:eastAsia="Times New Roman" w:hAnsiTheme="majorHAnsi" w:cs="Times New Roman"/>
                <w:bCs/>
                <w:sz w:val="20"/>
                <w:szCs w:val="20"/>
                <w:lang w:val="ro-MD"/>
              </w:rPr>
              <w:t>Ministerul Educației, Culturii și Cercetării</w:t>
            </w:r>
          </w:p>
        </w:tc>
      </w:tr>
      <w:tr w:rsidR="00490012" w:rsidRPr="00254AC0" w:rsidTr="00A36731">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490012" w:rsidRPr="00503FC4" w:rsidRDefault="00490012" w:rsidP="00254AC0">
            <w:pPr>
              <w:tabs>
                <w:tab w:val="left" w:pos="720"/>
              </w:tabs>
              <w:spacing w:line="276" w:lineRule="auto"/>
              <w:jc w:val="center"/>
              <w:rPr>
                <w:rFonts w:asciiTheme="majorHAnsi" w:eastAsia="Times New Roman" w:hAnsiTheme="majorHAnsi" w:cs="Times New Roman"/>
                <w:sz w:val="20"/>
                <w:szCs w:val="20"/>
                <w:lang w:val="ro-MD"/>
              </w:rPr>
            </w:pPr>
            <w:r w:rsidRPr="00503FC4">
              <w:rPr>
                <w:rFonts w:asciiTheme="majorHAnsi" w:hAnsiTheme="majorHAnsi" w:cstheme="majorHAnsi"/>
                <w:color w:val="212121"/>
                <w:sz w:val="20"/>
                <w:szCs w:val="20"/>
                <w:lang w:val="ro-MD"/>
              </w:rPr>
              <w:t>MAEIE</w:t>
            </w:r>
          </w:p>
        </w:tc>
        <w:tc>
          <w:tcPr>
            <w:tcW w:w="7229" w:type="dxa"/>
          </w:tcPr>
          <w:p w:rsidR="00490012" w:rsidRPr="00254AC0" w:rsidRDefault="00490012" w:rsidP="00254AC0">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Pr>
                <w:rFonts w:asciiTheme="majorHAnsi" w:eastAsia="Times New Roman" w:hAnsiTheme="majorHAnsi" w:cs="Times New Roman"/>
                <w:bCs/>
                <w:sz w:val="20"/>
                <w:szCs w:val="20"/>
                <w:lang w:val="ro-MD"/>
              </w:rPr>
              <w:t>Ministerul Afacerilor Externe și Integrării Europene</w:t>
            </w:r>
          </w:p>
        </w:tc>
      </w:tr>
      <w:tr w:rsidR="00795601" w:rsidRPr="00254AC0" w:rsidTr="00A36731">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795601" w:rsidRPr="00503FC4" w:rsidRDefault="00795601" w:rsidP="00254AC0">
            <w:pPr>
              <w:tabs>
                <w:tab w:val="left" w:pos="720"/>
              </w:tabs>
              <w:spacing w:line="276" w:lineRule="auto"/>
              <w:jc w:val="center"/>
              <w:rPr>
                <w:rFonts w:asciiTheme="majorHAnsi" w:eastAsia="Times New Roman" w:hAnsiTheme="majorHAnsi" w:cs="Times New Roman"/>
                <w:sz w:val="20"/>
                <w:szCs w:val="20"/>
                <w:lang w:val="ro-MD"/>
              </w:rPr>
            </w:pPr>
            <w:r w:rsidRPr="00503FC4">
              <w:rPr>
                <w:rFonts w:asciiTheme="majorHAnsi" w:eastAsia="Times New Roman" w:hAnsiTheme="majorHAnsi" w:cs="Times New Roman"/>
                <w:sz w:val="20"/>
                <w:szCs w:val="20"/>
                <w:lang w:val="ro-MD"/>
              </w:rPr>
              <w:t>MADRM</w:t>
            </w:r>
          </w:p>
        </w:tc>
        <w:tc>
          <w:tcPr>
            <w:tcW w:w="7229" w:type="dxa"/>
          </w:tcPr>
          <w:p w:rsidR="00795601" w:rsidRPr="00254AC0" w:rsidRDefault="004702B3" w:rsidP="00254AC0">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Pr>
                <w:rFonts w:asciiTheme="majorHAnsi" w:eastAsia="Times New Roman" w:hAnsiTheme="majorHAnsi" w:cs="Times New Roman"/>
                <w:bCs/>
                <w:sz w:val="20"/>
                <w:szCs w:val="20"/>
                <w:lang w:val="ro-MD"/>
              </w:rPr>
              <w:t>Ministerul Agriculturii, Dezvoltării Regionale și Mediului</w:t>
            </w:r>
          </w:p>
        </w:tc>
      </w:tr>
      <w:tr w:rsidR="00EA1548" w:rsidRPr="00254AC0" w:rsidTr="00A36731">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EA1548" w:rsidRPr="00503FC4" w:rsidRDefault="00EA1548" w:rsidP="00254AC0">
            <w:pPr>
              <w:tabs>
                <w:tab w:val="left" w:pos="720"/>
              </w:tabs>
              <w:spacing w:line="276" w:lineRule="auto"/>
              <w:jc w:val="center"/>
              <w:rPr>
                <w:rFonts w:asciiTheme="majorHAnsi" w:eastAsia="Times New Roman" w:hAnsiTheme="majorHAnsi" w:cs="Times New Roman"/>
                <w:sz w:val="20"/>
                <w:szCs w:val="20"/>
                <w:lang w:val="ro-MD"/>
              </w:rPr>
            </w:pPr>
            <w:r w:rsidRPr="00503FC4">
              <w:rPr>
                <w:rFonts w:asciiTheme="majorHAnsi" w:eastAsia="Times New Roman" w:hAnsiTheme="majorHAnsi" w:cs="Times New Roman"/>
                <w:sz w:val="20"/>
                <w:szCs w:val="20"/>
                <w:lang w:val="ro-MD"/>
              </w:rPr>
              <w:t>MSMPS</w:t>
            </w:r>
          </w:p>
        </w:tc>
        <w:tc>
          <w:tcPr>
            <w:tcW w:w="7229" w:type="dxa"/>
          </w:tcPr>
          <w:p w:rsidR="00EA1548" w:rsidRDefault="00EA1548" w:rsidP="00254AC0">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Pr>
                <w:rFonts w:asciiTheme="majorHAnsi" w:eastAsia="Times New Roman" w:hAnsiTheme="majorHAnsi" w:cs="Times New Roman"/>
                <w:bCs/>
                <w:sz w:val="20"/>
                <w:szCs w:val="20"/>
                <w:lang w:val="ro-MD"/>
              </w:rPr>
              <w:t>Ministerul Sănătății, Muncii și Protecției Sociale</w:t>
            </w:r>
          </w:p>
        </w:tc>
      </w:tr>
      <w:tr w:rsidR="00BC56F7" w:rsidRPr="00254AC0" w:rsidTr="00A36731">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BC56F7" w:rsidRPr="00503FC4" w:rsidRDefault="00BC56F7" w:rsidP="00254AC0">
            <w:pPr>
              <w:tabs>
                <w:tab w:val="left" w:pos="720"/>
              </w:tabs>
              <w:spacing w:line="276" w:lineRule="auto"/>
              <w:jc w:val="center"/>
              <w:rPr>
                <w:rFonts w:asciiTheme="majorHAnsi" w:eastAsia="Times New Roman" w:hAnsiTheme="majorHAnsi" w:cs="Times New Roman"/>
                <w:sz w:val="20"/>
                <w:szCs w:val="20"/>
                <w:lang w:val="ro-MD"/>
              </w:rPr>
            </w:pPr>
            <w:r w:rsidRPr="00503FC4">
              <w:rPr>
                <w:rFonts w:asciiTheme="majorHAnsi" w:eastAsia="Times New Roman" w:hAnsiTheme="majorHAnsi" w:cs="Times New Roman"/>
                <w:sz w:val="20"/>
                <w:szCs w:val="20"/>
                <w:lang w:val="ro-MD"/>
              </w:rPr>
              <w:t>MEI</w:t>
            </w:r>
          </w:p>
        </w:tc>
        <w:tc>
          <w:tcPr>
            <w:tcW w:w="7229" w:type="dxa"/>
          </w:tcPr>
          <w:p w:rsidR="00BC56F7" w:rsidRDefault="00BC56F7" w:rsidP="00254AC0">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Pr>
                <w:rFonts w:asciiTheme="majorHAnsi" w:eastAsia="Times New Roman" w:hAnsiTheme="majorHAnsi" w:cs="Times New Roman"/>
                <w:bCs/>
                <w:sz w:val="20"/>
                <w:szCs w:val="20"/>
                <w:lang w:val="ro-MD"/>
              </w:rPr>
              <w:t>Ministerul Economiei și Infrastructurii</w:t>
            </w:r>
          </w:p>
        </w:tc>
      </w:tr>
      <w:tr w:rsidR="00254AC0" w:rsidRPr="00254AC0" w:rsidTr="00A36731">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254AC0" w:rsidRPr="00503FC4" w:rsidRDefault="00254AC0" w:rsidP="00254AC0">
            <w:pPr>
              <w:tabs>
                <w:tab w:val="left" w:pos="720"/>
              </w:tabs>
              <w:spacing w:line="276" w:lineRule="auto"/>
              <w:jc w:val="center"/>
              <w:rPr>
                <w:rFonts w:asciiTheme="majorHAnsi" w:eastAsia="Times New Roman" w:hAnsiTheme="majorHAnsi" w:cs="Times New Roman"/>
                <w:sz w:val="20"/>
                <w:szCs w:val="20"/>
                <w:lang w:val="ro-MD"/>
              </w:rPr>
            </w:pPr>
            <w:r w:rsidRPr="00503FC4">
              <w:rPr>
                <w:rFonts w:asciiTheme="majorHAnsi" w:eastAsia="Times New Roman" w:hAnsiTheme="majorHAnsi" w:cs="Times New Roman"/>
                <w:sz w:val="20"/>
                <w:szCs w:val="20"/>
                <w:lang w:val="ro-MD"/>
              </w:rPr>
              <w:t xml:space="preserve">MORM </w:t>
            </w:r>
          </w:p>
        </w:tc>
        <w:tc>
          <w:tcPr>
            <w:tcW w:w="7229" w:type="dxa"/>
          </w:tcPr>
          <w:p w:rsidR="00254AC0" w:rsidRPr="00254AC0" w:rsidRDefault="00254AC0" w:rsidP="00254AC0">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sidRPr="00254AC0">
              <w:rPr>
                <w:rFonts w:asciiTheme="majorHAnsi" w:eastAsia="Times New Roman" w:hAnsiTheme="majorHAnsi" w:cs="Times New Roman"/>
                <w:bCs/>
                <w:sz w:val="20"/>
                <w:szCs w:val="20"/>
                <w:lang w:val="ro-MD"/>
              </w:rPr>
              <w:t xml:space="preserve">Monitorul Oficial al Republicii Moldova </w:t>
            </w:r>
          </w:p>
        </w:tc>
      </w:tr>
      <w:tr w:rsidR="00254AC0" w:rsidRPr="00254AC0" w:rsidTr="00A36731">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254AC0" w:rsidRPr="00503FC4" w:rsidRDefault="00254AC0" w:rsidP="00254AC0">
            <w:pPr>
              <w:tabs>
                <w:tab w:val="left" w:pos="720"/>
              </w:tabs>
              <w:spacing w:line="276" w:lineRule="auto"/>
              <w:jc w:val="center"/>
              <w:rPr>
                <w:rFonts w:asciiTheme="majorHAnsi" w:eastAsia="Times New Roman" w:hAnsiTheme="majorHAnsi" w:cs="Times New Roman"/>
                <w:sz w:val="20"/>
                <w:szCs w:val="20"/>
                <w:lang w:val="ro-MD"/>
              </w:rPr>
            </w:pPr>
            <w:r w:rsidRPr="00503FC4">
              <w:rPr>
                <w:rFonts w:asciiTheme="majorHAnsi" w:eastAsia="Times New Roman" w:hAnsiTheme="majorHAnsi" w:cs="Times New Roman"/>
                <w:sz w:val="20"/>
                <w:szCs w:val="20"/>
                <w:lang w:val="ro-MD"/>
              </w:rPr>
              <w:t>ODIMM</w:t>
            </w:r>
          </w:p>
        </w:tc>
        <w:tc>
          <w:tcPr>
            <w:tcW w:w="7229" w:type="dxa"/>
          </w:tcPr>
          <w:p w:rsidR="00254AC0" w:rsidRPr="00254AC0" w:rsidRDefault="00254AC0" w:rsidP="00254AC0">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sidRPr="00254AC0">
              <w:rPr>
                <w:rFonts w:asciiTheme="majorHAnsi" w:hAnsiTheme="majorHAnsi" w:cstheme="majorHAnsi"/>
                <w:sz w:val="20"/>
                <w:szCs w:val="20"/>
              </w:rPr>
              <w:t xml:space="preserve">Organizația pentru Dezvoltarea Sectorului Întreprinderilor Mici și Mijlocii </w:t>
            </w:r>
          </w:p>
        </w:tc>
      </w:tr>
      <w:tr w:rsidR="00254AC0" w:rsidRPr="00254AC0" w:rsidTr="00A36731">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254AC0" w:rsidRPr="00254AC0" w:rsidRDefault="00254AC0" w:rsidP="00254AC0">
            <w:pPr>
              <w:tabs>
                <w:tab w:val="left" w:pos="720"/>
              </w:tabs>
              <w:spacing w:line="276" w:lineRule="auto"/>
              <w:jc w:val="center"/>
              <w:rPr>
                <w:rFonts w:asciiTheme="majorHAnsi" w:eastAsia="Times New Roman" w:hAnsiTheme="majorHAnsi" w:cs="Times New Roman"/>
                <w:sz w:val="20"/>
                <w:szCs w:val="20"/>
                <w:lang w:val="ro-MD"/>
              </w:rPr>
            </w:pPr>
            <w:r w:rsidRPr="00254AC0">
              <w:rPr>
                <w:rFonts w:asciiTheme="majorHAnsi" w:eastAsia="Times New Roman" w:hAnsiTheme="majorHAnsi" w:cs="Times New Roman"/>
                <w:sz w:val="20"/>
                <w:szCs w:val="20"/>
                <w:lang w:val="ro-MD"/>
              </w:rPr>
              <w:t>ÎS</w:t>
            </w:r>
          </w:p>
        </w:tc>
        <w:tc>
          <w:tcPr>
            <w:tcW w:w="7229" w:type="dxa"/>
          </w:tcPr>
          <w:p w:rsidR="00254AC0" w:rsidRPr="00254AC0" w:rsidRDefault="00254AC0" w:rsidP="00254AC0">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sidRPr="00254AC0">
              <w:rPr>
                <w:rFonts w:asciiTheme="majorHAnsi" w:eastAsia="Times New Roman" w:hAnsiTheme="majorHAnsi" w:cs="Times New Roman"/>
                <w:bCs/>
                <w:sz w:val="20"/>
                <w:szCs w:val="20"/>
                <w:lang w:val="ro-MD"/>
              </w:rPr>
              <w:t>Întreprindere de Stat</w:t>
            </w:r>
          </w:p>
        </w:tc>
      </w:tr>
      <w:tr w:rsidR="00254AC0" w:rsidRPr="00254AC0" w:rsidTr="00A36731">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254AC0" w:rsidRPr="00254AC0" w:rsidRDefault="00254AC0" w:rsidP="00254AC0">
            <w:pPr>
              <w:tabs>
                <w:tab w:val="left" w:pos="720"/>
              </w:tabs>
              <w:spacing w:line="276" w:lineRule="auto"/>
              <w:jc w:val="center"/>
              <w:rPr>
                <w:rFonts w:asciiTheme="majorHAnsi" w:eastAsia="Times New Roman" w:hAnsiTheme="majorHAnsi" w:cs="Times New Roman"/>
                <w:sz w:val="20"/>
                <w:szCs w:val="20"/>
                <w:lang w:val="ro-MD"/>
              </w:rPr>
            </w:pPr>
            <w:r w:rsidRPr="00254AC0">
              <w:rPr>
                <w:rFonts w:asciiTheme="majorHAnsi" w:eastAsia="Times New Roman" w:hAnsiTheme="majorHAnsi" w:cs="Times New Roman"/>
                <w:sz w:val="20"/>
                <w:szCs w:val="20"/>
                <w:lang w:val="ro-MD"/>
              </w:rPr>
              <w:t>PIB</w:t>
            </w:r>
          </w:p>
        </w:tc>
        <w:tc>
          <w:tcPr>
            <w:tcW w:w="7229" w:type="dxa"/>
          </w:tcPr>
          <w:p w:rsidR="00254AC0" w:rsidRPr="00254AC0" w:rsidRDefault="00254AC0" w:rsidP="00254AC0">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sidRPr="00254AC0">
              <w:rPr>
                <w:rFonts w:asciiTheme="majorHAnsi" w:eastAsia="Times New Roman" w:hAnsiTheme="majorHAnsi" w:cs="Times New Roman"/>
                <w:bCs/>
                <w:sz w:val="20"/>
                <w:szCs w:val="20"/>
                <w:lang w:val="ro-MD"/>
              </w:rPr>
              <w:t>Produsul Intern Brut</w:t>
            </w:r>
          </w:p>
        </w:tc>
      </w:tr>
      <w:tr w:rsidR="00254AC0" w:rsidRPr="00254AC0" w:rsidTr="00A36731">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254AC0" w:rsidRPr="00254AC0" w:rsidRDefault="00254AC0" w:rsidP="00254AC0">
            <w:pPr>
              <w:tabs>
                <w:tab w:val="left" w:pos="720"/>
              </w:tabs>
              <w:spacing w:line="276" w:lineRule="auto"/>
              <w:jc w:val="center"/>
              <w:rPr>
                <w:rFonts w:asciiTheme="majorHAnsi" w:eastAsia="Times New Roman" w:hAnsiTheme="majorHAnsi" w:cs="Times New Roman"/>
                <w:sz w:val="20"/>
                <w:szCs w:val="20"/>
                <w:lang w:val="ro-MD"/>
              </w:rPr>
            </w:pPr>
            <w:r w:rsidRPr="00254AC0">
              <w:rPr>
                <w:rFonts w:asciiTheme="majorHAnsi" w:eastAsia="Times New Roman" w:hAnsiTheme="majorHAnsi" w:cs="Times New Roman"/>
                <w:sz w:val="20"/>
                <w:szCs w:val="20"/>
                <w:lang w:val="ro-MD"/>
              </w:rPr>
              <w:t>PNUD</w:t>
            </w:r>
          </w:p>
        </w:tc>
        <w:tc>
          <w:tcPr>
            <w:tcW w:w="7229" w:type="dxa"/>
          </w:tcPr>
          <w:p w:rsidR="00254AC0" w:rsidRPr="00254AC0" w:rsidRDefault="00254AC0" w:rsidP="00254AC0">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sidRPr="00254AC0">
              <w:rPr>
                <w:rFonts w:asciiTheme="majorHAnsi" w:eastAsia="Times New Roman" w:hAnsiTheme="majorHAnsi" w:cs="Times New Roman"/>
                <w:bCs/>
                <w:sz w:val="20"/>
                <w:szCs w:val="20"/>
                <w:lang w:val="ro-MD"/>
              </w:rPr>
              <w:t>Proiectul Națiunilor Unite pentru Dezvoltare</w:t>
            </w:r>
          </w:p>
        </w:tc>
      </w:tr>
      <w:tr w:rsidR="00254AC0" w:rsidRPr="00254AC0" w:rsidTr="00A36731">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254AC0" w:rsidRPr="00254AC0" w:rsidRDefault="00254AC0" w:rsidP="00254AC0">
            <w:pPr>
              <w:tabs>
                <w:tab w:val="left" w:pos="720"/>
              </w:tabs>
              <w:spacing w:line="276" w:lineRule="auto"/>
              <w:jc w:val="center"/>
              <w:rPr>
                <w:rFonts w:asciiTheme="majorHAnsi" w:eastAsia="Times New Roman" w:hAnsiTheme="majorHAnsi" w:cs="Times New Roman"/>
                <w:sz w:val="20"/>
                <w:szCs w:val="20"/>
                <w:lang w:val="ro-MD"/>
              </w:rPr>
            </w:pPr>
            <w:r w:rsidRPr="00254AC0">
              <w:rPr>
                <w:rFonts w:asciiTheme="majorHAnsi" w:eastAsia="Times New Roman" w:hAnsiTheme="majorHAnsi" w:cs="Times New Roman"/>
                <w:sz w:val="20"/>
                <w:szCs w:val="20"/>
                <w:lang w:val="ro-MD"/>
              </w:rPr>
              <w:t>RM</w:t>
            </w:r>
          </w:p>
        </w:tc>
        <w:tc>
          <w:tcPr>
            <w:tcW w:w="7229" w:type="dxa"/>
          </w:tcPr>
          <w:p w:rsidR="00254AC0" w:rsidRPr="00254AC0" w:rsidRDefault="00254AC0" w:rsidP="00254AC0">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sidRPr="00254AC0">
              <w:rPr>
                <w:rFonts w:asciiTheme="majorHAnsi" w:eastAsia="Times New Roman" w:hAnsiTheme="majorHAnsi" w:cs="Times New Roman"/>
                <w:bCs/>
                <w:sz w:val="20"/>
                <w:szCs w:val="20"/>
                <w:lang w:val="ro-MD"/>
              </w:rPr>
              <w:t>Republica Moldova</w:t>
            </w:r>
          </w:p>
        </w:tc>
      </w:tr>
      <w:tr w:rsidR="00254AC0" w:rsidRPr="00254AC0" w:rsidTr="00A36731">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254AC0" w:rsidRPr="00254AC0" w:rsidRDefault="00254AC0" w:rsidP="00254AC0">
            <w:pPr>
              <w:tabs>
                <w:tab w:val="left" w:pos="720"/>
              </w:tabs>
              <w:spacing w:line="276" w:lineRule="auto"/>
              <w:jc w:val="center"/>
              <w:rPr>
                <w:rFonts w:asciiTheme="majorHAnsi" w:eastAsia="Times New Roman" w:hAnsiTheme="majorHAnsi" w:cs="Times New Roman"/>
                <w:sz w:val="20"/>
                <w:szCs w:val="20"/>
                <w:lang w:val="ro-MD"/>
              </w:rPr>
            </w:pPr>
            <w:r w:rsidRPr="00254AC0">
              <w:rPr>
                <w:rFonts w:asciiTheme="majorHAnsi" w:eastAsia="Times New Roman" w:hAnsiTheme="majorHAnsi" w:cs="Times New Roman"/>
                <w:sz w:val="20"/>
                <w:szCs w:val="20"/>
                <w:lang w:val="ro-MD"/>
              </w:rPr>
              <w:t>SFS</w:t>
            </w:r>
          </w:p>
        </w:tc>
        <w:tc>
          <w:tcPr>
            <w:tcW w:w="7229" w:type="dxa"/>
          </w:tcPr>
          <w:p w:rsidR="00254AC0" w:rsidRPr="00254AC0" w:rsidRDefault="00254AC0" w:rsidP="00254AC0">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sidRPr="00254AC0">
              <w:rPr>
                <w:rFonts w:asciiTheme="majorHAnsi" w:eastAsia="Times New Roman" w:hAnsiTheme="majorHAnsi" w:cs="Times New Roman"/>
                <w:bCs/>
                <w:sz w:val="20"/>
                <w:szCs w:val="20"/>
                <w:lang w:val="ro-MD"/>
              </w:rPr>
              <w:t>Serviciul Fiscal de Stat</w:t>
            </w:r>
          </w:p>
        </w:tc>
      </w:tr>
      <w:tr w:rsidR="00254AC0" w:rsidRPr="00254AC0" w:rsidTr="00A36731">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254AC0" w:rsidRPr="00254AC0" w:rsidRDefault="00254AC0" w:rsidP="00254AC0">
            <w:pPr>
              <w:tabs>
                <w:tab w:val="left" w:pos="720"/>
              </w:tabs>
              <w:spacing w:line="276" w:lineRule="auto"/>
              <w:jc w:val="center"/>
              <w:rPr>
                <w:rFonts w:asciiTheme="majorHAnsi" w:eastAsia="Times New Roman" w:hAnsiTheme="majorHAnsi" w:cs="Times New Roman"/>
                <w:sz w:val="20"/>
                <w:szCs w:val="20"/>
                <w:lang w:val="ro-MD"/>
              </w:rPr>
            </w:pPr>
            <w:r w:rsidRPr="00254AC0">
              <w:rPr>
                <w:rFonts w:asciiTheme="majorHAnsi" w:eastAsia="Times New Roman" w:hAnsiTheme="majorHAnsi" w:cs="Times New Roman"/>
                <w:sz w:val="20"/>
                <w:szCs w:val="20"/>
                <w:lang w:val="ro-MD"/>
              </w:rPr>
              <w:t>SV</w:t>
            </w:r>
          </w:p>
        </w:tc>
        <w:tc>
          <w:tcPr>
            <w:tcW w:w="7229" w:type="dxa"/>
          </w:tcPr>
          <w:p w:rsidR="00254AC0" w:rsidRPr="00254AC0" w:rsidRDefault="00254AC0" w:rsidP="00254AC0">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sidRPr="00254AC0">
              <w:rPr>
                <w:rFonts w:asciiTheme="majorHAnsi" w:eastAsia="Times New Roman" w:hAnsiTheme="majorHAnsi" w:cs="Times New Roman"/>
                <w:bCs/>
                <w:sz w:val="20"/>
                <w:szCs w:val="20"/>
                <w:lang w:val="ro-MD"/>
              </w:rPr>
              <w:t>Serviciul Vamal</w:t>
            </w:r>
          </w:p>
        </w:tc>
      </w:tr>
      <w:tr w:rsidR="00254AC0" w:rsidRPr="00254AC0" w:rsidTr="00A36731">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254AC0" w:rsidRPr="00254AC0" w:rsidRDefault="00254AC0" w:rsidP="00254AC0">
            <w:pPr>
              <w:tabs>
                <w:tab w:val="left" w:pos="720"/>
              </w:tabs>
              <w:spacing w:line="276" w:lineRule="auto"/>
              <w:jc w:val="center"/>
              <w:rPr>
                <w:rFonts w:asciiTheme="majorHAnsi" w:eastAsia="Times New Roman" w:hAnsiTheme="majorHAnsi" w:cs="Times New Roman"/>
                <w:sz w:val="20"/>
                <w:szCs w:val="20"/>
                <w:lang w:val="ro-MD"/>
              </w:rPr>
            </w:pPr>
            <w:r w:rsidRPr="00254AC0">
              <w:rPr>
                <w:rFonts w:asciiTheme="majorHAnsi" w:eastAsia="Times New Roman" w:hAnsiTheme="majorHAnsi" w:cs="Times New Roman"/>
                <w:sz w:val="20"/>
                <w:szCs w:val="20"/>
                <w:lang w:val="ro-MD"/>
              </w:rPr>
              <w:t>SRL</w:t>
            </w:r>
          </w:p>
        </w:tc>
        <w:tc>
          <w:tcPr>
            <w:tcW w:w="7229" w:type="dxa"/>
          </w:tcPr>
          <w:p w:rsidR="00254AC0" w:rsidRPr="00254AC0" w:rsidRDefault="00254AC0" w:rsidP="00254AC0">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sidRPr="00254AC0">
              <w:rPr>
                <w:rFonts w:asciiTheme="majorHAnsi" w:eastAsia="Times New Roman" w:hAnsiTheme="majorHAnsi" w:cs="Times New Roman"/>
                <w:bCs/>
                <w:sz w:val="20"/>
                <w:szCs w:val="20"/>
                <w:lang w:val="ro-MD"/>
              </w:rPr>
              <w:t>Societate cu răspundere limitată</w:t>
            </w:r>
          </w:p>
        </w:tc>
      </w:tr>
      <w:tr w:rsidR="00254AC0" w:rsidRPr="00254AC0" w:rsidTr="00A36731">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254AC0" w:rsidRPr="00254AC0" w:rsidRDefault="00254AC0" w:rsidP="00254AC0">
            <w:pPr>
              <w:tabs>
                <w:tab w:val="left" w:pos="720"/>
              </w:tabs>
              <w:spacing w:line="276" w:lineRule="auto"/>
              <w:jc w:val="center"/>
              <w:rPr>
                <w:rFonts w:asciiTheme="majorHAnsi" w:eastAsia="Times New Roman" w:hAnsiTheme="majorHAnsi" w:cs="Times New Roman"/>
                <w:sz w:val="20"/>
                <w:szCs w:val="20"/>
                <w:lang w:val="ro-MD"/>
              </w:rPr>
            </w:pPr>
            <w:r w:rsidRPr="00254AC0">
              <w:rPr>
                <w:rFonts w:asciiTheme="majorHAnsi" w:eastAsia="Times New Roman" w:hAnsiTheme="majorHAnsi" w:cs="Times New Roman"/>
                <w:sz w:val="20"/>
                <w:szCs w:val="20"/>
                <w:lang w:val="ro-MD"/>
              </w:rPr>
              <w:t>SA</w:t>
            </w:r>
          </w:p>
        </w:tc>
        <w:tc>
          <w:tcPr>
            <w:tcW w:w="7229" w:type="dxa"/>
          </w:tcPr>
          <w:p w:rsidR="00254AC0" w:rsidRPr="00254AC0" w:rsidRDefault="00254AC0" w:rsidP="00254AC0">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sidRPr="00254AC0">
              <w:rPr>
                <w:rFonts w:asciiTheme="majorHAnsi" w:eastAsia="Times New Roman" w:hAnsiTheme="majorHAnsi" w:cs="Times New Roman"/>
                <w:bCs/>
                <w:sz w:val="20"/>
                <w:szCs w:val="20"/>
                <w:lang w:val="ro-MD"/>
              </w:rPr>
              <w:t>Societate pe acțiuni</w:t>
            </w:r>
          </w:p>
        </w:tc>
      </w:tr>
      <w:tr w:rsidR="00D30E17" w:rsidRPr="00254AC0" w:rsidTr="00A36731">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D30E17" w:rsidRPr="00254AC0" w:rsidRDefault="00D30E17" w:rsidP="00254AC0">
            <w:pPr>
              <w:tabs>
                <w:tab w:val="left" w:pos="720"/>
              </w:tabs>
              <w:spacing w:line="276" w:lineRule="auto"/>
              <w:jc w:val="center"/>
              <w:rPr>
                <w:rFonts w:asciiTheme="majorHAnsi" w:eastAsia="Times New Roman" w:hAnsiTheme="majorHAnsi" w:cs="Times New Roman"/>
                <w:sz w:val="20"/>
                <w:szCs w:val="20"/>
                <w:lang w:val="ro-MD"/>
              </w:rPr>
            </w:pPr>
            <w:r>
              <w:rPr>
                <w:rFonts w:asciiTheme="majorHAnsi" w:eastAsia="Times New Roman" w:hAnsiTheme="majorHAnsi" w:cs="Times New Roman"/>
                <w:sz w:val="20"/>
                <w:szCs w:val="20"/>
                <w:lang w:val="ro-MD"/>
              </w:rPr>
              <w:t>SI</w:t>
            </w:r>
          </w:p>
        </w:tc>
        <w:tc>
          <w:tcPr>
            <w:tcW w:w="7229" w:type="dxa"/>
          </w:tcPr>
          <w:p w:rsidR="00D30E17" w:rsidRPr="00254AC0" w:rsidRDefault="00D30E17" w:rsidP="00254AC0">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Pr>
                <w:rFonts w:asciiTheme="majorHAnsi" w:eastAsia="Times New Roman" w:hAnsiTheme="majorHAnsi" w:cs="Times New Roman"/>
                <w:bCs/>
                <w:sz w:val="20"/>
                <w:szCs w:val="20"/>
                <w:lang w:val="ro-MD"/>
              </w:rPr>
              <w:t>Sistem informațional</w:t>
            </w:r>
          </w:p>
        </w:tc>
      </w:tr>
      <w:tr w:rsidR="00254AC0" w:rsidRPr="00254AC0" w:rsidTr="00A36731">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254AC0" w:rsidRPr="00254AC0" w:rsidRDefault="00254AC0" w:rsidP="00254AC0">
            <w:pPr>
              <w:tabs>
                <w:tab w:val="left" w:pos="720"/>
              </w:tabs>
              <w:spacing w:line="276" w:lineRule="auto"/>
              <w:jc w:val="center"/>
              <w:rPr>
                <w:rFonts w:asciiTheme="majorHAnsi" w:eastAsia="Times New Roman" w:hAnsiTheme="majorHAnsi" w:cs="Times New Roman"/>
                <w:sz w:val="20"/>
                <w:szCs w:val="20"/>
                <w:lang w:val="ro-MD"/>
              </w:rPr>
            </w:pPr>
            <w:r w:rsidRPr="00254AC0">
              <w:rPr>
                <w:rFonts w:asciiTheme="majorHAnsi" w:eastAsia="Times New Roman" w:hAnsiTheme="majorHAnsi" w:cs="Times New Roman"/>
                <w:sz w:val="20"/>
                <w:szCs w:val="20"/>
                <w:lang w:val="ro-MD"/>
              </w:rPr>
              <w:t>TVA</w:t>
            </w:r>
          </w:p>
        </w:tc>
        <w:tc>
          <w:tcPr>
            <w:tcW w:w="7229" w:type="dxa"/>
          </w:tcPr>
          <w:p w:rsidR="00254AC0" w:rsidRPr="00254AC0" w:rsidRDefault="00254AC0" w:rsidP="00254AC0">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sidRPr="00254AC0">
              <w:rPr>
                <w:rFonts w:asciiTheme="majorHAnsi" w:eastAsia="Times New Roman" w:hAnsiTheme="majorHAnsi" w:cs="Times New Roman"/>
                <w:bCs/>
                <w:sz w:val="20"/>
                <w:szCs w:val="20"/>
                <w:lang w:val="ro-MD"/>
              </w:rPr>
              <w:t>Taxa pe valoarea adăugată</w:t>
            </w:r>
          </w:p>
        </w:tc>
      </w:tr>
      <w:tr w:rsidR="00254AC0" w:rsidRPr="00254AC0" w:rsidTr="00A36731">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254AC0" w:rsidRPr="00254AC0" w:rsidRDefault="00254AC0" w:rsidP="00254AC0">
            <w:pPr>
              <w:tabs>
                <w:tab w:val="left" w:pos="720"/>
              </w:tabs>
              <w:spacing w:line="276" w:lineRule="auto"/>
              <w:jc w:val="center"/>
              <w:rPr>
                <w:rFonts w:asciiTheme="majorHAnsi" w:eastAsia="Times New Roman" w:hAnsiTheme="majorHAnsi" w:cs="Times New Roman"/>
                <w:sz w:val="20"/>
                <w:szCs w:val="20"/>
                <w:lang w:val="ro-MD"/>
              </w:rPr>
            </w:pPr>
            <w:r w:rsidRPr="00254AC0">
              <w:rPr>
                <w:rFonts w:asciiTheme="majorHAnsi" w:eastAsia="Times New Roman" w:hAnsiTheme="majorHAnsi" w:cs="Times New Roman"/>
                <w:sz w:val="20"/>
                <w:szCs w:val="20"/>
                <w:lang w:val="ro-MD"/>
              </w:rPr>
              <w:t>TI</w:t>
            </w:r>
          </w:p>
        </w:tc>
        <w:tc>
          <w:tcPr>
            <w:tcW w:w="7229" w:type="dxa"/>
          </w:tcPr>
          <w:p w:rsidR="00254AC0" w:rsidRPr="00254AC0" w:rsidRDefault="00254AC0" w:rsidP="00254AC0">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sidRPr="00254AC0">
              <w:rPr>
                <w:rFonts w:asciiTheme="majorHAnsi" w:eastAsia="Times New Roman" w:hAnsiTheme="majorHAnsi" w:cs="Times New Roman"/>
                <w:bCs/>
                <w:sz w:val="20"/>
                <w:szCs w:val="20"/>
                <w:lang w:val="ro-MD"/>
              </w:rPr>
              <w:t>Tehnologii informaționale</w:t>
            </w:r>
          </w:p>
        </w:tc>
      </w:tr>
      <w:tr w:rsidR="00254AC0" w:rsidRPr="00254AC0" w:rsidTr="00A36731">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254AC0" w:rsidRPr="00254AC0" w:rsidRDefault="00254AC0" w:rsidP="00254AC0">
            <w:pPr>
              <w:tabs>
                <w:tab w:val="left" w:pos="720"/>
              </w:tabs>
              <w:spacing w:line="276" w:lineRule="auto"/>
              <w:jc w:val="center"/>
              <w:rPr>
                <w:rFonts w:asciiTheme="majorHAnsi" w:eastAsia="Times New Roman" w:hAnsiTheme="majorHAnsi" w:cs="Times New Roman"/>
                <w:sz w:val="20"/>
                <w:szCs w:val="20"/>
                <w:lang w:val="ro-MD"/>
              </w:rPr>
            </w:pPr>
            <w:r w:rsidRPr="00254AC0">
              <w:rPr>
                <w:rFonts w:asciiTheme="majorHAnsi" w:eastAsia="Times New Roman" w:hAnsiTheme="majorHAnsi" w:cs="Times New Roman"/>
                <w:sz w:val="20"/>
                <w:szCs w:val="20"/>
                <w:lang w:val="ro-MD"/>
              </w:rPr>
              <w:t>TDS</w:t>
            </w:r>
          </w:p>
        </w:tc>
        <w:tc>
          <w:tcPr>
            <w:tcW w:w="7229" w:type="dxa"/>
          </w:tcPr>
          <w:p w:rsidR="00254AC0" w:rsidRPr="00254AC0" w:rsidRDefault="00254AC0" w:rsidP="00254AC0">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sidRPr="00254AC0">
              <w:rPr>
                <w:rFonts w:asciiTheme="majorHAnsi" w:eastAsia="Times New Roman" w:hAnsiTheme="majorHAnsi" w:cs="Times New Roman"/>
                <w:bCs/>
                <w:sz w:val="20"/>
                <w:szCs w:val="20"/>
                <w:lang w:val="ro-MD"/>
              </w:rPr>
              <w:t>Transferuri cu destinație specială</w:t>
            </w:r>
          </w:p>
        </w:tc>
      </w:tr>
      <w:tr w:rsidR="00254AC0" w:rsidRPr="00254AC0" w:rsidTr="00A36731">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254AC0" w:rsidRPr="00254AC0" w:rsidRDefault="00254AC0" w:rsidP="00254AC0">
            <w:pPr>
              <w:tabs>
                <w:tab w:val="left" w:pos="720"/>
              </w:tabs>
              <w:spacing w:line="276" w:lineRule="auto"/>
              <w:jc w:val="center"/>
              <w:rPr>
                <w:rFonts w:asciiTheme="majorHAnsi" w:eastAsia="Times New Roman" w:hAnsiTheme="majorHAnsi" w:cs="Times New Roman"/>
                <w:sz w:val="20"/>
                <w:szCs w:val="20"/>
                <w:lang w:val="ro-MD"/>
              </w:rPr>
            </w:pPr>
            <w:r w:rsidRPr="00254AC0">
              <w:rPr>
                <w:rFonts w:asciiTheme="majorHAnsi" w:eastAsia="Times New Roman" w:hAnsiTheme="majorHAnsi" w:cs="Times New Roman"/>
                <w:sz w:val="20"/>
                <w:szCs w:val="20"/>
                <w:lang w:val="ro-MD"/>
              </w:rPr>
              <w:t>TS</w:t>
            </w:r>
          </w:p>
        </w:tc>
        <w:tc>
          <w:tcPr>
            <w:tcW w:w="7229" w:type="dxa"/>
          </w:tcPr>
          <w:p w:rsidR="00254AC0" w:rsidRPr="00254AC0" w:rsidRDefault="00254AC0" w:rsidP="00254AC0">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sidRPr="00254AC0">
              <w:rPr>
                <w:rFonts w:asciiTheme="majorHAnsi" w:eastAsia="Times New Roman" w:hAnsiTheme="majorHAnsi" w:cs="Times New Roman"/>
                <w:bCs/>
                <w:sz w:val="20"/>
                <w:szCs w:val="20"/>
                <w:lang w:val="ro-MD"/>
              </w:rPr>
              <w:t>Trezoreria de Stat</w:t>
            </w:r>
          </w:p>
        </w:tc>
      </w:tr>
    </w:tbl>
    <w:p w:rsidR="00254AC0" w:rsidRPr="00254AC0" w:rsidRDefault="00254AC0" w:rsidP="00254AC0">
      <w:pPr>
        <w:tabs>
          <w:tab w:val="left" w:pos="2100"/>
        </w:tabs>
        <w:rPr>
          <w:rFonts w:asciiTheme="majorHAnsi" w:eastAsia="Times New Roman" w:hAnsiTheme="majorHAnsi" w:cstheme="majorHAnsi"/>
          <w:sz w:val="24"/>
          <w:szCs w:val="24"/>
          <w:lang w:val="ro-MD"/>
        </w:rPr>
        <w:sectPr w:rsidR="00254AC0" w:rsidRPr="00254AC0" w:rsidSect="001646B2">
          <w:footerReference w:type="default" r:id="rId11"/>
          <w:pgSz w:w="12240" w:h="15840"/>
          <w:pgMar w:top="851" w:right="851" w:bottom="851" w:left="1701" w:header="709" w:footer="709" w:gutter="0"/>
          <w:cols w:space="708"/>
          <w:docGrid w:linePitch="360"/>
        </w:sectPr>
      </w:pPr>
    </w:p>
    <w:p w:rsidR="00254AC0" w:rsidRPr="00704D72" w:rsidRDefault="00254AC0" w:rsidP="00254AC0">
      <w:pPr>
        <w:tabs>
          <w:tab w:val="left" w:pos="284"/>
        </w:tabs>
        <w:spacing w:after="0" w:line="276" w:lineRule="auto"/>
        <w:contextualSpacing/>
        <w:outlineLvl w:val="0"/>
        <w:rPr>
          <w:rFonts w:asciiTheme="majorHAnsi" w:eastAsia="Times New Roman" w:hAnsiTheme="majorHAnsi" w:cs="Times New Roman"/>
          <w:b/>
          <w:bCs/>
          <w:sz w:val="8"/>
          <w:szCs w:val="8"/>
          <w:lang w:val="ro-MD"/>
        </w:rPr>
      </w:pPr>
      <w:bookmarkStart w:id="1" w:name="_Toc9338528"/>
    </w:p>
    <w:p w:rsidR="00254AC0" w:rsidRPr="00254AC0" w:rsidRDefault="00254AC0" w:rsidP="00254AC0">
      <w:pPr>
        <w:numPr>
          <w:ilvl w:val="0"/>
          <w:numId w:val="4"/>
        </w:numPr>
        <w:tabs>
          <w:tab w:val="left" w:pos="284"/>
        </w:tabs>
        <w:spacing w:after="0" w:line="276" w:lineRule="auto"/>
        <w:ind w:left="0" w:firstLine="0"/>
        <w:contextualSpacing/>
        <w:outlineLvl w:val="0"/>
        <w:rPr>
          <w:rFonts w:asciiTheme="majorHAnsi" w:eastAsia="Times New Roman" w:hAnsiTheme="majorHAnsi" w:cs="Times New Roman"/>
          <w:b/>
          <w:bCs/>
          <w:sz w:val="28"/>
          <w:szCs w:val="28"/>
          <w:lang w:val="ro-MD"/>
        </w:rPr>
      </w:pPr>
      <w:r w:rsidRPr="00254AC0">
        <w:rPr>
          <w:rFonts w:asciiTheme="majorHAnsi" w:eastAsia="Times New Roman" w:hAnsiTheme="majorHAnsi" w:cs="Times New Roman"/>
          <w:b/>
          <w:bCs/>
          <w:sz w:val="28"/>
          <w:szCs w:val="28"/>
          <w:lang w:val="ro-MD"/>
        </w:rPr>
        <w:t xml:space="preserve">OPINIE </w:t>
      </w:r>
      <w:bookmarkEnd w:id="1"/>
    </w:p>
    <w:p w:rsidR="00254AC0" w:rsidRPr="00254AC0" w:rsidRDefault="00254AC0" w:rsidP="00254AC0">
      <w:pPr>
        <w:tabs>
          <w:tab w:val="left" w:pos="720"/>
        </w:tabs>
        <w:spacing w:after="0" w:line="276" w:lineRule="auto"/>
        <w:contextualSpacing/>
        <w:jc w:val="both"/>
        <w:rPr>
          <w:rFonts w:asciiTheme="majorHAnsi" w:hAnsiTheme="majorHAnsi" w:cstheme="majorHAnsi"/>
          <w:sz w:val="24"/>
          <w:szCs w:val="24"/>
        </w:rPr>
      </w:pPr>
      <w:r w:rsidRPr="00254AC0">
        <w:rPr>
          <w:rFonts w:asciiTheme="majorHAnsi" w:hAnsiTheme="majorHAnsi" w:cstheme="majorHAnsi"/>
          <w:sz w:val="24"/>
          <w:szCs w:val="24"/>
        </w:rPr>
        <w:t>Am auditat Raportul Guvernului privind executarea bugetului de stat, întocmit de Ministerul Finanțelor pentru exercițiul bugetar încheiat la 31 decembrie 2019, ce cuprinde Formularele nr.1; nr.2; nr.3; nr.3.1; nr.3.2; nr.3.3; nr.3.4; nr.4; nr.5; nr.6; nr.6.1; nr.6.2; nr.7; nr.7.1; nr.7.1.1; nr.8; nr.9; nr.10; nr.11; nr.12 și nr.13, precum și descrierea narativă cu excepția Formularului nr.14</w:t>
      </w:r>
      <w:r w:rsidRPr="00254AC0">
        <w:rPr>
          <w:rFonts w:asciiTheme="majorHAnsi" w:eastAsia="Times New Roman" w:hAnsiTheme="majorHAnsi" w:cstheme="majorHAnsi"/>
          <w:bCs/>
          <w:iCs/>
          <w:sz w:val="20"/>
          <w:szCs w:val="20"/>
          <w:lang w:eastAsia="ru-RU"/>
        </w:rPr>
        <w:t xml:space="preserve"> ,,</w:t>
      </w:r>
      <w:r w:rsidRPr="00254AC0">
        <w:rPr>
          <w:rFonts w:asciiTheme="majorHAnsi" w:hAnsiTheme="majorHAnsi" w:cstheme="majorHAnsi"/>
          <w:bCs/>
          <w:iCs/>
          <w:sz w:val="24"/>
          <w:szCs w:val="24"/>
        </w:rPr>
        <w:t>Raport privind executarea BPN”</w:t>
      </w:r>
      <w:r w:rsidRPr="00254AC0">
        <w:rPr>
          <w:rFonts w:asciiTheme="majorHAnsi" w:hAnsiTheme="majorHAnsi" w:cstheme="majorHAnsi"/>
          <w:sz w:val="24"/>
          <w:szCs w:val="24"/>
        </w:rPr>
        <w:t xml:space="preserve">. </w:t>
      </w:r>
      <w:r w:rsidRPr="00254AC0">
        <w:rPr>
          <w:rFonts w:asciiTheme="majorHAnsi" w:hAnsiTheme="majorHAnsi" w:cstheme="majorHAnsi"/>
          <w:i/>
          <w:sz w:val="24"/>
          <w:szCs w:val="24"/>
        </w:rPr>
        <w:t xml:space="preserve">(Componența și </w:t>
      </w:r>
      <w:r w:rsidRPr="00254AC0">
        <w:rPr>
          <w:rFonts w:asciiTheme="majorHAnsi" w:eastAsia="Times New Roman" w:hAnsiTheme="majorHAnsi" w:cstheme="majorHAnsi"/>
          <w:i/>
          <w:sz w:val="24"/>
          <w:szCs w:val="24"/>
          <w:lang w:eastAsia="ru-RU"/>
        </w:rPr>
        <w:t>denumirea completă a formularelor se prezintă în Anexa nr.1 la prezentul Raport de audit, iar publicate sunt pe pagina oficială a Ministerului Finanțelor.)</w:t>
      </w:r>
      <w:r w:rsidRPr="00254AC0">
        <w:rPr>
          <w:rFonts w:asciiTheme="majorHAnsi" w:eastAsia="Times New Roman" w:hAnsiTheme="majorHAnsi" w:cstheme="majorHAnsi"/>
          <w:sz w:val="24"/>
          <w:szCs w:val="24"/>
          <w:lang w:eastAsia="ru-RU"/>
        </w:rPr>
        <w:t xml:space="preserve"> </w:t>
      </w:r>
      <w:r w:rsidRPr="00254AC0">
        <w:rPr>
          <w:rFonts w:asciiTheme="majorHAnsi" w:hAnsiTheme="majorHAnsi" w:cstheme="majorHAnsi"/>
          <w:sz w:val="24"/>
          <w:szCs w:val="24"/>
        </w:rPr>
        <w:t>În opinia noastră, Raportul Guvernului privind executarea bugetului de stat pentru anul 2019, oferă, sub toate aspectele semnificative,</w:t>
      </w:r>
      <w:r w:rsidRPr="00254AC0">
        <w:rPr>
          <w:rFonts w:asciiTheme="majorHAnsi" w:hAnsiTheme="majorHAnsi" w:cstheme="majorHAnsi"/>
          <w:i/>
          <w:iCs/>
          <w:sz w:val="24"/>
          <w:szCs w:val="24"/>
        </w:rPr>
        <w:t xml:space="preserve"> o imagine corectă și fidelă la executarea de casă, </w:t>
      </w:r>
      <w:r w:rsidRPr="00254AC0">
        <w:rPr>
          <w:rFonts w:asciiTheme="majorHAnsi" w:hAnsiTheme="majorHAnsi" w:cstheme="majorHAnsi"/>
          <w:sz w:val="24"/>
          <w:szCs w:val="24"/>
        </w:rPr>
        <w:t>în conformitate cu cadrul de raportare financiară aplicabil</w:t>
      </w:r>
      <w:r w:rsidRPr="00254AC0">
        <w:rPr>
          <w:rFonts w:asciiTheme="majorHAnsi" w:hAnsiTheme="majorHAnsi" w:cstheme="majorHAnsi"/>
          <w:sz w:val="24"/>
          <w:szCs w:val="24"/>
          <w:vertAlign w:val="superscript"/>
        </w:rPr>
        <w:footnoteReference w:id="1"/>
      </w:r>
      <w:r w:rsidRPr="00254AC0">
        <w:rPr>
          <w:rFonts w:asciiTheme="majorHAnsi" w:hAnsiTheme="majorHAnsi" w:cstheme="majorHAnsi"/>
          <w:sz w:val="24"/>
          <w:szCs w:val="24"/>
        </w:rPr>
        <w:t>.</w:t>
      </w:r>
    </w:p>
    <w:p w:rsidR="00254AC0" w:rsidRPr="00254AC0" w:rsidRDefault="00254AC0" w:rsidP="00254AC0">
      <w:pPr>
        <w:tabs>
          <w:tab w:val="left" w:pos="284"/>
          <w:tab w:val="left" w:pos="1560"/>
        </w:tabs>
        <w:spacing w:after="0" w:line="276" w:lineRule="auto"/>
        <w:contextualSpacing/>
        <w:outlineLvl w:val="0"/>
        <w:rPr>
          <w:sz w:val="24"/>
          <w:szCs w:val="24"/>
          <w:lang w:val="ro-MD"/>
        </w:rPr>
      </w:pPr>
      <w:bookmarkStart w:id="2" w:name="_Toc9338529"/>
    </w:p>
    <w:p w:rsidR="00254AC0" w:rsidRPr="00254AC0" w:rsidRDefault="00254AC0" w:rsidP="00254AC0">
      <w:pPr>
        <w:numPr>
          <w:ilvl w:val="0"/>
          <w:numId w:val="4"/>
        </w:numPr>
        <w:tabs>
          <w:tab w:val="left" w:pos="284"/>
          <w:tab w:val="left" w:pos="1560"/>
        </w:tabs>
        <w:spacing w:after="0" w:line="276" w:lineRule="auto"/>
        <w:ind w:left="0" w:firstLine="0"/>
        <w:contextualSpacing/>
        <w:outlineLvl w:val="0"/>
        <w:rPr>
          <w:rFonts w:asciiTheme="majorHAnsi" w:eastAsia="Times New Roman" w:hAnsiTheme="majorHAnsi" w:cs="Times New Roman"/>
          <w:b/>
          <w:bCs/>
          <w:sz w:val="28"/>
          <w:szCs w:val="28"/>
          <w:lang w:val="ro-MD"/>
        </w:rPr>
      </w:pPr>
      <w:r w:rsidRPr="00254AC0">
        <w:rPr>
          <w:rFonts w:asciiTheme="majorHAnsi" w:eastAsia="Times New Roman" w:hAnsiTheme="majorHAnsi" w:cs="Times New Roman"/>
          <w:b/>
          <w:bCs/>
          <w:sz w:val="28"/>
          <w:szCs w:val="28"/>
          <w:lang w:val="ro-MD"/>
        </w:rPr>
        <w:t>BAZA PENTRU OPINI</w:t>
      </w:r>
      <w:bookmarkEnd w:id="2"/>
      <w:r w:rsidRPr="00254AC0">
        <w:rPr>
          <w:rFonts w:asciiTheme="majorHAnsi" w:eastAsia="Times New Roman" w:hAnsiTheme="majorHAnsi" w:cs="Times New Roman"/>
          <w:b/>
          <w:bCs/>
          <w:sz w:val="28"/>
          <w:szCs w:val="28"/>
          <w:lang w:val="ro-MD"/>
        </w:rPr>
        <w:t>E</w:t>
      </w:r>
    </w:p>
    <w:p w:rsidR="00254AC0" w:rsidRPr="00254AC0" w:rsidRDefault="00254AC0" w:rsidP="00254AC0">
      <w:pPr>
        <w:spacing w:after="0" w:line="276" w:lineRule="auto"/>
        <w:jc w:val="both"/>
        <w:rPr>
          <w:rFonts w:asciiTheme="majorHAnsi" w:hAnsiTheme="majorHAnsi" w:cstheme="majorHAnsi"/>
          <w:sz w:val="24"/>
          <w:szCs w:val="24"/>
        </w:rPr>
      </w:pPr>
      <w:r w:rsidRPr="00254AC0">
        <w:rPr>
          <w:rFonts w:asciiTheme="majorHAnsi" w:hAnsiTheme="majorHAnsi" w:cstheme="majorHAnsi"/>
          <w:sz w:val="24"/>
          <w:szCs w:val="24"/>
        </w:rPr>
        <w:t>Am realizat misiunea de audit în conformitate cu Standardele Internaționale de Audit</w:t>
      </w:r>
      <w:r w:rsidRPr="00254AC0">
        <w:rPr>
          <w:rFonts w:asciiTheme="majorHAnsi" w:hAnsiTheme="majorHAnsi" w:cstheme="majorHAnsi"/>
          <w:sz w:val="24"/>
          <w:szCs w:val="24"/>
          <w:vertAlign w:val="superscript"/>
        </w:rPr>
        <w:footnoteReference w:id="2"/>
      </w:r>
      <w:r w:rsidRPr="00254AC0">
        <w:rPr>
          <w:rFonts w:asciiTheme="majorHAnsi" w:hAnsiTheme="majorHAnsi" w:cstheme="majorHAnsi"/>
          <w:sz w:val="24"/>
          <w:szCs w:val="24"/>
        </w:rPr>
        <w:t xml:space="preserve">. Responsabilitățile noastre, potrivit standardelor respective, sunt expuse în secțiunea </w:t>
      </w:r>
      <w:r w:rsidRPr="00254AC0">
        <w:rPr>
          <w:rFonts w:asciiTheme="majorHAnsi" w:hAnsiTheme="majorHAnsi" w:cstheme="majorHAnsi"/>
          <w:i/>
          <w:sz w:val="24"/>
          <w:szCs w:val="24"/>
        </w:rPr>
        <w:t>Responsabilitățile auditorului într-un audit al situațiilor financiare</w:t>
      </w:r>
      <w:r w:rsidRPr="00254AC0">
        <w:rPr>
          <w:rFonts w:asciiTheme="majorHAnsi" w:hAnsiTheme="majorHAnsi" w:cstheme="majorHAnsi"/>
          <w:sz w:val="24"/>
          <w:szCs w:val="24"/>
        </w:rPr>
        <w:t xml:space="preserve"> din prezentul Raport. Suntem independenți față de entitatea auditată și am îndeplinit responsabilitățile de etică, conform cerințelor Codului etic al Curții de Conturi. Considerăm că probele de audit pe care le-am obținut sunt suficiente și adecvate pentru a furniza o bază pentru opinia noastră.</w:t>
      </w:r>
    </w:p>
    <w:p w:rsidR="00254AC0" w:rsidRPr="00254AC0" w:rsidRDefault="00254AC0" w:rsidP="00254AC0">
      <w:pPr>
        <w:spacing w:after="0" w:line="276" w:lineRule="auto"/>
        <w:jc w:val="both"/>
        <w:rPr>
          <w:rFonts w:asciiTheme="majorHAnsi" w:eastAsia="Times New Roman" w:hAnsiTheme="majorHAnsi" w:cstheme="majorHAnsi"/>
          <w:iCs/>
          <w:sz w:val="24"/>
          <w:szCs w:val="24"/>
        </w:rPr>
      </w:pPr>
    </w:p>
    <w:p w:rsidR="00254AC0" w:rsidRPr="00254AC0" w:rsidRDefault="00254AC0" w:rsidP="00711245">
      <w:pPr>
        <w:numPr>
          <w:ilvl w:val="0"/>
          <w:numId w:val="4"/>
        </w:numPr>
        <w:tabs>
          <w:tab w:val="left" w:pos="0"/>
          <w:tab w:val="left" w:pos="426"/>
        </w:tabs>
        <w:spacing w:after="0" w:line="276" w:lineRule="auto"/>
        <w:ind w:left="0" w:firstLine="0"/>
        <w:contextualSpacing/>
        <w:outlineLvl w:val="0"/>
        <w:rPr>
          <w:rFonts w:asciiTheme="majorHAnsi" w:eastAsia="Times New Roman" w:hAnsiTheme="majorHAnsi" w:cs="Times New Roman"/>
          <w:b/>
          <w:bCs/>
          <w:sz w:val="28"/>
          <w:szCs w:val="28"/>
          <w:lang w:val="ro-MD"/>
        </w:rPr>
      </w:pPr>
      <w:bookmarkStart w:id="3" w:name="_Toc9338530"/>
      <w:r w:rsidRPr="00254AC0">
        <w:rPr>
          <w:rFonts w:asciiTheme="majorHAnsi" w:eastAsia="Times New Roman" w:hAnsiTheme="majorHAnsi" w:cs="Times New Roman"/>
          <w:b/>
          <w:bCs/>
          <w:sz w:val="28"/>
          <w:szCs w:val="28"/>
          <w:lang w:val="ro-MD"/>
        </w:rPr>
        <w:t>PARAGRAF DE EVIDENȚIERE A UNOR ASPECTE</w:t>
      </w:r>
    </w:p>
    <w:p w:rsidR="00254AC0" w:rsidRPr="00254AC0" w:rsidRDefault="00254AC0" w:rsidP="00254AC0">
      <w:pPr>
        <w:tabs>
          <w:tab w:val="left" w:pos="284"/>
        </w:tabs>
        <w:spacing w:after="0" w:line="276" w:lineRule="auto"/>
        <w:jc w:val="both"/>
        <w:rPr>
          <w:rFonts w:asciiTheme="majorHAnsi" w:eastAsia="Times New Roman" w:hAnsiTheme="majorHAnsi" w:cstheme="majorHAnsi"/>
          <w:sz w:val="24"/>
          <w:szCs w:val="24"/>
        </w:rPr>
      </w:pPr>
      <w:r w:rsidRPr="00254AC0">
        <w:rPr>
          <w:rFonts w:asciiTheme="majorHAnsi" w:eastAsia="Times New Roman" w:hAnsiTheme="majorHAnsi" w:cstheme="majorHAnsi"/>
          <w:sz w:val="24"/>
          <w:szCs w:val="24"/>
        </w:rPr>
        <w:t>Atragem atenția la următoarele problematici:</w:t>
      </w:r>
    </w:p>
    <w:p w:rsidR="00254AC0" w:rsidRPr="00254AC0" w:rsidRDefault="00254AC0" w:rsidP="00711245">
      <w:pPr>
        <w:numPr>
          <w:ilvl w:val="0"/>
          <w:numId w:val="5"/>
        </w:numPr>
        <w:tabs>
          <w:tab w:val="left" w:pos="142"/>
          <w:tab w:val="left" w:pos="426"/>
          <w:tab w:val="left" w:pos="1134"/>
        </w:tabs>
        <w:spacing w:after="0" w:line="276" w:lineRule="auto"/>
        <w:ind w:left="0" w:firstLine="0"/>
        <w:contextualSpacing/>
        <w:jc w:val="both"/>
        <w:rPr>
          <w:rFonts w:asciiTheme="majorHAnsi" w:eastAsia="Times New Roman" w:hAnsiTheme="majorHAnsi" w:cstheme="majorHAnsi"/>
          <w:sz w:val="24"/>
          <w:szCs w:val="24"/>
          <w:lang w:val="ro-MD"/>
        </w:rPr>
      </w:pPr>
      <w:r w:rsidRPr="00254AC0">
        <w:rPr>
          <w:rFonts w:asciiTheme="majorHAnsi" w:eastAsia="Times New Roman" w:hAnsiTheme="majorHAnsi" w:cstheme="majorHAnsi"/>
          <w:sz w:val="24"/>
          <w:szCs w:val="24"/>
          <w:lang w:val="ro-MD"/>
        </w:rPr>
        <w:t xml:space="preserve">MF anual întocmește și plasează pe pagina oficială Bilanțul contabil consolidat al Guvernului central, care include bilanțul contabil consolidat al APC, CNAS și CNAM. </w:t>
      </w:r>
      <w:r w:rsidRPr="00254AC0">
        <w:rPr>
          <w:rFonts w:asciiTheme="majorHAnsi" w:hAnsiTheme="majorHAnsi" w:cstheme="majorHAnsi"/>
          <w:sz w:val="24"/>
          <w:szCs w:val="24"/>
          <w:lang w:val="ro-MD"/>
        </w:rPr>
        <w:t>Auditul menționează că Formularul nr.13 „</w:t>
      </w:r>
      <w:r w:rsidRPr="00254AC0">
        <w:rPr>
          <w:rFonts w:asciiTheme="majorHAnsi" w:hAnsiTheme="majorHAnsi" w:cstheme="majorHAnsi"/>
          <w:bCs/>
          <w:iCs/>
          <w:sz w:val="24"/>
          <w:szCs w:val="24"/>
        </w:rPr>
        <w:t>Bilanțul contabil privind executarea bugetului de stat”</w:t>
      </w:r>
      <w:r w:rsidRPr="00254AC0">
        <w:rPr>
          <w:rFonts w:asciiTheme="majorHAnsi" w:hAnsiTheme="majorHAnsi" w:cstheme="majorHAnsi"/>
          <w:sz w:val="24"/>
          <w:szCs w:val="24"/>
          <w:lang w:val="ro-MD"/>
        </w:rPr>
        <w:t xml:space="preserve"> nu include soldul la începutul perioadei și soldul la sfârșitul perioadei după încheierea anului, deoarece MF este responsabil de execuția de casă și prezintă doar soldul la sfârșitul perioadei până la închiderea anuală.</w:t>
      </w:r>
      <w:r w:rsidRPr="00254AC0">
        <w:rPr>
          <w:rFonts w:asciiTheme="majorHAnsi" w:eastAsia="Times New Roman" w:hAnsiTheme="majorHAnsi" w:cstheme="majorHAnsi"/>
          <w:bCs/>
          <w:iCs/>
          <w:sz w:val="24"/>
          <w:szCs w:val="24"/>
          <w:lang w:eastAsia="ru-RU"/>
        </w:rPr>
        <w:t xml:space="preserve"> Totodată, t</w:t>
      </w:r>
      <w:r w:rsidRPr="00254AC0">
        <w:rPr>
          <w:rFonts w:asciiTheme="majorHAnsi" w:eastAsia="Times New Roman" w:hAnsiTheme="majorHAnsi" w:cstheme="majorHAnsi"/>
          <w:sz w:val="24"/>
          <w:szCs w:val="24"/>
          <w:lang w:val="ro-MD"/>
        </w:rPr>
        <w:t xml:space="preserve">oate formularele la Raportul privind executarea BS includ doar veniturile și cheltuielile de casă; veniturile/cheltuielile efective care se prezintă de către instituțiile bugetare la MF nu se includ în Raportul </w:t>
      </w:r>
      <w:r w:rsidRPr="00254AC0">
        <w:rPr>
          <w:rFonts w:asciiTheme="majorHAnsi" w:eastAsia="Times New Roman" w:hAnsiTheme="majorHAnsi" w:cstheme="majorHAnsi"/>
          <w:sz w:val="24"/>
          <w:szCs w:val="24"/>
          <w:lang w:eastAsia="ru-RU"/>
        </w:rPr>
        <w:t>privind executarea bugetului de stat, deoarece</w:t>
      </w:r>
      <w:r w:rsidRPr="00254AC0">
        <w:rPr>
          <w:rFonts w:asciiTheme="majorHAnsi" w:eastAsia="Times New Roman" w:hAnsiTheme="majorHAnsi" w:cstheme="majorHAnsi"/>
          <w:sz w:val="24"/>
          <w:szCs w:val="24"/>
          <w:lang w:val="ro-MD"/>
        </w:rPr>
        <w:t xml:space="preserve"> Legea nr.181 din 25.07.2014 prevede întocmirea și prezentarea rapoartelor anuale privind executarea BS, dar nu a rapoartelor financiare consolidate. Astfel, c</w:t>
      </w:r>
      <w:r w:rsidRPr="00254AC0">
        <w:rPr>
          <w:rFonts w:asciiTheme="majorHAnsi" w:eastAsia="Times New Roman" w:hAnsiTheme="majorHAnsi" w:cstheme="majorHAnsi"/>
          <w:sz w:val="24"/>
          <w:szCs w:val="24"/>
          <w:lang w:eastAsia="ru-RU"/>
        </w:rPr>
        <w:t>omponența și formatul Raportului privind executarea BS se întocmește în corespundere cu anexele la Legea bugetară anuală, deci nu încorporează în sine rapoartele consolidate conform formularelor prezentate de către instituțiile/autoritățile bugetare. Calendarul activităților pentru întocmirea Raportului anual privind executarea bugetului de stat, inclusiv componența și formatul acestuia, se aprobă prin ordinul ministrului finanțelor</w:t>
      </w:r>
      <w:r w:rsidRPr="00254AC0">
        <w:rPr>
          <w:vertAlign w:val="superscript"/>
          <w:lang w:eastAsia="ru-RU"/>
        </w:rPr>
        <w:footnoteReference w:id="3"/>
      </w:r>
      <w:r w:rsidRPr="00254AC0">
        <w:rPr>
          <w:rFonts w:asciiTheme="majorHAnsi" w:eastAsia="Times New Roman" w:hAnsiTheme="majorHAnsi" w:cstheme="majorHAnsi"/>
          <w:sz w:val="24"/>
          <w:szCs w:val="24"/>
          <w:lang w:eastAsia="ru-RU"/>
        </w:rPr>
        <w:t xml:space="preserve">. Astfel, în anul 2019, comparativ cu anul 2018, </w:t>
      </w:r>
      <w:r w:rsidRPr="00254AC0">
        <w:rPr>
          <w:rFonts w:asciiTheme="majorHAnsi" w:eastAsia="Times New Roman" w:hAnsiTheme="majorHAnsi" w:cstheme="majorHAnsi"/>
          <w:sz w:val="24"/>
          <w:szCs w:val="24"/>
          <w:lang w:val="ro-MD" w:eastAsia="ru-RU"/>
        </w:rPr>
        <w:t>s-a introdus un Formular nou, nr.12, „</w:t>
      </w:r>
      <w:r w:rsidRPr="00254AC0">
        <w:rPr>
          <w:rFonts w:asciiTheme="majorHAnsi" w:eastAsia="Times New Roman" w:hAnsiTheme="majorHAnsi" w:cstheme="majorHAnsi"/>
          <w:bCs/>
          <w:iCs/>
          <w:sz w:val="24"/>
          <w:szCs w:val="24"/>
          <w:lang w:eastAsia="ru-RU"/>
        </w:rPr>
        <w:t>Raport privind repartizarea și utilizarea mijloacelor Programului de reintegrare a țării”, iar Formularul nr.3, „Raport privind executarea bugetelor autorităților publice centrale” a fost divizat în 5 formulare separate.</w:t>
      </w:r>
      <w:r w:rsidRPr="00254AC0">
        <w:rPr>
          <w:rFonts w:asciiTheme="majorHAnsi" w:eastAsia="Times New Roman" w:hAnsiTheme="majorHAnsi" w:cstheme="majorHAnsi"/>
          <w:sz w:val="24"/>
          <w:szCs w:val="24"/>
          <w:lang w:eastAsia="ru-RU"/>
        </w:rPr>
        <w:t xml:space="preserve"> Componența și formatul Raportului includ formularele de raportare a executării BS conform anexelor la Legea BS pentru anul 2019, o notă narativă privind politica bugetar-fiscală, Formularul nr.14 „Raport privind executarea BPN” etc.;</w:t>
      </w:r>
    </w:p>
    <w:p w:rsidR="00254AC0" w:rsidRPr="00254AC0" w:rsidRDefault="00193496" w:rsidP="00711245">
      <w:pPr>
        <w:numPr>
          <w:ilvl w:val="0"/>
          <w:numId w:val="5"/>
        </w:numPr>
        <w:tabs>
          <w:tab w:val="left" w:pos="284"/>
          <w:tab w:val="left" w:pos="426"/>
          <w:tab w:val="left" w:pos="993"/>
        </w:tabs>
        <w:spacing w:after="0" w:line="276" w:lineRule="auto"/>
        <w:ind w:left="0" w:firstLine="0"/>
        <w:jc w:val="both"/>
        <w:rPr>
          <w:rFonts w:asciiTheme="majorHAnsi" w:eastAsia="Times New Roman" w:hAnsiTheme="majorHAnsi" w:cstheme="majorHAnsi"/>
          <w:bCs/>
          <w:sz w:val="24"/>
          <w:szCs w:val="24"/>
          <w:lang w:val="ro-MD"/>
        </w:rPr>
      </w:pPr>
      <w:r>
        <w:rPr>
          <w:rFonts w:asciiTheme="majorHAnsi" w:eastAsia="Times New Roman" w:hAnsiTheme="majorHAnsi" w:cstheme="majorHAnsi"/>
          <w:bCs/>
          <w:iCs/>
          <w:sz w:val="24"/>
          <w:szCs w:val="24"/>
          <w:lang w:val="ro-MD"/>
        </w:rPr>
        <w:t>In</w:t>
      </w:r>
      <w:r w:rsidR="00254AC0" w:rsidRPr="00254AC0">
        <w:rPr>
          <w:rFonts w:asciiTheme="majorHAnsi" w:eastAsia="Times New Roman" w:hAnsiTheme="majorHAnsi" w:cstheme="majorHAnsi"/>
          <w:bCs/>
          <w:iCs/>
          <w:sz w:val="24"/>
          <w:szCs w:val="24"/>
          <w:lang w:val="ro-MD"/>
        </w:rPr>
        <w:t>coerența normelor metodologice și a clasificației bugetare</w:t>
      </w:r>
      <w:r w:rsidR="00254AC0" w:rsidRPr="00254AC0">
        <w:rPr>
          <w:rFonts w:asciiTheme="majorHAnsi" w:eastAsia="Times New Roman" w:hAnsiTheme="majorHAnsi" w:cstheme="majorHAnsi"/>
          <w:bCs/>
          <w:iCs/>
          <w:sz w:val="24"/>
          <w:szCs w:val="24"/>
          <w:vertAlign w:val="superscript"/>
          <w:lang w:val="ro-MD"/>
        </w:rPr>
        <w:footnoteReference w:id="4"/>
      </w:r>
      <w:r w:rsidR="00254AC0" w:rsidRPr="00254AC0">
        <w:rPr>
          <w:rFonts w:asciiTheme="majorHAnsi" w:eastAsia="Times New Roman" w:hAnsiTheme="majorHAnsi" w:cstheme="majorHAnsi"/>
          <w:bCs/>
          <w:iCs/>
          <w:sz w:val="24"/>
          <w:szCs w:val="24"/>
          <w:lang w:val="ro-MD"/>
        </w:rPr>
        <w:t xml:space="preserve"> referitor la noțiunea distinctă „cheltuieli pentru subsidii”</w:t>
      </w:r>
      <w:r w:rsidR="00254AC0" w:rsidRPr="00254AC0">
        <w:rPr>
          <w:rFonts w:asciiTheme="majorHAnsi" w:eastAsia="Times New Roman" w:hAnsiTheme="majorHAnsi" w:cstheme="majorHAnsi"/>
          <w:bCs/>
          <w:iCs/>
          <w:sz w:val="24"/>
          <w:szCs w:val="24"/>
          <w:vertAlign w:val="superscript"/>
          <w:lang w:val="ro-MD"/>
        </w:rPr>
        <w:footnoteReference w:id="5"/>
      </w:r>
      <w:r w:rsidR="00254AC0" w:rsidRPr="00254AC0">
        <w:rPr>
          <w:rFonts w:asciiTheme="majorHAnsi" w:eastAsia="Times New Roman" w:hAnsiTheme="majorHAnsi" w:cstheme="majorHAnsi"/>
          <w:bCs/>
          <w:iCs/>
          <w:sz w:val="24"/>
          <w:szCs w:val="24"/>
          <w:lang w:val="ro-MD"/>
        </w:rPr>
        <w:t xml:space="preserve"> și a conținutului economic al acestora afectează totalitatea operațiunilor la planificarea, executarea și raportarea BS. </w:t>
      </w:r>
      <w:r w:rsidR="00254AC0" w:rsidRPr="00254AC0">
        <w:rPr>
          <w:rFonts w:asciiTheme="majorHAnsi" w:eastAsia="Times New Roman" w:hAnsiTheme="majorHAnsi" w:cstheme="majorHAnsi"/>
          <w:bCs/>
          <w:sz w:val="24"/>
          <w:szCs w:val="24"/>
          <w:lang w:val="ro-MD"/>
        </w:rPr>
        <w:t>În anul 2019, conform datelor raportate de MF, cheltuielile de casă pentru subsidii la 14 instituții/autorități bugetare însumează 3 894,95 mil. lei, sau 9,7% din totalul cheltuielilor executate. Auditul a constatat divergențe la 2 instituții, în sumă de 16,7 mil. lei, între Rapoartele instituțiilor</w:t>
      </w:r>
      <w:r w:rsidR="00254AC0" w:rsidRPr="00254AC0">
        <w:rPr>
          <w:rFonts w:asciiTheme="majorHAnsi" w:eastAsia="Times New Roman" w:hAnsiTheme="majorHAnsi" w:cstheme="majorHAnsi"/>
          <w:bCs/>
          <w:sz w:val="24"/>
          <w:szCs w:val="24"/>
          <w:vertAlign w:val="superscript"/>
          <w:lang w:val="ro-MD"/>
        </w:rPr>
        <w:footnoteReference w:id="6"/>
      </w:r>
      <w:r w:rsidR="00254AC0" w:rsidRPr="00254AC0">
        <w:rPr>
          <w:rFonts w:asciiTheme="majorHAnsi" w:eastAsia="Times New Roman" w:hAnsiTheme="majorHAnsi" w:cstheme="majorHAnsi"/>
          <w:bCs/>
          <w:sz w:val="24"/>
          <w:szCs w:val="24"/>
          <w:lang w:val="ro-MD"/>
        </w:rPr>
        <w:t xml:space="preserve"> și datele prezentate echipei de audit de către MF.</w:t>
      </w:r>
      <w:r w:rsidR="00254AC0" w:rsidRPr="00254AC0">
        <w:rPr>
          <w:rFonts w:asciiTheme="majorHAnsi" w:eastAsia="Times New Roman" w:hAnsiTheme="majorHAnsi" w:cstheme="majorHAnsi"/>
          <w:b/>
          <w:bCs/>
          <w:sz w:val="24"/>
          <w:szCs w:val="24"/>
          <w:lang w:val="ro-MD"/>
        </w:rPr>
        <w:t xml:space="preserve"> </w:t>
      </w:r>
      <w:r w:rsidR="00254AC0" w:rsidRPr="00254AC0">
        <w:rPr>
          <w:rFonts w:asciiTheme="majorHAnsi" w:eastAsia="Times New Roman" w:hAnsiTheme="majorHAnsi" w:cstheme="majorHAnsi"/>
          <w:bCs/>
          <w:i/>
          <w:sz w:val="24"/>
          <w:szCs w:val="24"/>
          <w:lang w:val="ro-MD"/>
        </w:rPr>
        <w:t>Sinteza subsidiilor executate din BS în anul 2019 și soldurile de mijloace bănești acumulate la beneficiarii de subsidii se prezintă în Anexa nr.2 la prezentul Raport de audit.</w:t>
      </w:r>
    </w:p>
    <w:p w:rsidR="00254AC0" w:rsidRPr="00254AC0" w:rsidRDefault="00254AC0" w:rsidP="00254AC0">
      <w:pPr>
        <w:tabs>
          <w:tab w:val="left" w:pos="284"/>
          <w:tab w:val="left" w:pos="426"/>
        </w:tabs>
        <w:spacing w:after="0" w:line="276" w:lineRule="auto"/>
        <w:jc w:val="both"/>
        <w:rPr>
          <w:rFonts w:asciiTheme="majorHAnsi" w:eastAsia="Times New Roman" w:hAnsiTheme="majorHAnsi" w:cstheme="majorHAnsi"/>
          <w:bCs/>
          <w:iCs/>
          <w:sz w:val="24"/>
          <w:szCs w:val="24"/>
          <w:lang w:val="ro-MD"/>
        </w:rPr>
      </w:pPr>
      <w:r w:rsidRPr="00254AC0">
        <w:rPr>
          <w:rFonts w:asciiTheme="majorHAnsi" w:eastAsia="Times New Roman" w:hAnsiTheme="majorHAnsi" w:cstheme="majorHAnsi"/>
          <w:bCs/>
          <w:iCs/>
          <w:sz w:val="24"/>
          <w:szCs w:val="24"/>
          <w:lang w:val="ro-MD"/>
        </w:rPr>
        <w:t xml:space="preserve">Finanțarea </w:t>
      </w:r>
      <w:r w:rsidRPr="00254AC0">
        <w:rPr>
          <w:rFonts w:asciiTheme="majorHAnsi" w:eastAsia="Times New Roman" w:hAnsiTheme="majorHAnsi" w:cstheme="majorHAnsi"/>
          <w:bCs/>
          <w:iCs/>
          <w:sz w:val="24"/>
          <w:szCs w:val="24"/>
        </w:rPr>
        <w:t>prin intermediul subsidiilor contravine conceptului și scopului definit pentru noțiunea de „subsidii”, nu asigură transparența și buna administrare a fondurilor publice. Astfel, auditul a constatat:</w:t>
      </w:r>
    </w:p>
    <w:p w:rsidR="00254AC0" w:rsidRPr="00254AC0" w:rsidRDefault="00254AC0" w:rsidP="00BC747B">
      <w:pPr>
        <w:numPr>
          <w:ilvl w:val="0"/>
          <w:numId w:val="3"/>
        </w:numPr>
        <w:tabs>
          <w:tab w:val="left" w:pos="284"/>
          <w:tab w:val="left" w:pos="426"/>
          <w:tab w:val="left" w:pos="851"/>
        </w:tabs>
        <w:spacing w:after="0" w:line="276" w:lineRule="auto"/>
        <w:ind w:left="0" w:firstLine="709"/>
        <w:jc w:val="both"/>
        <w:rPr>
          <w:rFonts w:asciiTheme="majorHAnsi" w:eastAsia="Times New Roman" w:hAnsiTheme="majorHAnsi" w:cstheme="majorHAnsi"/>
          <w:bCs/>
          <w:iCs/>
          <w:sz w:val="24"/>
          <w:szCs w:val="24"/>
          <w:lang w:val="ro-MD"/>
        </w:rPr>
      </w:pPr>
      <w:r w:rsidRPr="00254AC0">
        <w:rPr>
          <w:rFonts w:asciiTheme="majorHAnsi" w:eastAsia="Times New Roman" w:hAnsiTheme="majorHAnsi" w:cstheme="majorHAnsi"/>
          <w:bCs/>
          <w:iCs/>
          <w:sz w:val="24"/>
          <w:szCs w:val="24"/>
          <w:lang w:val="ro-MD"/>
        </w:rPr>
        <w:t>alocarea</w:t>
      </w:r>
      <w:r w:rsidRPr="00254AC0">
        <w:rPr>
          <w:rFonts w:asciiTheme="majorHAnsi" w:eastAsia="Times New Roman" w:hAnsiTheme="majorHAnsi" w:cstheme="majorHAnsi"/>
          <w:bCs/>
          <w:iCs/>
          <w:sz w:val="24"/>
          <w:szCs w:val="24"/>
        </w:rPr>
        <w:t xml:space="preserve"> </w:t>
      </w:r>
      <w:r w:rsidRPr="00254AC0">
        <w:rPr>
          <w:rFonts w:asciiTheme="majorHAnsi" w:eastAsia="Times New Roman" w:hAnsiTheme="majorHAnsi" w:cstheme="majorHAnsi"/>
          <w:bCs/>
          <w:iCs/>
          <w:sz w:val="24"/>
          <w:szCs w:val="24"/>
          <w:lang w:val="ro-MD"/>
        </w:rPr>
        <w:t>mijloacelor financiare</w:t>
      </w:r>
      <w:r w:rsidRPr="00254AC0">
        <w:rPr>
          <w:rFonts w:asciiTheme="majorHAnsi" w:eastAsia="Times New Roman" w:hAnsiTheme="majorHAnsi" w:cstheme="majorHAnsi"/>
          <w:bCs/>
          <w:iCs/>
          <w:sz w:val="24"/>
          <w:szCs w:val="24"/>
        </w:rPr>
        <w:t xml:space="preserve"> în sumă de 226,9 mil. lei unor instituții publice</w:t>
      </w:r>
      <w:r w:rsidRPr="00254AC0">
        <w:rPr>
          <w:rFonts w:asciiTheme="majorHAnsi" w:eastAsia="Times New Roman" w:hAnsiTheme="majorHAnsi" w:cstheme="majorHAnsi"/>
          <w:bCs/>
          <w:iCs/>
          <w:sz w:val="24"/>
          <w:szCs w:val="24"/>
          <w:vertAlign w:val="superscript"/>
        </w:rPr>
        <w:footnoteReference w:id="7"/>
      </w:r>
      <w:r w:rsidRPr="00254AC0">
        <w:rPr>
          <w:rFonts w:asciiTheme="majorHAnsi" w:eastAsia="Times New Roman" w:hAnsiTheme="majorHAnsi" w:cstheme="majorHAnsi"/>
          <w:bCs/>
          <w:iCs/>
          <w:sz w:val="24"/>
          <w:szCs w:val="24"/>
        </w:rPr>
        <w:t xml:space="preserve"> și 11,4 mil. lei – unor proiecte investiționale; </w:t>
      </w:r>
    </w:p>
    <w:p w:rsidR="00254AC0" w:rsidRPr="00254AC0" w:rsidRDefault="00254AC0" w:rsidP="00BC747B">
      <w:pPr>
        <w:numPr>
          <w:ilvl w:val="0"/>
          <w:numId w:val="3"/>
        </w:numPr>
        <w:tabs>
          <w:tab w:val="left" w:pos="284"/>
          <w:tab w:val="left" w:pos="426"/>
          <w:tab w:val="left" w:pos="851"/>
        </w:tabs>
        <w:spacing w:after="0" w:line="276" w:lineRule="auto"/>
        <w:ind w:left="0" w:firstLine="709"/>
        <w:jc w:val="both"/>
        <w:rPr>
          <w:rFonts w:asciiTheme="majorHAnsi" w:eastAsia="Times New Roman" w:hAnsiTheme="majorHAnsi" w:cstheme="majorHAnsi"/>
          <w:bCs/>
          <w:iCs/>
          <w:sz w:val="24"/>
          <w:szCs w:val="24"/>
          <w:lang w:val="ro-MD"/>
        </w:rPr>
      </w:pPr>
      <w:r w:rsidRPr="00254AC0">
        <w:rPr>
          <w:rFonts w:asciiTheme="majorHAnsi" w:eastAsia="Times New Roman" w:hAnsiTheme="majorHAnsi" w:cstheme="majorHAnsi"/>
          <w:bCs/>
          <w:iCs/>
          <w:sz w:val="24"/>
          <w:szCs w:val="24"/>
          <w:lang w:val="ro-MD"/>
        </w:rPr>
        <w:t>alocarea</w:t>
      </w:r>
      <w:r w:rsidRPr="00254AC0">
        <w:rPr>
          <w:rFonts w:asciiTheme="majorHAnsi" w:eastAsia="Times New Roman" w:hAnsiTheme="majorHAnsi" w:cstheme="majorHAnsi"/>
          <w:bCs/>
          <w:iCs/>
          <w:sz w:val="24"/>
          <w:szCs w:val="24"/>
        </w:rPr>
        <w:t xml:space="preserve"> </w:t>
      </w:r>
      <w:r w:rsidRPr="00254AC0">
        <w:rPr>
          <w:rFonts w:asciiTheme="majorHAnsi" w:eastAsia="Times New Roman" w:hAnsiTheme="majorHAnsi" w:cstheme="majorHAnsi"/>
          <w:bCs/>
          <w:iCs/>
          <w:sz w:val="24"/>
          <w:szCs w:val="24"/>
          <w:lang w:val="ro-MD"/>
        </w:rPr>
        <w:t>mijloacelor financiare</w:t>
      </w:r>
      <w:r w:rsidRPr="00254AC0">
        <w:rPr>
          <w:rFonts w:asciiTheme="majorHAnsi" w:eastAsia="Times New Roman" w:hAnsiTheme="majorHAnsi" w:cstheme="majorHAnsi"/>
          <w:bCs/>
          <w:iCs/>
          <w:sz w:val="24"/>
          <w:szCs w:val="24"/>
        </w:rPr>
        <w:t xml:space="preserve"> </w:t>
      </w:r>
      <w:r w:rsidRPr="00254AC0">
        <w:rPr>
          <w:rFonts w:asciiTheme="majorHAnsi" w:eastAsia="Times New Roman" w:hAnsiTheme="majorHAnsi" w:cstheme="majorHAnsi"/>
          <w:bCs/>
          <w:iCs/>
          <w:color w:val="000000" w:themeColor="text1"/>
          <w:sz w:val="24"/>
          <w:szCs w:val="24"/>
          <w:lang w:val="ro-MD"/>
        </w:rPr>
        <w:t>în</w:t>
      </w:r>
      <w:r w:rsidRPr="00254AC0">
        <w:rPr>
          <w:rFonts w:asciiTheme="majorHAnsi" w:eastAsia="Times New Roman" w:hAnsiTheme="majorHAnsi" w:cstheme="majorHAnsi"/>
          <w:bCs/>
          <w:iCs/>
          <w:sz w:val="24"/>
          <w:szCs w:val="24"/>
          <w:lang w:val="ro-MD"/>
        </w:rPr>
        <w:t xml:space="preserve"> sumă de 1 960,2 mil. lei prin intermediul MEI către ÎS „Administrația de Stat a Drumurilor”, pentru fondul rutier</w:t>
      </w:r>
      <w:r w:rsidRPr="00254AC0">
        <w:rPr>
          <w:rFonts w:asciiTheme="majorHAnsi" w:eastAsia="Times New Roman" w:hAnsiTheme="majorHAnsi" w:cstheme="majorHAnsi"/>
          <w:bCs/>
          <w:iCs/>
          <w:color w:val="000000" w:themeColor="text1"/>
          <w:sz w:val="24"/>
          <w:szCs w:val="24"/>
          <w:lang w:val="ro-MD"/>
        </w:rPr>
        <w:t xml:space="preserve"> și </w:t>
      </w:r>
      <w:r w:rsidRPr="00254AC0">
        <w:rPr>
          <w:rFonts w:asciiTheme="majorHAnsi" w:eastAsia="Times New Roman" w:hAnsiTheme="majorHAnsi" w:cstheme="majorHAnsi"/>
          <w:color w:val="000000" w:themeColor="text1"/>
          <w:sz w:val="24"/>
          <w:szCs w:val="24"/>
          <w:shd w:val="clear" w:color="auto" w:fill="FFFFFF"/>
          <w:lang w:val="ro-MD"/>
        </w:rPr>
        <w:t>Programul de reparație a drumurilor publice naționale (în limitele localităților), locale, comunale și a străzilor</w:t>
      </w:r>
      <w:r w:rsidRPr="00254AC0">
        <w:rPr>
          <w:rFonts w:asciiTheme="majorHAnsi" w:eastAsia="Times New Roman" w:hAnsiTheme="majorHAnsi" w:cstheme="majorHAnsi"/>
          <w:bCs/>
          <w:iCs/>
          <w:sz w:val="24"/>
          <w:szCs w:val="24"/>
          <w:lang w:val="ro-MD"/>
        </w:rPr>
        <w:t xml:space="preserve">; </w:t>
      </w:r>
    </w:p>
    <w:p w:rsidR="00BC747B" w:rsidRDefault="00254AC0" w:rsidP="00BC747B">
      <w:pPr>
        <w:numPr>
          <w:ilvl w:val="0"/>
          <w:numId w:val="3"/>
        </w:numPr>
        <w:tabs>
          <w:tab w:val="left" w:pos="284"/>
          <w:tab w:val="left" w:pos="426"/>
          <w:tab w:val="left" w:pos="851"/>
        </w:tabs>
        <w:spacing w:after="0" w:line="276" w:lineRule="auto"/>
        <w:ind w:left="0" w:firstLine="709"/>
        <w:jc w:val="both"/>
        <w:rPr>
          <w:rFonts w:asciiTheme="majorHAnsi" w:eastAsia="Times New Roman" w:hAnsiTheme="majorHAnsi" w:cstheme="majorHAnsi"/>
          <w:bCs/>
          <w:iCs/>
          <w:sz w:val="24"/>
          <w:szCs w:val="24"/>
          <w:lang w:val="ro-MD"/>
        </w:rPr>
      </w:pPr>
      <w:r w:rsidRPr="00254AC0">
        <w:rPr>
          <w:rFonts w:asciiTheme="majorHAnsi" w:eastAsia="Times New Roman" w:hAnsiTheme="majorHAnsi" w:cstheme="majorHAnsi"/>
          <w:bCs/>
          <w:iCs/>
          <w:sz w:val="24"/>
          <w:szCs w:val="24"/>
          <w:lang w:val="ro-MD"/>
        </w:rPr>
        <w:t>alocarea</w:t>
      </w:r>
      <w:r w:rsidRPr="00254AC0">
        <w:rPr>
          <w:rFonts w:asciiTheme="majorHAnsi" w:eastAsia="Times New Roman" w:hAnsiTheme="majorHAnsi" w:cstheme="majorHAnsi"/>
          <w:bCs/>
          <w:iCs/>
          <w:sz w:val="24"/>
          <w:szCs w:val="24"/>
        </w:rPr>
        <w:t xml:space="preserve"> </w:t>
      </w:r>
      <w:r w:rsidRPr="00254AC0">
        <w:rPr>
          <w:rFonts w:asciiTheme="majorHAnsi" w:eastAsia="Times New Roman" w:hAnsiTheme="majorHAnsi" w:cstheme="majorHAnsi"/>
          <w:bCs/>
          <w:iCs/>
          <w:sz w:val="24"/>
          <w:szCs w:val="24"/>
          <w:lang w:val="ro-MD"/>
        </w:rPr>
        <w:t xml:space="preserve">mijloacelor financiare prin intermediul CEC </w:t>
      </w:r>
      <w:r w:rsidRPr="00254AC0">
        <w:rPr>
          <w:rFonts w:asciiTheme="majorHAnsi" w:eastAsia="Times New Roman" w:hAnsiTheme="majorHAnsi" w:cstheme="majorHAnsi"/>
          <w:sz w:val="24"/>
          <w:szCs w:val="24"/>
          <w:lang w:val="ro-MD" w:eastAsia="ru-RU"/>
        </w:rPr>
        <w:t xml:space="preserve">către 27 de partide politice, în sumă de 34,1 mil. lei (față de 40,0 mil. lei aprobat), fiind înregistrat un sold cumulativ neutilizat la conturile bancare ale acestora la 01.01.2019 – de 46,9 mil. lei, și la 31.12.2019 – de 20,5 mil. lei; </w:t>
      </w:r>
    </w:p>
    <w:p w:rsidR="00BC747B" w:rsidRDefault="00254AC0" w:rsidP="00BC747B">
      <w:pPr>
        <w:numPr>
          <w:ilvl w:val="0"/>
          <w:numId w:val="3"/>
        </w:numPr>
        <w:tabs>
          <w:tab w:val="left" w:pos="284"/>
          <w:tab w:val="left" w:pos="426"/>
          <w:tab w:val="left" w:pos="851"/>
        </w:tabs>
        <w:spacing w:after="0" w:line="276" w:lineRule="auto"/>
        <w:ind w:left="0" w:firstLine="709"/>
        <w:jc w:val="both"/>
        <w:rPr>
          <w:rFonts w:asciiTheme="majorHAnsi" w:eastAsia="Times New Roman" w:hAnsiTheme="majorHAnsi" w:cstheme="majorHAnsi"/>
          <w:bCs/>
          <w:iCs/>
          <w:sz w:val="24"/>
          <w:szCs w:val="24"/>
          <w:lang w:val="ro-MD"/>
        </w:rPr>
      </w:pPr>
      <w:r w:rsidRPr="00254AC0">
        <w:rPr>
          <w:rFonts w:asciiTheme="majorHAnsi" w:eastAsia="Times New Roman" w:hAnsiTheme="majorHAnsi" w:cstheme="majorHAnsi"/>
          <w:bCs/>
          <w:iCs/>
          <w:sz w:val="24"/>
          <w:szCs w:val="24"/>
          <w:lang w:val="ro-MD"/>
        </w:rPr>
        <w:t>alocarea</w:t>
      </w:r>
      <w:r w:rsidRPr="00254AC0">
        <w:rPr>
          <w:rFonts w:asciiTheme="majorHAnsi" w:eastAsia="Times New Roman" w:hAnsiTheme="majorHAnsi" w:cstheme="majorHAnsi"/>
          <w:bCs/>
          <w:iCs/>
          <w:sz w:val="24"/>
          <w:szCs w:val="24"/>
        </w:rPr>
        <w:t xml:space="preserve"> </w:t>
      </w:r>
      <w:r w:rsidRPr="00254AC0">
        <w:rPr>
          <w:rFonts w:asciiTheme="majorHAnsi" w:eastAsia="Times New Roman" w:hAnsiTheme="majorHAnsi" w:cstheme="majorHAnsi"/>
          <w:bCs/>
          <w:iCs/>
          <w:sz w:val="24"/>
          <w:szCs w:val="24"/>
          <w:lang w:val="ro-MD"/>
        </w:rPr>
        <w:t>mijloacelor financiare prin intermediul APP</w:t>
      </w:r>
      <w:r w:rsidRPr="00254AC0">
        <w:rPr>
          <w:rFonts w:asciiTheme="majorHAnsi" w:eastAsia="Times New Roman" w:hAnsiTheme="majorHAnsi" w:cstheme="majorHAnsi"/>
          <w:sz w:val="24"/>
          <w:szCs w:val="24"/>
          <w:lang w:val="ro-MD" w:eastAsia="ru-RU"/>
        </w:rPr>
        <w:t xml:space="preserve"> în sumă de 6 362,5 mii lei către ÎS din sectorul irigării (Stațiuni Tehnologice pentru Irigare);</w:t>
      </w:r>
    </w:p>
    <w:p w:rsidR="00254AC0" w:rsidRPr="00254AC0" w:rsidRDefault="00254AC0" w:rsidP="00BC747B">
      <w:pPr>
        <w:numPr>
          <w:ilvl w:val="0"/>
          <w:numId w:val="3"/>
        </w:numPr>
        <w:tabs>
          <w:tab w:val="left" w:pos="284"/>
          <w:tab w:val="left" w:pos="426"/>
          <w:tab w:val="left" w:pos="851"/>
        </w:tabs>
        <w:spacing w:after="0" w:line="276" w:lineRule="auto"/>
        <w:ind w:left="0" w:firstLine="709"/>
        <w:jc w:val="both"/>
        <w:rPr>
          <w:rFonts w:asciiTheme="majorHAnsi" w:eastAsia="Times New Roman" w:hAnsiTheme="majorHAnsi" w:cstheme="majorHAnsi"/>
          <w:bCs/>
          <w:iCs/>
          <w:sz w:val="24"/>
          <w:szCs w:val="24"/>
          <w:lang w:val="ro-MD"/>
        </w:rPr>
      </w:pPr>
      <w:r w:rsidRPr="00254AC0">
        <w:rPr>
          <w:rFonts w:asciiTheme="majorHAnsi" w:eastAsia="Times New Roman" w:hAnsiTheme="majorHAnsi" w:cstheme="majorHAnsi"/>
          <w:bCs/>
          <w:sz w:val="24"/>
          <w:szCs w:val="24"/>
          <w:lang w:val="ro-MD"/>
        </w:rPr>
        <w:t>pentru 5 Proiecte</w:t>
      </w:r>
      <w:r w:rsidRPr="00254AC0">
        <w:rPr>
          <w:rFonts w:asciiTheme="majorHAnsi" w:eastAsia="Times New Roman" w:hAnsiTheme="majorHAnsi" w:cstheme="majorHAnsi"/>
          <w:bCs/>
          <w:sz w:val="24"/>
          <w:szCs w:val="24"/>
          <w:vertAlign w:val="superscript"/>
          <w:lang w:val="ro-MD"/>
        </w:rPr>
        <w:footnoteReference w:id="8"/>
      </w:r>
      <w:r w:rsidRPr="00254AC0">
        <w:rPr>
          <w:rFonts w:asciiTheme="majorHAnsi" w:eastAsia="Times New Roman" w:hAnsiTheme="majorHAnsi" w:cstheme="majorHAnsi"/>
          <w:bCs/>
          <w:sz w:val="24"/>
          <w:szCs w:val="24"/>
          <w:lang w:val="ro-MD"/>
        </w:rPr>
        <w:t xml:space="preserve"> au fost aprobate alocații din granturi la 2 coduri ECO (252100 „Subsidii acordate întreprinderilor private nefinanciare și 252200 „Subsidii acordate instituțiilor private financiare”) în sumă de 137,5 mil. lei, ulterior precizate în sumă de 60,1 mil. lei, fiind executate în sumă de 43,1 mil. lei, deși conform clasificației bugetare acestea sunt granturi acordate care nu au fost atribuite și alocate de la codul ECO corespunzător. Ulterior, prin Ordinul MF nr.73 din 07.05.2019 (publicat în MORM la data de 28.06.2019), în Clasificația bugetară au fost introduse codurile economice 263190 și 263290 la care urmează să fie reflectate plățile de care beneficiază agenții economici din proiectele finanțate din surse externe; </w:t>
      </w:r>
    </w:p>
    <w:p w:rsidR="00995CED" w:rsidRDefault="00254AC0" w:rsidP="00995CED">
      <w:pPr>
        <w:numPr>
          <w:ilvl w:val="0"/>
          <w:numId w:val="3"/>
        </w:numPr>
        <w:tabs>
          <w:tab w:val="left" w:pos="284"/>
          <w:tab w:val="left" w:pos="426"/>
          <w:tab w:val="left" w:pos="567"/>
          <w:tab w:val="left" w:pos="851"/>
        </w:tabs>
        <w:spacing w:after="0" w:line="276" w:lineRule="auto"/>
        <w:ind w:left="0" w:firstLine="709"/>
        <w:jc w:val="both"/>
        <w:rPr>
          <w:rFonts w:asciiTheme="majorHAnsi" w:eastAsia="Times New Roman" w:hAnsiTheme="majorHAnsi" w:cstheme="majorHAnsi"/>
          <w:bCs/>
          <w:sz w:val="24"/>
          <w:szCs w:val="24"/>
          <w:lang w:val="ro-MD"/>
        </w:rPr>
      </w:pPr>
      <w:r w:rsidRPr="00254AC0">
        <w:rPr>
          <w:rFonts w:asciiTheme="majorHAnsi" w:eastAsia="Times New Roman" w:hAnsiTheme="majorHAnsi" w:cstheme="majorHAnsi"/>
          <w:sz w:val="24"/>
          <w:szCs w:val="24"/>
          <w:lang w:val="ro-MD"/>
        </w:rPr>
        <w:t>alocarea în anul 2019, prin intermediul MEI, a subsidiilor către ODIMM în sumă totală de 99,4 mil. lei, deși acesta la începutul anului înregistra un sold de mijloace nevalorificate de 60,4 mil. lei. Până la 31.12.2019, din totalul de 159,8 mil. lei au fost executate doar 70,5 mil. lei (44,1%), înregistrând la finele anului un sold nevalorificat de 89,3 mil. lei</w:t>
      </w:r>
      <w:r w:rsidRPr="00254AC0">
        <w:rPr>
          <w:rFonts w:asciiTheme="majorHAnsi" w:eastAsia="Times New Roman" w:hAnsiTheme="majorHAnsi" w:cstheme="majorHAnsi"/>
          <w:sz w:val="24"/>
          <w:szCs w:val="24"/>
          <w:vertAlign w:val="superscript"/>
          <w:lang w:val="ro-MD"/>
        </w:rPr>
        <w:footnoteReference w:id="9"/>
      </w:r>
      <w:r w:rsidRPr="00254AC0">
        <w:rPr>
          <w:rFonts w:asciiTheme="majorHAnsi" w:eastAsia="Times New Roman" w:hAnsiTheme="majorHAnsi" w:cstheme="majorHAnsi"/>
          <w:sz w:val="24"/>
          <w:szCs w:val="24"/>
          <w:lang w:val="ro-MD"/>
        </w:rPr>
        <w:t xml:space="preserve">, rămase în contul bancar al ODIMM. Din acestea, s-au alocat mijloace financiare pentru cheltuielile Organizației, în scopul executării Programului de stat </w:t>
      </w:r>
      <w:r w:rsidRPr="00254AC0">
        <w:rPr>
          <w:rFonts w:asciiTheme="majorHAnsi" w:eastAsia="Times New Roman" w:hAnsiTheme="majorHAnsi" w:cstheme="majorHAnsi"/>
          <w:i/>
          <w:sz w:val="24"/>
          <w:szCs w:val="24"/>
          <w:lang w:val="ro-MD"/>
        </w:rPr>
        <w:t>„Prima casă”</w:t>
      </w:r>
      <w:r w:rsidRPr="00254AC0">
        <w:rPr>
          <w:rFonts w:asciiTheme="majorHAnsi" w:eastAsia="Times New Roman" w:hAnsiTheme="majorHAnsi" w:cstheme="majorHAnsi"/>
          <w:sz w:val="24"/>
          <w:szCs w:val="24"/>
          <w:lang w:val="ro-MD"/>
        </w:rPr>
        <w:t xml:space="preserve"> </w:t>
      </w:r>
      <w:r w:rsidRPr="00254AC0">
        <w:rPr>
          <w:rFonts w:asciiTheme="majorHAnsi" w:eastAsia="Times New Roman" w:hAnsiTheme="majorHAnsi" w:cstheme="majorHAnsi"/>
          <w:sz w:val="24"/>
          <w:szCs w:val="24"/>
          <w:vertAlign w:val="superscript"/>
          <w:lang w:val="ro-MD"/>
        </w:rPr>
        <w:footnoteReference w:id="10"/>
      </w:r>
      <w:r w:rsidRPr="00254AC0">
        <w:rPr>
          <w:rFonts w:asciiTheme="majorHAnsi" w:eastAsia="Times New Roman" w:hAnsiTheme="majorHAnsi" w:cstheme="majorHAnsi"/>
          <w:sz w:val="24"/>
          <w:szCs w:val="24"/>
          <w:lang w:val="ro-MD"/>
        </w:rPr>
        <w:t>, în sumă de 894,0 mii lei, în lipsa prevederilor legale. Auditul a constatat că, în primii doi ani de activitate, potrivit explicațiilor persoanelor responsabile, nu au fost suficiente mijloacele transferate din comisioanele de garantare</w:t>
      </w:r>
      <w:r w:rsidRPr="00254AC0">
        <w:rPr>
          <w:rFonts w:asciiTheme="majorHAnsi" w:eastAsia="Times New Roman" w:hAnsiTheme="majorHAnsi" w:cstheme="majorHAnsi"/>
          <w:sz w:val="24"/>
          <w:szCs w:val="24"/>
          <w:vertAlign w:val="superscript"/>
          <w:lang w:val="ro-MD"/>
        </w:rPr>
        <w:footnoteReference w:id="11"/>
      </w:r>
      <w:r w:rsidRPr="00254AC0">
        <w:rPr>
          <w:rFonts w:asciiTheme="majorHAnsi" w:eastAsia="Times New Roman" w:hAnsiTheme="majorHAnsi" w:cstheme="majorHAnsi"/>
          <w:sz w:val="24"/>
          <w:szCs w:val="24"/>
          <w:lang w:val="ro-MD"/>
        </w:rPr>
        <w:t xml:space="preserve"> (anul 2019 – 2,2 mil. lei) pentru activitatea ODIMM, astfel activitatea acesteia a fost subvenționată adițional din mijloacele BS (2019 – 894,0 mii lei, 2018 – 1 774,5 mii lei). La acest aspect menționăm că, conform art.3 din Legea nr.419-XVI din 22.12.2006</w:t>
      </w:r>
      <w:r w:rsidRPr="00254AC0">
        <w:rPr>
          <w:rFonts w:asciiTheme="majorHAnsi" w:eastAsia="Times New Roman" w:hAnsiTheme="majorHAnsi" w:cstheme="majorHAnsi"/>
          <w:sz w:val="24"/>
          <w:szCs w:val="24"/>
          <w:vertAlign w:val="superscript"/>
          <w:lang w:val="ro-MD"/>
        </w:rPr>
        <w:footnoteReference w:id="12"/>
      </w:r>
      <w:r w:rsidRPr="00254AC0">
        <w:rPr>
          <w:rFonts w:asciiTheme="majorHAnsi" w:eastAsia="Times New Roman" w:hAnsiTheme="majorHAnsi" w:cstheme="majorHAnsi"/>
          <w:sz w:val="24"/>
          <w:szCs w:val="24"/>
          <w:lang w:val="ro-MD"/>
        </w:rPr>
        <w:t xml:space="preserve">, Guvernul, în persoana MF, este autorizat să acorde garanții de stat interne și externe. </w:t>
      </w:r>
      <w:r w:rsidRPr="00254AC0">
        <w:rPr>
          <w:rFonts w:asciiTheme="majorHAnsi" w:eastAsia="Times New Roman" w:hAnsiTheme="majorHAnsi" w:cstheme="majorHAnsi"/>
          <w:bCs/>
          <w:sz w:val="24"/>
          <w:szCs w:val="24"/>
          <w:lang w:val="ro-MD"/>
        </w:rPr>
        <w:t>Totodată,</w:t>
      </w:r>
      <w:r w:rsidRPr="00254AC0">
        <w:rPr>
          <w:rFonts w:asciiTheme="majorHAnsi" w:eastAsia="Times New Roman" w:hAnsiTheme="majorHAnsi" w:cstheme="majorHAnsi"/>
          <w:sz w:val="24"/>
          <w:szCs w:val="24"/>
          <w:lang w:val="ro-MD"/>
        </w:rPr>
        <w:t xml:space="preserve"> prin art.2 din Legea nr.293 din 21.12.2017</w:t>
      </w:r>
      <w:r w:rsidRPr="00254AC0">
        <w:rPr>
          <w:rFonts w:asciiTheme="majorHAnsi" w:eastAsia="Times New Roman" w:hAnsiTheme="majorHAnsi" w:cstheme="majorHAnsi"/>
          <w:sz w:val="24"/>
          <w:szCs w:val="24"/>
          <w:vertAlign w:val="superscript"/>
          <w:lang w:val="ro-MD"/>
        </w:rPr>
        <w:footnoteReference w:id="13"/>
      </w:r>
      <w:r w:rsidRPr="00254AC0">
        <w:rPr>
          <w:rFonts w:asciiTheme="majorHAnsi" w:eastAsia="Times New Roman" w:hAnsiTheme="majorHAnsi" w:cstheme="majorHAnsi"/>
          <w:sz w:val="24"/>
          <w:szCs w:val="24"/>
          <w:lang w:val="ro-MD"/>
        </w:rPr>
        <w:t xml:space="preserve">, garantul – Guvernul, prin intermediul MF, deleagă ODIMM dreptul să emită garanții în numele și pe contul statului, în favoarea creditorului, în limitele plafoanelor aprobate anual de către Parlament pentru acest scop. Astfel, MF, în calitate de emitent al garanțiilor de stat, a încheiat un contract de mandat la data de 03.05.2019, prin care împuternicește ODIMM să emită garanții de stat în numele și pe contul statului. În anul 2019, în cadrul Programului de stat „Prima casă” au beneficiat de compensații bănești din bugetul de stat 1641 de persoane, în sumă totală de 8,4 mil. lei, sau </w:t>
      </w:r>
      <w:r w:rsidRPr="00254AC0">
        <w:rPr>
          <w:rFonts w:asciiTheme="majorHAnsi" w:eastAsia="Times New Roman" w:hAnsiTheme="majorHAnsi" w:cstheme="majorHAnsi"/>
          <w:sz w:val="24"/>
          <w:szCs w:val="24"/>
          <w:lang w:val="en-US"/>
        </w:rPr>
        <w:t xml:space="preserve">99,7% </w:t>
      </w:r>
      <w:r w:rsidR="00047EAE">
        <w:rPr>
          <w:rFonts w:asciiTheme="majorHAnsi" w:eastAsia="Times New Roman" w:hAnsiTheme="majorHAnsi" w:cstheme="majorHAnsi"/>
          <w:sz w:val="24"/>
          <w:szCs w:val="24"/>
          <w:lang w:val="ro-MD"/>
        </w:rPr>
        <w:t>din suma precizată (8,5</w:t>
      </w:r>
      <w:r w:rsidRPr="00254AC0">
        <w:rPr>
          <w:rFonts w:asciiTheme="majorHAnsi" w:eastAsia="Times New Roman" w:hAnsiTheme="majorHAnsi" w:cstheme="majorHAnsi"/>
          <w:sz w:val="24"/>
          <w:szCs w:val="24"/>
          <w:lang w:val="ro-MD"/>
        </w:rPr>
        <w:t xml:space="preserve"> mil. lei). Auditul menționează că, la situația din 31.12.2019, nu a fost activată nici</w:t>
      </w:r>
      <w:r w:rsidR="00F90352">
        <w:rPr>
          <w:rFonts w:asciiTheme="majorHAnsi" w:eastAsia="Times New Roman" w:hAnsiTheme="majorHAnsi" w:cstheme="majorHAnsi"/>
          <w:sz w:val="24"/>
          <w:szCs w:val="24"/>
          <w:lang w:val="ro-MD"/>
        </w:rPr>
        <w:t xml:space="preserve"> </w:t>
      </w:r>
      <w:r w:rsidRPr="00254AC0">
        <w:rPr>
          <w:rFonts w:asciiTheme="majorHAnsi" w:eastAsia="Times New Roman" w:hAnsiTheme="majorHAnsi" w:cstheme="majorHAnsi"/>
          <w:sz w:val="24"/>
          <w:szCs w:val="24"/>
          <w:lang w:val="ro-MD"/>
        </w:rPr>
        <w:t xml:space="preserve">o garanție de stat, dar există probabilitatea materializării obligațiilor, ceea ce va genera presiuni adiționale asupra BS. </w:t>
      </w:r>
      <w:r w:rsidRPr="00254AC0">
        <w:rPr>
          <w:rFonts w:ascii="Calibri Light" w:eastAsia="Times New Roman" w:hAnsi="Calibri Light" w:cs="Calibri Light"/>
          <w:i/>
          <w:sz w:val="24"/>
          <w:szCs w:val="24"/>
          <w:lang w:val="ro-MD"/>
        </w:rPr>
        <w:t>Sinteza repartizării alocațiilor aprobate pentru Programul „Prima casă” pentru compensații bănești, pe categorii de beneficiari, în anul 2019 se prezintă în Anexa nr.3 la prezentul Raport de audit;</w:t>
      </w:r>
    </w:p>
    <w:p w:rsidR="00254AC0" w:rsidRPr="00254AC0" w:rsidRDefault="00254AC0" w:rsidP="00995CED">
      <w:pPr>
        <w:numPr>
          <w:ilvl w:val="0"/>
          <w:numId w:val="3"/>
        </w:numPr>
        <w:tabs>
          <w:tab w:val="left" w:pos="284"/>
          <w:tab w:val="left" w:pos="426"/>
          <w:tab w:val="left" w:pos="567"/>
          <w:tab w:val="left" w:pos="851"/>
        </w:tabs>
        <w:spacing w:after="0" w:line="276" w:lineRule="auto"/>
        <w:ind w:left="0" w:firstLine="709"/>
        <w:jc w:val="both"/>
        <w:rPr>
          <w:rFonts w:asciiTheme="majorHAnsi" w:eastAsia="Times New Roman" w:hAnsiTheme="majorHAnsi" w:cstheme="majorHAnsi"/>
          <w:bCs/>
          <w:sz w:val="24"/>
          <w:szCs w:val="24"/>
          <w:lang w:val="ro-MD"/>
        </w:rPr>
      </w:pPr>
      <w:r w:rsidRPr="00254AC0">
        <w:rPr>
          <w:rFonts w:asciiTheme="majorHAnsi" w:eastAsia="Times New Roman" w:hAnsiTheme="majorHAnsi" w:cstheme="majorHAnsi"/>
          <w:sz w:val="24"/>
          <w:szCs w:val="24"/>
          <w:lang w:val="ro-MD"/>
        </w:rPr>
        <w:t xml:space="preserve">deși, inițial </w:t>
      </w:r>
      <w:r w:rsidRPr="00254AC0">
        <w:rPr>
          <w:rFonts w:asciiTheme="majorHAnsi" w:eastAsia="Times New Roman" w:hAnsiTheme="majorHAnsi" w:cstheme="majorHAnsi"/>
          <w:sz w:val="24"/>
          <w:szCs w:val="24"/>
        </w:rPr>
        <w:t>prin Legea bugetară anuală</w:t>
      </w:r>
      <w:r w:rsidRPr="00254AC0">
        <w:rPr>
          <w:rFonts w:asciiTheme="majorHAnsi" w:eastAsia="Times New Roman" w:hAnsiTheme="majorHAnsi" w:cstheme="majorHAnsi"/>
          <w:sz w:val="24"/>
          <w:szCs w:val="24"/>
          <w:vertAlign w:val="superscript"/>
        </w:rPr>
        <w:footnoteReference w:id="14"/>
      </w:r>
      <w:r w:rsidRPr="00254AC0">
        <w:rPr>
          <w:rFonts w:asciiTheme="majorHAnsi" w:eastAsia="Times New Roman" w:hAnsiTheme="majorHAnsi" w:cstheme="majorHAnsi"/>
          <w:sz w:val="24"/>
          <w:szCs w:val="24"/>
        </w:rPr>
        <w:t>, au fost aprobate alocații la poziția „Acțiuni generale 0804” pentru implementarea Strategiei de reformă a administrației publice</w:t>
      </w:r>
      <w:r w:rsidRPr="00254AC0">
        <w:rPr>
          <w:rFonts w:asciiTheme="majorHAnsi" w:eastAsia="Times New Roman" w:hAnsiTheme="majorHAnsi" w:cstheme="majorHAnsi"/>
          <w:sz w:val="24"/>
          <w:szCs w:val="24"/>
          <w:vertAlign w:val="superscript"/>
        </w:rPr>
        <w:footnoteReference w:id="15"/>
      </w:r>
      <w:r w:rsidRPr="00254AC0">
        <w:rPr>
          <w:rFonts w:asciiTheme="majorHAnsi" w:eastAsia="Times New Roman" w:hAnsiTheme="majorHAnsi" w:cstheme="majorHAnsi"/>
          <w:sz w:val="24"/>
          <w:szCs w:val="24"/>
        </w:rPr>
        <w:t>, inclusiv cheltuieli de personal în sumă de 140,0 mil. lei, ulterior acestea au fost rectificate la suma de 9,0 mil. lei, sau micșorate cu 131,0 mil. lei. Din totalul de 9,0 mil. lei, prin</w:t>
      </w:r>
      <w:r w:rsidRPr="00254AC0">
        <w:rPr>
          <w:rFonts w:asciiTheme="majorHAnsi" w:eastAsia="Times New Roman" w:hAnsiTheme="majorHAnsi" w:cstheme="majorHAnsi"/>
          <w:sz w:val="24"/>
          <w:szCs w:val="24"/>
          <w:lang w:val="ro-MD"/>
        </w:rPr>
        <w:t xml:space="preserve"> HG nr.27 din 18.01.2019</w:t>
      </w:r>
      <w:r w:rsidRPr="00254AC0">
        <w:rPr>
          <w:rFonts w:asciiTheme="majorHAnsi" w:eastAsia="Times New Roman" w:hAnsiTheme="majorHAnsi" w:cstheme="majorHAnsi"/>
          <w:sz w:val="24"/>
          <w:szCs w:val="24"/>
          <w:vertAlign w:val="superscript"/>
          <w:lang w:val="ro-MD"/>
        </w:rPr>
        <w:footnoteReference w:id="16"/>
      </w:r>
      <w:r w:rsidRPr="00254AC0">
        <w:rPr>
          <w:rFonts w:asciiTheme="majorHAnsi" w:eastAsia="Times New Roman" w:hAnsiTheme="majorHAnsi" w:cstheme="majorHAnsi"/>
          <w:sz w:val="24"/>
          <w:szCs w:val="24"/>
          <w:lang w:val="ro-MD"/>
        </w:rPr>
        <w:t xml:space="preserve"> au fost repartizate 8,3 mil. lei Serviciului Prevenirea și Combaterea Spălării Banilor (5,5 mil. lei pentru cheltuieli de reparații capitale și 2,8 mil. lei pentru asigurarea cu sisteme informaționale). </w:t>
      </w:r>
      <w:r w:rsidRPr="00254AC0">
        <w:rPr>
          <w:rFonts w:asciiTheme="majorHAnsi" w:eastAsia="Times New Roman" w:hAnsiTheme="majorHAnsi" w:cstheme="majorHAnsi"/>
          <w:sz w:val="24"/>
          <w:szCs w:val="24"/>
        </w:rPr>
        <w:t xml:space="preserve">Se menționează că, în limitele precizate de 9,0 mil. lei, urmau a fi alocate 4,95 mil. lei pentru cheltuieli de personal la IP „Centrul de Implementare a Reformelor”, auditul constatând finanțarea de subsidii (5,1 mil. lei) pentru această IP prin intermediul Cancelariei de Stat, în scopul contractării experților sectoriali în cadrul Centrul de Implementare a Reformelor” în conformitate cu structura aprobată de către Consiliul de administrare. De facto, în temeiul informațiilor solicitate de audit de la Cancelaria de Stat, se constată că pentru cheltuieli de personal au fost utilizate subsidii în sumă de 4,95 mil. lei;  </w:t>
      </w:r>
    </w:p>
    <w:p w:rsidR="00254AC0" w:rsidRPr="00254AC0" w:rsidRDefault="00254AC0" w:rsidP="00C8799A">
      <w:pPr>
        <w:numPr>
          <w:ilvl w:val="0"/>
          <w:numId w:val="3"/>
        </w:numPr>
        <w:tabs>
          <w:tab w:val="left" w:pos="142"/>
          <w:tab w:val="left" w:pos="993"/>
        </w:tabs>
        <w:spacing w:after="0" w:line="276" w:lineRule="auto"/>
        <w:ind w:left="0" w:firstLine="709"/>
        <w:contextualSpacing/>
        <w:jc w:val="both"/>
        <w:rPr>
          <w:rFonts w:asciiTheme="majorHAnsi" w:eastAsia="Times New Roman" w:hAnsiTheme="majorHAnsi" w:cstheme="majorHAnsi"/>
          <w:sz w:val="24"/>
          <w:szCs w:val="24"/>
          <w:lang w:eastAsia="ru-RU"/>
        </w:rPr>
      </w:pPr>
      <w:r w:rsidRPr="00254AC0">
        <w:rPr>
          <w:rFonts w:asciiTheme="majorHAnsi" w:eastAsia="Times New Roman" w:hAnsiTheme="majorHAnsi" w:cstheme="majorHAnsi"/>
          <w:bCs/>
          <w:sz w:val="24"/>
          <w:szCs w:val="24"/>
        </w:rPr>
        <w:t>a</w:t>
      </w:r>
      <w:r w:rsidRPr="00254AC0">
        <w:rPr>
          <w:rFonts w:asciiTheme="majorHAnsi" w:hAnsiTheme="majorHAnsi" w:cstheme="majorHAnsi"/>
          <w:sz w:val="24"/>
          <w:szCs w:val="24"/>
          <w:lang w:val="ro-MD" w:eastAsia="ru-RU"/>
        </w:rPr>
        <w:t xml:space="preserve">locarea </w:t>
      </w:r>
      <w:r w:rsidRPr="00254AC0">
        <w:rPr>
          <w:rFonts w:asciiTheme="majorHAnsi" w:hAnsiTheme="majorHAnsi" w:cstheme="majorHAnsi"/>
          <w:bCs/>
          <w:iCs/>
          <w:sz w:val="24"/>
          <w:szCs w:val="24"/>
          <w:lang w:val="ro-MD"/>
        </w:rPr>
        <w:t xml:space="preserve">mijloacelor financiare </w:t>
      </w:r>
      <w:r w:rsidRPr="00254AC0">
        <w:rPr>
          <w:rFonts w:asciiTheme="majorHAnsi" w:hAnsiTheme="majorHAnsi" w:cstheme="majorHAnsi"/>
          <w:sz w:val="24"/>
          <w:szCs w:val="24"/>
          <w:lang w:val="ro-MD" w:eastAsia="ru-RU"/>
        </w:rPr>
        <w:t>de către MF (l</w:t>
      </w:r>
      <w:r w:rsidRPr="00254AC0">
        <w:rPr>
          <w:rFonts w:asciiTheme="majorHAnsi" w:hAnsiTheme="majorHAnsi" w:cstheme="majorHAnsi"/>
          <w:sz w:val="24"/>
          <w:szCs w:val="24"/>
          <w:lang w:val="ro-MD"/>
        </w:rPr>
        <w:t>a 31.12.2019) în sumă de 21,2 mil. lei întreprinderii „SE Bordnetze” SRL, pentru subvenționarea creării locurilor de muncă de la poziția ,,Acțiuni generale”, deși</w:t>
      </w:r>
      <w:r w:rsidRPr="00254AC0">
        <w:rPr>
          <w:rFonts w:asciiTheme="majorHAnsi" w:hAnsiTheme="majorHAnsi" w:cstheme="majorHAnsi"/>
          <w:bCs/>
          <w:color w:val="000000" w:themeColor="text1"/>
          <w:sz w:val="24"/>
          <w:szCs w:val="24"/>
          <w:lang w:val="ro-MD"/>
        </w:rPr>
        <w:t xml:space="preserve"> art.70 alin.(1) din Legea nr.181 din 25.07.2014 prevede că î</w:t>
      </w:r>
      <w:r w:rsidRPr="00254AC0">
        <w:rPr>
          <w:rFonts w:asciiTheme="majorHAnsi" w:hAnsiTheme="majorHAnsi" w:cstheme="majorHAnsi"/>
          <w:sz w:val="24"/>
          <w:szCs w:val="24"/>
          <w:lang w:val="ro-MD"/>
        </w:rPr>
        <w:t>n ultima zi lucrătoare a anului bugetar nu se efectuează operațiuni de plăți, ci doar operațiuni interne și de încheiere a anului bugetar;</w:t>
      </w:r>
    </w:p>
    <w:p w:rsidR="00254AC0" w:rsidRPr="00254AC0" w:rsidRDefault="00254AC0" w:rsidP="00C8799A">
      <w:pPr>
        <w:numPr>
          <w:ilvl w:val="0"/>
          <w:numId w:val="3"/>
        </w:numPr>
        <w:tabs>
          <w:tab w:val="left" w:pos="284"/>
          <w:tab w:val="left" w:pos="426"/>
          <w:tab w:val="left" w:pos="993"/>
        </w:tabs>
        <w:spacing w:after="0" w:line="276" w:lineRule="auto"/>
        <w:ind w:left="0" w:firstLine="709"/>
        <w:jc w:val="both"/>
        <w:rPr>
          <w:rFonts w:asciiTheme="majorHAnsi" w:eastAsia="Times New Roman" w:hAnsiTheme="majorHAnsi" w:cstheme="majorHAnsi"/>
          <w:bCs/>
          <w:sz w:val="24"/>
          <w:szCs w:val="24"/>
          <w:lang w:val="ro-MD"/>
        </w:rPr>
      </w:pPr>
      <w:r w:rsidRPr="00254AC0">
        <w:rPr>
          <w:rFonts w:asciiTheme="majorHAnsi" w:eastAsia="Times New Roman" w:hAnsiTheme="majorHAnsi" w:cstheme="majorHAnsi"/>
          <w:bCs/>
          <w:iCs/>
          <w:sz w:val="24"/>
          <w:szCs w:val="24"/>
          <w:lang w:val="ro-MD"/>
        </w:rPr>
        <w:t xml:space="preserve">modul actual de finanțare prin intermediul subsidiilor limitează accesul APC la informații exhaustive privind utilizarea „subsidiilor” în condițiile nereglementării cerinței de gestiune, de ținere a evidenței și de raportare distinctă a acestora. Ca urmare, reflectarea subsidiilor aferente entităților beneficiare în rapoartele financiare consolidate ale organului ierarhic superior nu se supune unei norme/abordări unice, fiind limitată monitorizarea eficientă de către APC și </w:t>
      </w:r>
      <w:r w:rsidRPr="00254AC0">
        <w:rPr>
          <w:rFonts w:asciiTheme="majorHAnsi" w:eastAsia="Times New Roman" w:hAnsiTheme="majorHAnsi" w:cstheme="majorHAnsi"/>
          <w:bCs/>
          <w:iCs/>
          <w:color w:val="000000" w:themeColor="text1"/>
          <w:sz w:val="24"/>
          <w:szCs w:val="24"/>
          <w:lang w:val="ro-MD"/>
        </w:rPr>
        <w:t>MF. Astfel, la executarea mijloacelor din contul subsidiilor s-a admis imobilizarea resurselor financiare la instituțiile beneficiare de la BS, la situația din 01.01.2019 în sumă de 21 172,7 mil. lei, iar la situația din 31.12.2019 – în sumă de 269,2 mil. lei, pe un termen nedeterminat și care pot fi utilizate contrar destinației. A</w:t>
      </w:r>
      <w:r w:rsidRPr="00254AC0">
        <w:rPr>
          <w:rFonts w:asciiTheme="majorHAnsi" w:eastAsia="Times New Roman" w:hAnsiTheme="majorHAnsi" w:cstheme="majorHAnsi"/>
          <w:bCs/>
          <w:iCs/>
          <w:sz w:val="24"/>
          <w:szCs w:val="24"/>
          <w:lang w:val="ro-MD"/>
        </w:rPr>
        <w:t>uditul a constatat o deviere de 19,2 mil. lei între soldul mijloacelor bănești din Rapoartele financiare prezentate de către instituțiile bugetare pentru anul 2019 și soldul recalculat de audit în baza datelor din Rapoarte.</w:t>
      </w:r>
      <w:r w:rsidRPr="00254AC0">
        <w:rPr>
          <w:rFonts w:asciiTheme="majorHAnsi" w:eastAsia="Times New Roman" w:hAnsiTheme="majorHAnsi" w:cstheme="majorHAnsi"/>
          <w:bCs/>
          <w:i/>
          <w:sz w:val="24"/>
          <w:szCs w:val="24"/>
          <w:lang w:val="ro-MD"/>
        </w:rPr>
        <w:t xml:space="preserve"> Vezi Anexa nr.2 la prezentul Raport de audit;</w:t>
      </w:r>
    </w:p>
    <w:p w:rsidR="00C8799A" w:rsidRDefault="00254AC0" w:rsidP="00C8799A">
      <w:pPr>
        <w:numPr>
          <w:ilvl w:val="0"/>
          <w:numId w:val="3"/>
        </w:numPr>
        <w:tabs>
          <w:tab w:val="left" w:pos="284"/>
          <w:tab w:val="left" w:pos="851"/>
        </w:tabs>
        <w:spacing w:after="0" w:line="276" w:lineRule="auto"/>
        <w:ind w:left="0" w:firstLine="709"/>
        <w:contextualSpacing/>
        <w:jc w:val="both"/>
        <w:rPr>
          <w:rFonts w:asciiTheme="majorHAnsi" w:eastAsia="Times New Roman" w:hAnsiTheme="majorHAnsi" w:cstheme="majorHAnsi"/>
          <w:bCs/>
          <w:iCs/>
          <w:sz w:val="24"/>
          <w:szCs w:val="24"/>
          <w:lang w:val="ro-MD"/>
        </w:rPr>
      </w:pPr>
      <w:r w:rsidRPr="00254AC0">
        <w:rPr>
          <w:rFonts w:asciiTheme="majorHAnsi" w:hAnsiTheme="majorHAnsi" w:cstheme="majorHAnsi"/>
          <w:bCs/>
          <w:iCs/>
          <w:color w:val="000000" w:themeColor="text1"/>
          <w:sz w:val="24"/>
          <w:szCs w:val="24"/>
          <w:lang w:val="ro-MD"/>
        </w:rPr>
        <w:t xml:space="preserve">deși în condițiile art.70 din Legea nr.181 din 25.07.2014, cu referire la cheltuielile pentru subsidii, nu sunt prevăzute excepții, </w:t>
      </w:r>
      <w:r w:rsidRPr="00254AC0">
        <w:rPr>
          <w:rFonts w:asciiTheme="majorHAnsi" w:eastAsia="Times New Roman" w:hAnsiTheme="majorHAnsi" w:cstheme="majorHAnsi"/>
          <w:bCs/>
          <w:sz w:val="24"/>
          <w:szCs w:val="24"/>
          <w:lang w:val="ro-MD"/>
        </w:rPr>
        <w:t xml:space="preserve">soldurile mijloacelor bănești neutilizate pe parcursul anului provenite din subsidii nu sunt supuse operațiunilor de închidere la finele anului bugetar și rămân pasibile utilizării în contul anului următor, </w:t>
      </w:r>
      <w:r w:rsidRPr="00254AC0">
        <w:rPr>
          <w:rFonts w:asciiTheme="majorHAnsi" w:eastAsia="Times New Roman" w:hAnsiTheme="majorHAnsi" w:cstheme="majorHAnsi"/>
          <w:bCs/>
          <w:iCs/>
          <w:sz w:val="24"/>
          <w:szCs w:val="24"/>
          <w:lang w:val="ro-MD"/>
        </w:rPr>
        <w:t xml:space="preserve">se evidențiază abordarea neuniformă comparativ cu instituțiile bugetare. </w:t>
      </w:r>
      <w:r w:rsidRPr="00254AC0">
        <w:rPr>
          <w:rFonts w:asciiTheme="majorHAnsi" w:eastAsia="Times New Roman" w:hAnsiTheme="majorHAnsi" w:cstheme="majorHAnsi"/>
          <w:bCs/>
          <w:sz w:val="24"/>
          <w:szCs w:val="24"/>
          <w:lang w:val="ro-MD"/>
        </w:rPr>
        <w:t xml:space="preserve">În aceste circumstanțe, auditul relevă imobilizarea resurselor financiare ale </w:t>
      </w:r>
      <w:r w:rsidRPr="00254AC0">
        <w:rPr>
          <w:rFonts w:asciiTheme="majorHAnsi" w:eastAsia="Times New Roman" w:hAnsiTheme="majorHAnsi" w:cstheme="majorHAnsi"/>
          <w:bCs/>
          <w:iCs/>
          <w:sz w:val="24"/>
          <w:szCs w:val="24"/>
          <w:lang w:val="ro-MD"/>
        </w:rPr>
        <w:t xml:space="preserve">BS pe un termen nedeterminat, dar care pot fi potențiale surse de finanțare pentru alte scopuri stringente ale statului în condițiile bugetului deficitar și ale limitării surselor de finanțare a acestuia. Totodată, conform motivațiilor prezentate auditului, MF informează că </w:t>
      </w:r>
      <w:r w:rsidRPr="00254AC0">
        <w:rPr>
          <w:rFonts w:asciiTheme="majorHAnsi" w:eastAsia="Times New Roman" w:hAnsiTheme="majorHAnsi" w:cstheme="majorHAnsi"/>
          <w:bCs/>
          <w:i/>
          <w:iCs/>
          <w:sz w:val="24"/>
          <w:szCs w:val="24"/>
          <w:lang w:val="ro-MD"/>
        </w:rPr>
        <w:t>„va iniția acțiuni de elaborare a cadrului normativ pentru depășirea situației relatate, însă implementarea recomandării de audit aferentă constatării în cauză va fi posibilă în perspectivă medie (2-3 ani), deoarece la o primă etapă este necesară uniformizarea cadrului normativ de organizare și funcționare a instituțiilor publice la autogestiune.”;</w:t>
      </w:r>
    </w:p>
    <w:p w:rsidR="00254AC0" w:rsidRPr="00254AC0" w:rsidRDefault="00254AC0" w:rsidP="00C8799A">
      <w:pPr>
        <w:numPr>
          <w:ilvl w:val="0"/>
          <w:numId w:val="3"/>
        </w:numPr>
        <w:tabs>
          <w:tab w:val="left" w:pos="284"/>
          <w:tab w:val="left" w:pos="851"/>
        </w:tabs>
        <w:spacing w:after="0" w:line="276" w:lineRule="auto"/>
        <w:ind w:left="0" w:firstLine="709"/>
        <w:contextualSpacing/>
        <w:jc w:val="both"/>
        <w:rPr>
          <w:rFonts w:asciiTheme="majorHAnsi" w:eastAsia="Times New Roman" w:hAnsiTheme="majorHAnsi" w:cstheme="majorHAnsi"/>
          <w:bCs/>
          <w:iCs/>
          <w:sz w:val="24"/>
          <w:szCs w:val="24"/>
          <w:lang w:val="ro-MD"/>
        </w:rPr>
      </w:pPr>
      <w:r w:rsidRPr="00254AC0">
        <w:rPr>
          <w:rFonts w:asciiTheme="majorHAnsi" w:eastAsia="Times New Roman" w:hAnsiTheme="majorHAnsi" w:cstheme="majorHAnsi"/>
          <w:bCs/>
          <w:sz w:val="24"/>
          <w:szCs w:val="24"/>
          <w:lang w:val="ro-MD"/>
        </w:rPr>
        <w:t xml:space="preserve">în cadrul auditului financiar la MSMPS s-a constatat: </w:t>
      </w:r>
      <w:r w:rsidRPr="00254AC0">
        <w:rPr>
          <w:rFonts w:asciiTheme="majorHAnsi" w:eastAsia="Times New Roman" w:hAnsiTheme="majorHAnsi" w:cstheme="majorHAnsi"/>
          <w:bCs/>
          <w:i/>
          <w:sz w:val="24"/>
          <w:szCs w:val="24"/>
          <w:lang w:val="ro-MD"/>
        </w:rPr>
        <w:t>(i)</w:t>
      </w:r>
      <w:r w:rsidRPr="00254AC0">
        <w:rPr>
          <w:rFonts w:asciiTheme="majorHAnsi" w:eastAsia="Times New Roman" w:hAnsiTheme="majorHAnsi" w:cstheme="majorHAnsi"/>
          <w:bCs/>
          <w:sz w:val="24"/>
          <w:szCs w:val="24"/>
          <w:lang w:val="ro-MD"/>
        </w:rPr>
        <w:t xml:space="preserve"> </w:t>
      </w:r>
      <w:r w:rsidRPr="00254AC0">
        <w:rPr>
          <w:rFonts w:asciiTheme="majorHAnsi" w:eastAsia="Times New Roman" w:hAnsiTheme="majorHAnsi" w:cstheme="majorHAnsi"/>
          <w:sz w:val="24"/>
          <w:szCs w:val="24"/>
          <w:lang w:val="ro-MD" w:eastAsia="ru-RU"/>
        </w:rPr>
        <w:t>nerespectarea reglementărilor privind întocmirea documentelor justificative și contabile pentru operațiunile efectuate aferente executării subsidiilor</w:t>
      </w:r>
      <w:r w:rsidRPr="00254AC0">
        <w:rPr>
          <w:rFonts w:asciiTheme="majorHAnsi" w:eastAsia="Times New Roman" w:hAnsiTheme="majorHAnsi" w:cstheme="majorHAnsi"/>
          <w:sz w:val="24"/>
          <w:szCs w:val="24"/>
          <w:lang w:eastAsia="ru-RU"/>
        </w:rPr>
        <w:t xml:space="preserve"> în sumă de 8,1 mil. lei, din care subsidii în sumă de 6,8 mil. lei au fost executate contrar destinației; </w:t>
      </w:r>
      <w:r w:rsidRPr="00254AC0">
        <w:rPr>
          <w:rFonts w:asciiTheme="majorHAnsi" w:eastAsia="Times New Roman" w:hAnsiTheme="majorHAnsi" w:cstheme="majorHAnsi"/>
          <w:i/>
          <w:sz w:val="24"/>
          <w:szCs w:val="24"/>
          <w:lang w:eastAsia="ru-RU"/>
        </w:rPr>
        <w:t>(ii)</w:t>
      </w:r>
      <w:r w:rsidRPr="00254AC0">
        <w:rPr>
          <w:rFonts w:asciiTheme="majorHAnsi" w:eastAsia="Times New Roman" w:hAnsiTheme="majorHAnsi" w:cstheme="majorHAnsi"/>
          <w:sz w:val="24"/>
          <w:szCs w:val="24"/>
          <w:lang w:eastAsia="ru-RU"/>
        </w:rPr>
        <w:t xml:space="preserve"> </w:t>
      </w:r>
      <w:r w:rsidRPr="00254AC0">
        <w:rPr>
          <w:rFonts w:asciiTheme="majorHAnsi" w:hAnsiTheme="majorHAnsi" w:cstheme="majorHAnsi"/>
          <w:noProof/>
          <w:sz w:val="24"/>
          <w:szCs w:val="24"/>
          <w:lang w:val="ro-MD"/>
        </w:rPr>
        <w:t xml:space="preserve">imobilizarea pe un termen nedeterminat a mijloacelor publice în sumă de 10,0 mil. lei transferate în avans </w:t>
      </w:r>
      <w:r w:rsidRPr="00254AC0">
        <w:rPr>
          <w:rFonts w:asciiTheme="majorHAnsi" w:hAnsiTheme="majorHAnsi" w:cstheme="majorHAnsi"/>
          <w:noProof/>
          <w:sz w:val="24"/>
          <w:szCs w:val="24"/>
        </w:rPr>
        <w:t xml:space="preserve">(04.11.2019) </w:t>
      </w:r>
      <w:r w:rsidRPr="00254AC0">
        <w:rPr>
          <w:rFonts w:asciiTheme="majorHAnsi" w:hAnsiTheme="majorHAnsi" w:cstheme="majorHAnsi"/>
          <w:noProof/>
          <w:sz w:val="24"/>
          <w:szCs w:val="24"/>
          <w:lang w:val="ro-MD"/>
        </w:rPr>
        <w:t xml:space="preserve">Agenției Internaționale pentru Energie Atomică, </w:t>
      </w:r>
      <w:r w:rsidRPr="00254AC0">
        <w:rPr>
          <w:rFonts w:asciiTheme="majorHAnsi" w:hAnsiTheme="majorHAnsi" w:cstheme="majorHAnsi"/>
          <w:noProof/>
          <w:sz w:val="24"/>
          <w:szCs w:val="24"/>
        </w:rPr>
        <w:t>fără temei juridic și economic la data viramentului. Mijloacele alocate nu au realizat scopul propus, fiind întârziată considerabil inițierea procedurii de achiziție publică, care la moment (iunie 2020) nu este finalizată.</w:t>
      </w:r>
    </w:p>
    <w:p w:rsidR="00254AC0" w:rsidRPr="00254AC0" w:rsidRDefault="00254AC0" w:rsidP="00B01E5F">
      <w:pPr>
        <w:numPr>
          <w:ilvl w:val="0"/>
          <w:numId w:val="5"/>
        </w:numPr>
        <w:tabs>
          <w:tab w:val="left" w:pos="142"/>
          <w:tab w:val="left" w:pos="426"/>
          <w:tab w:val="left" w:pos="1134"/>
        </w:tabs>
        <w:spacing w:after="0" w:line="276" w:lineRule="auto"/>
        <w:ind w:left="0" w:firstLine="0"/>
        <w:contextualSpacing/>
        <w:jc w:val="both"/>
        <w:rPr>
          <w:rFonts w:asciiTheme="majorHAnsi" w:eastAsia="Times New Roman" w:hAnsiTheme="majorHAnsi" w:cstheme="majorHAnsi"/>
          <w:sz w:val="24"/>
          <w:szCs w:val="24"/>
          <w:lang w:val="ro-MD"/>
        </w:rPr>
      </w:pPr>
      <w:r w:rsidRPr="00254AC0">
        <w:rPr>
          <w:rFonts w:asciiTheme="majorHAnsi" w:hAnsiTheme="majorHAnsi" w:cstheme="majorHAnsi"/>
          <w:color w:val="212121"/>
          <w:sz w:val="24"/>
          <w:szCs w:val="24"/>
          <w:lang w:val="ro-MD"/>
        </w:rPr>
        <w:t xml:space="preserve">Echipa de audit a constatat la MAEIE lipsa metodologiei de înregistrare și raportare a operațiunilor economice pentru instituțiile bugetare amplasate peste hotare, având în vedere specificul de activitate al instituțiilor serviciului diplomatic, ceea ce a cauzat neidenticitatea datelor din diferite forme de raportare prezentate MF, cu efect posibil de denaturare a datelor prezentate în Raportul Guvernului privind executarea bugetului de stat pe anul 2019, după cum urmează: 0,5 mil. lei – venituri din realizarea activelor de către instituții, 2,3 mil. lei – rambursarea mijloacelor bugetare din anii precedenți, 1,3 mil. lei – restituirea cauțiunii etc. </w:t>
      </w:r>
    </w:p>
    <w:p w:rsidR="00254AC0" w:rsidRPr="00254AC0" w:rsidRDefault="00254AC0" w:rsidP="00254AC0">
      <w:pPr>
        <w:spacing w:after="0"/>
        <w:jc w:val="both"/>
        <w:rPr>
          <w:rFonts w:asciiTheme="majorHAnsi" w:hAnsiTheme="majorHAnsi" w:cstheme="majorHAnsi"/>
          <w:sz w:val="24"/>
          <w:szCs w:val="24"/>
        </w:rPr>
      </w:pPr>
      <w:r w:rsidRPr="00254AC0">
        <w:rPr>
          <w:rFonts w:asciiTheme="majorHAnsi" w:hAnsiTheme="majorHAnsi" w:cstheme="majorHAnsi"/>
          <w:sz w:val="24"/>
          <w:szCs w:val="24"/>
        </w:rPr>
        <w:t>Opinia nu este modificată din cauza acestor aspecte.</w:t>
      </w:r>
    </w:p>
    <w:p w:rsidR="00254AC0" w:rsidRPr="00254AC0" w:rsidRDefault="00254AC0" w:rsidP="00254AC0">
      <w:pPr>
        <w:tabs>
          <w:tab w:val="left" w:pos="284"/>
          <w:tab w:val="left" w:pos="993"/>
        </w:tabs>
        <w:spacing w:after="0" w:line="276" w:lineRule="auto"/>
        <w:contextualSpacing/>
        <w:jc w:val="both"/>
        <w:rPr>
          <w:rFonts w:asciiTheme="majorHAnsi" w:eastAsia="Times New Roman" w:hAnsiTheme="majorHAnsi" w:cstheme="majorHAnsi"/>
          <w:sz w:val="24"/>
          <w:szCs w:val="24"/>
        </w:rPr>
      </w:pPr>
    </w:p>
    <w:bookmarkEnd w:id="3"/>
    <w:p w:rsidR="00254AC0" w:rsidRPr="00254AC0" w:rsidRDefault="00254AC0" w:rsidP="00BE3DFC">
      <w:pPr>
        <w:numPr>
          <w:ilvl w:val="0"/>
          <w:numId w:val="4"/>
        </w:numPr>
        <w:tabs>
          <w:tab w:val="left" w:pos="426"/>
        </w:tabs>
        <w:spacing w:after="0" w:line="276" w:lineRule="auto"/>
        <w:ind w:left="0" w:firstLine="0"/>
        <w:contextualSpacing/>
        <w:rPr>
          <w:rFonts w:asciiTheme="majorHAnsi" w:eastAsia="Times New Roman" w:hAnsiTheme="majorHAnsi" w:cstheme="majorHAnsi"/>
          <w:b/>
          <w:color w:val="000000" w:themeColor="text1"/>
          <w:sz w:val="28"/>
          <w:szCs w:val="28"/>
          <w:lang w:val="ro-MD"/>
        </w:rPr>
      </w:pPr>
      <w:r w:rsidRPr="00254AC0">
        <w:rPr>
          <w:rFonts w:asciiTheme="majorHAnsi" w:eastAsia="Times New Roman" w:hAnsiTheme="majorHAnsi" w:cstheme="majorHAnsi"/>
          <w:b/>
          <w:color w:val="000000" w:themeColor="text1"/>
          <w:sz w:val="28"/>
          <w:szCs w:val="28"/>
          <w:lang w:val="ro-MD"/>
        </w:rPr>
        <w:t>ASPECTE-CHEIE DE AUDIT</w:t>
      </w:r>
    </w:p>
    <w:p w:rsidR="00254AC0" w:rsidRPr="00254AC0" w:rsidRDefault="00254AC0" w:rsidP="00254AC0">
      <w:pPr>
        <w:tabs>
          <w:tab w:val="left" w:pos="720"/>
        </w:tabs>
        <w:spacing w:after="0" w:line="276" w:lineRule="auto"/>
        <w:ind w:right="49"/>
        <w:jc w:val="both"/>
        <w:rPr>
          <w:rFonts w:asciiTheme="majorHAnsi" w:eastAsia="Calibri" w:hAnsiTheme="majorHAnsi" w:cstheme="majorHAnsi"/>
          <w:sz w:val="24"/>
          <w:szCs w:val="24"/>
        </w:rPr>
      </w:pPr>
      <w:r w:rsidRPr="00254AC0">
        <w:rPr>
          <w:rFonts w:asciiTheme="majorHAnsi" w:eastAsia="Calibri" w:hAnsiTheme="majorHAnsi" w:cstheme="majorHAnsi"/>
          <w:sz w:val="24"/>
          <w:szCs w:val="24"/>
        </w:rPr>
        <w:t xml:space="preserve">Aspectele-cheie de audit sunt acele aspecte care, în baza raționamentului nostru profesional, au avut cea mai mare importanță pentru auditul </w:t>
      </w:r>
      <w:r w:rsidRPr="00254AC0">
        <w:rPr>
          <w:rFonts w:asciiTheme="majorHAnsi" w:hAnsiTheme="majorHAnsi" w:cstheme="majorHAnsi"/>
          <w:sz w:val="24"/>
          <w:szCs w:val="24"/>
        </w:rPr>
        <w:t>Raportului privind executarea bugetului de stat pe anul de gestiune încheiat la 31 decembrie 2019</w:t>
      </w:r>
      <w:r w:rsidRPr="00254AC0">
        <w:rPr>
          <w:rFonts w:asciiTheme="majorHAnsi" w:eastAsia="Calibri" w:hAnsiTheme="majorHAnsi" w:cstheme="majorHAnsi"/>
          <w:sz w:val="24"/>
          <w:szCs w:val="24"/>
        </w:rPr>
        <w:t>. Aceste aspecte au fost abordate în contextul auditului Raportului în ansamblu și în formarea opiniei noastre asupra acestuia și nu oferim o opinie separată cu privire la aceste aspecte. Considerăm că aspectele descrise mai jos, deși nu au influențat opinia noastră de audit, reprezintă aspectele-cheie de audit care trebuie comunicate în Raportul nostru.</w:t>
      </w:r>
    </w:p>
    <w:p w:rsidR="00254AC0" w:rsidRPr="00254AC0" w:rsidRDefault="00254AC0" w:rsidP="00254AC0">
      <w:pPr>
        <w:tabs>
          <w:tab w:val="left" w:pos="720"/>
        </w:tabs>
        <w:spacing w:after="0" w:line="276" w:lineRule="auto"/>
        <w:ind w:right="49"/>
        <w:jc w:val="both"/>
        <w:rPr>
          <w:rFonts w:asciiTheme="majorHAnsi" w:eastAsia="Calibri" w:hAnsiTheme="majorHAnsi" w:cstheme="majorHAnsi"/>
          <w:sz w:val="24"/>
          <w:szCs w:val="24"/>
        </w:rPr>
      </w:pPr>
    </w:p>
    <w:p w:rsidR="00254AC0" w:rsidRPr="00254AC0" w:rsidRDefault="00254AC0" w:rsidP="00254AC0">
      <w:pPr>
        <w:tabs>
          <w:tab w:val="left" w:pos="0"/>
        </w:tabs>
        <w:spacing w:after="0" w:line="276" w:lineRule="auto"/>
        <w:contextualSpacing/>
        <w:jc w:val="both"/>
        <w:outlineLvl w:val="2"/>
        <w:rPr>
          <w:rFonts w:asciiTheme="majorHAnsi" w:hAnsiTheme="majorHAnsi" w:cstheme="majorHAnsi"/>
          <w:b/>
          <w:sz w:val="24"/>
          <w:szCs w:val="24"/>
          <w:lang w:val="ro-MD"/>
        </w:rPr>
      </w:pPr>
      <w:r w:rsidRPr="00254AC0">
        <w:rPr>
          <w:rFonts w:asciiTheme="majorHAnsi" w:eastAsia="Times New Roman" w:hAnsiTheme="majorHAnsi" w:cstheme="majorHAnsi"/>
          <w:b/>
          <w:sz w:val="24"/>
          <w:szCs w:val="24"/>
          <w:lang w:val="ro-MD"/>
        </w:rPr>
        <w:t>4.</w:t>
      </w:r>
      <w:bookmarkStart w:id="4" w:name="_Toc10126088"/>
      <w:r w:rsidRPr="00254AC0">
        <w:rPr>
          <w:rFonts w:asciiTheme="majorHAnsi" w:eastAsia="Times New Roman" w:hAnsiTheme="majorHAnsi" w:cstheme="majorHAnsi"/>
          <w:b/>
          <w:sz w:val="24"/>
          <w:szCs w:val="24"/>
          <w:lang w:val="ro-MD"/>
        </w:rPr>
        <w:t>1.</w:t>
      </w:r>
      <w:r w:rsidRPr="00254AC0">
        <w:rPr>
          <w:rFonts w:asciiTheme="majorHAnsi" w:hAnsiTheme="majorHAnsi" w:cstheme="majorHAnsi"/>
          <w:b/>
          <w:sz w:val="24"/>
          <w:szCs w:val="24"/>
          <w:lang w:val="ro-MD"/>
        </w:rPr>
        <w:t xml:space="preserve"> Rezultatul execuției bugetului de stat înregistrează un deficit de 3 106,0 mil. </w:t>
      </w:r>
      <w:bookmarkEnd w:id="4"/>
      <w:r w:rsidRPr="00254AC0">
        <w:rPr>
          <w:rFonts w:asciiTheme="majorHAnsi" w:hAnsiTheme="majorHAnsi" w:cstheme="majorHAnsi"/>
          <w:b/>
          <w:sz w:val="24"/>
          <w:szCs w:val="24"/>
          <w:lang w:val="ro-MD"/>
        </w:rPr>
        <w:t>lei</w:t>
      </w:r>
    </w:p>
    <w:p w:rsidR="00254AC0" w:rsidRPr="00254AC0" w:rsidRDefault="00254AC0" w:rsidP="00254AC0">
      <w:pPr>
        <w:spacing w:after="0" w:line="276" w:lineRule="auto"/>
        <w:jc w:val="both"/>
        <w:rPr>
          <w:rFonts w:asciiTheme="majorHAnsi" w:eastAsia="Times New Roman" w:hAnsiTheme="majorHAnsi" w:cstheme="majorHAnsi"/>
          <w:sz w:val="24"/>
          <w:szCs w:val="24"/>
          <w:lang w:eastAsia="ru-RU"/>
        </w:rPr>
      </w:pPr>
      <w:r w:rsidRPr="00254AC0">
        <w:rPr>
          <w:rFonts w:asciiTheme="majorHAnsi" w:hAnsiTheme="majorHAnsi" w:cstheme="majorHAnsi"/>
          <w:sz w:val="24"/>
          <w:szCs w:val="24"/>
          <w:lang w:val="ro-MD"/>
        </w:rPr>
        <w:t>R</w:t>
      </w:r>
      <w:r w:rsidRPr="00254AC0">
        <w:rPr>
          <w:rFonts w:asciiTheme="majorHAnsi" w:hAnsiTheme="majorHAnsi" w:cstheme="majorHAnsi"/>
          <w:sz w:val="24"/>
          <w:szCs w:val="24"/>
        </w:rPr>
        <w:t xml:space="preserve">ezultatul execuției BS (deficitul) în anul 2019, în comparație cu anul 2018, a înregistrat o creștere de 36,5%, iar față de anul 2017, de 102,8%. </w:t>
      </w:r>
      <w:r w:rsidRPr="00254AC0">
        <w:rPr>
          <w:rFonts w:asciiTheme="majorHAnsi" w:hAnsiTheme="majorHAnsi" w:cstheme="majorHAnsi"/>
          <w:sz w:val="24"/>
          <w:szCs w:val="24"/>
          <w:lang w:val="ro-MD"/>
        </w:rPr>
        <w:t>Majorarea</w:t>
      </w:r>
      <w:r w:rsidRPr="00254AC0">
        <w:rPr>
          <w:rFonts w:asciiTheme="majorHAnsi" w:hAnsiTheme="majorHAnsi" w:cstheme="majorHAnsi"/>
          <w:sz w:val="24"/>
          <w:szCs w:val="24"/>
        </w:rPr>
        <w:t xml:space="preserve"> deficitului a fost efectuată în scopul păstrării în vizor a cheltuielilor sociale, a celor aferente implementării noului sistem de salarizare în sistemul bugetar și a investițiilor pentru proiectele demarate.</w:t>
      </w:r>
      <w:r w:rsidRPr="00254AC0">
        <w:rPr>
          <w:rFonts w:asciiTheme="majorHAnsi" w:eastAsia="Times New Roman" w:hAnsiTheme="majorHAnsi" w:cstheme="majorHAnsi"/>
          <w:sz w:val="24"/>
          <w:szCs w:val="24"/>
          <w:lang w:eastAsia="ru-RU"/>
        </w:rPr>
        <w:t xml:space="preserve"> </w:t>
      </w:r>
      <w:r w:rsidRPr="00254AC0">
        <w:rPr>
          <w:rFonts w:asciiTheme="majorHAnsi" w:hAnsiTheme="majorHAnsi" w:cstheme="majorHAnsi"/>
          <w:sz w:val="24"/>
          <w:szCs w:val="24"/>
          <w:lang w:val="ro-MD"/>
        </w:rPr>
        <w:t xml:space="preserve">Deficitul </w:t>
      </w:r>
      <w:r w:rsidRPr="00254AC0">
        <w:rPr>
          <w:rFonts w:asciiTheme="majorHAnsi" w:eastAsia="Times New Roman" w:hAnsiTheme="majorHAnsi" w:cstheme="majorHAnsi"/>
          <w:sz w:val="24"/>
          <w:szCs w:val="24"/>
          <w:lang w:eastAsia="ru-RU"/>
        </w:rPr>
        <w:t xml:space="preserve">BS, </w:t>
      </w:r>
      <w:r w:rsidRPr="00254AC0">
        <w:rPr>
          <w:rFonts w:asciiTheme="majorHAnsi" w:hAnsiTheme="majorHAnsi" w:cstheme="majorHAnsi"/>
          <w:sz w:val="24"/>
          <w:szCs w:val="24"/>
          <w:lang w:val="ro-MD"/>
        </w:rPr>
        <w:t>ca pondere în PIB, este în creștere, în anul 2019</w:t>
      </w:r>
      <w:r w:rsidRPr="00254AC0">
        <w:rPr>
          <w:rFonts w:asciiTheme="majorHAnsi" w:eastAsia="Times New Roman" w:hAnsiTheme="majorHAnsi" w:cstheme="majorHAnsi"/>
          <w:sz w:val="24"/>
          <w:szCs w:val="24"/>
          <w:lang w:eastAsia="ru-RU"/>
        </w:rPr>
        <w:t xml:space="preserve"> a constituit 1,5%, sau mai puțin față de indicatorul prognozat (2,7%) cu 1,2 p.p., în anul 2018 – 1,2%, și în anul 2017 – 0,9%. </w:t>
      </w:r>
      <w:r w:rsidRPr="00254AC0">
        <w:rPr>
          <w:rFonts w:asciiTheme="majorHAnsi" w:eastAsia="Times New Roman" w:hAnsiTheme="majorHAnsi" w:cstheme="majorHAnsi"/>
          <w:sz w:val="24"/>
          <w:szCs w:val="24"/>
          <w:lang w:val="ro-MD" w:eastAsia="ru-RU"/>
        </w:rPr>
        <w:t xml:space="preserve">Finanțarea deficitului BS în anul 2019 s-a efectuat din surse interne și externe: din valorificarea împrumuturilor pentru finanțarea proiectelor finanțate din surse externe și pentru susținerea bugetului, acțiuni în formă de participare în capital (procurarea pachetelor de acțiuni și venituri din privatizare), din mijloacele bănești provenite din soldurile la contul BS etc. </w:t>
      </w:r>
      <w:r w:rsidRPr="00254AC0">
        <w:rPr>
          <w:rFonts w:asciiTheme="majorHAnsi" w:hAnsiTheme="majorHAnsi" w:cstheme="majorHAnsi"/>
          <w:i/>
          <w:sz w:val="24"/>
          <w:szCs w:val="24"/>
        </w:rPr>
        <w:t>Sursele de finanțare a deficitului bugetului de stat se prezintă în Anexa nr.4 la prezentul Raport de audit.</w:t>
      </w:r>
    </w:p>
    <w:p w:rsidR="00254AC0" w:rsidRPr="00254AC0" w:rsidRDefault="00254AC0" w:rsidP="00254AC0">
      <w:pPr>
        <w:spacing w:before="240" w:after="0" w:line="276" w:lineRule="auto"/>
        <w:contextualSpacing/>
        <w:jc w:val="both"/>
        <w:rPr>
          <w:rFonts w:asciiTheme="majorHAnsi" w:hAnsiTheme="majorHAnsi" w:cstheme="majorHAnsi"/>
          <w:sz w:val="24"/>
          <w:szCs w:val="24"/>
        </w:rPr>
      </w:pPr>
      <w:r w:rsidRPr="00254AC0">
        <w:rPr>
          <w:rFonts w:asciiTheme="majorHAnsi" w:hAnsiTheme="majorHAnsi" w:cstheme="majorHAnsi"/>
          <w:sz w:val="24"/>
          <w:szCs w:val="24"/>
        </w:rPr>
        <w:t>Verificările auditului asupra conformității formării surselor de finanțare</w:t>
      </w:r>
      <w:r w:rsidRPr="00254AC0">
        <w:rPr>
          <w:rFonts w:asciiTheme="majorHAnsi" w:hAnsiTheme="majorHAnsi" w:cstheme="majorHAnsi"/>
          <w:sz w:val="24"/>
          <w:szCs w:val="24"/>
          <w:vertAlign w:val="superscript"/>
        </w:rPr>
        <w:footnoteReference w:id="17"/>
      </w:r>
      <w:r w:rsidRPr="00254AC0">
        <w:rPr>
          <w:rFonts w:asciiTheme="majorHAnsi" w:hAnsiTheme="majorHAnsi" w:cstheme="majorHAnsi"/>
          <w:sz w:val="24"/>
          <w:szCs w:val="24"/>
        </w:rPr>
        <w:t xml:space="preserve"> a deficitului BS în anul 2019 au relevat următoarele:</w:t>
      </w:r>
    </w:p>
    <w:p w:rsidR="00254AC0" w:rsidRPr="00254AC0" w:rsidRDefault="00254AC0" w:rsidP="009C575C">
      <w:pPr>
        <w:widowControl w:val="0"/>
        <w:numPr>
          <w:ilvl w:val="0"/>
          <w:numId w:val="3"/>
        </w:numPr>
        <w:tabs>
          <w:tab w:val="left" w:pos="142"/>
          <w:tab w:val="left" w:pos="851"/>
        </w:tabs>
        <w:spacing w:after="0" w:line="276" w:lineRule="auto"/>
        <w:ind w:left="0" w:right="-1" w:firstLine="709"/>
        <w:contextualSpacing/>
        <w:jc w:val="both"/>
        <w:rPr>
          <w:rFonts w:asciiTheme="majorHAnsi" w:eastAsia="Times New Roman" w:hAnsiTheme="majorHAnsi" w:cstheme="majorHAnsi"/>
          <w:color w:val="000000"/>
          <w:sz w:val="24"/>
          <w:szCs w:val="24"/>
          <w:lang w:eastAsia="ru-RU" w:bidi="ro-RO"/>
        </w:rPr>
      </w:pPr>
      <w:r w:rsidRPr="00254AC0">
        <w:rPr>
          <w:rFonts w:asciiTheme="majorHAnsi" w:eastAsia="Times New Roman" w:hAnsiTheme="majorHAnsi" w:cstheme="majorHAnsi"/>
          <w:color w:val="000000"/>
          <w:sz w:val="24"/>
          <w:szCs w:val="24"/>
          <w:lang w:eastAsia="ru-RU" w:bidi="ro-RO"/>
        </w:rPr>
        <w:t>în total au fost aprobate venituri ce urmau a fi încasate</w:t>
      </w:r>
      <w:r w:rsidRPr="00254AC0">
        <w:rPr>
          <w:rFonts w:asciiTheme="majorHAnsi" w:eastAsia="Times New Roman" w:hAnsiTheme="majorHAnsi" w:cstheme="majorHAnsi"/>
          <w:b/>
          <w:color w:val="000000"/>
          <w:sz w:val="24"/>
          <w:szCs w:val="24"/>
          <w:lang w:eastAsia="ru-RU" w:bidi="ro-RO"/>
        </w:rPr>
        <w:t xml:space="preserve"> </w:t>
      </w:r>
      <w:r w:rsidRPr="00254AC0">
        <w:rPr>
          <w:rFonts w:asciiTheme="majorHAnsi" w:eastAsia="Times New Roman" w:hAnsiTheme="majorHAnsi" w:cstheme="majorHAnsi"/>
          <w:color w:val="000000"/>
          <w:sz w:val="24"/>
          <w:szCs w:val="24"/>
          <w:lang w:eastAsia="ru-RU" w:bidi="ro-RO"/>
        </w:rPr>
        <w:t>în BS din privatizarea bunurilor</w:t>
      </w:r>
      <w:r w:rsidR="007C1453">
        <w:rPr>
          <w:rFonts w:asciiTheme="majorHAnsi" w:eastAsia="Times New Roman" w:hAnsiTheme="majorHAnsi" w:cstheme="majorHAnsi"/>
          <w:color w:val="000000"/>
          <w:sz w:val="24"/>
          <w:szCs w:val="24"/>
          <w:lang w:eastAsia="ru-RU" w:bidi="ro-RO"/>
        </w:rPr>
        <w:t xml:space="preserve"> proprietate publică</w:t>
      </w:r>
      <w:r w:rsidRPr="00254AC0">
        <w:rPr>
          <w:rFonts w:asciiTheme="majorHAnsi" w:eastAsia="Times New Roman" w:hAnsiTheme="majorHAnsi" w:cstheme="majorHAnsi"/>
          <w:color w:val="000000"/>
          <w:sz w:val="24"/>
          <w:szCs w:val="24"/>
          <w:lang w:eastAsia="ru-RU" w:bidi="ro-RO"/>
        </w:rPr>
        <w:t xml:space="preserve">, în mărime de 200,0 mil. lei, ulterior fiind precizate în sumă de 963,5 mil. lei și executate în sumă de 945,4 mil. lei, sau la nivel de 98,1%, dar mai mult cu 143,4 mil. lei față de anul 2018. Drept </w:t>
      </w:r>
      <w:r w:rsidRPr="00254AC0">
        <w:rPr>
          <w:rFonts w:asciiTheme="majorHAnsi" w:eastAsia="Times New Roman" w:hAnsiTheme="majorHAnsi" w:cstheme="majorHAnsi"/>
          <w:color w:val="000000"/>
          <w:sz w:val="24"/>
          <w:szCs w:val="24"/>
          <w:lang w:val="ro-MD" w:eastAsia="ru-RU" w:bidi="ro-RO"/>
        </w:rPr>
        <w:t xml:space="preserve">urmare, au fost atribuite următoarele surse din privatizări: </w:t>
      </w:r>
      <w:r w:rsidRPr="00254AC0">
        <w:rPr>
          <w:rFonts w:asciiTheme="majorHAnsi" w:eastAsia="Times New Roman" w:hAnsiTheme="majorHAnsi" w:cstheme="majorHAnsi"/>
          <w:iCs/>
          <w:color w:val="000000"/>
          <w:sz w:val="24"/>
          <w:szCs w:val="24"/>
          <w:lang w:val="ro-MD" w:eastAsia="ru-RU" w:bidi="ro-RO"/>
        </w:rPr>
        <w:t>pachete de acțiuni ale SA „Tutun – CTC” (166,1 mil. lei) și un pachet de acțiuni nou-emise de banca de importanță sistemică BC „Moldinconbank” SA (763,5 mil. lei), 10 încăperi nelocuibile date în locațiune (14,4 mil. lei) și 2 terenuri aferente bunurilor imobile proprietate privată (1,3 mil. lei).</w:t>
      </w:r>
      <w:r w:rsidRPr="00254AC0">
        <w:rPr>
          <w:rFonts w:asciiTheme="majorHAnsi" w:eastAsia="Times New Roman" w:hAnsiTheme="majorHAnsi" w:cstheme="majorHAnsi"/>
          <w:color w:val="000000"/>
          <w:sz w:val="24"/>
          <w:szCs w:val="24"/>
          <w:lang w:eastAsia="ru-RU" w:bidi="ro-RO"/>
        </w:rPr>
        <w:t xml:space="preserve"> Astfel, în BS au fost încasate 181,9 mil. lei mijloace bănești din privatizarea bunurilor proprietate publică, sau la nivel de 90,9% față de suma precizată (cu excepția vânzării pachetului de acțiuni nou-emise de banca de importanță sistemică, în sumă de 763,5 mil. lei). </w:t>
      </w:r>
      <w:r w:rsidRPr="00254AC0">
        <w:rPr>
          <w:rFonts w:asciiTheme="majorHAnsi" w:eastAsia="Times New Roman" w:hAnsiTheme="majorHAnsi" w:cstheme="majorHAnsi"/>
          <w:sz w:val="24"/>
          <w:szCs w:val="24"/>
          <w:lang w:val="ro-MD"/>
        </w:rPr>
        <w:t xml:space="preserve">Concomitent, menționăm că la partea de venituri ale BS au fost achitate 9,7 mil. lei </w:t>
      </w:r>
      <w:r w:rsidRPr="00254AC0">
        <w:rPr>
          <w:rFonts w:asciiTheme="majorHAnsi" w:eastAsia="Times New Roman" w:hAnsiTheme="majorHAnsi" w:cstheme="majorHAnsi"/>
          <w:i/>
          <w:sz w:val="24"/>
          <w:szCs w:val="24"/>
          <w:lang w:val="ro-MD"/>
        </w:rPr>
        <w:t xml:space="preserve">(inclusiv 7,6 mil. lei achitate la procurarea </w:t>
      </w:r>
      <w:r w:rsidRPr="00254AC0">
        <w:rPr>
          <w:rFonts w:asciiTheme="majorHAnsi" w:eastAsia="Times New Roman" w:hAnsiTheme="majorHAnsi" w:cstheme="majorHAnsi"/>
          <w:i/>
          <w:iCs/>
          <w:color w:val="000000"/>
          <w:sz w:val="24"/>
          <w:szCs w:val="24"/>
          <w:lang w:val="ro-MD" w:eastAsia="ru-RU" w:bidi="ro-RO"/>
        </w:rPr>
        <w:t>pachetului de acțiuni nou-emise de  BC „Moldinconbank” SA</w:t>
      </w:r>
      <w:r w:rsidRPr="00254AC0">
        <w:rPr>
          <w:rFonts w:asciiTheme="majorHAnsi" w:eastAsia="Times New Roman" w:hAnsiTheme="majorHAnsi" w:cstheme="majorHAnsi"/>
          <w:i/>
          <w:sz w:val="24"/>
          <w:szCs w:val="24"/>
          <w:lang w:val="ro-MD"/>
        </w:rPr>
        <w:t>)</w:t>
      </w:r>
      <w:r w:rsidRPr="00254AC0">
        <w:rPr>
          <w:rFonts w:asciiTheme="majorHAnsi" w:eastAsia="Times New Roman" w:hAnsiTheme="majorHAnsi" w:cstheme="majorHAnsi"/>
          <w:sz w:val="24"/>
          <w:szCs w:val="24"/>
          <w:lang w:val="ro-MD"/>
        </w:rPr>
        <w:t xml:space="preserve">, ceea ce reprezintă 1% din valoarea de achiziție a bunurilor proprietate publică supuse privatizării, inclusiv din valoarea acțiunilor supuse privatizării </w:t>
      </w:r>
      <w:r w:rsidRPr="00254AC0">
        <w:rPr>
          <w:rFonts w:asciiTheme="majorHAnsi" w:eastAsia="Times New Roman" w:hAnsiTheme="majorHAnsi" w:cstheme="majorHAnsi"/>
          <w:i/>
          <w:sz w:val="24"/>
          <w:szCs w:val="24"/>
          <w:lang w:val="ro-MD"/>
        </w:rPr>
        <w:t>(impozit privat)</w:t>
      </w:r>
      <w:r w:rsidRPr="00254AC0">
        <w:rPr>
          <w:rFonts w:asciiTheme="majorHAnsi" w:eastAsia="Times New Roman" w:hAnsiTheme="majorHAnsi" w:cstheme="majorHAnsi"/>
          <w:sz w:val="24"/>
          <w:szCs w:val="24"/>
          <w:lang w:val="ro-MD"/>
        </w:rPr>
        <w:t>, așa cum este prevăzut de art.8 din Legea bugetului de stat pentru anul 2019;</w:t>
      </w:r>
    </w:p>
    <w:p w:rsidR="00254AC0" w:rsidRPr="00254AC0" w:rsidRDefault="00254AC0" w:rsidP="009C575C">
      <w:pPr>
        <w:widowControl w:val="0"/>
        <w:numPr>
          <w:ilvl w:val="0"/>
          <w:numId w:val="3"/>
        </w:numPr>
        <w:tabs>
          <w:tab w:val="left" w:pos="142"/>
          <w:tab w:val="left" w:pos="426"/>
          <w:tab w:val="left" w:pos="851"/>
        </w:tabs>
        <w:spacing w:after="0" w:line="276" w:lineRule="auto"/>
        <w:ind w:left="0" w:right="-1" w:firstLine="709"/>
        <w:contextualSpacing/>
        <w:jc w:val="both"/>
        <w:rPr>
          <w:rFonts w:asciiTheme="majorHAnsi" w:eastAsia="Times New Roman" w:hAnsiTheme="majorHAnsi" w:cstheme="majorHAnsi"/>
          <w:iCs/>
          <w:sz w:val="24"/>
          <w:szCs w:val="24"/>
        </w:rPr>
      </w:pPr>
      <w:r w:rsidRPr="00254AC0">
        <w:rPr>
          <w:rFonts w:asciiTheme="majorHAnsi" w:eastAsia="Times New Roman" w:hAnsiTheme="majorHAnsi" w:cstheme="majorHAnsi"/>
          <w:iCs/>
          <w:sz w:val="24"/>
          <w:szCs w:val="24"/>
        </w:rPr>
        <w:t>natura tranzacțiilor în sumă de 760,1 mil. lei ce țin de operațiunea de vânzare-cumpărare a</w:t>
      </w:r>
      <w:r w:rsidRPr="00254AC0">
        <w:rPr>
          <w:rFonts w:asciiTheme="majorHAnsi" w:hAnsiTheme="majorHAnsi" w:cstheme="majorHAnsi"/>
          <w:sz w:val="24"/>
          <w:szCs w:val="24"/>
        </w:rPr>
        <w:t xml:space="preserve"> acțiunilor nou-emise de banca menționată sunt considerate sensibile de către utilizatorii situațiilor financiare ale BS având în vedere pragul de semnificație valoric și calitativ. </w:t>
      </w:r>
      <w:r w:rsidRPr="00254AC0">
        <w:rPr>
          <w:rFonts w:asciiTheme="majorHAnsi" w:eastAsia="Times New Roman" w:hAnsiTheme="majorHAnsi" w:cstheme="majorHAnsi"/>
          <w:sz w:val="24"/>
          <w:szCs w:val="24"/>
          <w:lang w:val="ro-MD"/>
        </w:rPr>
        <w:t>Astfel, în temeiul art. 54</w:t>
      </w:r>
      <w:r w:rsidRPr="00254AC0">
        <w:rPr>
          <w:rFonts w:asciiTheme="majorHAnsi" w:eastAsia="Times New Roman" w:hAnsiTheme="majorHAnsi" w:cstheme="majorHAnsi"/>
          <w:sz w:val="24"/>
          <w:szCs w:val="24"/>
          <w:vertAlign w:val="superscript"/>
          <w:lang w:val="ro-MD"/>
        </w:rPr>
        <w:t>1</w:t>
      </w:r>
      <w:r w:rsidRPr="00254AC0">
        <w:rPr>
          <w:rFonts w:asciiTheme="majorHAnsi" w:eastAsia="Times New Roman" w:hAnsiTheme="majorHAnsi" w:cstheme="majorHAnsi"/>
          <w:sz w:val="24"/>
          <w:szCs w:val="24"/>
          <w:lang w:val="ro-MD"/>
        </w:rPr>
        <w:t xml:space="preserve"> din Legea nr.121 din 04.05.2007 și conform HG nr.51 din 30.01.2019</w:t>
      </w:r>
      <w:r w:rsidRPr="00254AC0">
        <w:rPr>
          <w:vertAlign w:val="superscript"/>
          <w:lang w:val="ro-MD"/>
        </w:rPr>
        <w:footnoteReference w:id="18"/>
      </w:r>
      <w:r w:rsidRPr="00254AC0">
        <w:rPr>
          <w:rFonts w:asciiTheme="majorHAnsi" w:eastAsia="Times New Roman" w:hAnsiTheme="majorHAnsi" w:cstheme="majorHAnsi"/>
          <w:sz w:val="24"/>
          <w:szCs w:val="24"/>
          <w:lang w:val="ro-MD"/>
        </w:rPr>
        <w:t xml:space="preserve">, APP a cumpărat în numele Guvernului (la data de 13.02.2019) acțiunile nou-emise de BC „Moldindconbank” SA în număr de 317 3751 unități, la valoarea de 760,1 mil. lei, în scopul vânzării pe piața reglementată a Bursei de Valori a Moldovei, prin intermediul licitației cu strigare, ca pachet unic. </w:t>
      </w:r>
      <w:r w:rsidRPr="00254AC0">
        <w:rPr>
          <w:rFonts w:asciiTheme="majorHAnsi" w:eastAsia="Times New Roman" w:hAnsiTheme="majorHAnsi" w:cstheme="majorHAnsi"/>
          <w:color w:val="000000" w:themeColor="text1"/>
          <w:sz w:val="24"/>
          <w:szCs w:val="24"/>
        </w:rPr>
        <w:t xml:space="preserve">Operațiunea respectivă s-a reflectat în surse de finanțare a deficitului la procurarea pachetelor de acțiuni: codul ECO 415131 cu semnul </w:t>
      </w:r>
      <w:r w:rsidR="00197AA0">
        <w:rPr>
          <w:rFonts w:asciiTheme="majorHAnsi" w:eastAsia="Times New Roman" w:hAnsiTheme="majorHAnsi" w:cstheme="majorHAnsi"/>
          <w:color w:val="000000" w:themeColor="text1"/>
          <w:sz w:val="24"/>
          <w:szCs w:val="24"/>
        </w:rPr>
        <w:t xml:space="preserve">  </w:t>
      </w:r>
      <w:r w:rsidRPr="00254AC0">
        <w:rPr>
          <w:rFonts w:asciiTheme="majorHAnsi" w:eastAsia="Times New Roman" w:hAnsiTheme="majorHAnsi" w:cstheme="majorHAnsi"/>
          <w:color w:val="000000" w:themeColor="text1"/>
          <w:sz w:val="24"/>
          <w:szCs w:val="24"/>
        </w:rPr>
        <w:t>(-) și vânzarea codului ECO 415236 cu semnul (+).</w:t>
      </w:r>
      <w:r w:rsidR="00E32C8F">
        <w:rPr>
          <w:rFonts w:asciiTheme="majorHAnsi" w:eastAsia="Times New Roman" w:hAnsiTheme="majorHAnsi" w:cstheme="majorHAnsi"/>
          <w:color w:val="000000" w:themeColor="text1"/>
          <w:sz w:val="24"/>
          <w:szCs w:val="24"/>
        </w:rPr>
        <w:t xml:space="preserve"> </w:t>
      </w:r>
      <w:r w:rsidRPr="00254AC0">
        <w:rPr>
          <w:rFonts w:asciiTheme="majorHAnsi" w:eastAsia="Times New Roman" w:hAnsiTheme="majorHAnsi" w:cstheme="majorHAnsi"/>
          <w:color w:val="000000" w:themeColor="text1"/>
          <w:sz w:val="24"/>
          <w:szCs w:val="24"/>
        </w:rPr>
        <w:t>MF consideră că „a fost respectat principiul transparenței bugetare în sensul prevederilor art. 12 din Legea finanțelor publice şi responsabilității bugetar-fiscale nr.181/2014. Nu a fost respectată prevederea conform căreia bugetele urmează a fi aprobate în legea bugetară anuală, dar aceasta corespunde art.67 alin. (4</w:t>
      </w:r>
      <w:r w:rsidRPr="00254AC0">
        <w:rPr>
          <w:rFonts w:asciiTheme="majorHAnsi" w:eastAsia="Times New Roman" w:hAnsiTheme="majorHAnsi" w:cstheme="majorHAnsi"/>
          <w:color w:val="000000" w:themeColor="text1"/>
          <w:sz w:val="24"/>
          <w:szCs w:val="24"/>
          <w:vertAlign w:val="superscript"/>
        </w:rPr>
        <w:t>1</w:t>
      </w:r>
      <w:r w:rsidRPr="00254AC0">
        <w:rPr>
          <w:rFonts w:asciiTheme="majorHAnsi" w:eastAsia="Times New Roman" w:hAnsiTheme="majorHAnsi" w:cstheme="majorHAnsi"/>
          <w:color w:val="000000" w:themeColor="text1"/>
          <w:sz w:val="24"/>
          <w:szCs w:val="24"/>
        </w:rPr>
        <w:t>) din Legea nr.181/2014, care permite astfel de operațiuni, indiferent dacă sunt sau nu prevăzute mijloace în legea bugetară anuală. Mai mult decât atât, operațiunea în cauză a fost efectuată în strictă corespundere cu prevederile art. 54</w:t>
      </w:r>
      <w:r w:rsidRPr="00254AC0">
        <w:rPr>
          <w:rFonts w:asciiTheme="majorHAnsi" w:eastAsia="Times New Roman" w:hAnsiTheme="majorHAnsi" w:cstheme="majorHAnsi"/>
          <w:color w:val="000000" w:themeColor="text1"/>
          <w:sz w:val="24"/>
          <w:szCs w:val="24"/>
          <w:vertAlign w:val="superscript"/>
        </w:rPr>
        <w:t>1</w:t>
      </w:r>
      <w:r w:rsidRPr="00254AC0">
        <w:rPr>
          <w:rFonts w:asciiTheme="majorHAnsi" w:eastAsia="Times New Roman" w:hAnsiTheme="majorHAnsi" w:cstheme="majorHAnsi"/>
          <w:color w:val="000000" w:themeColor="text1"/>
          <w:sz w:val="24"/>
          <w:szCs w:val="24"/>
        </w:rPr>
        <w:t xml:space="preserve"> din Legea nr. 121/2007 privind administrarea şi deetatizarea proprietății publice și art. 67 alin. (4</w:t>
      </w:r>
      <w:r w:rsidRPr="00254AC0">
        <w:rPr>
          <w:rFonts w:asciiTheme="majorHAnsi" w:eastAsia="Times New Roman" w:hAnsiTheme="majorHAnsi" w:cstheme="majorHAnsi"/>
          <w:color w:val="000000" w:themeColor="text1"/>
          <w:sz w:val="24"/>
          <w:szCs w:val="24"/>
          <w:vertAlign w:val="superscript"/>
        </w:rPr>
        <w:t>1</w:t>
      </w:r>
      <w:r w:rsidRPr="00254AC0">
        <w:rPr>
          <w:rFonts w:asciiTheme="majorHAnsi" w:eastAsia="Times New Roman" w:hAnsiTheme="majorHAnsi" w:cstheme="majorHAnsi"/>
          <w:color w:val="000000" w:themeColor="text1"/>
          <w:sz w:val="24"/>
          <w:szCs w:val="24"/>
        </w:rPr>
        <w:t xml:space="preserve">) din Legea finanțelor publice </w:t>
      </w:r>
      <w:r w:rsidR="002F1D92" w:rsidRPr="00254AC0">
        <w:rPr>
          <w:rFonts w:asciiTheme="majorHAnsi" w:eastAsia="Times New Roman" w:hAnsiTheme="majorHAnsi" w:cstheme="majorHAnsi"/>
          <w:color w:val="000000" w:themeColor="text1"/>
          <w:sz w:val="24"/>
          <w:szCs w:val="24"/>
        </w:rPr>
        <w:t>și</w:t>
      </w:r>
      <w:r w:rsidRPr="00254AC0">
        <w:rPr>
          <w:rFonts w:asciiTheme="majorHAnsi" w:eastAsia="Times New Roman" w:hAnsiTheme="majorHAnsi" w:cstheme="majorHAnsi"/>
          <w:color w:val="000000" w:themeColor="text1"/>
          <w:sz w:val="24"/>
          <w:szCs w:val="24"/>
        </w:rPr>
        <w:t xml:space="preserve"> respon</w:t>
      </w:r>
      <w:r w:rsidR="00FE14C8">
        <w:rPr>
          <w:rFonts w:asciiTheme="majorHAnsi" w:eastAsia="Times New Roman" w:hAnsiTheme="majorHAnsi" w:cstheme="majorHAnsi"/>
          <w:color w:val="000000" w:themeColor="text1"/>
          <w:sz w:val="24"/>
          <w:szCs w:val="24"/>
        </w:rPr>
        <w:t>sabilității bugetar-fiscale nr.</w:t>
      </w:r>
      <w:r w:rsidRPr="00254AC0">
        <w:rPr>
          <w:rFonts w:asciiTheme="majorHAnsi" w:eastAsia="Times New Roman" w:hAnsiTheme="majorHAnsi" w:cstheme="majorHAnsi"/>
          <w:color w:val="000000" w:themeColor="text1"/>
          <w:sz w:val="24"/>
          <w:szCs w:val="24"/>
        </w:rPr>
        <w:t>181/2014. Modificările din aceste legi, introduse în anii 2017 și 2020, vizează mecanismul utilizat în cazul băncilor sistemice, determinate de către Comitetul Național de Stabilitate Financiară, în baza deciziei Guvernului Republicii Moldova, într-un mod menit să asigure transparența maxim posibilă. Astfel, mecanismul prevăzut în lege are drept scop asigurarea stabilității financiare a băncilor de importanță sistemică și, ca rezultat, protejarea intereselor deponenților, ceea ce constituie un factor important în menținerea stabilității financiare a sectorului bancar și, implicit, a securității economice a statului.”;</w:t>
      </w:r>
    </w:p>
    <w:p w:rsidR="00254AC0" w:rsidRPr="00254AC0" w:rsidRDefault="00254AC0" w:rsidP="009C575C">
      <w:pPr>
        <w:widowControl w:val="0"/>
        <w:numPr>
          <w:ilvl w:val="0"/>
          <w:numId w:val="3"/>
        </w:numPr>
        <w:tabs>
          <w:tab w:val="left" w:pos="0"/>
          <w:tab w:val="left" w:pos="142"/>
          <w:tab w:val="left" w:pos="851"/>
        </w:tabs>
        <w:spacing w:after="0" w:line="276" w:lineRule="auto"/>
        <w:ind w:left="0" w:right="-1" w:firstLine="709"/>
        <w:contextualSpacing/>
        <w:jc w:val="both"/>
        <w:rPr>
          <w:rFonts w:asciiTheme="majorHAnsi" w:eastAsia="Times New Roman" w:hAnsiTheme="majorHAnsi" w:cstheme="majorHAnsi"/>
          <w:color w:val="000000"/>
          <w:sz w:val="24"/>
          <w:szCs w:val="24"/>
          <w:lang w:eastAsia="ru-RU" w:bidi="ro-RO"/>
        </w:rPr>
      </w:pPr>
      <w:r w:rsidRPr="00254AC0">
        <w:rPr>
          <w:rFonts w:asciiTheme="majorHAnsi" w:hAnsiTheme="majorHAnsi" w:cstheme="majorHAnsi"/>
          <w:sz w:val="24"/>
          <w:szCs w:val="24"/>
        </w:rPr>
        <w:t>p</w:t>
      </w:r>
      <w:r w:rsidRPr="00254AC0">
        <w:rPr>
          <w:rFonts w:asciiTheme="majorHAnsi" w:hAnsiTheme="majorHAnsi" w:cstheme="majorHAnsi"/>
          <w:sz w:val="24"/>
          <w:szCs w:val="24"/>
          <w:lang w:val="ro-MD"/>
        </w:rPr>
        <w:t>otrivit art.5 din Legea bugetului de stat pentru anul 2019, au fost prevăzute mijloace financiare în sumă totală de 361,7 mil. lei pentru majorarea capitalului social al ÎS „Calea Ferată din Moldova” (261,7 mil. lei, echivalentul a 12,5 mil. euro)</w:t>
      </w:r>
      <w:r w:rsidRPr="00254AC0">
        <w:rPr>
          <w:vertAlign w:val="superscript"/>
          <w:lang w:val="ro-MD"/>
        </w:rPr>
        <w:footnoteReference w:id="19"/>
      </w:r>
      <w:r w:rsidRPr="00254AC0">
        <w:rPr>
          <w:rFonts w:asciiTheme="majorHAnsi" w:hAnsiTheme="majorHAnsi" w:cstheme="majorHAnsi"/>
          <w:sz w:val="24"/>
          <w:szCs w:val="24"/>
          <w:lang w:val="ro-MD"/>
        </w:rPr>
        <w:t xml:space="preserve"> și al SRL „Arena Națională” (100,0 mil. lei). Astfel, </w:t>
      </w:r>
      <w:r w:rsidRPr="00254AC0">
        <w:rPr>
          <w:rFonts w:asciiTheme="majorHAnsi" w:hAnsiTheme="majorHAnsi" w:cstheme="majorHAnsi"/>
          <w:i/>
          <w:sz w:val="24"/>
          <w:szCs w:val="24"/>
          <w:lang w:val="ro-MD"/>
        </w:rPr>
        <w:t>(i)</w:t>
      </w:r>
      <w:r w:rsidRPr="00254AC0">
        <w:rPr>
          <w:rFonts w:asciiTheme="majorHAnsi" w:hAnsiTheme="majorHAnsi" w:cstheme="majorHAnsi"/>
          <w:sz w:val="24"/>
          <w:szCs w:val="24"/>
          <w:lang w:val="ro-MD"/>
        </w:rPr>
        <w:t xml:space="preserve"> </w:t>
      </w:r>
      <w:r w:rsidRPr="00254AC0">
        <w:rPr>
          <w:rFonts w:asciiTheme="majorHAnsi" w:hAnsiTheme="majorHAnsi" w:cstheme="majorHAnsi"/>
          <w:sz w:val="24"/>
          <w:szCs w:val="24"/>
        </w:rPr>
        <w:t xml:space="preserve">pentru majorarea capitalului social al ÎS „Calea Ferată din Moldova”, nu au fost transferate mijloace financiare din BS, în condițiile de nedebursare a mijloacelor din contul împrumutului acordat de Banca Europeană de Investiții în cadrul „Proiectului de achiziție a locomotivelor și de restructurare a infrastructurii feroviare”; </w:t>
      </w:r>
      <w:r w:rsidRPr="00254AC0">
        <w:rPr>
          <w:rFonts w:asciiTheme="majorHAnsi" w:hAnsiTheme="majorHAnsi" w:cstheme="majorHAnsi"/>
          <w:i/>
          <w:sz w:val="24"/>
          <w:szCs w:val="24"/>
        </w:rPr>
        <w:t>(ii)</w:t>
      </w:r>
      <w:r w:rsidRPr="00254AC0">
        <w:rPr>
          <w:rFonts w:asciiTheme="majorHAnsi" w:hAnsiTheme="majorHAnsi" w:cstheme="majorHAnsi"/>
          <w:sz w:val="24"/>
          <w:szCs w:val="24"/>
        </w:rPr>
        <w:t xml:space="preserve"> MF a efectuat transferul mijloacelor financiare în sumă de 100,0 mil. lei ca aport în capitalul social al SRL „Arena Națională” la solicitarea MECC</w:t>
      </w:r>
      <w:r w:rsidRPr="00254AC0">
        <w:rPr>
          <w:vertAlign w:val="superscript"/>
        </w:rPr>
        <w:footnoteReference w:id="20"/>
      </w:r>
      <w:r w:rsidRPr="00254AC0">
        <w:rPr>
          <w:rFonts w:asciiTheme="majorHAnsi" w:hAnsiTheme="majorHAnsi" w:cstheme="majorHAnsi"/>
          <w:sz w:val="24"/>
          <w:szCs w:val="24"/>
        </w:rPr>
        <w:t xml:space="preserve">. Examinările auditului relevă că unicul Fondator/asociat al Societății este MECC, cu 100,0%, din totalul aportului introdus în capitalul social în valoare de 419,3 mil. lei (419,2 mil. lei este valoarea terenului cu suprafața de 69,2224 ha și 0,1 mil. lei – aport în numerar). Prin Decizia </w:t>
      </w:r>
      <w:r w:rsidR="00E75944">
        <w:rPr>
          <w:rFonts w:asciiTheme="majorHAnsi" w:hAnsiTheme="majorHAnsi" w:cstheme="majorHAnsi"/>
          <w:sz w:val="24"/>
          <w:szCs w:val="24"/>
        </w:rPr>
        <w:t>Agenției Servicii Publice</w:t>
      </w:r>
      <w:r w:rsidRPr="00254AC0">
        <w:rPr>
          <w:rFonts w:asciiTheme="majorHAnsi" w:hAnsiTheme="majorHAnsi" w:cstheme="majorHAnsi"/>
          <w:sz w:val="24"/>
          <w:szCs w:val="24"/>
        </w:rPr>
        <w:t xml:space="preserve"> privind înregistrarea modificărilor din 13.04.2019, a fost efectuată majorarea capitalului social al SRL „Arena Națională” cu 202,0 mil. lei (dintre care: 102,0 mil. lei în anul 2018 și 100,0 mil. lei în anul 2019). Se menționează că, la finele anului 2019, conform HG nr.529 din 06.11.2019, s-a transmis cu titlu gratuit partea socială în mărime de 100,0% deținută în SRL „Arena Națională” în valoare de 621,3 mil. lei, din administrarea MECC în ad</w:t>
      </w:r>
      <w:r w:rsidR="00EF3AB4">
        <w:rPr>
          <w:rFonts w:asciiTheme="majorHAnsi" w:hAnsiTheme="majorHAnsi" w:cstheme="majorHAnsi"/>
          <w:sz w:val="24"/>
          <w:szCs w:val="24"/>
        </w:rPr>
        <w:t>ministrarea APP</w:t>
      </w:r>
      <w:r w:rsidRPr="00254AC0">
        <w:rPr>
          <w:rFonts w:asciiTheme="majorHAnsi" w:hAnsiTheme="majorHAnsi" w:cstheme="majorHAnsi"/>
          <w:sz w:val="24"/>
          <w:szCs w:val="24"/>
        </w:rPr>
        <w:t>. Totodată, s-a cesionat calitatea de partener public stabilită prin contractul de parteneriat public-privat pentru proiectarea și construcția arenei polivalente de interes național de la MECC către MEI. În baza Actului de transmitere a părții sociale din 25.11.2019, s-a efectuat transmiterea cu titlu gratuit a părții sociale deținute de MECC în administrarea (în proprietatea) APP, în sumă de 621,3 mil. lei, inclusiv valoarea terenului cu suprafața de 10 ha pentru edificarea arenei polivalente și 59,2224 ha – pentru dezvoltarea ulterioară a zonei în sumă de 419,2 mil. lei, inclusiv capital nevărsat în sumă de 100,0 mii lei;</w:t>
      </w:r>
    </w:p>
    <w:p w:rsidR="00254AC0" w:rsidRPr="004C667E" w:rsidRDefault="00254AC0" w:rsidP="00254AC0">
      <w:pPr>
        <w:numPr>
          <w:ilvl w:val="0"/>
          <w:numId w:val="2"/>
        </w:numPr>
        <w:tabs>
          <w:tab w:val="left" w:pos="0"/>
          <w:tab w:val="left" w:pos="142"/>
          <w:tab w:val="left" w:pos="851"/>
        </w:tabs>
        <w:spacing w:after="0" w:line="276" w:lineRule="auto"/>
        <w:ind w:left="0" w:firstLine="709"/>
        <w:jc w:val="both"/>
        <w:rPr>
          <w:rFonts w:asciiTheme="majorHAnsi" w:hAnsiTheme="majorHAnsi" w:cstheme="majorHAnsi"/>
          <w:sz w:val="24"/>
          <w:szCs w:val="24"/>
          <w:lang w:val="ro-MD"/>
        </w:rPr>
      </w:pPr>
      <w:r w:rsidRPr="00254AC0">
        <w:rPr>
          <w:rFonts w:asciiTheme="majorHAnsi" w:hAnsiTheme="majorHAnsi" w:cstheme="majorHAnsi"/>
          <w:i/>
          <w:sz w:val="24"/>
          <w:szCs w:val="24"/>
        </w:rPr>
        <w:t xml:space="preserve">la </w:t>
      </w:r>
      <w:r w:rsidRPr="00254AC0">
        <w:rPr>
          <w:rFonts w:asciiTheme="majorHAnsi" w:hAnsiTheme="majorHAnsi" w:cstheme="majorHAnsi"/>
          <w:i/>
          <w:sz w:val="24"/>
          <w:szCs w:val="24"/>
          <w:lang w:val="ro-MD"/>
        </w:rPr>
        <w:t>alte creanțe interne</w:t>
      </w:r>
      <w:r w:rsidRPr="00254AC0">
        <w:rPr>
          <w:rFonts w:asciiTheme="majorHAnsi" w:hAnsiTheme="majorHAnsi" w:cstheme="majorHAnsi"/>
          <w:sz w:val="24"/>
          <w:szCs w:val="24"/>
          <w:lang w:val="ro-MD"/>
        </w:rPr>
        <w:t xml:space="preserve"> au fost atribuite mijloacele transferate în BS de către băncile care se află în proces de lichidare, în sumă de 639,5 mil. lei, inclusiv BC „Investprivatbank” SA – 0,5 mil. lei, „Banca de Economii” SA, „Banca Socială” SA și BC „Unibank” SA – 639,0 mil. lei. La situația din 31 decembrie 2019, datoria băncilor în proces de lichidare față de MF a constituit 12 090,4 mil. lei, dintre care: BC „Investprivatbank” S.A. – 357,6 mil. lei; „Banca de Economii” SA – 7 898,0 mil. lei; BC „Banca Socială” SA – 2 007,0 mil. lei; BC „Unibank” SA – 1 827,8 mil. lei.</w:t>
      </w:r>
      <w:r w:rsidR="004C667E">
        <w:rPr>
          <w:rFonts w:asciiTheme="majorHAnsi" w:hAnsiTheme="majorHAnsi" w:cstheme="majorHAnsi"/>
          <w:sz w:val="24"/>
          <w:szCs w:val="24"/>
          <w:lang w:val="ro-MD"/>
        </w:rPr>
        <w:t xml:space="preserve"> </w:t>
      </w:r>
      <w:r w:rsidRPr="004C667E">
        <w:rPr>
          <w:rFonts w:asciiTheme="majorHAnsi" w:hAnsiTheme="majorHAnsi" w:cstheme="majorHAnsi"/>
          <w:color w:val="000000"/>
          <w:sz w:val="24"/>
          <w:szCs w:val="24"/>
        </w:rPr>
        <w:t>Mijloacele bănești de la recuperarea bunurilor infracționale indisponibilizate prin hotărâre judecătorească definitivă</w:t>
      </w:r>
      <w:r w:rsidRPr="00254AC0">
        <w:rPr>
          <w:rFonts w:asciiTheme="majorHAnsi" w:hAnsiTheme="majorHAnsi" w:cstheme="majorHAnsi"/>
          <w:color w:val="000000"/>
          <w:sz w:val="24"/>
          <w:szCs w:val="24"/>
          <w:vertAlign w:val="superscript"/>
        </w:rPr>
        <w:footnoteReference w:id="21"/>
      </w:r>
      <w:r w:rsidRPr="004C667E">
        <w:rPr>
          <w:rFonts w:asciiTheme="majorHAnsi" w:hAnsiTheme="majorHAnsi" w:cstheme="majorHAnsi"/>
          <w:color w:val="000000"/>
          <w:sz w:val="24"/>
          <w:szCs w:val="24"/>
        </w:rPr>
        <w:t xml:space="preserve"> au fost transferate de la partea de venituri în contul creanțelor interne ale băncilor care se află în proces de lichidare, fiind reflectate ca surse de finanțare a soldului bugetar - cu 419,0 mil. lei;</w:t>
      </w:r>
    </w:p>
    <w:p w:rsidR="00254AC0" w:rsidRPr="00254AC0" w:rsidRDefault="00254AC0" w:rsidP="003342BD">
      <w:pPr>
        <w:numPr>
          <w:ilvl w:val="0"/>
          <w:numId w:val="1"/>
        </w:numPr>
        <w:tabs>
          <w:tab w:val="left" w:pos="0"/>
          <w:tab w:val="left" w:pos="142"/>
          <w:tab w:val="left" w:pos="851"/>
        </w:tabs>
        <w:spacing w:after="0" w:line="276" w:lineRule="auto"/>
        <w:ind w:left="0" w:firstLine="709"/>
        <w:contextualSpacing/>
        <w:jc w:val="both"/>
        <w:rPr>
          <w:rFonts w:asciiTheme="majorHAnsi" w:hAnsiTheme="majorHAnsi" w:cstheme="majorHAnsi"/>
          <w:sz w:val="24"/>
          <w:szCs w:val="24"/>
          <w:lang w:val="ro-MD"/>
        </w:rPr>
      </w:pPr>
      <w:r w:rsidRPr="00254AC0">
        <w:rPr>
          <w:rFonts w:asciiTheme="majorHAnsi" w:hAnsiTheme="majorHAnsi" w:cstheme="majorHAnsi"/>
          <w:i/>
          <w:sz w:val="24"/>
          <w:szCs w:val="24"/>
          <w:lang w:val="ro-MD"/>
        </w:rPr>
        <w:t>rambursarea mijloacelor bugetare din anii precedenți</w:t>
      </w:r>
      <w:r w:rsidRPr="00254AC0">
        <w:rPr>
          <w:rFonts w:asciiTheme="majorHAnsi" w:hAnsiTheme="majorHAnsi" w:cstheme="majorHAnsi"/>
          <w:sz w:val="24"/>
          <w:szCs w:val="24"/>
          <w:lang w:val="ro-MD"/>
        </w:rPr>
        <w:t xml:space="preserve"> la buget de către autorități/instituții bugetare, în sumă de 403,1 mil. lei, din care 346,8 mil. lei restituite de către CNAS conform prevederilor art.70 alin. (5) din Legea nr. 181 din 25.07.2014. La solicitarea echipei de audit cu referire la redistribuirea acestor alocații, MF a motivat prin faptul că „caracterul universal al bugetului nu admite o conexiune dintre anumite elemente de părți de resurse ale bugetului cu careva elemente ale celei de cheltuieli”;</w:t>
      </w:r>
    </w:p>
    <w:p w:rsidR="00254AC0" w:rsidRPr="00254AC0" w:rsidRDefault="00254AC0" w:rsidP="003342BD">
      <w:pPr>
        <w:numPr>
          <w:ilvl w:val="0"/>
          <w:numId w:val="1"/>
        </w:numPr>
        <w:tabs>
          <w:tab w:val="left" w:pos="0"/>
          <w:tab w:val="left" w:pos="142"/>
          <w:tab w:val="left" w:pos="851"/>
        </w:tabs>
        <w:spacing w:after="0" w:line="276" w:lineRule="auto"/>
        <w:ind w:left="0" w:firstLine="709"/>
        <w:contextualSpacing/>
        <w:jc w:val="both"/>
        <w:rPr>
          <w:rFonts w:asciiTheme="majorHAnsi" w:hAnsiTheme="majorHAnsi" w:cstheme="majorHAnsi"/>
          <w:i/>
          <w:sz w:val="24"/>
          <w:szCs w:val="24"/>
          <w:lang w:val="ro-MD"/>
        </w:rPr>
      </w:pPr>
      <w:r w:rsidRPr="00254AC0">
        <w:rPr>
          <w:rFonts w:asciiTheme="majorHAnsi" w:eastAsia="Times New Roman" w:hAnsiTheme="majorHAnsi" w:cstheme="majorHAnsi"/>
          <w:iCs/>
          <w:sz w:val="24"/>
          <w:szCs w:val="24"/>
          <w:lang w:val="ro-MD"/>
        </w:rPr>
        <w:t>soldurile mijloacelor bănești, la situația din 31.12.2019</w:t>
      </w:r>
      <w:r w:rsidRPr="00254AC0">
        <w:rPr>
          <w:rFonts w:asciiTheme="majorHAnsi" w:eastAsia="Times New Roman" w:hAnsiTheme="majorHAnsi" w:cstheme="majorHAnsi"/>
          <w:iCs/>
          <w:sz w:val="24"/>
          <w:szCs w:val="24"/>
          <w:vertAlign w:val="superscript"/>
          <w:lang w:val="ro-MD"/>
        </w:rPr>
        <w:footnoteReference w:id="22"/>
      </w:r>
      <w:r w:rsidRPr="00254AC0">
        <w:rPr>
          <w:rFonts w:asciiTheme="majorHAnsi" w:eastAsia="Times New Roman" w:hAnsiTheme="majorHAnsi" w:cstheme="majorHAnsi"/>
          <w:iCs/>
          <w:sz w:val="24"/>
          <w:szCs w:val="24"/>
          <w:lang w:val="ro-MD"/>
        </w:rPr>
        <w:t xml:space="preserve">, au însumat 2 916,7 mil. lei, </w:t>
      </w:r>
      <w:r w:rsidRPr="00254AC0">
        <w:rPr>
          <w:rFonts w:asciiTheme="majorHAnsi" w:hAnsiTheme="majorHAnsi" w:cstheme="majorHAnsi"/>
          <w:color w:val="000000"/>
          <w:sz w:val="24"/>
          <w:szCs w:val="24"/>
        </w:rPr>
        <w:t xml:space="preserve">dintre care soldurile la componenta de bază – 1 766,2 mil. lei, inclusiv rezerva de lichidități – 253,5 mil. lei </w:t>
      </w:r>
      <w:r w:rsidRPr="00254AC0">
        <w:rPr>
          <w:rFonts w:asciiTheme="majorHAnsi" w:eastAsia="Times New Roman" w:hAnsiTheme="majorHAnsi" w:cstheme="majorHAnsi"/>
          <w:iCs/>
          <w:sz w:val="24"/>
          <w:szCs w:val="24"/>
          <w:lang w:val="ro-MD"/>
        </w:rPr>
        <w:t xml:space="preserve">(depozitate în conturile BNM) </w:t>
      </w:r>
      <w:r w:rsidRPr="00254AC0">
        <w:rPr>
          <w:rFonts w:asciiTheme="majorHAnsi" w:hAnsiTheme="majorHAnsi" w:cstheme="majorHAnsi"/>
          <w:color w:val="000000"/>
          <w:sz w:val="24"/>
          <w:szCs w:val="24"/>
        </w:rPr>
        <w:t xml:space="preserve">și soldurile proiectelor finanțate din surse externe – 1 150,5 mil. lei, </w:t>
      </w:r>
      <w:r w:rsidRPr="00254AC0">
        <w:rPr>
          <w:rFonts w:asciiTheme="majorHAnsi" w:eastAsia="Times New Roman" w:hAnsiTheme="majorHAnsi" w:cstheme="majorHAnsi"/>
          <w:iCs/>
          <w:sz w:val="24"/>
          <w:szCs w:val="24"/>
          <w:lang w:val="ro-MD"/>
        </w:rPr>
        <w:t xml:space="preserve">înregistrând o descreștere de 1 382,4 mil. lei (32,2%), comparativ cu situația din 31.12.2018. </w:t>
      </w:r>
    </w:p>
    <w:p w:rsidR="00254AC0" w:rsidRDefault="00254AC0" w:rsidP="00254AC0">
      <w:pPr>
        <w:tabs>
          <w:tab w:val="left" w:pos="0"/>
          <w:tab w:val="left" w:pos="142"/>
        </w:tabs>
        <w:spacing w:after="0" w:line="276" w:lineRule="auto"/>
        <w:contextualSpacing/>
        <w:jc w:val="both"/>
        <w:rPr>
          <w:rFonts w:asciiTheme="majorHAnsi" w:eastAsia="Times New Roman" w:hAnsiTheme="majorHAnsi" w:cstheme="majorHAnsi"/>
          <w:iCs/>
          <w:sz w:val="24"/>
          <w:szCs w:val="24"/>
          <w:lang w:val="ro-MD"/>
        </w:rPr>
      </w:pPr>
      <w:r w:rsidRPr="00254AC0">
        <w:rPr>
          <w:rFonts w:asciiTheme="majorHAnsi" w:eastAsia="Times New Roman" w:hAnsiTheme="majorHAnsi" w:cstheme="majorHAnsi"/>
          <w:iCs/>
          <w:sz w:val="24"/>
          <w:szCs w:val="24"/>
          <w:lang w:val="ro-MD"/>
        </w:rPr>
        <w:t xml:space="preserve">Soldurile mijloacelor bănești ale BS sunt înregistrate în: </w:t>
      </w:r>
      <w:r w:rsidRPr="00254AC0">
        <w:rPr>
          <w:rFonts w:asciiTheme="majorHAnsi" w:eastAsia="Times New Roman" w:hAnsiTheme="majorHAnsi" w:cstheme="majorHAnsi"/>
          <w:i/>
          <w:iCs/>
          <w:sz w:val="24"/>
          <w:szCs w:val="24"/>
          <w:lang w:val="ro-MD"/>
        </w:rPr>
        <w:t>i)</w:t>
      </w:r>
      <w:r w:rsidRPr="00254AC0">
        <w:rPr>
          <w:rFonts w:asciiTheme="majorHAnsi" w:eastAsia="Times New Roman" w:hAnsiTheme="majorHAnsi" w:cstheme="majorHAnsi"/>
          <w:iCs/>
          <w:sz w:val="24"/>
          <w:szCs w:val="24"/>
          <w:lang w:val="ro-MD"/>
        </w:rPr>
        <w:t xml:space="preserve"> conturile curente în sistemul trezorerial în monedă națională în sumă de 545,98 mil. lei; </w:t>
      </w:r>
      <w:r w:rsidRPr="00254AC0">
        <w:rPr>
          <w:rFonts w:asciiTheme="majorHAnsi" w:eastAsia="Times New Roman" w:hAnsiTheme="majorHAnsi" w:cstheme="majorHAnsi"/>
          <w:i/>
          <w:iCs/>
          <w:sz w:val="24"/>
          <w:szCs w:val="24"/>
          <w:lang w:val="ro-MD"/>
        </w:rPr>
        <w:t>ii)</w:t>
      </w:r>
      <w:r w:rsidRPr="00254AC0">
        <w:rPr>
          <w:rFonts w:asciiTheme="majorHAnsi" w:eastAsia="Times New Roman" w:hAnsiTheme="majorHAnsi" w:cstheme="majorHAnsi"/>
          <w:iCs/>
          <w:sz w:val="24"/>
          <w:szCs w:val="24"/>
          <w:lang w:val="ro-MD"/>
        </w:rPr>
        <w:t xml:space="preserve"> pe conturile BNM în valută străină, în sumă de 1 985,4 mil. lei; </w:t>
      </w:r>
      <w:r w:rsidRPr="00254AC0">
        <w:rPr>
          <w:rFonts w:asciiTheme="majorHAnsi" w:eastAsia="Times New Roman" w:hAnsiTheme="majorHAnsi" w:cstheme="majorHAnsi"/>
          <w:i/>
          <w:iCs/>
          <w:sz w:val="24"/>
          <w:szCs w:val="24"/>
          <w:lang w:val="ro-MD"/>
        </w:rPr>
        <w:t>iii)</w:t>
      </w:r>
      <w:r w:rsidRPr="00254AC0">
        <w:rPr>
          <w:rFonts w:asciiTheme="majorHAnsi" w:eastAsia="Times New Roman" w:hAnsiTheme="majorHAnsi" w:cstheme="majorHAnsi"/>
          <w:iCs/>
          <w:sz w:val="24"/>
          <w:szCs w:val="24"/>
          <w:lang w:val="ro-MD"/>
        </w:rPr>
        <w:t xml:space="preserve"> pe conturi curente în afara sistemului trezorerial în monedă națională – 131,9 mil. lei, și </w:t>
      </w:r>
      <w:r w:rsidRPr="00254AC0">
        <w:rPr>
          <w:rFonts w:asciiTheme="majorHAnsi" w:eastAsia="Times New Roman" w:hAnsiTheme="majorHAnsi" w:cstheme="majorHAnsi"/>
          <w:i/>
          <w:iCs/>
          <w:sz w:val="24"/>
          <w:szCs w:val="24"/>
          <w:lang w:val="ro-MD"/>
        </w:rPr>
        <w:t>iv)</w:t>
      </w:r>
      <w:r w:rsidRPr="00254AC0">
        <w:rPr>
          <w:rFonts w:asciiTheme="majorHAnsi" w:eastAsia="Times New Roman" w:hAnsiTheme="majorHAnsi" w:cstheme="majorHAnsi"/>
          <w:iCs/>
          <w:sz w:val="24"/>
          <w:szCs w:val="24"/>
          <w:lang w:val="ro-MD"/>
        </w:rPr>
        <w:t xml:space="preserve"> în contul de depozit în BNM – 253,5 mil. lei. </w:t>
      </w:r>
    </w:p>
    <w:p w:rsidR="009F634F" w:rsidRPr="00254AC0" w:rsidRDefault="009F634F" w:rsidP="00254AC0">
      <w:pPr>
        <w:tabs>
          <w:tab w:val="left" w:pos="0"/>
          <w:tab w:val="left" w:pos="142"/>
        </w:tabs>
        <w:spacing w:after="0" w:line="276" w:lineRule="auto"/>
        <w:contextualSpacing/>
        <w:jc w:val="both"/>
        <w:rPr>
          <w:rFonts w:asciiTheme="majorHAnsi" w:eastAsia="Times New Roman" w:hAnsiTheme="majorHAnsi" w:cstheme="majorHAnsi"/>
          <w:iCs/>
          <w:sz w:val="24"/>
          <w:szCs w:val="24"/>
          <w:lang w:val="ro-MD"/>
        </w:rPr>
      </w:pPr>
    </w:p>
    <w:p w:rsidR="009F634F" w:rsidRPr="00401485" w:rsidRDefault="009F634F" w:rsidP="009F634F">
      <w:pPr>
        <w:spacing w:after="0" w:line="276" w:lineRule="auto"/>
        <w:jc w:val="both"/>
        <w:rPr>
          <w:rFonts w:asciiTheme="majorHAnsi" w:eastAsia="Times New Roman" w:hAnsiTheme="majorHAnsi" w:cstheme="majorHAnsi"/>
          <w:b/>
          <w:sz w:val="24"/>
          <w:szCs w:val="24"/>
        </w:rPr>
      </w:pPr>
      <w:r w:rsidRPr="00401485">
        <w:rPr>
          <w:rFonts w:asciiTheme="majorHAnsi" w:eastAsia="Times New Roman" w:hAnsiTheme="majorHAnsi" w:cstheme="majorHAnsi"/>
          <w:b/>
          <w:sz w:val="24"/>
          <w:szCs w:val="24"/>
        </w:rPr>
        <w:t xml:space="preserve">4.2. Veniturile bugetului de stat executate în anul 2019 nu ating nivelul precizat </w:t>
      </w:r>
    </w:p>
    <w:p w:rsidR="009F634F" w:rsidRPr="00401485" w:rsidRDefault="009F634F" w:rsidP="009F634F">
      <w:pPr>
        <w:spacing w:after="0" w:line="276" w:lineRule="auto"/>
        <w:jc w:val="both"/>
        <w:rPr>
          <w:rFonts w:asciiTheme="majorHAnsi" w:eastAsia="Times New Roman" w:hAnsiTheme="majorHAnsi" w:cstheme="majorHAnsi"/>
          <w:i/>
          <w:iCs/>
          <w:sz w:val="24"/>
          <w:szCs w:val="24"/>
          <w:lang w:val="ro-MD"/>
        </w:rPr>
      </w:pPr>
      <w:r w:rsidRPr="00401485">
        <w:rPr>
          <w:rFonts w:asciiTheme="majorHAnsi" w:eastAsia="Times New Roman" w:hAnsiTheme="majorHAnsi" w:cstheme="majorHAnsi"/>
          <w:sz w:val="24"/>
          <w:szCs w:val="24"/>
          <w:lang w:val="ro-MD"/>
        </w:rPr>
        <w:t xml:space="preserve">În anul 2019, veniturile bugetului de stat însumează 39 967,9 mil. lei, fiind cu 3 535,2 mil. lei mai mari față de anul 2018, </w:t>
      </w:r>
      <w:r>
        <w:rPr>
          <w:rFonts w:asciiTheme="majorHAnsi" w:eastAsia="Times New Roman" w:hAnsiTheme="majorHAnsi" w:cstheme="majorHAnsi"/>
          <w:sz w:val="24"/>
          <w:szCs w:val="24"/>
          <w:lang w:val="ro-MD"/>
        </w:rPr>
        <w:t xml:space="preserve">dar </w:t>
      </w:r>
      <w:r w:rsidRPr="00401485">
        <w:rPr>
          <w:rFonts w:asciiTheme="majorHAnsi" w:eastAsia="Times New Roman" w:hAnsiTheme="majorHAnsi" w:cstheme="majorHAnsi"/>
          <w:sz w:val="24"/>
          <w:szCs w:val="24"/>
          <w:lang w:val="ro-MD"/>
        </w:rPr>
        <w:t xml:space="preserve">mai </w:t>
      </w:r>
      <w:r>
        <w:rPr>
          <w:rFonts w:asciiTheme="majorHAnsi" w:eastAsia="Times New Roman" w:hAnsiTheme="majorHAnsi" w:cstheme="majorHAnsi"/>
          <w:sz w:val="24"/>
          <w:szCs w:val="24"/>
          <w:lang w:val="ro-MD"/>
        </w:rPr>
        <w:t>mici</w:t>
      </w:r>
      <w:r w:rsidRPr="00401485">
        <w:rPr>
          <w:rFonts w:asciiTheme="majorHAnsi" w:eastAsia="Times New Roman" w:hAnsiTheme="majorHAnsi" w:cstheme="majorHAnsi"/>
          <w:sz w:val="24"/>
          <w:szCs w:val="24"/>
          <w:lang w:val="ro-MD"/>
        </w:rPr>
        <w:t xml:space="preserve"> cu 675,0 mil. lei decât nivelul planificat. </w:t>
      </w:r>
      <w:r w:rsidRPr="00401485">
        <w:rPr>
          <w:rFonts w:asciiTheme="majorHAnsi" w:eastAsia="Times New Roman" w:hAnsiTheme="majorHAnsi" w:cstheme="majorHAnsi"/>
          <w:i/>
          <w:iCs/>
          <w:sz w:val="24"/>
          <w:szCs w:val="24"/>
          <w:lang w:val="ro-MD"/>
        </w:rPr>
        <w:t>Realizarea veniturilor bugetului de stat în anul 2019, în comparație cu anii 2017 și 2018, se prezintă în Tabelul nr.1.</w:t>
      </w:r>
    </w:p>
    <w:p w:rsidR="009F634F" w:rsidRPr="00401485" w:rsidRDefault="009F634F" w:rsidP="009F634F">
      <w:pPr>
        <w:spacing w:after="0" w:line="240" w:lineRule="auto"/>
        <w:jc w:val="right"/>
        <w:rPr>
          <w:rFonts w:asciiTheme="majorHAnsi" w:eastAsia="Times New Roman" w:hAnsiTheme="majorHAnsi" w:cstheme="majorHAnsi"/>
          <w:i/>
          <w:sz w:val="24"/>
          <w:szCs w:val="24"/>
          <w:lang w:val="ro-MD"/>
        </w:rPr>
      </w:pPr>
      <w:r w:rsidRPr="00401485">
        <w:rPr>
          <w:rFonts w:asciiTheme="majorHAnsi" w:eastAsia="Times New Roman" w:hAnsiTheme="majorHAnsi" w:cstheme="majorHAnsi"/>
          <w:i/>
          <w:sz w:val="24"/>
          <w:szCs w:val="24"/>
          <w:lang w:val="ro-MD"/>
        </w:rPr>
        <w:t>Tabelul nr.1</w:t>
      </w:r>
    </w:p>
    <w:p w:rsidR="009F634F" w:rsidRPr="00401485" w:rsidRDefault="009F634F" w:rsidP="009F634F">
      <w:pPr>
        <w:spacing w:after="0" w:line="240" w:lineRule="auto"/>
        <w:jc w:val="center"/>
        <w:rPr>
          <w:rFonts w:asciiTheme="majorHAnsi" w:eastAsia="Times New Roman" w:hAnsiTheme="majorHAnsi" w:cstheme="majorHAnsi"/>
          <w:sz w:val="24"/>
          <w:szCs w:val="24"/>
          <w:lang w:val="ro-MD"/>
        </w:rPr>
      </w:pPr>
      <w:r w:rsidRPr="00401485">
        <w:rPr>
          <w:rFonts w:asciiTheme="majorHAnsi" w:eastAsia="Times New Roman" w:hAnsiTheme="majorHAnsi" w:cstheme="majorHAnsi"/>
          <w:b/>
          <w:bCs/>
          <w:sz w:val="24"/>
          <w:szCs w:val="24"/>
          <w:lang w:val="ro-MD"/>
        </w:rPr>
        <w:t>Dinamica execuției veniturilor bugetului de stat în anii 2017-2019</w:t>
      </w:r>
    </w:p>
    <w:p w:rsidR="009F634F" w:rsidRPr="00401485" w:rsidRDefault="009F634F" w:rsidP="009F634F">
      <w:pPr>
        <w:spacing w:after="0" w:line="240" w:lineRule="auto"/>
        <w:ind w:firstLine="567"/>
        <w:jc w:val="right"/>
        <w:rPr>
          <w:rFonts w:asciiTheme="majorHAnsi" w:eastAsia="Times New Roman" w:hAnsiTheme="majorHAnsi" w:cstheme="majorHAnsi"/>
          <w:b/>
          <w:sz w:val="24"/>
          <w:szCs w:val="24"/>
          <w:lang w:val="en-US"/>
        </w:rPr>
      </w:pPr>
      <w:r w:rsidRPr="00401485">
        <w:rPr>
          <w:rFonts w:asciiTheme="majorHAnsi" w:eastAsia="Times New Roman" w:hAnsiTheme="majorHAnsi" w:cstheme="majorHAnsi"/>
          <w:b/>
          <w:sz w:val="24"/>
          <w:szCs w:val="24"/>
          <w:lang w:val="en-US"/>
        </w:rPr>
        <w:t> (mil. lei)</w:t>
      </w:r>
    </w:p>
    <w:tbl>
      <w:tblPr>
        <w:tblStyle w:val="GridTable1Light2"/>
        <w:tblW w:w="9787" w:type="dxa"/>
        <w:tblLook w:val="04A0" w:firstRow="1" w:lastRow="0" w:firstColumn="1" w:lastColumn="0" w:noHBand="0" w:noVBand="1"/>
      </w:tblPr>
      <w:tblGrid>
        <w:gridCol w:w="2972"/>
        <w:gridCol w:w="1093"/>
        <w:gridCol w:w="1103"/>
        <w:gridCol w:w="1102"/>
        <w:gridCol w:w="966"/>
        <w:gridCol w:w="762"/>
        <w:gridCol w:w="1015"/>
        <w:gridCol w:w="762"/>
        <w:gridCol w:w="12"/>
      </w:tblGrid>
      <w:tr w:rsidR="009F634F" w:rsidRPr="00401485" w:rsidTr="00A367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vMerge w:val="restart"/>
            <w:vAlign w:val="center"/>
          </w:tcPr>
          <w:p w:rsidR="009F634F" w:rsidRPr="00401485" w:rsidRDefault="009F634F" w:rsidP="00A36731">
            <w:pPr>
              <w:jc w:val="center"/>
              <w:rPr>
                <w:rFonts w:asciiTheme="majorHAnsi" w:eastAsia="Times New Roman" w:hAnsiTheme="majorHAnsi" w:cstheme="majorHAnsi"/>
                <w:sz w:val="20"/>
                <w:szCs w:val="20"/>
                <w:lang w:val="ro-MD"/>
              </w:rPr>
            </w:pPr>
            <w:r w:rsidRPr="00401485">
              <w:rPr>
                <w:rFonts w:asciiTheme="majorHAnsi" w:eastAsia="Times New Roman" w:hAnsiTheme="majorHAnsi" w:cstheme="majorHAnsi"/>
                <w:sz w:val="20"/>
                <w:szCs w:val="20"/>
                <w:lang w:val="ro-MD"/>
              </w:rPr>
              <w:t>Indicatori</w:t>
            </w:r>
          </w:p>
        </w:tc>
        <w:tc>
          <w:tcPr>
            <w:tcW w:w="3298" w:type="dxa"/>
            <w:gridSpan w:val="3"/>
            <w:vAlign w:val="center"/>
          </w:tcPr>
          <w:p w:rsidR="009F634F" w:rsidRPr="00401485" w:rsidRDefault="009F634F" w:rsidP="00A3673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401485">
              <w:rPr>
                <w:rFonts w:asciiTheme="majorHAnsi" w:eastAsia="Times New Roman" w:hAnsiTheme="majorHAnsi" w:cstheme="majorHAnsi"/>
                <w:sz w:val="20"/>
                <w:szCs w:val="20"/>
                <w:lang w:val="ro-MD"/>
              </w:rPr>
              <w:t xml:space="preserve">Anii </w:t>
            </w:r>
          </w:p>
        </w:tc>
        <w:tc>
          <w:tcPr>
            <w:tcW w:w="1728" w:type="dxa"/>
            <w:gridSpan w:val="2"/>
            <w:vAlign w:val="center"/>
          </w:tcPr>
          <w:p w:rsidR="009F634F" w:rsidRPr="00401485" w:rsidRDefault="009F634F" w:rsidP="00A3673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401485">
              <w:rPr>
                <w:rFonts w:asciiTheme="majorHAnsi" w:eastAsia="Times New Roman" w:hAnsiTheme="majorHAnsi" w:cstheme="majorHAnsi"/>
                <w:sz w:val="20"/>
                <w:szCs w:val="20"/>
                <w:lang w:val="ro-MD"/>
              </w:rPr>
              <w:t>Devieri 2019/2018</w:t>
            </w:r>
          </w:p>
        </w:tc>
        <w:tc>
          <w:tcPr>
            <w:tcW w:w="1789" w:type="dxa"/>
            <w:gridSpan w:val="3"/>
            <w:vAlign w:val="center"/>
          </w:tcPr>
          <w:p w:rsidR="009F634F" w:rsidRPr="00401485" w:rsidRDefault="009F634F" w:rsidP="00A3673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401485">
              <w:rPr>
                <w:rFonts w:asciiTheme="majorHAnsi" w:eastAsia="Times New Roman" w:hAnsiTheme="majorHAnsi" w:cstheme="majorHAnsi"/>
                <w:sz w:val="20"/>
                <w:szCs w:val="20"/>
                <w:lang w:val="ro-MD"/>
              </w:rPr>
              <w:t>Devieri 2019/2017</w:t>
            </w:r>
          </w:p>
        </w:tc>
      </w:tr>
      <w:tr w:rsidR="009F634F" w:rsidRPr="00401485" w:rsidTr="00A36731">
        <w:trPr>
          <w:gridAfter w:val="1"/>
          <w:wAfter w:w="12" w:type="dxa"/>
        </w:trPr>
        <w:tc>
          <w:tcPr>
            <w:cnfStyle w:val="001000000000" w:firstRow="0" w:lastRow="0" w:firstColumn="1" w:lastColumn="0" w:oddVBand="0" w:evenVBand="0" w:oddHBand="0" w:evenHBand="0" w:firstRowFirstColumn="0" w:firstRowLastColumn="0" w:lastRowFirstColumn="0" w:lastRowLastColumn="0"/>
            <w:tcW w:w="2972" w:type="dxa"/>
            <w:vMerge/>
            <w:vAlign w:val="center"/>
          </w:tcPr>
          <w:p w:rsidR="009F634F" w:rsidRPr="00401485" w:rsidRDefault="009F634F" w:rsidP="00A36731">
            <w:pPr>
              <w:jc w:val="center"/>
              <w:rPr>
                <w:rFonts w:asciiTheme="majorHAnsi" w:eastAsia="Times New Roman" w:hAnsiTheme="majorHAnsi" w:cstheme="majorHAnsi"/>
                <w:sz w:val="20"/>
                <w:szCs w:val="20"/>
                <w:lang w:val="ro-MD"/>
              </w:rPr>
            </w:pPr>
          </w:p>
        </w:tc>
        <w:tc>
          <w:tcPr>
            <w:tcW w:w="1093" w:type="dxa"/>
            <w:vAlign w:val="center"/>
          </w:tcPr>
          <w:p w:rsidR="009F634F" w:rsidRPr="00401485" w:rsidRDefault="009F634F" w:rsidP="00A3673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401485">
              <w:rPr>
                <w:rFonts w:asciiTheme="majorHAnsi" w:eastAsia="Times New Roman" w:hAnsiTheme="majorHAnsi" w:cstheme="majorHAnsi"/>
                <w:b/>
                <w:bCs/>
                <w:sz w:val="20"/>
                <w:szCs w:val="20"/>
                <w:lang w:val="ro-MD"/>
              </w:rPr>
              <w:t>2017</w:t>
            </w:r>
          </w:p>
        </w:tc>
        <w:tc>
          <w:tcPr>
            <w:tcW w:w="1103" w:type="dxa"/>
            <w:vAlign w:val="center"/>
          </w:tcPr>
          <w:p w:rsidR="009F634F" w:rsidRPr="00401485" w:rsidRDefault="009F634F" w:rsidP="00A3673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401485">
              <w:rPr>
                <w:rFonts w:asciiTheme="majorHAnsi" w:eastAsia="Times New Roman" w:hAnsiTheme="majorHAnsi" w:cstheme="majorHAnsi"/>
                <w:b/>
                <w:bCs/>
                <w:sz w:val="20"/>
                <w:szCs w:val="20"/>
                <w:lang w:val="ro-MD"/>
              </w:rPr>
              <w:t>2018</w:t>
            </w:r>
          </w:p>
        </w:tc>
        <w:tc>
          <w:tcPr>
            <w:tcW w:w="1102" w:type="dxa"/>
            <w:vAlign w:val="center"/>
          </w:tcPr>
          <w:p w:rsidR="009F634F" w:rsidRPr="00401485" w:rsidRDefault="009F634F" w:rsidP="00A3673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401485">
              <w:rPr>
                <w:rFonts w:asciiTheme="majorHAnsi" w:eastAsia="Times New Roman" w:hAnsiTheme="majorHAnsi" w:cstheme="majorHAnsi"/>
                <w:b/>
                <w:bCs/>
                <w:sz w:val="20"/>
                <w:szCs w:val="20"/>
                <w:lang w:val="ro-MD"/>
              </w:rPr>
              <w:t>2019</w:t>
            </w:r>
          </w:p>
        </w:tc>
        <w:tc>
          <w:tcPr>
            <w:tcW w:w="966" w:type="dxa"/>
            <w:vAlign w:val="center"/>
          </w:tcPr>
          <w:p w:rsidR="009F634F" w:rsidRPr="00401485" w:rsidRDefault="009F634F" w:rsidP="00A3673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401485">
              <w:rPr>
                <w:rFonts w:asciiTheme="majorHAnsi" w:eastAsia="Times New Roman" w:hAnsiTheme="majorHAnsi" w:cstheme="majorHAnsi"/>
                <w:b/>
                <w:bCs/>
                <w:sz w:val="20"/>
                <w:szCs w:val="20"/>
                <w:lang w:val="ro-MD"/>
              </w:rPr>
              <w:t>(+/-)</w:t>
            </w:r>
          </w:p>
        </w:tc>
        <w:tc>
          <w:tcPr>
            <w:tcW w:w="762" w:type="dxa"/>
            <w:vAlign w:val="center"/>
          </w:tcPr>
          <w:p w:rsidR="009F634F" w:rsidRPr="00401485" w:rsidRDefault="009F634F" w:rsidP="00A3673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401485">
              <w:rPr>
                <w:rFonts w:asciiTheme="majorHAnsi" w:eastAsia="Times New Roman" w:hAnsiTheme="majorHAnsi" w:cstheme="majorHAnsi"/>
                <w:b/>
                <w:bCs/>
                <w:sz w:val="20"/>
                <w:szCs w:val="20"/>
                <w:lang w:val="ro-MD"/>
              </w:rPr>
              <w:t>%</w:t>
            </w:r>
          </w:p>
        </w:tc>
        <w:tc>
          <w:tcPr>
            <w:tcW w:w="1015" w:type="dxa"/>
            <w:vAlign w:val="center"/>
          </w:tcPr>
          <w:p w:rsidR="009F634F" w:rsidRPr="00401485" w:rsidRDefault="009F634F" w:rsidP="00A3673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401485">
              <w:rPr>
                <w:rFonts w:asciiTheme="majorHAnsi" w:eastAsia="Times New Roman" w:hAnsiTheme="majorHAnsi" w:cstheme="majorHAnsi"/>
                <w:b/>
                <w:bCs/>
                <w:sz w:val="20"/>
                <w:szCs w:val="20"/>
                <w:lang w:val="ro-MD"/>
              </w:rPr>
              <w:t>(+/-)</w:t>
            </w:r>
          </w:p>
        </w:tc>
        <w:tc>
          <w:tcPr>
            <w:tcW w:w="762" w:type="dxa"/>
            <w:vAlign w:val="center"/>
          </w:tcPr>
          <w:p w:rsidR="009F634F" w:rsidRPr="00401485" w:rsidRDefault="009F634F" w:rsidP="00A3673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401485">
              <w:rPr>
                <w:rFonts w:asciiTheme="majorHAnsi" w:eastAsia="Times New Roman" w:hAnsiTheme="majorHAnsi" w:cstheme="majorHAnsi"/>
                <w:b/>
                <w:bCs/>
                <w:sz w:val="20"/>
                <w:szCs w:val="20"/>
                <w:lang w:val="ro-MD"/>
              </w:rPr>
              <w:t>%</w:t>
            </w:r>
          </w:p>
        </w:tc>
      </w:tr>
      <w:tr w:rsidR="009F634F" w:rsidRPr="00401485" w:rsidTr="00A36731">
        <w:trPr>
          <w:gridAfter w:val="1"/>
          <w:wAfter w:w="12" w:type="dxa"/>
        </w:trPr>
        <w:tc>
          <w:tcPr>
            <w:cnfStyle w:val="001000000000" w:firstRow="0" w:lastRow="0" w:firstColumn="1" w:lastColumn="0" w:oddVBand="0" w:evenVBand="0" w:oddHBand="0" w:evenHBand="0" w:firstRowFirstColumn="0" w:firstRowLastColumn="0" w:lastRowFirstColumn="0" w:lastRowLastColumn="0"/>
            <w:tcW w:w="2972" w:type="dxa"/>
          </w:tcPr>
          <w:p w:rsidR="009F634F" w:rsidRPr="00F00D1E" w:rsidRDefault="009F634F" w:rsidP="00A36731">
            <w:pPr>
              <w:jc w:val="center"/>
              <w:rPr>
                <w:rFonts w:asciiTheme="majorHAnsi" w:eastAsia="Times New Roman" w:hAnsiTheme="majorHAnsi" w:cstheme="majorHAnsi"/>
                <w:b w:val="0"/>
                <w:i/>
                <w:sz w:val="16"/>
                <w:szCs w:val="16"/>
                <w:lang w:val="ro-MD"/>
              </w:rPr>
            </w:pPr>
            <w:r w:rsidRPr="00F00D1E">
              <w:rPr>
                <w:rFonts w:asciiTheme="majorHAnsi" w:eastAsia="Times New Roman" w:hAnsiTheme="majorHAnsi" w:cstheme="majorHAnsi"/>
                <w:b w:val="0"/>
                <w:i/>
                <w:sz w:val="16"/>
                <w:szCs w:val="16"/>
                <w:lang w:val="ro-MD"/>
              </w:rPr>
              <w:t>1</w:t>
            </w:r>
          </w:p>
        </w:tc>
        <w:tc>
          <w:tcPr>
            <w:tcW w:w="1093" w:type="dxa"/>
          </w:tcPr>
          <w:p w:rsidR="009F634F" w:rsidRPr="00401485" w:rsidRDefault="009F634F" w:rsidP="00A3673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6"/>
                <w:szCs w:val="16"/>
                <w:lang w:val="ro-MD"/>
              </w:rPr>
            </w:pPr>
            <w:r w:rsidRPr="00401485">
              <w:rPr>
                <w:rFonts w:asciiTheme="majorHAnsi" w:eastAsia="Times New Roman" w:hAnsiTheme="majorHAnsi" w:cstheme="majorHAnsi"/>
                <w:bCs/>
                <w:i/>
                <w:sz w:val="16"/>
                <w:szCs w:val="16"/>
                <w:lang w:val="ro-MD"/>
              </w:rPr>
              <w:t>2</w:t>
            </w:r>
          </w:p>
        </w:tc>
        <w:tc>
          <w:tcPr>
            <w:tcW w:w="1103" w:type="dxa"/>
          </w:tcPr>
          <w:p w:rsidR="009F634F" w:rsidRPr="00401485" w:rsidRDefault="009F634F" w:rsidP="00A3673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6"/>
                <w:szCs w:val="16"/>
                <w:lang w:val="ro-MD"/>
              </w:rPr>
            </w:pPr>
            <w:r w:rsidRPr="00401485">
              <w:rPr>
                <w:rFonts w:asciiTheme="majorHAnsi" w:eastAsia="Times New Roman" w:hAnsiTheme="majorHAnsi" w:cstheme="majorHAnsi"/>
                <w:bCs/>
                <w:i/>
                <w:sz w:val="16"/>
                <w:szCs w:val="16"/>
                <w:lang w:val="ro-MD"/>
              </w:rPr>
              <w:t>3</w:t>
            </w:r>
          </w:p>
        </w:tc>
        <w:tc>
          <w:tcPr>
            <w:tcW w:w="1102" w:type="dxa"/>
          </w:tcPr>
          <w:p w:rsidR="009F634F" w:rsidRPr="00401485" w:rsidRDefault="009F634F" w:rsidP="00A3673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6"/>
                <w:szCs w:val="16"/>
                <w:lang w:val="ro-MD"/>
              </w:rPr>
            </w:pPr>
            <w:r w:rsidRPr="00401485">
              <w:rPr>
                <w:rFonts w:asciiTheme="majorHAnsi" w:eastAsia="Times New Roman" w:hAnsiTheme="majorHAnsi" w:cstheme="majorHAnsi"/>
                <w:bCs/>
                <w:i/>
                <w:sz w:val="16"/>
                <w:szCs w:val="16"/>
                <w:lang w:val="ro-MD"/>
              </w:rPr>
              <w:t>4</w:t>
            </w:r>
          </w:p>
        </w:tc>
        <w:tc>
          <w:tcPr>
            <w:tcW w:w="966" w:type="dxa"/>
          </w:tcPr>
          <w:p w:rsidR="009F634F" w:rsidRPr="00401485" w:rsidRDefault="009F634F" w:rsidP="00A3673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6"/>
                <w:szCs w:val="16"/>
                <w:lang w:val="ro-MD"/>
              </w:rPr>
            </w:pPr>
            <w:r w:rsidRPr="00401485">
              <w:rPr>
                <w:rFonts w:asciiTheme="majorHAnsi" w:eastAsia="Times New Roman" w:hAnsiTheme="majorHAnsi" w:cstheme="majorHAnsi"/>
                <w:bCs/>
                <w:i/>
                <w:sz w:val="16"/>
                <w:szCs w:val="16"/>
                <w:lang w:val="ro-MD"/>
              </w:rPr>
              <w:t>5=4-3</w:t>
            </w:r>
          </w:p>
        </w:tc>
        <w:tc>
          <w:tcPr>
            <w:tcW w:w="762" w:type="dxa"/>
          </w:tcPr>
          <w:p w:rsidR="009F634F" w:rsidRPr="00401485" w:rsidRDefault="009F634F" w:rsidP="00A3673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6"/>
                <w:szCs w:val="16"/>
                <w:lang w:val="ro-MD"/>
              </w:rPr>
            </w:pPr>
            <w:r w:rsidRPr="00401485">
              <w:rPr>
                <w:rFonts w:asciiTheme="majorHAnsi" w:eastAsia="Times New Roman" w:hAnsiTheme="majorHAnsi" w:cstheme="majorHAnsi"/>
                <w:bCs/>
                <w:i/>
                <w:sz w:val="16"/>
                <w:szCs w:val="16"/>
                <w:lang w:val="ro-MD"/>
              </w:rPr>
              <w:t>6=4/3</w:t>
            </w:r>
          </w:p>
        </w:tc>
        <w:tc>
          <w:tcPr>
            <w:tcW w:w="1015" w:type="dxa"/>
          </w:tcPr>
          <w:p w:rsidR="009F634F" w:rsidRPr="00401485" w:rsidRDefault="009F634F" w:rsidP="00A3673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6"/>
                <w:szCs w:val="16"/>
                <w:lang w:val="ro-MD"/>
              </w:rPr>
            </w:pPr>
            <w:r w:rsidRPr="00401485">
              <w:rPr>
                <w:rFonts w:asciiTheme="majorHAnsi" w:eastAsia="Times New Roman" w:hAnsiTheme="majorHAnsi" w:cstheme="majorHAnsi"/>
                <w:bCs/>
                <w:i/>
                <w:sz w:val="16"/>
                <w:szCs w:val="16"/>
                <w:lang w:val="ro-MD"/>
              </w:rPr>
              <w:t>7=4-2</w:t>
            </w:r>
          </w:p>
        </w:tc>
        <w:tc>
          <w:tcPr>
            <w:tcW w:w="762" w:type="dxa"/>
          </w:tcPr>
          <w:p w:rsidR="009F634F" w:rsidRPr="00401485" w:rsidRDefault="009F634F" w:rsidP="00A3673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6"/>
                <w:szCs w:val="16"/>
                <w:lang w:val="ro-MD"/>
              </w:rPr>
            </w:pPr>
            <w:r w:rsidRPr="00401485">
              <w:rPr>
                <w:rFonts w:asciiTheme="majorHAnsi" w:eastAsia="Times New Roman" w:hAnsiTheme="majorHAnsi" w:cstheme="majorHAnsi"/>
                <w:bCs/>
                <w:i/>
                <w:sz w:val="16"/>
                <w:szCs w:val="16"/>
                <w:lang w:val="ro-MD"/>
              </w:rPr>
              <w:t>8=4/2</w:t>
            </w:r>
          </w:p>
        </w:tc>
      </w:tr>
      <w:tr w:rsidR="009F634F" w:rsidRPr="00401485" w:rsidTr="00A36731">
        <w:trPr>
          <w:gridAfter w:val="1"/>
          <w:wAfter w:w="12" w:type="dxa"/>
        </w:trPr>
        <w:tc>
          <w:tcPr>
            <w:cnfStyle w:val="001000000000" w:firstRow="0" w:lastRow="0" w:firstColumn="1" w:lastColumn="0" w:oddVBand="0" w:evenVBand="0" w:oddHBand="0" w:evenHBand="0" w:firstRowFirstColumn="0" w:firstRowLastColumn="0" w:lastRowFirstColumn="0" w:lastRowLastColumn="0"/>
            <w:tcW w:w="2972" w:type="dxa"/>
          </w:tcPr>
          <w:p w:rsidR="009F634F" w:rsidRPr="00401485" w:rsidRDefault="009F634F" w:rsidP="00A36731">
            <w:pPr>
              <w:rPr>
                <w:rFonts w:asciiTheme="majorHAnsi" w:eastAsia="Times New Roman" w:hAnsiTheme="majorHAnsi" w:cstheme="majorHAnsi"/>
                <w:sz w:val="20"/>
                <w:szCs w:val="20"/>
                <w:lang w:val="ro-MD"/>
              </w:rPr>
            </w:pPr>
            <w:r w:rsidRPr="00401485">
              <w:rPr>
                <w:rFonts w:asciiTheme="majorHAnsi" w:eastAsia="Times New Roman" w:hAnsiTheme="majorHAnsi" w:cstheme="majorHAnsi"/>
                <w:sz w:val="20"/>
                <w:szCs w:val="20"/>
                <w:lang w:val="ro-MD"/>
              </w:rPr>
              <w:t>Venituri precizate</w:t>
            </w:r>
          </w:p>
        </w:tc>
        <w:tc>
          <w:tcPr>
            <w:tcW w:w="1093" w:type="dxa"/>
            <w:vAlign w:val="center"/>
          </w:tcPr>
          <w:p w:rsidR="009F634F" w:rsidRPr="00401485" w:rsidRDefault="009F634F" w:rsidP="00A3673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401485">
              <w:rPr>
                <w:rFonts w:asciiTheme="majorHAnsi" w:eastAsia="Times New Roman" w:hAnsiTheme="majorHAnsi" w:cstheme="majorHAnsi"/>
                <w:b/>
                <w:bCs/>
                <w:sz w:val="20"/>
                <w:szCs w:val="20"/>
                <w:lang w:val="ro-MD"/>
              </w:rPr>
              <w:t>33 778,3</w:t>
            </w:r>
          </w:p>
        </w:tc>
        <w:tc>
          <w:tcPr>
            <w:tcW w:w="1103" w:type="dxa"/>
            <w:vAlign w:val="center"/>
          </w:tcPr>
          <w:p w:rsidR="009F634F" w:rsidRPr="00401485" w:rsidRDefault="009F634F" w:rsidP="00A3673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401485">
              <w:rPr>
                <w:rFonts w:asciiTheme="majorHAnsi" w:eastAsia="Times New Roman" w:hAnsiTheme="majorHAnsi" w:cstheme="majorHAnsi"/>
                <w:b/>
                <w:bCs/>
                <w:sz w:val="20"/>
                <w:szCs w:val="20"/>
                <w:lang w:val="ro-MD"/>
              </w:rPr>
              <w:t>36 969,4</w:t>
            </w:r>
          </w:p>
        </w:tc>
        <w:tc>
          <w:tcPr>
            <w:tcW w:w="1102" w:type="dxa"/>
            <w:vAlign w:val="center"/>
          </w:tcPr>
          <w:p w:rsidR="009F634F" w:rsidRPr="00401485" w:rsidRDefault="009F634F" w:rsidP="00A3673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401485">
              <w:rPr>
                <w:rFonts w:asciiTheme="majorHAnsi" w:eastAsia="Times New Roman" w:hAnsiTheme="majorHAnsi" w:cstheme="majorHAnsi"/>
                <w:b/>
                <w:bCs/>
                <w:sz w:val="20"/>
                <w:szCs w:val="20"/>
                <w:lang w:val="ro-MD"/>
              </w:rPr>
              <w:t>40 642,9</w:t>
            </w:r>
          </w:p>
        </w:tc>
        <w:tc>
          <w:tcPr>
            <w:tcW w:w="966" w:type="dxa"/>
            <w:vAlign w:val="center"/>
          </w:tcPr>
          <w:p w:rsidR="009F634F" w:rsidRPr="00401485" w:rsidRDefault="009F634F" w:rsidP="00A3673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401485">
              <w:rPr>
                <w:rFonts w:asciiTheme="majorHAnsi" w:eastAsia="Times New Roman" w:hAnsiTheme="majorHAnsi" w:cstheme="majorHAnsi"/>
                <w:b/>
                <w:bCs/>
                <w:sz w:val="20"/>
                <w:szCs w:val="20"/>
                <w:lang w:val="ro-MD"/>
              </w:rPr>
              <w:t>3 673,5</w:t>
            </w:r>
          </w:p>
        </w:tc>
        <w:tc>
          <w:tcPr>
            <w:tcW w:w="762" w:type="dxa"/>
            <w:vAlign w:val="center"/>
          </w:tcPr>
          <w:p w:rsidR="009F634F" w:rsidRPr="00401485" w:rsidRDefault="009F634F" w:rsidP="00A3673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401485">
              <w:rPr>
                <w:rFonts w:asciiTheme="majorHAnsi" w:eastAsia="Times New Roman" w:hAnsiTheme="majorHAnsi" w:cstheme="majorHAnsi"/>
                <w:b/>
                <w:bCs/>
                <w:sz w:val="20"/>
                <w:szCs w:val="20"/>
                <w:lang w:val="ro-MD"/>
              </w:rPr>
              <w:t>109,9</w:t>
            </w:r>
          </w:p>
        </w:tc>
        <w:tc>
          <w:tcPr>
            <w:tcW w:w="1015" w:type="dxa"/>
            <w:vAlign w:val="center"/>
          </w:tcPr>
          <w:p w:rsidR="009F634F" w:rsidRPr="00401485" w:rsidRDefault="009F634F" w:rsidP="00A3673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401485">
              <w:rPr>
                <w:rFonts w:asciiTheme="majorHAnsi" w:eastAsia="Times New Roman" w:hAnsiTheme="majorHAnsi" w:cstheme="majorHAnsi"/>
                <w:b/>
                <w:bCs/>
                <w:sz w:val="20"/>
                <w:szCs w:val="20"/>
                <w:lang w:val="ro-MD"/>
              </w:rPr>
              <w:t>6 864,6</w:t>
            </w:r>
          </w:p>
        </w:tc>
        <w:tc>
          <w:tcPr>
            <w:tcW w:w="762" w:type="dxa"/>
            <w:vAlign w:val="center"/>
          </w:tcPr>
          <w:p w:rsidR="009F634F" w:rsidRPr="00401485" w:rsidRDefault="009F634F" w:rsidP="00A3673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401485">
              <w:rPr>
                <w:rFonts w:asciiTheme="majorHAnsi" w:eastAsia="Times New Roman" w:hAnsiTheme="majorHAnsi" w:cstheme="majorHAnsi"/>
                <w:b/>
                <w:bCs/>
                <w:sz w:val="20"/>
                <w:szCs w:val="20"/>
                <w:lang w:val="ro-MD"/>
              </w:rPr>
              <w:t>120,3</w:t>
            </w:r>
          </w:p>
        </w:tc>
      </w:tr>
      <w:tr w:rsidR="009F634F" w:rsidRPr="00401485" w:rsidTr="00A36731">
        <w:trPr>
          <w:gridAfter w:val="1"/>
          <w:wAfter w:w="12" w:type="dxa"/>
        </w:trPr>
        <w:tc>
          <w:tcPr>
            <w:cnfStyle w:val="001000000000" w:firstRow="0" w:lastRow="0" w:firstColumn="1" w:lastColumn="0" w:oddVBand="0" w:evenVBand="0" w:oddHBand="0" w:evenHBand="0" w:firstRowFirstColumn="0" w:firstRowLastColumn="0" w:lastRowFirstColumn="0" w:lastRowLastColumn="0"/>
            <w:tcW w:w="2972" w:type="dxa"/>
          </w:tcPr>
          <w:p w:rsidR="009F634F" w:rsidRPr="00401485" w:rsidRDefault="009F634F" w:rsidP="00A36731">
            <w:pPr>
              <w:rPr>
                <w:rFonts w:asciiTheme="majorHAnsi" w:eastAsia="Times New Roman" w:hAnsiTheme="majorHAnsi" w:cstheme="majorHAnsi"/>
                <w:sz w:val="20"/>
                <w:szCs w:val="20"/>
                <w:lang w:val="ro-MD"/>
              </w:rPr>
            </w:pPr>
            <w:r w:rsidRPr="00401485">
              <w:rPr>
                <w:rFonts w:asciiTheme="majorHAnsi" w:eastAsia="Times New Roman" w:hAnsiTheme="majorHAnsi" w:cstheme="majorHAnsi"/>
                <w:sz w:val="20"/>
                <w:szCs w:val="20"/>
                <w:lang w:val="ro-MD"/>
              </w:rPr>
              <w:t xml:space="preserve">Venituri executate, </w:t>
            </w:r>
            <w:r w:rsidRPr="00401485">
              <w:rPr>
                <w:rFonts w:asciiTheme="majorHAnsi" w:eastAsia="Times New Roman" w:hAnsiTheme="majorHAnsi" w:cstheme="majorHAnsi"/>
                <w:i/>
                <w:sz w:val="20"/>
                <w:szCs w:val="20"/>
                <w:lang w:val="ro-MD"/>
              </w:rPr>
              <w:t>inclusiv</w:t>
            </w:r>
            <w:r w:rsidRPr="00401485">
              <w:rPr>
                <w:rFonts w:asciiTheme="majorHAnsi" w:eastAsia="Times New Roman" w:hAnsiTheme="majorHAnsi" w:cstheme="majorHAnsi"/>
                <w:sz w:val="20"/>
                <w:szCs w:val="20"/>
                <w:lang w:val="ro-MD"/>
              </w:rPr>
              <w:t>:</w:t>
            </w:r>
          </w:p>
        </w:tc>
        <w:tc>
          <w:tcPr>
            <w:tcW w:w="1093" w:type="dxa"/>
            <w:vAlign w:val="center"/>
          </w:tcPr>
          <w:p w:rsidR="009F634F" w:rsidRPr="00401485" w:rsidRDefault="009F634F" w:rsidP="00A3673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401485">
              <w:rPr>
                <w:rFonts w:asciiTheme="majorHAnsi" w:eastAsia="Times New Roman" w:hAnsiTheme="majorHAnsi" w:cstheme="majorHAnsi"/>
                <w:b/>
                <w:bCs/>
                <w:sz w:val="20"/>
                <w:szCs w:val="20"/>
                <w:lang w:val="ro-MD"/>
              </w:rPr>
              <w:t>33 947,4</w:t>
            </w:r>
          </w:p>
        </w:tc>
        <w:tc>
          <w:tcPr>
            <w:tcW w:w="1103" w:type="dxa"/>
            <w:vAlign w:val="center"/>
          </w:tcPr>
          <w:p w:rsidR="009F634F" w:rsidRPr="00401485" w:rsidRDefault="009F634F" w:rsidP="00A3673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401485">
              <w:rPr>
                <w:rFonts w:asciiTheme="majorHAnsi" w:eastAsia="Times New Roman" w:hAnsiTheme="majorHAnsi" w:cstheme="majorHAnsi"/>
                <w:b/>
                <w:bCs/>
                <w:sz w:val="20"/>
                <w:szCs w:val="20"/>
                <w:lang w:val="ro-MD"/>
              </w:rPr>
              <w:t>36 432,7</w:t>
            </w:r>
          </w:p>
        </w:tc>
        <w:tc>
          <w:tcPr>
            <w:tcW w:w="1102" w:type="dxa"/>
            <w:vAlign w:val="center"/>
          </w:tcPr>
          <w:p w:rsidR="009F634F" w:rsidRPr="00401485" w:rsidRDefault="009F634F" w:rsidP="00A3673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401485">
              <w:rPr>
                <w:rFonts w:asciiTheme="majorHAnsi" w:eastAsia="Times New Roman" w:hAnsiTheme="majorHAnsi" w:cstheme="majorHAnsi"/>
                <w:b/>
                <w:bCs/>
                <w:sz w:val="20"/>
                <w:szCs w:val="20"/>
                <w:lang w:val="ro-MD"/>
              </w:rPr>
              <w:t>39 967,9</w:t>
            </w:r>
          </w:p>
        </w:tc>
        <w:tc>
          <w:tcPr>
            <w:tcW w:w="966" w:type="dxa"/>
            <w:vAlign w:val="center"/>
          </w:tcPr>
          <w:p w:rsidR="009F634F" w:rsidRPr="00401485" w:rsidRDefault="009F634F" w:rsidP="00A3673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401485">
              <w:rPr>
                <w:rFonts w:asciiTheme="majorHAnsi" w:eastAsia="Times New Roman" w:hAnsiTheme="majorHAnsi" w:cstheme="majorHAnsi"/>
                <w:b/>
                <w:bCs/>
                <w:sz w:val="20"/>
                <w:szCs w:val="20"/>
                <w:lang w:val="ro-MD"/>
              </w:rPr>
              <w:t>3 535,2</w:t>
            </w:r>
          </w:p>
        </w:tc>
        <w:tc>
          <w:tcPr>
            <w:tcW w:w="762" w:type="dxa"/>
            <w:vAlign w:val="center"/>
          </w:tcPr>
          <w:p w:rsidR="009F634F" w:rsidRPr="00401485" w:rsidRDefault="009F634F" w:rsidP="00A3673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401485">
              <w:rPr>
                <w:rFonts w:asciiTheme="majorHAnsi" w:eastAsia="Times New Roman" w:hAnsiTheme="majorHAnsi" w:cstheme="majorHAnsi"/>
                <w:b/>
                <w:bCs/>
                <w:sz w:val="20"/>
                <w:szCs w:val="20"/>
                <w:lang w:val="ro-MD"/>
              </w:rPr>
              <w:t>109,7</w:t>
            </w:r>
          </w:p>
        </w:tc>
        <w:tc>
          <w:tcPr>
            <w:tcW w:w="1015" w:type="dxa"/>
            <w:vAlign w:val="center"/>
          </w:tcPr>
          <w:p w:rsidR="009F634F" w:rsidRPr="00401485" w:rsidRDefault="009F634F" w:rsidP="00A3673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401485">
              <w:rPr>
                <w:rFonts w:asciiTheme="majorHAnsi" w:eastAsia="Times New Roman" w:hAnsiTheme="majorHAnsi" w:cstheme="majorHAnsi"/>
                <w:b/>
                <w:bCs/>
                <w:sz w:val="20"/>
                <w:szCs w:val="20"/>
                <w:lang w:val="ro-MD"/>
              </w:rPr>
              <w:t>6 020,5</w:t>
            </w:r>
          </w:p>
        </w:tc>
        <w:tc>
          <w:tcPr>
            <w:tcW w:w="762" w:type="dxa"/>
            <w:vAlign w:val="center"/>
          </w:tcPr>
          <w:p w:rsidR="009F634F" w:rsidRPr="00401485" w:rsidRDefault="009F634F" w:rsidP="00A3673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401485">
              <w:rPr>
                <w:rFonts w:asciiTheme="majorHAnsi" w:eastAsia="Times New Roman" w:hAnsiTheme="majorHAnsi" w:cstheme="majorHAnsi"/>
                <w:b/>
                <w:bCs/>
                <w:sz w:val="20"/>
                <w:szCs w:val="20"/>
                <w:lang w:val="ro-MD"/>
              </w:rPr>
              <w:t>117,7</w:t>
            </w:r>
          </w:p>
        </w:tc>
      </w:tr>
      <w:tr w:rsidR="009F634F" w:rsidRPr="00401485" w:rsidTr="00A36731">
        <w:trPr>
          <w:gridAfter w:val="1"/>
          <w:wAfter w:w="12" w:type="dxa"/>
        </w:trPr>
        <w:tc>
          <w:tcPr>
            <w:cnfStyle w:val="001000000000" w:firstRow="0" w:lastRow="0" w:firstColumn="1" w:lastColumn="0" w:oddVBand="0" w:evenVBand="0" w:oddHBand="0" w:evenHBand="0" w:firstRowFirstColumn="0" w:firstRowLastColumn="0" w:lastRowFirstColumn="0" w:lastRowLastColumn="0"/>
            <w:tcW w:w="2972" w:type="dxa"/>
          </w:tcPr>
          <w:p w:rsidR="009F634F" w:rsidRPr="00401485" w:rsidRDefault="009F634F" w:rsidP="00A36731">
            <w:pPr>
              <w:rPr>
                <w:rFonts w:asciiTheme="majorHAnsi" w:eastAsia="Times New Roman" w:hAnsiTheme="majorHAnsi" w:cstheme="majorHAnsi"/>
                <w:i/>
                <w:sz w:val="20"/>
                <w:szCs w:val="20"/>
                <w:lang w:val="ro-MD"/>
              </w:rPr>
            </w:pPr>
            <w:r w:rsidRPr="00401485">
              <w:rPr>
                <w:rFonts w:asciiTheme="majorHAnsi" w:eastAsia="Times New Roman" w:hAnsiTheme="majorHAnsi" w:cstheme="majorHAnsi"/>
                <w:i/>
                <w:sz w:val="20"/>
                <w:szCs w:val="20"/>
                <w:lang w:val="ro-MD"/>
              </w:rPr>
              <w:t>Impozite și taxe</w:t>
            </w:r>
          </w:p>
        </w:tc>
        <w:tc>
          <w:tcPr>
            <w:tcW w:w="1093" w:type="dxa"/>
            <w:vAlign w:val="center"/>
          </w:tcPr>
          <w:p w:rsidR="009F634F" w:rsidRPr="00401485" w:rsidRDefault="009F634F" w:rsidP="00A3673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20"/>
                <w:szCs w:val="20"/>
                <w:lang w:val="ro-MD"/>
              </w:rPr>
            </w:pPr>
            <w:r w:rsidRPr="00401485">
              <w:rPr>
                <w:rFonts w:asciiTheme="majorHAnsi" w:eastAsia="Times New Roman" w:hAnsiTheme="majorHAnsi" w:cstheme="majorHAnsi"/>
                <w:bCs/>
                <w:i/>
                <w:sz w:val="20"/>
                <w:szCs w:val="20"/>
                <w:lang w:val="ro-MD"/>
              </w:rPr>
              <w:t>31 201,6</w:t>
            </w:r>
          </w:p>
        </w:tc>
        <w:tc>
          <w:tcPr>
            <w:tcW w:w="1103" w:type="dxa"/>
            <w:vAlign w:val="center"/>
          </w:tcPr>
          <w:p w:rsidR="009F634F" w:rsidRPr="00401485" w:rsidRDefault="009F634F" w:rsidP="00A3673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20"/>
                <w:szCs w:val="20"/>
                <w:lang w:val="ro-MD"/>
              </w:rPr>
            </w:pPr>
            <w:r w:rsidRPr="00401485">
              <w:rPr>
                <w:rFonts w:asciiTheme="majorHAnsi" w:eastAsia="Times New Roman" w:hAnsiTheme="majorHAnsi" w:cstheme="majorHAnsi"/>
                <w:bCs/>
                <w:i/>
                <w:sz w:val="20"/>
                <w:szCs w:val="20"/>
                <w:lang w:val="ro-MD"/>
              </w:rPr>
              <w:t>34 057,9</w:t>
            </w:r>
          </w:p>
        </w:tc>
        <w:tc>
          <w:tcPr>
            <w:tcW w:w="1102" w:type="dxa"/>
            <w:vAlign w:val="center"/>
          </w:tcPr>
          <w:p w:rsidR="009F634F" w:rsidRPr="00401485" w:rsidRDefault="009F634F" w:rsidP="00A3673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20"/>
                <w:szCs w:val="20"/>
                <w:lang w:val="ro-MD"/>
              </w:rPr>
            </w:pPr>
            <w:r w:rsidRPr="00401485">
              <w:rPr>
                <w:rFonts w:asciiTheme="majorHAnsi" w:eastAsia="Times New Roman" w:hAnsiTheme="majorHAnsi" w:cstheme="majorHAnsi"/>
                <w:bCs/>
                <w:i/>
                <w:sz w:val="20"/>
                <w:szCs w:val="20"/>
                <w:lang w:val="ro-MD"/>
              </w:rPr>
              <w:t>36 417,2</w:t>
            </w:r>
          </w:p>
        </w:tc>
        <w:tc>
          <w:tcPr>
            <w:tcW w:w="966" w:type="dxa"/>
            <w:vAlign w:val="center"/>
          </w:tcPr>
          <w:p w:rsidR="009F634F" w:rsidRPr="00401485" w:rsidRDefault="009F634F" w:rsidP="00A3673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r w:rsidRPr="00401485">
              <w:rPr>
                <w:rFonts w:asciiTheme="majorHAnsi" w:eastAsia="Times New Roman" w:hAnsiTheme="majorHAnsi" w:cstheme="majorHAnsi"/>
                <w:bCs/>
                <w:sz w:val="20"/>
                <w:szCs w:val="20"/>
                <w:lang w:val="ro-MD"/>
              </w:rPr>
              <w:t>2 359,3</w:t>
            </w:r>
          </w:p>
        </w:tc>
        <w:tc>
          <w:tcPr>
            <w:tcW w:w="762" w:type="dxa"/>
            <w:vAlign w:val="center"/>
          </w:tcPr>
          <w:p w:rsidR="009F634F" w:rsidRPr="00401485" w:rsidRDefault="009F634F" w:rsidP="00A3673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r w:rsidRPr="00401485">
              <w:rPr>
                <w:rFonts w:asciiTheme="majorHAnsi" w:eastAsia="Times New Roman" w:hAnsiTheme="majorHAnsi" w:cstheme="majorHAnsi"/>
                <w:bCs/>
                <w:sz w:val="20"/>
                <w:szCs w:val="20"/>
                <w:lang w:val="ro-MD"/>
              </w:rPr>
              <w:t>106,9</w:t>
            </w:r>
          </w:p>
        </w:tc>
        <w:tc>
          <w:tcPr>
            <w:tcW w:w="1015" w:type="dxa"/>
            <w:vAlign w:val="center"/>
          </w:tcPr>
          <w:p w:rsidR="009F634F" w:rsidRPr="00401485" w:rsidRDefault="009F634F" w:rsidP="00A3673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r w:rsidRPr="00401485">
              <w:rPr>
                <w:rFonts w:asciiTheme="majorHAnsi" w:eastAsia="Times New Roman" w:hAnsiTheme="majorHAnsi" w:cstheme="majorHAnsi"/>
                <w:bCs/>
                <w:sz w:val="20"/>
                <w:szCs w:val="20"/>
                <w:lang w:val="ro-MD"/>
              </w:rPr>
              <w:t>5 215,6</w:t>
            </w:r>
          </w:p>
        </w:tc>
        <w:tc>
          <w:tcPr>
            <w:tcW w:w="762" w:type="dxa"/>
            <w:vAlign w:val="center"/>
          </w:tcPr>
          <w:p w:rsidR="009F634F" w:rsidRPr="00401485" w:rsidRDefault="009F634F" w:rsidP="00A3673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r w:rsidRPr="00401485">
              <w:rPr>
                <w:rFonts w:asciiTheme="majorHAnsi" w:eastAsia="Times New Roman" w:hAnsiTheme="majorHAnsi" w:cstheme="majorHAnsi"/>
                <w:bCs/>
                <w:sz w:val="20"/>
                <w:szCs w:val="20"/>
                <w:lang w:val="ro-MD"/>
              </w:rPr>
              <w:t>116,7</w:t>
            </w:r>
          </w:p>
        </w:tc>
      </w:tr>
      <w:tr w:rsidR="009F634F" w:rsidRPr="00401485" w:rsidTr="00A36731">
        <w:trPr>
          <w:gridAfter w:val="1"/>
          <w:wAfter w:w="12" w:type="dxa"/>
        </w:trPr>
        <w:tc>
          <w:tcPr>
            <w:cnfStyle w:val="001000000000" w:firstRow="0" w:lastRow="0" w:firstColumn="1" w:lastColumn="0" w:oddVBand="0" w:evenVBand="0" w:oddHBand="0" w:evenHBand="0" w:firstRowFirstColumn="0" w:firstRowLastColumn="0" w:lastRowFirstColumn="0" w:lastRowLastColumn="0"/>
            <w:tcW w:w="2972" w:type="dxa"/>
          </w:tcPr>
          <w:p w:rsidR="009F634F" w:rsidRPr="00401485" w:rsidRDefault="009F634F" w:rsidP="00A36731">
            <w:pPr>
              <w:rPr>
                <w:rFonts w:asciiTheme="majorHAnsi" w:eastAsia="Times New Roman" w:hAnsiTheme="majorHAnsi" w:cstheme="majorHAnsi"/>
                <w:i/>
                <w:sz w:val="20"/>
                <w:szCs w:val="20"/>
                <w:lang w:val="ro-MD"/>
              </w:rPr>
            </w:pPr>
            <w:r w:rsidRPr="00401485">
              <w:rPr>
                <w:rFonts w:asciiTheme="majorHAnsi" w:eastAsia="Times New Roman" w:hAnsiTheme="majorHAnsi" w:cstheme="majorHAnsi"/>
                <w:i/>
                <w:sz w:val="20"/>
                <w:szCs w:val="20"/>
                <w:lang w:val="ro-MD"/>
              </w:rPr>
              <w:t>Granturi primite</w:t>
            </w:r>
          </w:p>
        </w:tc>
        <w:tc>
          <w:tcPr>
            <w:tcW w:w="1093" w:type="dxa"/>
            <w:vAlign w:val="center"/>
          </w:tcPr>
          <w:p w:rsidR="009F634F" w:rsidRPr="00401485" w:rsidRDefault="009F634F" w:rsidP="00A3673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20"/>
                <w:szCs w:val="20"/>
                <w:lang w:val="ro-MD"/>
              </w:rPr>
            </w:pPr>
            <w:r w:rsidRPr="00401485">
              <w:rPr>
                <w:rFonts w:asciiTheme="majorHAnsi" w:eastAsia="Times New Roman" w:hAnsiTheme="majorHAnsi" w:cstheme="majorHAnsi"/>
                <w:bCs/>
                <w:i/>
                <w:sz w:val="20"/>
                <w:szCs w:val="20"/>
                <w:lang w:val="ro-MD"/>
              </w:rPr>
              <w:t>992,9</w:t>
            </w:r>
          </w:p>
        </w:tc>
        <w:tc>
          <w:tcPr>
            <w:tcW w:w="1103" w:type="dxa"/>
            <w:vAlign w:val="center"/>
          </w:tcPr>
          <w:p w:rsidR="009F634F" w:rsidRPr="00401485" w:rsidRDefault="009F634F" w:rsidP="00A3673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20"/>
                <w:szCs w:val="20"/>
                <w:lang w:val="ro-MD"/>
              </w:rPr>
            </w:pPr>
            <w:r w:rsidRPr="00401485">
              <w:rPr>
                <w:rFonts w:asciiTheme="majorHAnsi" w:eastAsia="Times New Roman" w:hAnsiTheme="majorHAnsi" w:cstheme="majorHAnsi"/>
                <w:bCs/>
                <w:i/>
                <w:sz w:val="20"/>
                <w:szCs w:val="20"/>
                <w:lang w:val="ro-MD"/>
              </w:rPr>
              <w:t>335,4</w:t>
            </w:r>
          </w:p>
        </w:tc>
        <w:tc>
          <w:tcPr>
            <w:tcW w:w="1102" w:type="dxa"/>
            <w:vAlign w:val="center"/>
          </w:tcPr>
          <w:p w:rsidR="009F634F" w:rsidRPr="00401485" w:rsidRDefault="009F634F" w:rsidP="00A3673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20"/>
                <w:szCs w:val="20"/>
                <w:lang w:val="ro-MD"/>
              </w:rPr>
            </w:pPr>
            <w:r w:rsidRPr="00401485">
              <w:rPr>
                <w:rFonts w:asciiTheme="majorHAnsi" w:eastAsia="Times New Roman" w:hAnsiTheme="majorHAnsi" w:cstheme="majorHAnsi"/>
                <w:bCs/>
                <w:i/>
                <w:sz w:val="20"/>
                <w:szCs w:val="20"/>
                <w:lang w:val="ro-MD"/>
              </w:rPr>
              <w:t>1 540,5</w:t>
            </w:r>
          </w:p>
        </w:tc>
        <w:tc>
          <w:tcPr>
            <w:tcW w:w="966" w:type="dxa"/>
            <w:vAlign w:val="center"/>
          </w:tcPr>
          <w:p w:rsidR="009F634F" w:rsidRPr="00401485" w:rsidRDefault="009F634F" w:rsidP="00A3673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r w:rsidRPr="00401485">
              <w:rPr>
                <w:rFonts w:asciiTheme="majorHAnsi" w:eastAsia="Times New Roman" w:hAnsiTheme="majorHAnsi" w:cstheme="majorHAnsi"/>
                <w:bCs/>
                <w:sz w:val="20"/>
                <w:szCs w:val="20"/>
                <w:lang w:val="ro-MD"/>
              </w:rPr>
              <w:t>1 205,1</w:t>
            </w:r>
          </w:p>
        </w:tc>
        <w:tc>
          <w:tcPr>
            <w:tcW w:w="762" w:type="dxa"/>
            <w:vAlign w:val="center"/>
          </w:tcPr>
          <w:p w:rsidR="009F634F" w:rsidRPr="00401485" w:rsidRDefault="009F634F" w:rsidP="00A3673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r w:rsidRPr="00401485">
              <w:rPr>
                <w:rFonts w:asciiTheme="majorHAnsi" w:eastAsia="Times New Roman" w:hAnsiTheme="majorHAnsi" w:cstheme="majorHAnsi"/>
                <w:bCs/>
                <w:sz w:val="20"/>
                <w:szCs w:val="20"/>
                <w:lang w:val="ro-MD"/>
              </w:rPr>
              <w:t>459,3</w:t>
            </w:r>
          </w:p>
        </w:tc>
        <w:tc>
          <w:tcPr>
            <w:tcW w:w="1015" w:type="dxa"/>
            <w:vAlign w:val="center"/>
          </w:tcPr>
          <w:p w:rsidR="009F634F" w:rsidRPr="00401485" w:rsidRDefault="009F634F" w:rsidP="00A3673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r w:rsidRPr="00401485">
              <w:rPr>
                <w:rFonts w:asciiTheme="majorHAnsi" w:eastAsia="Times New Roman" w:hAnsiTheme="majorHAnsi" w:cstheme="majorHAnsi"/>
                <w:bCs/>
                <w:sz w:val="20"/>
                <w:szCs w:val="20"/>
                <w:lang w:val="ro-MD"/>
              </w:rPr>
              <w:t>547,6</w:t>
            </w:r>
          </w:p>
        </w:tc>
        <w:tc>
          <w:tcPr>
            <w:tcW w:w="762" w:type="dxa"/>
            <w:vAlign w:val="center"/>
          </w:tcPr>
          <w:p w:rsidR="009F634F" w:rsidRPr="00401485" w:rsidRDefault="009F634F" w:rsidP="00A3673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r w:rsidRPr="00401485">
              <w:rPr>
                <w:rFonts w:asciiTheme="majorHAnsi" w:eastAsia="Times New Roman" w:hAnsiTheme="majorHAnsi" w:cstheme="majorHAnsi"/>
                <w:bCs/>
                <w:sz w:val="20"/>
                <w:szCs w:val="20"/>
                <w:lang w:val="ro-MD"/>
              </w:rPr>
              <w:t>155,2</w:t>
            </w:r>
          </w:p>
        </w:tc>
      </w:tr>
      <w:tr w:rsidR="009F634F" w:rsidRPr="00401485" w:rsidTr="00A36731">
        <w:trPr>
          <w:gridAfter w:val="1"/>
          <w:wAfter w:w="12" w:type="dxa"/>
        </w:trPr>
        <w:tc>
          <w:tcPr>
            <w:cnfStyle w:val="001000000000" w:firstRow="0" w:lastRow="0" w:firstColumn="1" w:lastColumn="0" w:oddVBand="0" w:evenVBand="0" w:oddHBand="0" w:evenHBand="0" w:firstRowFirstColumn="0" w:firstRowLastColumn="0" w:lastRowFirstColumn="0" w:lastRowLastColumn="0"/>
            <w:tcW w:w="2972" w:type="dxa"/>
          </w:tcPr>
          <w:p w:rsidR="009F634F" w:rsidRPr="00401485" w:rsidRDefault="009F634F" w:rsidP="00A36731">
            <w:pPr>
              <w:rPr>
                <w:rFonts w:asciiTheme="majorHAnsi" w:eastAsia="Times New Roman" w:hAnsiTheme="majorHAnsi" w:cstheme="majorHAnsi"/>
                <w:i/>
                <w:sz w:val="20"/>
                <w:szCs w:val="20"/>
                <w:lang w:val="ro-MD"/>
              </w:rPr>
            </w:pPr>
            <w:r w:rsidRPr="00401485">
              <w:rPr>
                <w:rFonts w:asciiTheme="majorHAnsi" w:eastAsia="Times New Roman" w:hAnsiTheme="majorHAnsi" w:cstheme="majorHAnsi"/>
                <w:i/>
                <w:sz w:val="20"/>
                <w:szCs w:val="20"/>
                <w:lang w:val="ro-MD"/>
              </w:rPr>
              <w:t>Alte venituri</w:t>
            </w:r>
          </w:p>
        </w:tc>
        <w:tc>
          <w:tcPr>
            <w:tcW w:w="1093" w:type="dxa"/>
            <w:vAlign w:val="center"/>
          </w:tcPr>
          <w:p w:rsidR="009F634F" w:rsidRPr="00401485" w:rsidRDefault="009F634F" w:rsidP="00A3673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20"/>
                <w:szCs w:val="20"/>
                <w:lang w:val="ro-MD"/>
              </w:rPr>
            </w:pPr>
            <w:r w:rsidRPr="00401485">
              <w:rPr>
                <w:rFonts w:asciiTheme="majorHAnsi" w:eastAsia="Times New Roman" w:hAnsiTheme="majorHAnsi" w:cstheme="majorHAnsi"/>
                <w:bCs/>
                <w:i/>
                <w:sz w:val="20"/>
                <w:szCs w:val="20"/>
                <w:lang w:val="ro-MD"/>
              </w:rPr>
              <w:t>1 740,2</w:t>
            </w:r>
          </w:p>
        </w:tc>
        <w:tc>
          <w:tcPr>
            <w:tcW w:w="1103" w:type="dxa"/>
            <w:vAlign w:val="center"/>
          </w:tcPr>
          <w:p w:rsidR="009F634F" w:rsidRPr="00401485" w:rsidRDefault="009F634F" w:rsidP="00A3673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20"/>
                <w:szCs w:val="20"/>
                <w:lang w:val="ro-MD"/>
              </w:rPr>
            </w:pPr>
            <w:r w:rsidRPr="00401485">
              <w:rPr>
                <w:rFonts w:asciiTheme="majorHAnsi" w:eastAsia="Times New Roman" w:hAnsiTheme="majorHAnsi" w:cstheme="majorHAnsi"/>
                <w:bCs/>
                <w:i/>
                <w:sz w:val="20"/>
                <w:szCs w:val="20"/>
                <w:lang w:val="ro-MD"/>
              </w:rPr>
              <w:t>2 013,4</w:t>
            </w:r>
          </w:p>
        </w:tc>
        <w:tc>
          <w:tcPr>
            <w:tcW w:w="1102" w:type="dxa"/>
            <w:vAlign w:val="center"/>
          </w:tcPr>
          <w:p w:rsidR="009F634F" w:rsidRPr="00401485" w:rsidRDefault="009F634F" w:rsidP="00A3673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20"/>
                <w:szCs w:val="20"/>
                <w:lang w:val="ro-MD"/>
              </w:rPr>
            </w:pPr>
            <w:r w:rsidRPr="00401485">
              <w:rPr>
                <w:rFonts w:asciiTheme="majorHAnsi" w:eastAsia="Times New Roman" w:hAnsiTheme="majorHAnsi" w:cstheme="majorHAnsi"/>
                <w:bCs/>
                <w:i/>
                <w:sz w:val="20"/>
                <w:szCs w:val="20"/>
                <w:lang w:val="ro-MD"/>
              </w:rPr>
              <w:t>1 986,8</w:t>
            </w:r>
          </w:p>
        </w:tc>
        <w:tc>
          <w:tcPr>
            <w:tcW w:w="966" w:type="dxa"/>
            <w:vAlign w:val="center"/>
          </w:tcPr>
          <w:p w:rsidR="009F634F" w:rsidRPr="00401485" w:rsidRDefault="009F634F" w:rsidP="00A3673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r w:rsidRPr="00401485">
              <w:rPr>
                <w:rFonts w:asciiTheme="majorHAnsi" w:eastAsia="Times New Roman" w:hAnsiTheme="majorHAnsi" w:cstheme="majorHAnsi"/>
                <w:bCs/>
                <w:sz w:val="20"/>
                <w:szCs w:val="20"/>
                <w:lang w:val="ro-MD"/>
              </w:rPr>
              <w:t>-26,6</w:t>
            </w:r>
          </w:p>
        </w:tc>
        <w:tc>
          <w:tcPr>
            <w:tcW w:w="762" w:type="dxa"/>
            <w:vAlign w:val="center"/>
          </w:tcPr>
          <w:p w:rsidR="009F634F" w:rsidRPr="00401485" w:rsidRDefault="009F634F" w:rsidP="00A3673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r w:rsidRPr="00401485">
              <w:rPr>
                <w:rFonts w:asciiTheme="majorHAnsi" w:eastAsia="Times New Roman" w:hAnsiTheme="majorHAnsi" w:cstheme="majorHAnsi"/>
                <w:bCs/>
                <w:sz w:val="20"/>
                <w:szCs w:val="20"/>
                <w:lang w:val="ro-MD"/>
              </w:rPr>
              <w:t>98,7</w:t>
            </w:r>
          </w:p>
        </w:tc>
        <w:tc>
          <w:tcPr>
            <w:tcW w:w="1015" w:type="dxa"/>
            <w:vAlign w:val="center"/>
          </w:tcPr>
          <w:p w:rsidR="009F634F" w:rsidRPr="00401485" w:rsidRDefault="009F634F" w:rsidP="00A3673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r w:rsidRPr="00401485">
              <w:rPr>
                <w:rFonts w:asciiTheme="majorHAnsi" w:eastAsia="Times New Roman" w:hAnsiTheme="majorHAnsi" w:cstheme="majorHAnsi"/>
                <w:bCs/>
                <w:sz w:val="20"/>
                <w:szCs w:val="20"/>
                <w:lang w:val="ro-MD"/>
              </w:rPr>
              <w:t>246,6</w:t>
            </w:r>
          </w:p>
        </w:tc>
        <w:tc>
          <w:tcPr>
            <w:tcW w:w="762" w:type="dxa"/>
            <w:vAlign w:val="center"/>
          </w:tcPr>
          <w:p w:rsidR="009F634F" w:rsidRPr="00401485" w:rsidRDefault="009F634F" w:rsidP="00A3673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r w:rsidRPr="00401485">
              <w:rPr>
                <w:rFonts w:asciiTheme="majorHAnsi" w:eastAsia="Times New Roman" w:hAnsiTheme="majorHAnsi" w:cstheme="majorHAnsi"/>
                <w:bCs/>
                <w:sz w:val="20"/>
                <w:szCs w:val="20"/>
                <w:lang w:val="ro-MD"/>
              </w:rPr>
              <w:t>114,2</w:t>
            </w:r>
          </w:p>
        </w:tc>
      </w:tr>
      <w:tr w:rsidR="009F634F" w:rsidRPr="00401485" w:rsidTr="00A36731">
        <w:trPr>
          <w:gridAfter w:val="1"/>
          <w:wAfter w:w="12" w:type="dxa"/>
        </w:trPr>
        <w:tc>
          <w:tcPr>
            <w:cnfStyle w:val="001000000000" w:firstRow="0" w:lastRow="0" w:firstColumn="1" w:lastColumn="0" w:oddVBand="0" w:evenVBand="0" w:oddHBand="0" w:evenHBand="0" w:firstRowFirstColumn="0" w:firstRowLastColumn="0" w:lastRowFirstColumn="0" w:lastRowLastColumn="0"/>
            <w:tcW w:w="2972" w:type="dxa"/>
          </w:tcPr>
          <w:p w:rsidR="009F634F" w:rsidRPr="00401485" w:rsidRDefault="009F634F" w:rsidP="00A36731">
            <w:pPr>
              <w:rPr>
                <w:rFonts w:asciiTheme="majorHAnsi" w:eastAsia="Times New Roman" w:hAnsiTheme="majorHAnsi" w:cstheme="majorHAnsi"/>
                <w:i/>
                <w:sz w:val="20"/>
                <w:szCs w:val="20"/>
                <w:lang w:val="ro-MD"/>
              </w:rPr>
            </w:pPr>
            <w:r w:rsidRPr="00401485">
              <w:rPr>
                <w:rFonts w:asciiTheme="majorHAnsi" w:eastAsia="Times New Roman" w:hAnsiTheme="majorHAnsi" w:cstheme="majorHAnsi"/>
                <w:i/>
                <w:sz w:val="20"/>
                <w:szCs w:val="20"/>
                <w:lang w:val="ro-MD"/>
              </w:rPr>
              <w:t>Transferuri primite în cadrul BPN</w:t>
            </w:r>
          </w:p>
        </w:tc>
        <w:tc>
          <w:tcPr>
            <w:tcW w:w="1093" w:type="dxa"/>
            <w:vAlign w:val="center"/>
          </w:tcPr>
          <w:p w:rsidR="009F634F" w:rsidRPr="00401485" w:rsidRDefault="009F634F" w:rsidP="00A3673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20"/>
                <w:szCs w:val="20"/>
                <w:lang w:val="ro-MD"/>
              </w:rPr>
            </w:pPr>
            <w:r w:rsidRPr="00401485">
              <w:rPr>
                <w:rFonts w:asciiTheme="majorHAnsi" w:eastAsia="Times New Roman" w:hAnsiTheme="majorHAnsi" w:cstheme="majorHAnsi"/>
                <w:bCs/>
                <w:i/>
                <w:sz w:val="20"/>
                <w:szCs w:val="20"/>
                <w:lang w:val="ro-MD"/>
              </w:rPr>
              <w:t>12,8</w:t>
            </w:r>
          </w:p>
        </w:tc>
        <w:tc>
          <w:tcPr>
            <w:tcW w:w="1103" w:type="dxa"/>
            <w:vAlign w:val="center"/>
          </w:tcPr>
          <w:p w:rsidR="009F634F" w:rsidRPr="00401485" w:rsidRDefault="009F634F" w:rsidP="00A3673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20"/>
                <w:szCs w:val="20"/>
                <w:lang w:val="ro-MD"/>
              </w:rPr>
            </w:pPr>
            <w:r w:rsidRPr="00401485">
              <w:rPr>
                <w:rFonts w:asciiTheme="majorHAnsi" w:eastAsia="Times New Roman" w:hAnsiTheme="majorHAnsi" w:cstheme="majorHAnsi"/>
                <w:bCs/>
                <w:i/>
                <w:sz w:val="20"/>
                <w:szCs w:val="20"/>
                <w:lang w:val="ro-MD"/>
              </w:rPr>
              <w:t>26,0</w:t>
            </w:r>
          </w:p>
        </w:tc>
        <w:tc>
          <w:tcPr>
            <w:tcW w:w="1102" w:type="dxa"/>
            <w:vAlign w:val="center"/>
          </w:tcPr>
          <w:p w:rsidR="009F634F" w:rsidRPr="00401485" w:rsidRDefault="009F634F" w:rsidP="00A3673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20"/>
                <w:szCs w:val="20"/>
                <w:lang w:val="ro-MD"/>
              </w:rPr>
            </w:pPr>
            <w:r w:rsidRPr="00401485">
              <w:rPr>
                <w:rFonts w:asciiTheme="majorHAnsi" w:eastAsia="Times New Roman" w:hAnsiTheme="majorHAnsi" w:cstheme="majorHAnsi"/>
                <w:bCs/>
                <w:i/>
                <w:sz w:val="20"/>
                <w:szCs w:val="20"/>
                <w:lang w:val="ro-MD"/>
              </w:rPr>
              <w:t>23,5</w:t>
            </w:r>
          </w:p>
        </w:tc>
        <w:tc>
          <w:tcPr>
            <w:tcW w:w="966" w:type="dxa"/>
            <w:vAlign w:val="center"/>
          </w:tcPr>
          <w:p w:rsidR="009F634F" w:rsidRPr="00401485" w:rsidRDefault="009F634F" w:rsidP="00A3673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r w:rsidRPr="00401485">
              <w:rPr>
                <w:rFonts w:asciiTheme="majorHAnsi" w:eastAsia="Times New Roman" w:hAnsiTheme="majorHAnsi" w:cstheme="majorHAnsi"/>
                <w:bCs/>
                <w:sz w:val="20"/>
                <w:szCs w:val="20"/>
                <w:lang w:val="ro-MD"/>
              </w:rPr>
              <w:t>-2,5</w:t>
            </w:r>
          </w:p>
        </w:tc>
        <w:tc>
          <w:tcPr>
            <w:tcW w:w="762" w:type="dxa"/>
            <w:vAlign w:val="center"/>
          </w:tcPr>
          <w:p w:rsidR="009F634F" w:rsidRPr="00401485" w:rsidRDefault="009F634F" w:rsidP="00A3673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r w:rsidRPr="00401485">
              <w:rPr>
                <w:rFonts w:asciiTheme="majorHAnsi" w:eastAsia="Times New Roman" w:hAnsiTheme="majorHAnsi" w:cstheme="majorHAnsi"/>
                <w:bCs/>
                <w:sz w:val="20"/>
                <w:szCs w:val="20"/>
                <w:lang w:val="ro-MD"/>
              </w:rPr>
              <w:t>90,4</w:t>
            </w:r>
          </w:p>
        </w:tc>
        <w:tc>
          <w:tcPr>
            <w:tcW w:w="1015" w:type="dxa"/>
            <w:vAlign w:val="center"/>
          </w:tcPr>
          <w:p w:rsidR="009F634F" w:rsidRPr="00401485" w:rsidRDefault="009F634F" w:rsidP="00A3673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r w:rsidRPr="00401485">
              <w:rPr>
                <w:rFonts w:asciiTheme="majorHAnsi" w:eastAsia="Times New Roman" w:hAnsiTheme="majorHAnsi" w:cstheme="majorHAnsi"/>
                <w:bCs/>
                <w:sz w:val="20"/>
                <w:szCs w:val="20"/>
                <w:lang w:val="ro-MD"/>
              </w:rPr>
              <w:t>10,7</w:t>
            </w:r>
          </w:p>
        </w:tc>
        <w:tc>
          <w:tcPr>
            <w:tcW w:w="762" w:type="dxa"/>
            <w:vAlign w:val="center"/>
          </w:tcPr>
          <w:p w:rsidR="009F634F" w:rsidRPr="00401485" w:rsidRDefault="009F634F" w:rsidP="00A3673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r w:rsidRPr="00401485">
              <w:rPr>
                <w:rFonts w:asciiTheme="majorHAnsi" w:eastAsia="Times New Roman" w:hAnsiTheme="majorHAnsi" w:cstheme="majorHAnsi"/>
                <w:bCs/>
                <w:sz w:val="20"/>
                <w:szCs w:val="20"/>
                <w:lang w:val="ro-MD"/>
              </w:rPr>
              <w:t>183,6</w:t>
            </w:r>
          </w:p>
        </w:tc>
      </w:tr>
      <w:tr w:rsidR="009F634F" w:rsidRPr="00401485" w:rsidTr="00A36731">
        <w:trPr>
          <w:gridAfter w:val="1"/>
          <w:wAfter w:w="12" w:type="dxa"/>
        </w:trPr>
        <w:tc>
          <w:tcPr>
            <w:cnfStyle w:val="001000000000" w:firstRow="0" w:lastRow="0" w:firstColumn="1" w:lastColumn="0" w:oddVBand="0" w:evenVBand="0" w:oddHBand="0" w:evenHBand="0" w:firstRowFirstColumn="0" w:firstRowLastColumn="0" w:lastRowFirstColumn="0" w:lastRowLastColumn="0"/>
            <w:tcW w:w="2972" w:type="dxa"/>
          </w:tcPr>
          <w:p w:rsidR="009F634F" w:rsidRPr="00401485" w:rsidRDefault="009F634F" w:rsidP="00A36731">
            <w:pPr>
              <w:rPr>
                <w:rFonts w:asciiTheme="majorHAnsi" w:eastAsia="Times New Roman" w:hAnsiTheme="majorHAnsi" w:cstheme="majorHAnsi"/>
                <w:i/>
                <w:sz w:val="20"/>
                <w:szCs w:val="20"/>
                <w:lang w:val="ro-MD"/>
              </w:rPr>
            </w:pPr>
            <w:r w:rsidRPr="00401485">
              <w:rPr>
                <w:rFonts w:asciiTheme="majorHAnsi" w:eastAsia="Times New Roman" w:hAnsiTheme="majorHAnsi" w:cstheme="majorHAnsi"/>
                <w:i/>
                <w:sz w:val="20"/>
                <w:szCs w:val="20"/>
                <w:lang w:val="ro-MD"/>
              </w:rPr>
              <w:t xml:space="preserve">        Devieri (+/-)</w:t>
            </w:r>
          </w:p>
        </w:tc>
        <w:tc>
          <w:tcPr>
            <w:tcW w:w="1093" w:type="dxa"/>
            <w:vAlign w:val="center"/>
          </w:tcPr>
          <w:p w:rsidR="009F634F" w:rsidRPr="00401485" w:rsidRDefault="009F634F" w:rsidP="00A3673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20"/>
                <w:szCs w:val="20"/>
                <w:lang w:val="ro-MD"/>
              </w:rPr>
            </w:pPr>
            <w:r w:rsidRPr="00401485">
              <w:rPr>
                <w:rFonts w:asciiTheme="majorHAnsi" w:eastAsia="Times New Roman" w:hAnsiTheme="majorHAnsi" w:cstheme="majorHAnsi"/>
                <w:bCs/>
                <w:i/>
                <w:sz w:val="20"/>
                <w:szCs w:val="20"/>
                <w:lang w:val="ro-MD"/>
              </w:rPr>
              <w:t>169,1</w:t>
            </w:r>
          </w:p>
        </w:tc>
        <w:tc>
          <w:tcPr>
            <w:tcW w:w="1103" w:type="dxa"/>
            <w:vAlign w:val="center"/>
          </w:tcPr>
          <w:p w:rsidR="009F634F" w:rsidRPr="00401485" w:rsidRDefault="009F634F" w:rsidP="00A3673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20"/>
                <w:szCs w:val="20"/>
                <w:lang w:val="ro-MD"/>
              </w:rPr>
            </w:pPr>
            <w:r w:rsidRPr="00401485">
              <w:rPr>
                <w:rFonts w:asciiTheme="majorHAnsi" w:eastAsia="Times New Roman" w:hAnsiTheme="majorHAnsi" w:cstheme="majorHAnsi"/>
                <w:bCs/>
                <w:i/>
                <w:sz w:val="20"/>
                <w:szCs w:val="20"/>
                <w:lang w:val="ro-MD"/>
              </w:rPr>
              <w:t>(-536,7)</w:t>
            </w:r>
          </w:p>
        </w:tc>
        <w:tc>
          <w:tcPr>
            <w:tcW w:w="1102" w:type="dxa"/>
            <w:vAlign w:val="center"/>
          </w:tcPr>
          <w:p w:rsidR="009F634F" w:rsidRPr="00401485" w:rsidRDefault="009F634F" w:rsidP="00A3673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20"/>
                <w:szCs w:val="20"/>
                <w:lang w:val="ro-MD"/>
              </w:rPr>
            </w:pPr>
            <w:r w:rsidRPr="00401485">
              <w:rPr>
                <w:rFonts w:asciiTheme="majorHAnsi" w:eastAsia="Times New Roman" w:hAnsiTheme="majorHAnsi" w:cstheme="majorHAnsi"/>
                <w:bCs/>
                <w:i/>
                <w:sz w:val="20"/>
                <w:szCs w:val="20"/>
                <w:lang w:val="ro-MD"/>
              </w:rPr>
              <w:t>(-675,0)</w:t>
            </w:r>
          </w:p>
        </w:tc>
        <w:tc>
          <w:tcPr>
            <w:tcW w:w="966" w:type="dxa"/>
            <w:vAlign w:val="center"/>
          </w:tcPr>
          <w:p w:rsidR="009F634F" w:rsidRPr="00401485" w:rsidRDefault="009F634F" w:rsidP="00A3673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20"/>
                <w:szCs w:val="20"/>
                <w:lang w:val="ro-MD"/>
              </w:rPr>
            </w:pPr>
            <w:r w:rsidRPr="00401485">
              <w:rPr>
                <w:rFonts w:asciiTheme="majorHAnsi" w:eastAsia="Times New Roman" w:hAnsiTheme="majorHAnsi" w:cstheme="majorHAnsi"/>
                <w:bCs/>
                <w:i/>
                <w:sz w:val="20"/>
                <w:szCs w:val="20"/>
                <w:lang w:val="ro-MD"/>
              </w:rPr>
              <w:t>x</w:t>
            </w:r>
          </w:p>
        </w:tc>
        <w:tc>
          <w:tcPr>
            <w:tcW w:w="762" w:type="dxa"/>
            <w:vAlign w:val="center"/>
          </w:tcPr>
          <w:p w:rsidR="009F634F" w:rsidRPr="00401485" w:rsidRDefault="009F634F" w:rsidP="00A3673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20"/>
                <w:szCs w:val="20"/>
                <w:lang w:val="ro-MD"/>
              </w:rPr>
            </w:pPr>
            <w:r w:rsidRPr="00401485">
              <w:rPr>
                <w:rFonts w:asciiTheme="majorHAnsi" w:eastAsia="Times New Roman" w:hAnsiTheme="majorHAnsi" w:cstheme="majorHAnsi"/>
                <w:bCs/>
                <w:i/>
                <w:sz w:val="20"/>
                <w:szCs w:val="20"/>
                <w:lang w:val="ro-MD"/>
              </w:rPr>
              <w:t>x</w:t>
            </w:r>
          </w:p>
        </w:tc>
        <w:tc>
          <w:tcPr>
            <w:tcW w:w="1015" w:type="dxa"/>
            <w:vAlign w:val="center"/>
          </w:tcPr>
          <w:p w:rsidR="009F634F" w:rsidRPr="00401485" w:rsidRDefault="009F634F" w:rsidP="00A3673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20"/>
                <w:szCs w:val="20"/>
                <w:lang w:val="ro-MD"/>
              </w:rPr>
            </w:pPr>
            <w:r w:rsidRPr="00401485">
              <w:rPr>
                <w:rFonts w:asciiTheme="majorHAnsi" w:eastAsia="Times New Roman" w:hAnsiTheme="majorHAnsi" w:cstheme="majorHAnsi"/>
                <w:bCs/>
                <w:i/>
                <w:sz w:val="20"/>
                <w:szCs w:val="20"/>
                <w:lang w:val="ro-MD"/>
              </w:rPr>
              <w:t>x</w:t>
            </w:r>
          </w:p>
        </w:tc>
        <w:tc>
          <w:tcPr>
            <w:tcW w:w="762" w:type="dxa"/>
            <w:vAlign w:val="center"/>
          </w:tcPr>
          <w:p w:rsidR="009F634F" w:rsidRPr="00401485" w:rsidRDefault="009F634F" w:rsidP="00A3673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20"/>
                <w:szCs w:val="20"/>
                <w:lang w:val="ro-MD"/>
              </w:rPr>
            </w:pPr>
            <w:r w:rsidRPr="00401485">
              <w:rPr>
                <w:rFonts w:asciiTheme="majorHAnsi" w:eastAsia="Times New Roman" w:hAnsiTheme="majorHAnsi" w:cstheme="majorHAnsi"/>
                <w:bCs/>
                <w:i/>
                <w:sz w:val="20"/>
                <w:szCs w:val="20"/>
                <w:lang w:val="ro-MD"/>
              </w:rPr>
              <w:t>x</w:t>
            </w:r>
          </w:p>
        </w:tc>
      </w:tr>
      <w:tr w:rsidR="009F634F" w:rsidRPr="00401485" w:rsidTr="00A36731">
        <w:trPr>
          <w:gridAfter w:val="1"/>
          <w:wAfter w:w="12" w:type="dxa"/>
        </w:trPr>
        <w:tc>
          <w:tcPr>
            <w:cnfStyle w:val="001000000000" w:firstRow="0" w:lastRow="0" w:firstColumn="1" w:lastColumn="0" w:oddVBand="0" w:evenVBand="0" w:oddHBand="0" w:evenHBand="0" w:firstRowFirstColumn="0" w:firstRowLastColumn="0" w:lastRowFirstColumn="0" w:lastRowLastColumn="0"/>
            <w:tcW w:w="2972" w:type="dxa"/>
          </w:tcPr>
          <w:p w:rsidR="009F634F" w:rsidRPr="00401485" w:rsidRDefault="009F634F" w:rsidP="00A36731">
            <w:pPr>
              <w:rPr>
                <w:rFonts w:asciiTheme="majorHAnsi" w:eastAsia="Times New Roman" w:hAnsiTheme="majorHAnsi" w:cstheme="majorHAnsi"/>
                <w:i/>
                <w:sz w:val="20"/>
                <w:szCs w:val="20"/>
                <w:lang w:val="ro-MD"/>
              </w:rPr>
            </w:pPr>
            <w:r w:rsidRPr="00401485">
              <w:rPr>
                <w:rFonts w:asciiTheme="majorHAnsi" w:eastAsia="Times New Roman" w:hAnsiTheme="majorHAnsi" w:cstheme="majorHAnsi"/>
                <w:i/>
                <w:sz w:val="20"/>
                <w:szCs w:val="20"/>
                <w:lang w:val="ro-MD"/>
              </w:rPr>
              <w:t xml:space="preserve">        Procentul executării</w:t>
            </w:r>
          </w:p>
        </w:tc>
        <w:tc>
          <w:tcPr>
            <w:tcW w:w="1093" w:type="dxa"/>
            <w:vAlign w:val="center"/>
          </w:tcPr>
          <w:p w:rsidR="009F634F" w:rsidRPr="00401485" w:rsidRDefault="009F634F" w:rsidP="00A3673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20"/>
                <w:szCs w:val="20"/>
                <w:lang w:val="ro-MD"/>
              </w:rPr>
            </w:pPr>
            <w:r w:rsidRPr="00401485">
              <w:rPr>
                <w:rFonts w:asciiTheme="majorHAnsi" w:eastAsia="Times New Roman" w:hAnsiTheme="majorHAnsi" w:cstheme="majorHAnsi"/>
                <w:bCs/>
                <w:i/>
                <w:sz w:val="20"/>
                <w:szCs w:val="20"/>
                <w:lang w:val="ro-MD"/>
              </w:rPr>
              <w:t>100,5</w:t>
            </w:r>
          </w:p>
        </w:tc>
        <w:tc>
          <w:tcPr>
            <w:tcW w:w="1103" w:type="dxa"/>
            <w:vAlign w:val="center"/>
          </w:tcPr>
          <w:p w:rsidR="009F634F" w:rsidRPr="00401485" w:rsidRDefault="009F634F" w:rsidP="00A3673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20"/>
                <w:szCs w:val="20"/>
                <w:lang w:val="ro-MD"/>
              </w:rPr>
            </w:pPr>
            <w:r w:rsidRPr="00401485">
              <w:rPr>
                <w:rFonts w:asciiTheme="majorHAnsi" w:eastAsia="Times New Roman" w:hAnsiTheme="majorHAnsi" w:cstheme="majorHAnsi"/>
                <w:bCs/>
                <w:i/>
                <w:sz w:val="20"/>
                <w:szCs w:val="20"/>
                <w:lang w:val="ro-MD"/>
              </w:rPr>
              <w:t>98,5</w:t>
            </w:r>
          </w:p>
        </w:tc>
        <w:tc>
          <w:tcPr>
            <w:tcW w:w="1102" w:type="dxa"/>
            <w:vAlign w:val="center"/>
          </w:tcPr>
          <w:p w:rsidR="009F634F" w:rsidRPr="00401485" w:rsidRDefault="009F634F" w:rsidP="00A3673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20"/>
                <w:szCs w:val="20"/>
                <w:lang w:val="ro-MD"/>
              </w:rPr>
            </w:pPr>
            <w:r w:rsidRPr="00401485">
              <w:rPr>
                <w:rFonts w:asciiTheme="majorHAnsi" w:eastAsia="Times New Roman" w:hAnsiTheme="majorHAnsi" w:cstheme="majorHAnsi"/>
                <w:bCs/>
                <w:i/>
                <w:sz w:val="20"/>
                <w:szCs w:val="20"/>
                <w:lang w:val="ro-MD"/>
              </w:rPr>
              <w:t>98,3</w:t>
            </w:r>
          </w:p>
        </w:tc>
        <w:tc>
          <w:tcPr>
            <w:tcW w:w="966" w:type="dxa"/>
            <w:vAlign w:val="center"/>
          </w:tcPr>
          <w:p w:rsidR="009F634F" w:rsidRPr="00401485" w:rsidRDefault="009F634F" w:rsidP="00A3673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20"/>
                <w:szCs w:val="20"/>
                <w:lang w:val="ro-MD"/>
              </w:rPr>
            </w:pPr>
            <w:r w:rsidRPr="00401485">
              <w:rPr>
                <w:rFonts w:asciiTheme="majorHAnsi" w:eastAsia="Times New Roman" w:hAnsiTheme="majorHAnsi" w:cstheme="majorHAnsi"/>
                <w:bCs/>
                <w:i/>
                <w:sz w:val="20"/>
                <w:szCs w:val="20"/>
                <w:lang w:val="ro-MD"/>
              </w:rPr>
              <w:t>x</w:t>
            </w:r>
          </w:p>
        </w:tc>
        <w:tc>
          <w:tcPr>
            <w:tcW w:w="762" w:type="dxa"/>
            <w:vAlign w:val="center"/>
          </w:tcPr>
          <w:p w:rsidR="009F634F" w:rsidRPr="00401485" w:rsidRDefault="009F634F" w:rsidP="00A3673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20"/>
                <w:szCs w:val="20"/>
                <w:lang w:val="ro-MD"/>
              </w:rPr>
            </w:pPr>
            <w:r w:rsidRPr="00401485">
              <w:rPr>
                <w:rFonts w:asciiTheme="majorHAnsi" w:eastAsia="Times New Roman" w:hAnsiTheme="majorHAnsi" w:cstheme="majorHAnsi"/>
                <w:bCs/>
                <w:i/>
                <w:sz w:val="20"/>
                <w:szCs w:val="20"/>
                <w:lang w:val="ro-MD"/>
              </w:rPr>
              <w:t>x</w:t>
            </w:r>
          </w:p>
        </w:tc>
        <w:tc>
          <w:tcPr>
            <w:tcW w:w="1015" w:type="dxa"/>
            <w:vAlign w:val="center"/>
          </w:tcPr>
          <w:p w:rsidR="009F634F" w:rsidRPr="00401485" w:rsidRDefault="009F634F" w:rsidP="00A3673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20"/>
                <w:szCs w:val="20"/>
                <w:lang w:val="ro-MD"/>
              </w:rPr>
            </w:pPr>
            <w:r w:rsidRPr="00401485">
              <w:rPr>
                <w:rFonts w:asciiTheme="majorHAnsi" w:eastAsia="Times New Roman" w:hAnsiTheme="majorHAnsi" w:cstheme="majorHAnsi"/>
                <w:bCs/>
                <w:i/>
                <w:sz w:val="20"/>
                <w:szCs w:val="20"/>
                <w:lang w:val="ro-MD"/>
              </w:rPr>
              <w:t>x</w:t>
            </w:r>
          </w:p>
        </w:tc>
        <w:tc>
          <w:tcPr>
            <w:tcW w:w="762" w:type="dxa"/>
            <w:vAlign w:val="center"/>
          </w:tcPr>
          <w:p w:rsidR="009F634F" w:rsidRPr="00401485" w:rsidRDefault="009F634F" w:rsidP="00A3673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20"/>
                <w:szCs w:val="20"/>
                <w:lang w:val="ro-MD"/>
              </w:rPr>
            </w:pPr>
            <w:r w:rsidRPr="00401485">
              <w:rPr>
                <w:rFonts w:asciiTheme="majorHAnsi" w:eastAsia="Times New Roman" w:hAnsiTheme="majorHAnsi" w:cstheme="majorHAnsi"/>
                <w:bCs/>
                <w:i/>
                <w:sz w:val="20"/>
                <w:szCs w:val="20"/>
                <w:lang w:val="ro-MD"/>
              </w:rPr>
              <w:t>x</w:t>
            </w:r>
          </w:p>
        </w:tc>
      </w:tr>
    </w:tbl>
    <w:p w:rsidR="009F634F" w:rsidRPr="00401485" w:rsidRDefault="009F634F" w:rsidP="009F634F">
      <w:pPr>
        <w:spacing w:after="0" w:line="240" w:lineRule="auto"/>
        <w:jc w:val="both"/>
        <w:rPr>
          <w:rFonts w:asciiTheme="majorHAnsi" w:eastAsia="Times New Roman" w:hAnsiTheme="majorHAnsi" w:cstheme="majorHAnsi"/>
          <w:bCs/>
          <w:i/>
          <w:sz w:val="20"/>
          <w:szCs w:val="20"/>
          <w:lang w:val="ro-MD"/>
        </w:rPr>
      </w:pPr>
      <w:r w:rsidRPr="00401485">
        <w:rPr>
          <w:rFonts w:asciiTheme="majorHAnsi" w:eastAsia="Times New Roman" w:hAnsiTheme="majorHAnsi" w:cstheme="majorHAnsi"/>
          <w:b/>
          <w:bCs/>
          <w:i/>
          <w:sz w:val="20"/>
          <w:szCs w:val="20"/>
          <w:lang w:val="ro-MD"/>
        </w:rPr>
        <w:t>Sursă:</w:t>
      </w:r>
      <w:r w:rsidRPr="00401485">
        <w:rPr>
          <w:rFonts w:asciiTheme="majorHAnsi" w:eastAsia="Times New Roman" w:hAnsiTheme="majorHAnsi" w:cstheme="majorHAnsi"/>
          <w:bCs/>
          <w:i/>
          <w:sz w:val="20"/>
          <w:szCs w:val="20"/>
          <w:lang w:val="ro-MD"/>
        </w:rPr>
        <w:t xml:space="preserve"> Informații generalizate de echipa de audit din Rapoartele privind executarea bugetului de stat pe anii 2017 - 2019.</w:t>
      </w:r>
    </w:p>
    <w:p w:rsidR="009F634F" w:rsidRPr="00401485" w:rsidRDefault="009F634F" w:rsidP="009F634F">
      <w:pPr>
        <w:spacing w:after="0" w:line="276" w:lineRule="auto"/>
        <w:rPr>
          <w:rFonts w:asciiTheme="majorHAnsi" w:hAnsiTheme="majorHAnsi" w:cstheme="majorHAnsi"/>
          <w:sz w:val="24"/>
          <w:szCs w:val="24"/>
          <w:lang w:val="ro-MD"/>
        </w:rPr>
      </w:pPr>
    </w:p>
    <w:p w:rsidR="009F634F" w:rsidRPr="00401485" w:rsidRDefault="009F634F" w:rsidP="009F634F">
      <w:pPr>
        <w:spacing w:after="0" w:line="276" w:lineRule="auto"/>
        <w:jc w:val="both"/>
        <w:rPr>
          <w:rFonts w:asciiTheme="majorHAnsi" w:eastAsia="Times New Roman" w:hAnsiTheme="majorHAnsi" w:cstheme="majorHAnsi"/>
          <w:sz w:val="24"/>
          <w:szCs w:val="24"/>
        </w:rPr>
      </w:pPr>
      <w:r w:rsidRPr="00401485">
        <w:rPr>
          <w:rFonts w:asciiTheme="majorHAnsi" w:eastAsia="Times New Roman" w:hAnsiTheme="majorHAnsi" w:cstheme="majorHAnsi"/>
          <w:sz w:val="24"/>
          <w:szCs w:val="24"/>
          <w:lang w:val="ro-MD"/>
        </w:rPr>
        <w:t>S</w:t>
      </w:r>
      <w:r w:rsidRPr="00401485">
        <w:rPr>
          <w:rFonts w:asciiTheme="majorHAnsi" w:eastAsia="Times New Roman" w:hAnsiTheme="majorHAnsi" w:cstheme="majorHAnsi"/>
          <w:sz w:val="24"/>
          <w:szCs w:val="24"/>
        </w:rPr>
        <w:t>e atestă că ponderea</w:t>
      </w:r>
      <w:r>
        <w:rPr>
          <w:rFonts w:asciiTheme="majorHAnsi" w:eastAsia="Times New Roman" w:hAnsiTheme="majorHAnsi" w:cstheme="majorHAnsi"/>
          <w:sz w:val="24"/>
          <w:szCs w:val="24"/>
        </w:rPr>
        <w:t xml:space="preserve"> </w:t>
      </w:r>
      <w:r>
        <w:rPr>
          <w:rFonts w:asciiTheme="majorHAnsi" w:hAnsiTheme="majorHAnsi" w:cstheme="majorHAnsi"/>
          <w:color w:val="212121"/>
          <w:sz w:val="24"/>
          <w:szCs w:val="24"/>
          <w:lang w:val="ro-MD"/>
        </w:rPr>
        <w:t>în PIB a</w:t>
      </w:r>
      <w:r w:rsidRPr="00401485">
        <w:rPr>
          <w:rFonts w:asciiTheme="majorHAnsi" w:eastAsia="Times New Roman" w:hAnsiTheme="majorHAnsi" w:cstheme="majorHAnsi"/>
          <w:sz w:val="24"/>
          <w:szCs w:val="24"/>
        </w:rPr>
        <w:t xml:space="preserve"> veniturilor BS încasate în anul 2019 constituie 19,0%, înregistrând o creștere cu doar 0,1 p. p. comparativ cu anul 2018.</w:t>
      </w:r>
      <w:r w:rsidRPr="00401485">
        <w:rPr>
          <w:rFonts w:asciiTheme="majorHAnsi" w:eastAsia="Times New Roman" w:hAnsiTheme="majorHAnsi" w:cstheme="majorHAnsi"/>
          <w:i/>
          <w:sz w:val="24"/>
          <w:szCs w:val="24"/>
        </w:rPr>
        <w:t xml:space="preserve"> </w:t>
      </w:r>
      <w:r w:rsidRPr="00401485">
        <w:rPr>
          <w:rFonts w:asciiTheme="majorHAnsi" w:eastAsia="Times New Roman" w:hAnsiTheme="majorHAnsi" w:cstheme="majorHAnsi"/>
          <w:sz w:val="24"/>
          <w:szCs w:val="24"/>
        </w:rPr>
        <w:t xml:space="preserve">Totodată, auditul constată că ponderea majoră în structura veniturilor bugetului de stat o dețin </w:t>
      </w:r>
      <w:r w:rsidRPr="00401485">
        <w:rPr>
          <w:rFonts w:asciiTheme="majorHAnsi" w:eastAsia="Times New Roman" w:hAnsiTheme="majorHAnsi" w:cstheme="majorHAnsi"/>
          <w:b/>
          <w:sz w:val="24"/>
          <w:szCs w:val="24"/>
        </w:rPr>
        <w:t>impozitele și taxele</w:t>
      </w:r>
      <w:r w:rsidRPr="00401485">
        <w:rPr>
          <w:rFonts w:asciiTheme="majorHAnsi" w:eastAsia="Times New Roman" w:hAnsiTheme="majorHAnsi" w:cstheme="majorHAnsi"/>
          <w:sz w:val="24"/>
          <w:szCs w:val="24"/>
        </w:rPr>
        <w:t xml:space="preserve"> – 91,1%, fiind încasate în sumă de </w:t>
      </w:r>
      <w:r w:rsidRPr="00401485">
        <w:rPr>
          <w:rFonts w:asciiTheme="majorHAnsi" w:eastAsia="Times New Roman" w:hAnsiTheme="majorHAnsi" w:cstheme="majorHAnsi"/>
          <w:b/>
          <w:sz w:val="24"/>
          <w:szCs w:val="24"/>
        </w:rPr>
        <w:t>36 417,2 mil. lei (17,3% în PIB)</w:t>
      </w:r>
      <w:r w:rsidRPr="00401485">
        <w:rPr>
          <w:rFonts w:asciiTheme="majorHAnsi" w:eastAsia="Times New Roman" w:hAnsiTheme="majorHAnsi" w:cstheme="majorHAnsi"/>
          <w:sz w:val="24"/>
          <w:szCs w:val="24"/>
        </w:rPr>
        <w:t xml:space="preserve">, sau cu 612,9 mil. lei mai puțin decât nivelul precizat, din care </w:t>
      </w:r>
      <w:r w:rsidRPr="00401485">
        <w:rPr>
          <w:rFonts w:asciiTheme="majorHAnsi" w:eastAsia="Times New Roman" w:hAnsiTheme="majorHAnsi" w:cstheme="majorHAnsi"/>
          <w:sz w:val="24"/>
          <w:szCs w:val="24"/>
          <w:lang w:val="ro-MD"/>
        </w:rPr>
        <w:t xml:space="preserve">ponderea cea mai semnificativă revine celor provenite din încasările TVA </w:t>
      </w:r>
      <w:r>
        <w:rPr>
          <w:rFonts w:asciiTheme="majorHAnsi" w:hAnsiTheme="majorHAnsi" w:cstheme="majorHAnsi"/>
          <w:color w:val="212121"/>
          <w:sz w:val="24"/>
          <w:szCs w:val="24"/>
          <w:lang w:val="ro-MD"/>
        </w:rPr>
        <w:t>–</w:t>
      </w:r>
      <w:r w:rsidRPr="00401485">
        <w:rPr>
          <w:rFonts w:asciiTheme="majorHAnsi" w:eastAsia="Times New Roman" w:hAnsiTheme="majorHAnsi" w:cstheme="majorHAnsi"/>
          <w:sz w:val="24"/>
          <w:szCs w:val="24"/>
          <w:lang w:val="ro-MD"/>
        </w:rPr>
        <w:t xml:space="preserve"> 20 096,6 mil. lei, sau 50,3%; impozite</w:t>
      </w:r>
      <w:r>
        <w:rPr>
          <w:rFonts w:asciiTheme="majorHAnsi" w:eastAsia="Times New Roman" w:hAnsiTheme="majorHAnsi" w:cstheme="majorHAnsi"/>
          <w:sz w:val="24"/>
          <w:szCs w:val="24"/>
          <w:lang w:val="ro-MD"/>
        </w:rPr>
        <w:t>le</w:t>
      </w:r>
      <w:r w:rsidRPr="00401485">
        <w:rPr>
          <w:rFonts w:asciiTheme="majorHAnsi" w:eastAsia="Times New Roman" w:hAnsiTheme="majorHAnsi" w:cstheme="majorHAnsi"/>
          <w:sz w:val="24"/>
          <w:szCs w:val="24"/>
          <w:lang w:val="ro-MD"/>
        </w:rPr>
        <w:t xml:space="preserve"> pe venit</w:t>
      </w:r>
      <w:r w:rsidRPr="00401485">
        <w:rPr>
          <w:rFonts w:asciiTheme="majorHAnsi" w:eastAsia="Times New Roman" w:hAnsiTheme="majorHAnsi" w:cstheme="majorHAnsi"/>
          <w:i/>
          <w:iCs/>
          <w:sz w:val="24"/>
          <w:szCs w:val="24"/>
          <w:lang w:val="ro-MD"/>
        </w:rPr>
        <w:t xml:space="preserve"> –</w:t>
      </w:r>
      <w:r w:rsidRPr="00401485">
        <w:rPr>
          <w:rFonts w:asciiTheme="majorHAnsi" w:eastAsia="Times New Roman" w:hAnsiTheme="majorHAnsi" w:cstheme="majorHAnsi"/>
          <w:sz w:val="24"/>
          <w:szCs w:val="24"/>
          <w:lang w:val="ro-MD"/>
        </w:rPr>
        <w:t xml:space="preserve"> 6 860,3 mil. lei, sau 17,2%, accizele – 6 220,2 mil. lei, sau 15,6% etc. </w:t>
      </w:r>
      <w:r w:rsidRPr="00401485">
        <w:rPr>
          <w:rFonts w:asciiTheme="majorHAnsi" w:eastAsia="Times New Roman" w:hAnsiTheme="majorHAnsi" w:cstheme="majorHAnsi"/>
          <w:i/>
          <w:sz w:val="24"/>
          <w:szCs w:val="24"/>
          <w:lang w:eastAsia="ru-RU"/>
        </w:rPr>
        <w:t>Realizarea veniturilor bugetului de stat pe anul 2019, comparativ cu anul 2018, precum și ponderea acestora în PIB se prezintă în Anexa nr.5 la prezentul Raport de audit.</w:t>
      </w:r>
    </w:p>
    <w:p w:rsidR="009F634F" w:rsidRPr="00401485" w:rsidRDefault="009F634F" w:rsidP="009F634F">
      <w:pPr>
        <w:spacing w:after="0" w:line="276" w:lineRule="auto"/>
        <w:jc w:val="both"/>
        <w:rPr>
          <w:rFonts w:asciiTheme="majorHAnsi" w:eastAsia="Times New Roman" w:hAnsiTheme="majorHAnsi" w:cstheme="majorHAnsi"/>
          <w:iCs/>
          <w:sz w:val="24"/>
          <w:szCs w:val="24"/>
          <w:lang w:val="ro-MD"/>
        </w:rPr>
      </w:pPr>
      <w:r w:rsidRPr="00401485">
        <w:rPr>
          <w:rFonts w:asciiTheme="majorHAnsi" w:eastAsia="Times New Roman" w:hAnsiTheme="majorHAnsi" w:cstheme="majorHAnsi"/>
          <w:iCs/>
          <w:sz w:val="24"/>
          <w:szCs w:val="24"/>
          <w:lang w:val="ro-MD"/>
        </w:rPr>
        <w:t>Pentru anul 2019, principalele modificări a</w:t>
      </w:r>
      <w:r>
        <w:rPr>
          <w:rFonts w:asciiTheme="majorHAnsi" w:eastAsia="Times New Roman" w:hAnsiTheme="majorHAnsi" w:cstheme="majorHAnsi"/>
          <w:iCs/>
          <w:sz w:val="24"/>
          <w:szCs w:val="24"/>
          <w:lang w:val="ro-MD"/>
        </w:rPr>
        <w:t>le</w:t>
      </w:r>
      <w:r w:rsidRPr="00401485">
        <w:rPr>
          <w:rFonts w:asciiTheme="majorHAnsi" w:eastAsia="Times New Roman" w:hAnsiTheme="majorHAnsi" w:cstheme="majorHAnsi"/>
          <w:iCs/>
          <w:sz w:val="24"/>
          <w:szCs w:val="24"/>
          <w:lang w:val="ro-MD"/>
        </w:rPr>
        <w:t xml:space="preserve"> legislației</w:t>
      </w:r>
      <w:r w:rsidRPr="00401485">
        <w:rPr>
          <w:rFonts w:asciiTheme="majorHAnsi" w:eastAsia="Times New Roman" w:hAnsiTheme="majorHAnsi" w:cstheme="majorHAnsi"/>
          <w:iCs/>
          <w:sz w:val="24"/>
          <w:szCs w:val="24"/>
          <w:vertAlign w:val="superscript"/>
          <w:lang w:val="ro-MD"/>
        </w:rPr>
        <w:footnoteReference w:id="23"/>
      </w:r>
      <w:r w:rsidRPr="00401485">
        <w:rPr>
          <w:rFonts w:asciiTheme="majorHAnsi" w:eastAsia="Times New Roman" w:hAnsiTheme="majorHAnsi" w:cstheme="majorHAnsi"/>
          <w:iCs/>
          <w:sz w:val="24"/>
          <w:szCs w:val="24"/>
          <w:lang w:val="ro-MD"/>
        </w:rPr>
        <w:t xml:space="preserve"> au vizat impozitul pe venitul persoanelor fizice (modificat de la 7%/18% la 12%) și contribuțiile de asigurări sociale, virate de angajatori. Astfel, în anul 2019</w:t>
      </w:r>
      <w:r>
        <w:rPr>
          <w:rFonts w:asciiTheme="majorHAnsi" w:eastAsia="Times New Roman" w:hAnsiTheme="majorHAnsi" w:cstheme="majorHAnsi"/>
          <w:iCs/>
          <w:sz w:val="24"/>
          <w:szCs w:val="24"/>
          <w:lang w:val="ro-MD"/>
        </w:rPr>
        <w:t>,</w:t>
      </w:r>
      <w:r w:rsidRPr="00401485">
        <w:rPr>
          <w:rFonts w:asciiTheme="majorHAnsi" w:eastAsia="Times New Roman" w:hAnsiTheme="majorHAnsi" w:cstheme="majorHAnsi"/>
          <w:iCs/>
          <w:sz w:val="24"/>
          <w:szCs w:val="24"/>
          <w:lang w:val="ro-MD"/>
        </w:rPr>
        <w:t xml:space="preserve"> veniturile din  impozitul  pe venitul persoanelor fizice (1 610,96 mil. lei) a depășit suma precizată (1 604,1 mil. lei) cu 6,9 mil. lei, iar în comparație cu anul precedent (1 651,5 mil. lei), s-au diminuat cu 40,5 mil. lei. Totodată, în conformitate cu prevederile actuale ale Codului fiscal, au intrat în vigoare noi cote majorate ale accizelor pentru produsele accizabile pentru anul 2019</w:t>
      </w:r>
      <w:r w:rsidRPr="00401485">
        <w:rPr>
          <w:rFonts w:asciiTheme="majorHAnsi" w:eastAsia="Times New Roman" w:hAnsiTheme="majorHAnsi" w:cstheme="majorHAnsi"/>
          <w:iCs/>
          <w:sz w:val="24"/>
          <w:szCs w:val="24"/>
          <w:vertAlign w:val="superscript"/>
          <w:lang w:val="ro-MD"/>
        </w:rPr>
        <w:footnoteReference w:id="24"/>
      </w:r>
      <w:r w:rsidRPr="00401485">
        <w:rPr>
          <w:rFonts w:asciiTheme="majorHAnsi" w:eastAsia="Times New Roman" w:hAnsiTheme="majorHAnsi" w:cstheme="majorHAnsi"/>
          <w:iCs/>
          <w:sz w:val="24"/>
          <w:szCs w:val="24"/>
          <w:lang w:val="ro-MD"/>
        </w:rPr>
        <w:t>, ceea ce a condus la majorarea veniturilor în BS cu 537,4 mil. lei față de anul precedent.</w:t>
      </w:r>
      <w:r w:rsidRPr="00401485">
        <w:rPr>
          <w:rFonts w:asciiTheme="majorHAnsi" w:hAnsiTheme="majorHAnsi" w:cstheme="majorHAnsi"/>
          <w:sz w:val="24"/>
          <w:szCs w:val="24"/>
        </w:rPr>
        <w:t xml:space="preserve"> </w:t>
      </w:r>
    </w:p>
    <w:p w:rsidR="009F634F" w:rsidRPr="00401485" w:rsidRDefault="009F634F" w:rsidP="009F634F">
      <w:pPr>
        <w:spacing w:after="0" w:line="276" w:lineRule="auto"/>
        <w:jc w:val="both"/>
        <w:rPr>
          <w:rFonts w:asciiTheme="majorHAnsi" w:eastAsia="Times New Roman" w:hAnsiTheme="majorHAnsi" w:cstheme="majorHAnsi"/>
          <w:sz w:val="24"/>
          <w:szCs w:val="24"/>
        </w:rPr>
      </w:pPr>
      <w:r w:rsidRPr="00401485">
        <w:rPr>
          <w:rFonts w:asciiTheme="majorHAnsi" w:eastAsia="Times New Roman" w:hAnsiTheme="majorHAnsi" w:cstheme="majorHAnsi"/>
          <w:sz w:val="24"/>
          <w:szCs w:val="24"/>
          <w:lang w:val="ro-MD"/>
        </w:rPr>
        <w:t xml:space="preserve">Analiza auditului denotă că, prin Legea bugetului de stat pentru anul 2019, </w:t>
      </w:r>
      <w:r w:rsidRPr="00401485">
        <w:rPr>
          <w:rFonts w:asciiTheme="majorHAnsi" w:eastAsia="Times New Roman" w:hAnsiTheme="majorHAnsi" w:cstheme="majorHAnsi"/>
          <w:i/>
          <w:sz w:val="24"/>
          <w:szCs w:val="24"/>
          <w:lang w:val="ro-MD"/>
        </w:rPr>
        <w:t>pentru restituirea TVA</w:t>
      </w:r>
      <w:r w:rsidRPr="00401485">
        <w:rPr>
          <w:rFonts w:asciiTheme="majorHAnsi" w:eastAsia="Times New Roman" w:hAnsiTheme="majorHAnsi" w:cstheme="majorHAnsi"/>
          <w:sz w:val="24"/>
          <w:szCs w:val="24"/>
          <w:lang w:val="ro-MD"/>
        </w:rPr>
        <w:t xml:space="preserve"> au fost aprobate mijloace în sumă de 3 060,0 mil. lei. </w:t>
      </w:r>
      <w:r>
        <w:rPr>
          <w:rFonts w:asciiTheme="majorHAnsi" w:eastAsia="Times New Roman" w:hAnsiTheme="majorHAnsi" w:cstheme="majorHAnsi"/>
          <w:sz w:val="24"/>
          <w:szCs w:val="24"/>
          <w:lang w:val="ro-MD"/>
        </w:rPr>
        <w:t>Ca u</w:t>
      </w:r>
      <w:r w:rsidRPr="00401485">
        <w:rPr>
          <w:rFonts w:asciiTheme="majorHAnsi" w:eastAsia="Times New Roman" w:hAnsiTheme="majorHAnsi" w:cstheme="majorHAnsi"/>
          <w:sz w:val="24"/>
          <w:szCs w:val="24"/>
          <w:lang w:val="ro-MD"/>
        </w:rPr>
        <w:t xml:space="preserve">rmare </w:t>
      </w:r>
      <w:r>
        <w:rPr>
          <w:rFonts w:asciiTheme="majorHAnsi" w:eastAsia="Times New Roman" w:hAnsiTheme="majorHAnsi" w:cstheme="majorHAnsi"/>
          <w:sz w:val="24"/>
          <w:szCs w:val="24"/>
          <w:lang w:val="ro-MD"/>
        </w:rPr>
        <w:t xml:space="preserve">a </w:t>
      </w:r>
      <w:r w:rsidRPr="00401485">
        <w:rPr>
          <w:rFonts w:asciiTheme="majorHAnsi" w:eastAsia="Times New Roman" w:hAnsiTheme="majorHAnsi" w:cstheme="majorHAnsi"/>
          <w:sz w:val="24"/>
          <w:szCs w:val="24"/>
          <w:lang w:val="ro-MD"/>
        </w:rPr>
        <w:t>modificărilor operate pe parcursul anului, mijloacele destinate restituirii TVA au fost precizate în sumă de 2 903,0 mil. lei, sau cu 157,0 mil. lei mai puțin (-5,1%).</w:t>
      </w:r>
      <w:r w:rsidRPr="00401485">
        <w:rPr>
          <w:rFonts w:asciiTheme="majorHAnsi" w:hAnsiTheme="majorHAnsi" w:cstheme="majorHAnsi"/>
          <w:sz w:val="24"/>
          <w:szCs w:val="24"/>
          <w:lang w:val="ro-MD"/>
        </w:rPr>
        <w:t xml:space="preserve"> </w:t>
      </w:r>
      <w:r w:rsidRPr="00401485">
        <w:rPr>
          <w:rFonts w:asciiTheme="majorHAnsi" w:eastAsia="Times New Roman" w:hAnsiTheme="majorHAnsi" w:cstheme="majorHAnsi"/>
          <w:sz w:val="24"/>
          <w:szCs w:val="24"/>
          <w:lang w:val="ro-MD"/>
        </w:rPr>
        <w:t>În perioada auditată</w:t>
      </w:r>
      <w:r>
        <w:rPr>
          <w:rFonts w:asciiTheme="majorHAnsi" w:eastAsia="Times New Roman" w:hAnsiTheme="majorHAnsi" w:cstheme="majorHAnsi"/>
          <w:sz w:val="24"/>
          <w:szCs w:val="24"/>
          <w:lang w:val="ro-MD"/>
        </w:rPr>
        <w:t>,</w:t>
      </w:r>
      <w:r w:rsidRPr="00401485">
        <w:rPr>
          <w:rFonts w:asciiTheme="majorHAnsi" w:eastAsia="Times New Roman" w:hAnsiTheme="majorHAnsi" w:cstheme="majorHAnsi"/>
          <w:sz w:val="24"/>
          <w:szCs w:val="24"/>
          <w:lang w:val="ro-MD"/>
        </w:rPr>
        <w:t xml:space="preserve"> executarea restituirilor TVA au însumat 2 904,6 mil. lei, ceea ce constituie </w:t>
      </w:r>
      <w:r w:rsidRPr="00401485">
        <w:rPr>
          <w:rFonts w:asciiTheme="majorHAnsi" w:eastAsia="Times New Roman" w:hAnsiTheme="majorHAnsi" w:cstheme="majorHAnsi"/>
          <w:sz w:val="24"/>
          <w:szCs w:val="24"/>
        </w:rPr>
        <w:t xml:space="preserve">12,6% din suma TVA încasată la buget. </w:t>
      </w:r>
    </w:p>
    <w:p w:rsidR="009F634F" w:rsidRPr="00401485" w:rsidRDefault="009F634F" w:rsidP="009F634F">
      <w:pPr>
        <w:spacing w:after="0" w:line="276" w:lineRule="auto"/>
        <w:jc w:val="both"/>
        <w:rPr>
          <w:rFonts w:asciiTheme="majorHAnsi" w:hAnsiTheme="majorHAnsi" w:cstheme="majorHAnsi"/>
          <w:sz w:val="24"/>
          <w:szCs w:val="24"/>
          <w:lang w:val="ro-MD"/>
        </w:rPr>
      </w:pPr>
      <w:r w:rsidRPr="00401485">
        <w:rPr>
          <w:rFonts w:asciiTheme="majorHAnsi" w:hAnsiTheme="majorHAnsi" w:cstheme="majorHAnsi"/>
          <w:sz w:val="24"/>
          <w:szCs w:val="24"/>
          <w:lang w:val="ro-MD"/>
        </w:rPr>
        <w:t>Verificările auditului relevă că se înregistrează o tendință stabilă de creștere a volumului TVA restituită din BS. Astfel, în anul 2019, comparativ cu anul 2018, acestea au înregistrat o creștere cu 50,0 mil. lei (1,7%).</w:t>
      </w:r>
    </w:p>
    <w:p w:rsidR="009F634F" w:rsidRPr="00401485" w:rsidRDefault="009F634F" w:rsidP="009F634F">
      <w:pPr>
        <w:spacing w:after="0" w:line="276" w:lineRule="auto"/>
        <w:jc w:val="both"/>
        <w:rPr>
          <w:rFonts w:asciiTheme="majorHAnsi" w:hAnsiTheme="majorHAnsi" w:cstheme="majorHAnsi"/>
          <w:sz w:val="24"/>
          <w:szCs w:val="24"/>
        </w:rPr>
      </w:pPr>
      <w:r w:rsidRPr="00401485">
        <w:rPr>
          <w:rFonts w:asciiTheme="majorHAnsi" w:hAnsiTheme="majorHAnsi" w:cstheme="majorHAnsi"/>
          <w:sz w:val="24"/>
          <w:szCs w:val="24"/>
        </w:rPr>
        <w:t xml:space="preserve">Potrivit datelor raportate de MF, </w:t>
      </w:r>
      <w:r w:rsidRPr="00401485">
        <w:rPr>
          <w:rFonts w:asciiTheme="majorHAnsi" w:hAnsiTheme="majorHAnsi" w:cstheme="majorHAnsi"/>
          <w:i/>
          <w:sz w:val="24"/>
          <w:szCs w:val="24"/>
        </w:rPr>
        <w:t>restituirea accizelor</w:t>
      </w:r>
      <w:r w:rsidRPr="00401485">
        <w:rPr>
          <w:rFonts w:asciiTheme="majorHAnsi" w:hAnsiTheme="majorHAnsi" w:cstheme="majorHAnsi"/>
          <w:sz w:val="24"/>
          <w:szCs w:val="24"/>
        </w:rPr>
        <w:t xml:space="preserve"> în anul 2019 a însumat 26,2 mil. lei, sau cu 1,2 mil. lei mai mult decât limita precizată în buget și cu 6,2 mil. lei (31,1%) mai mult decât limita aprobată. De</w:t>
      </w:r>
      <w:r>
        <w:rPr>
          <w:rFonts w:asciiTheme="majorHAnsi" w:hAnsiTheme="majorHAnsi" w:cstheme="majorHAnsi"/>
          <w:sz w:val="24"/>
          <w:szCs w:val="24"/>
        </w:rPr>
        <w:t xml:space="preserve"> </w:t>
      </w:r>
      <w:r w:rsidRPr="00401485">
        <w:rPr>
          <w:rFonts w:asciiTheme="majorHAnsi" w:hAnsiTheme="majorHAnsi" w:cstheme="majorHAnsi"/>
          <w:sz w:val="24"/>
          <w:szCs w:val="24"/>
        </w:rPr>
        <w:t xml:space="preserve">asemenea, analiza auditului relevă că restituirile la accize au o tendință variabilă, fiind mai </w:t>
      </w:r>
      <w:r>
        <w:rPr>
          <w:rFonts w:asciiTheme="majorHAnsi" w:hAnsiTheme="majorHAnsi" w:cstheme="majorHAnsi"/>
          <w:sz w:val="24"/>
          <w:szCs w:val="24"/>
        </w:rPr>
        <w:t>mici</w:t>
      </w:r>
      <w:r w:rsidRPr="00401485">
        <w:rPr>
          <w:rFonts w:asciiTheme="majorHAnsi" w:hAnsiTheme="majorHAnsi" w:cstheme="majorHAnsi"/>
          <w:sz w:val="24"/>
          <w:szCs w:val="24"/>
        </w:rPr>
        <w:t xml:space="preserve"> cu 193,8 mil. lei față de anul 2018.</w:t>
      </w:r>
    </w:p>
    <w:p w:rsidR="009F634F" w:rsidRPr="00401485" w:rsidRDefault="009F634F" w:rsidP="009F634F">
      <w:pPr>
        <w:spacing w:after="0" w:line="276" w:lineRule="auto"/>
        <w:jc w:val="both"/>
        <w:rPr>
          <w:rFonts w:asciiTheme="majorHAnsi" w:hAnsiTheme="majorHAnsi" w:cstheme="majorHAnsi"/>
          <w:sz w:val="24"/>
          <w:szCs w:val="24"/>
        </w:rPr>
      </w:pPr>
      <w:r w:rsidRPr="00401485">
        <w:rPr>
          <w:rFonts w:asciiTheme="majorHAnsi" w:hAnsiTheme="majorHAnsi" w:cstheme="majorHAnsi"/>
          <w:sz w:val="24"/>
          <w:szCs w:val="24"/>
        </w:rPr>
        <w:t>Conform datelor raportate de MF, în anul 2019</w:t>
      </w:r>
      <w:r>
        <w:rPr>
          <w:rFonts w:asciiTheme="majorHAnsi" w:hAnsiTheme="majorHAnsi" w:cstheme="majorHAnsi"/>
          <w:sz w:val="24"/>
          <w:szCs w:val="24"/>
        </w:rPr>
        <w:t>,</w:t>
      </w:r>
      <w:r w:rsidRPr="00401485">
        <w:rPr>
          <w:rFonts w:asciiTheme="majorHAnsi" w:hAnsiTheme="majorHAnsi" w:cstheme="majorHAnsi"/>
          <w:sz w:val="24"/>
          <w:szCs w:val="24"/>
        </w:rPr>
        <w:t xml:space="preserve"> din BS au fost efectuate </w:t>
      </w:r>
      <w:r w:rsidRPr="00401485">
        <w:rPr>
          <w:rFonts w:asciiTheme="majorHAnsi" w:hAnsiTheme="majorHAnsi" w:cstheme="majorHAnsi"/>
          <w:i/>
          <w:sz w:val="24"/>
          <w:szCs w:val="24"/>
        </w:rPr>
        <w:t>restituiri ale impozitului pe venitul persoanelor fizice</w:t>
      </w:r>
      <w:r w:rsidRPr="00401485">
        <w:rPr>
          <w:rFonts w:asciiTheme="majorHAnsi" w:hAnsiTheme="majorHAnsi" w:cstheme="majorHAnsi"/>
          <w:sz w:val="24"/>
          <w:szCs w:val="24"/>
        </w:rPr>
        <w:t xml:space="preserve"> potrivit declarațiilor prezentate</w:t>
      </w:r>
      <w:r>
        <w:rPr>
          <w:rFonts w:asciiTheme="majorHAnsi" w:hAnsiTheme="majorHAnsi" w:cstheme="majorHAnsi"/>
          <w:sz w:val="24"/>
          <w:szCs w:val="24"/>
        </w:rPr>
        <w:t>,</w:t>
      </w:r>
      <w:r w:rsidRPr="00401485">
        <w:rPr>
          <w:rFonts w:asciiTheme="majorHAnsi" w:hAnsiTheme="majorHAnsi" w:cstheme="majorHAnsi"/>
          <w:sz w:val="24"/>
          <w:szCs w:val="24"/>
        </w:rPr>
        <w:t xml:space="preserve"> în sumă totală de 55,1 mil. lei</w:t>
      </w:r>
      <w:r>
        <w:rPr>
          <w:rFonts w:asciiTheme="majorHAnsi" w:hAnsiTheme="majorHAnsi" w:cstheme="majorHAnsi"/>
          <w:sz w:val="24"/>
          <w:szCs w:val="24"/>
        </w:rPr>
        <w:t>,</w:t>
      </w:r>
      <w:r w:rsidRPr="00401485">
        <w:rPr>
          <w:rFonts w:asciiTheme="majorHAnsi" w:hAnsiTheme="majorHAnsi" w:cstheme="majorHAnsi"/>
          <w:sz w:val="24"/>
          <w:szCs w:val="24"/>
        </w:rPr>
        <w:t xml:space="preserve"> sau cu 5,1 mil. lei (10,3%) mai mult decât limita aprobată în buget. Totodată, sumele desemnate procentual din impozitul pe venitul persoanelor fizice conform art.15</w:t>
      </w:r>
      <w:r w:rsidRPr="00401485">
        <w:rPr>
          <w:rFonts w:asciiTheme="majorHAnsi" w:hAnsiTheme="majorHAnsi" w:cstheme="majorHAnsi"/>
          <w:sz w:val="24"/>
          <w:szCs w:val="24"/>
          <w:vertAlign w:val="superscript"/>
        </w:rPr>
        <w:t xml:space="preserve">2 </w:t>
      </w:r>
      <w:r w:rsidRPr="00401485">
        <w:rPr>
          <w:rFonts w:asciiTheme="majorHAnsi" w:hAnsiTheme="majorHAnsi" w:cstheme="majorHAnsi"/>
          <w:sz w:val="24"/>
          <w:szCs w:val="24"/>
        </w:rPr>
        <w:t xml:space="preserve">din Codul </w:t>
      </w:r>
      <w:r>
        <w:rPr>
          <w:rFonts w:asciiTheme="majorHAnsi" w:hAnsiTheme="majorHAnsi" w:cstheme="majorHAnsi"/>
          <w:sz w:val="24"/>
          <w:szCs w:val="24"/>
        </w:rPr>
        <w:t>f</w:t>
      </w:r>
      <w:r w:rsidRPr="00401485">
        <w:rPr>
          <w:rFonts w:asciiTheme="majorHAnsi" w:hAnsiTheme="majorHAnsi" w:cstheme="majorHAnsi"/>
          <w:sz w:val="24"/>
          <w:szCs w:val="24"/>
        </w:rPr>
        <w:t xml:space="preserve">iscal (2% din impozitul pe venit achitat) au constituit 7,7 mil. lei, sau cu 2,1 mil. lei (37,0%) mai mult față </w:t>
      </w:r>
      <w:r w:rsidRPr="00611973">
        <w:rPr>
          <w:rFonts w:asciiTheme="majorHAnsi" w:hAnsiTheme="majorHAnsi" w:cstheme="majorHAnsi"/>
          <w:sz w:val="24"/>
          <w:szCs w:val="24"/>
        </w:rPr>
        <w:t xml:space="preserve">de anul 2018 executarea cu depășirea limitelor </w:t>
      </w:r>
      <w:r>
        <w:rPr>
          <w:rFonts w:asciiTheme="majorHAnsi" w:hAnsiTheme="majorHAnsi" w:cstheme="majorHAnsi"/>
          <w:sz w:val="24"/>
          <w:szCs w:val="24"/>
        </w:rPr>
        <w:t xml:space="preserve">precizate fiind argumentate prin restituirile conform </w:t>
      </w:r>
      <w:r w:rsidRPr="00611973">
        <w:rPr>
          <w:rFonts w:asciiTheme="majorHAnsi" w:hAnsiTheme="majorHAnsi" w:cstheme="majorHAnsi"/>
          <w:sz w:val="24"/>
          <w:szCs w:val="24"/>
        </w:rPr>
        <w:t>Codului fiscal.</w:t>
      </w:r>
    </w:p>
    <w:p w:rsidR="009F634F" w:rsidRPr="00401485" w:rsidRDefault="009F634F" w:rsidP="009F634F">
      <w:pPr>
        <w:spacing w:after="0" w:line="276" w:lineRule="auto"/>
        <w:jc w:val="both"/>
        <w:rPr>
          <w:rFonts w:asciiTheme="majorHAnsi" w:hAnsiTheme="majorHAnsi" w:cstheme="majorHAnsi"/>
          <w:sz w:val="8"/>
          <w:szCs w:val="8"/>
        </w:rPr>
      </w:pPr>
    </w:p>
    <w:p w:rsidR="009F634F" w:rsidRPr="00401485" w:rsidRDefault="009F634F" w:rsidP="009F634F">
      <w:pPr>
        <w:spacing w:after="0" w:line="276" w:lineRule="auto"/>
        <w:jc w:val="both"/>
        <w:rPr>
          <w:rFonts w:asciiTheme="majorHAnsi" w:hAnsiTheme="majorHAnsi" w:cstheme="majorHAnsi"/>
          <w:sz w:val="24"/>
          <w:szCs w:val="24"/>
        </w:rPr>
      </w:pPr>
      <w:r w:rsidRPr="00401485">
        <w:rPr>
          <w:rFonts w:asciiTheme="majorHAnsi" w:hAnsiTheme="majorHAnsi" w:cstheme="majorHAnsi"/>
          <w:sz w:val="24"/>
          <w:szCs w:val="24"/>
        </w:rPr>
        <w:t>Auditul a constatat că, deși potrivit art.8 alin.(10) din Legea nr.139 din 19.07.2018</w:t>
      </w:r>
      <w:r w:rsidRPr="00401485">
        <w:rPr>
          <w:rFonts w:asciiTheme="majorHAnsi" w:hAnsiTheme="majorHAnsi" w:cstheme="majorHAnsi"/>
          <w:sz w:val="24"/>
          <w:szCs w:val="24"/>
          <w:vertAlign w:val="superscript"/>
        </w:rPr>
        <w:footnoteReference w:id="25"/>
      </w:r>
      <w:r w:rsidRPr="00401485">
        <w:rPr>
          <w:rFonts w:asciiTheme="majorHAnsi" w:hAnsiTheme="majorHAnsi" w:cstheme="majorHAnsi"/>
          <w:sz w:val="24"/>
          <w:szCs w:val="24"/>
        </w:rPr>
        <w:t xml:space="preserve">, în Legea BS pentru anul 2019 au fost aprobate venituri în BS (contribuțiile achitate conform schemei de obligații în domeniul </w:t>
      </w:r>
      <w:r w:rsidRPr="00611973">
        <w:rPr>
          <w:rFonts w:asciiTheme="majorHAnsi" w:hAnsiTheme="majorHAnsi" w:cstheme="majorHAnsi"/>
          <w:sz w:val="24"/>
          <w:szCs w:val="24"/>
        </w:rPr>
        <w:t>eficientei energetice în sumă</w:t>
      </w:r>
      <w:r w:rsidRPr="00401485">
        <w:rPr>
          <w:rFonts w:asciiTheme="majorHAnsi" w:hAnsiTheme="majorHAnsi" w:cstheme="majorHAnsi"/>
          <w:sz w:val="24"/>
          <w:szCs w:val="24"/>
        </w:rPr>
        <w:t xml:space="preserve"> de 400,0 mil. lei, mijloacele respective au fost excluse la rectificarea Legii BS deoarece nu a fost elaborată de către MEI metodologia de calcul pentru implementarea sistemelor de distribuție a gazelor naturale, energiei electrice și </w:t>
      </w:r>
      <w:r w:rsidR="00320ADA" w:rsidRPr="00401485">
        <w:rPr>
          <w:rFonts w:asciiTheme="majorHAnsi" w:hAnsiTheme="majorHAnsi" w:cstheme="majorHAnsi"/>
          <w:sz w:val="24"/>
          <w:szCs w:val="24"/>
        </w:rPr>
        <w:t>import</w:t>
      </w:r>
      <w:r w:rsidR="00320ADA">
        <w:rPr>
          <w:rFonts w:asciiTheme="majorHAnsi" w:hAnsiTheme="majorHAnsi" w:cstheme="majorHAnsi"/>
          <w:sz w:val="24"/>
          <w:szCs w:val="24"/>
        </w:rPr>
        <w:t>ul</w:t>
      </w:r>
      <w:r w:rsidR="00320ADA" w:rsidRPr="00401485">
        <w:rPr>
          <w:rFonts w:asciiTheme="majorHAnsi" w:hAnsiTheme="majorHAnsi" w:cstheme="majorHAnsi"/>
          <w:sz w:val="24"/>
          <w:szCs w:val="24"/>
        </w:rPr>
        <w:t>ui</w:t>
      </w:r>
      <w:r w:rsidRPr="00401485">
        <w:rPr>
          <w:rFonts w:asciiTheme="majorHAnsi" w:hAnsiTheme="majorHAnsi" w:cstheme="majorHAnsi"/>
          <w:sz w:val="24"/>
          <w:szCs w:val="24"/>
        </w:rPr>
        <w:t xml:space="preserve"> produselor petroliere ca contribuții conform schemei de obligații în domeniul eficienței energetice pentru Fondul de Eficiență Energetică. Guvernul urma să elaboreze și să aprobe</w:t>
      </w:r>
      <w:r>
        <w:rPr>
          <w:rFonts w:asciiTheme="majorHAnsi" w:hAnsiTheme="majorHAnsi" w:cstheme="majorHAnsi"/>
          <w:sz w:val="24"/>
          <w:szCs w:val="24"/>
        </w:rPr>
        <w:t>,</w:t>
      </w:r>
      <w:r w:rsidRPr="00401485">
        <w:rPr>
          <w:rFonts w:asciiTheme="majorHAnsi" w:hAnsiTheme="majorHAnsi" w:cstheme="majorHAnsi"/>
          <w:sz w:val="24"/>
          <w:szCs w:val="24"/>
        </w:rPr>
        <w:t xml:space="preserve"> </w:t>
      </w:r>
      <w:r w:rsidRPr="00401485">
        <w:rPr>
          <w:rFonts w:asciiTheme="majorHAnsi" w:eastAsia="Times New Roman" w:hAnsiTheme="majorHAnsi" w:cstheme="majorHAnsi"/>
          <w:sz w:val="24"/>
          <w:szCs w:val="24"/>
          <w:lang w:val="ro-MD"/>
        </w:rPr>
        <w:t>în termen de până la 6 luni de la intrarea în vigoare a Legii nr.139 din 19.07.2018 (17.08.2018)</w:t>
      </w:r>
      <w:r>
        <w:rPr>
          <w:rFonts w:asciiTheme="majorHAnsi" w:eastAsia="Times New Roman" w:hAnsiTheme="majorHAnsi" w:cstheme="majorHAnsi"/>
          <w:sz w:val="24"/>
          <w:szCs w:val="24"/>
          <w:lang w:val="ro-MD"/>
        </w:rPr>
        <w:t>,</w:t>
      </w:r>
      <w:r w:rsidRPr="00401485">
        <w:rPr>
          <w:rFonts w:asciiTheme="majorHAnsi" w:eastAsia="Times New Roman" w:hAnsiTheme="majorHAnsi" w:cstheme="majorHAnsi"/>
          <w:sz w:val="24"/>
          <w:szCs w:val="24"/>
          <w:lang w:val="ro-MD"/>
        </w:rPr>
        <w:t xml:space="preserve"> primul Program privind implementarea schemei de obligații în domeniul eficienței energetice.</w:t>
      </w:r>
    </w:p>
    <w:p w:rsidR="009F634F" w:rsidRPr="00401485" w:rsidRDefault="009F634F" w:rsidP="009F634F">
      <w:pPr>
        <w:tabs>
          <w:tab w:val="left" w:pos="426"/>
        </w:tabs>
        <w:spacing w:after="0" w:line="276" w:lineRule="auto"/>
        <w:contextualSpacing/>
        <w:jc w:val="both"/>
        <w:rPr>
          <w:rFonts w:asciiTheme="majorHAnsi" w:hAnsiTheme="majorHAnsi" w:cstheme="majorHAnsi"/>
          <w:b/>
          <w:i/>
          <w:sz w:val="8"/>
          <w:szCs w:val="8"/>
        </w:rPr>
      </w:pPr>
    </w:p>
    <w:p w:rsidR="009F634F" w:rsidRPr="00401485" w:rsidRDefault="009F634F" w:rsidP="009F634F">
      <w:pPr>
        <w:tabs>
          <w:tab w:val="left" w:pos="426"/>
        </w:tabs>
        <w:spacing w:after="0" w:line="276" w:lineRule="auto"/>
        <w:contextualSpacing/>
        <w:jc w:val="both"/>
        <w:rPr>
          <w:rFonts w:asciiTheme="majorHAnsi" w:hAnsiTheme="majorHAnsi" w:cstheme="majorHAnsi"/>
          <w:b/>
          <w:i/>
          <w:sz w:val="24"/>
          <w:szCs w:val="24"/>
        </w:rPr>
      </w:pPr>
      <w:r w:rsidRPr="00401485">
        <w:rPr>
          <w:rFonts w:asciiTheme="majorHAnsi" w:eastAsia="Times New Roman" w:hAnsiTheme="majorHAnsi" w:cstheme="majorHAnsi"/>
          <w:sz w:val="24"/>
          <w:szCs w:val="24"/>
          <w:lang w:val="ro-MD"/>
        </w:rPr>
        <w:t xml:space="preserve">Conform datelor Raportului privind executarea bugetului de stat pe anul 2019, dobânzile încasate în BS însumează 171,8 mil. lei, sau cu 21,2 mil. lei (14,1%) mai mult față de suma precizată și cu 123,9 mil. lei (58,1%) mai puțin față de suma aprobată. </w:t>
      </w:r>
      <w:r w:rsidRPr="00401485">
        <w:rPr>
          <w:rFonts w:asciiTheme="majorHAnsi" w:eastAsia="Times New Roman" w:hAnsiTheme="majorHAnsi" w:cstheme="majorHAnsi"/>
          <w:i/>
          <w:sz w:val="24"/>
          <w:szCs w:val="24"/>
          <w:lang w:val="ro-MD"/>
        </w:rPr>
        <w:t>Analiza dobânzilor încasate în BS față de sumele precizate și aprobate se prezintă în Anexa nr.6 la prezentul Raport de audit.</w:t>
      </w:r>
    </w:p>
    <w:p w:rsidR="009F634F" w:rsidRPr="00401485" w:rsidRDefault="009F634F" w:rsidP="009F634F">
      <w:pPr>
        <w:spacing w:line="276" w:lineRule="auto"/>
        <w:contextualSpacing/>
        <w:jc w:val="both"/>
        <w:rPr>
          <w:rFonts w:asciiTheme="majorHAnsi" w:hAnsiTheme="majorHAnsi" w:cstheme="majorHAnsi"/>
          <w:sz w:val="24"/>
          <w:szCs w:val="24"/>
          <w:lang w:val="ro-MD"/>
        </w:rPr>
      </w:pPr>
      <w:r w:rsidRPr="00401485">
        <w:rPr>
          <w:rFonts w:asciiTheme="majorHAnsi" w:hAnsiTheme="majorHAnsi" w:cstheme="majorHAnsi"/>
          <w:sz w:val="24"/>
          <w:szCs w:val="24"/>
          <w:lang w:val="ro-MD"/>
        </w:rPr>
        <w:t xml:space="preserve">Pe parcursul anilor 2017 - 2018, din contul mijloacelor libere disponibile ale BS, în scop de formare a rezervei de lichiditate, au fost depozitate 598,9 mil. lei la BNM la rata dobânzii echivalentă cu rata medie ponderată 5,8% - 7,75% constituită la licitația de vânzare a valorilor mobiliare de stat. </w:t>
      </w:r>
      <w:r>
        <w:rPr>
          <w:rFonts w:asciiTheme="majorHAnsi" w:hAnsiTheme="majorHAnsi" w:cstheme="majorHAnsi"/>
          <w:sz w:val="24"/>
          <w:szCs w:val="24"/>
          <w:lang w:val="ro-MD"/>
        </w:rPr>
        <w:t>Ca u</w:t>
      </w:r>
      <w:r w:rsidRPr="00401485">
        <w:rPr>
          <w:rFonts w:asciiTheme="majorHAnsi" w:hAnsiTheme="majorHAnsi" w:cstheme="majorHAnsi"/>
          <w:sz w:val="24"/>
          <w:szCs w:val="24"/>
          <w:lang w:val="ro-MD"/>
        </w:rPr>
        <w:t xml:space="preserve">rmare </w:t>
      </w:r>
      <w:r>
        <w:rPr>
          <w:rFonts w:asciiTheme="majorHAnsi" w:hAnsiTheme="majorHAnsi" w:cstheme="majorHAnsi"/>
          <w:sz w:val="24"/>
          <w:szCs w:val="24"/>
          <w:lang w:val="ro-MD"/>
        </w:rPr>
        <w:t xml:space="preserve">a </w:t>
      </w:r>
      <w:r w:rsidRPr="00401485">
        <w:rPr>
          <w:rFonts w:asciiTheme="majorHAnsi" w:hAnsiTheme="majorHAnsi" w:cstheme="majorHAnsi"/>
          <w:sz w:val="24"/>
          <w:szCs w:val="24"/>
          <w:lang w:val="ro-MD"/>
        </w:rPr>
        <w:t xml:space="preserve">depozitării mijloacelor, au fost obținute venituri în sumă de 29,1 mil. lei, iar la soldurile mijloacelor bugetare au fost încasate dobânzi în sumă totală de 40,7 mil. lei.  </w:t>
      </w:r>
    </w:p>
    <w:p w:rsidR="009F634F" w:rsidRPr="00401485" w:rsidRDefault="009F634F" w:rsidP="009F634F">
      <w:pPr>
        <w:spacing w:line="276" w:lineRule="auto"/>
        <w:contextualSpacing/>
        <w:jc w:val="both"/>
        <w:rPr>
          <w:rFonts w:asciiTheme="majorHAnsi" w:hAnsiTheme="majorHAnsi" w:cstheme="majorHAnsi"/>
          <w:sz w:val="24"/>
          <w:szCs w:val="24"/>
          <w:lang w:val="ro-MD"/>
        </w:rPr>
      </w:pPr>
      <w:r w:rsidRPr="00401485">
        <w:rPr>
          <w:rFonts w:asciiTheme="majorHAnsi" w:hAnsiTheme="majorHAnsi" w:cstheme="majorHAnsi"/>
          <w:sz w:val="24"/>
          <w:szCs w:val="24"/>
          <w:lang w:val="ro-MD"/>
        </w:rPr>
        <w:t>În anul 2017 a fost plasat un depozit în sumă de 345,5 mil. lei în scop de formare a rezervei de lichiditate, cu rata dobânzii de 7,75% anual, cu achitarea dobânzii semianual până la data de 30.03.2019, în anul 2019, mijloacele depozitate fiind rambursate (345,5 mil. lei).</w:t>
      </w:r>
    </w:p>
    <w:p w:rsidR="009F634F" w:rsidRDefault="009F634F" w:rsidP="009F634F">
      <w:pPr>
        <w:spacing w:line="276" w:lineRule="auto"/>
        <w:contextualSpacing/>
        <w:jc w:val="both"/>
        <w:rPr>
          <w:rFonts w:asciiTheme="majorHAnsi" w:hAnsiTheme="majorHAnsi" w:cstheme="majorHAnsi"/>
          <w:sz w:val="24"/>
          <w:szCs w:val="24"/>
          <w:lang w:val="ro-MD"/>
        </w:rPr>
      </w:pPr>
      <w:r w:rsidRPr="00401485">
        <w:rPr>
          <w:rFonts w:asciiTheme="majorHAnsi" w:hAnsiTheme="majorHAnsi" w:cstheme="majorHAnsi"/>
          <w:sz w:val="24"/>
          <w:szCs w:val="24"/>
          <w:lang w:val="ro-MD"/>
        </w:rPr>
        <w:t>În anul 2019 au fost achitate dobânzi</w:t>
      </w:r>
      <w:r>
        <w:rPr>
          <w:rFonts w:asciiTheme="majorHAnsi" w:hAnsiTheme="majorHAnsi" w:cstheme="majorHAnsi"/>
          <w:sz w:val="24"/>
          <w:szCs w:val="24"/>
          <w:lang w:val="ro-MD"/>
        </w:rPr>
        <w:t>le</w:t>
      </w:r>
      <w:r w:rsidRPr="00401485">
        <w:rPr>
          <w:rFonts w:asciiTheme="majorHAnsi" w:hAnsiTheme="majorHAnsi" w:cstheme="majorHAnsi"/>
          <w:sz w:val="24"/>
          <w:szCs w:val="24"/>
          <w:lang w:val="ro-MD"/>
        </w:rPr>
        <w:t xml:space="preserve"> pentru depozitele la vedere ale soldului </w:t>
      </w:r>
      <w:r w:rsidRPr="00736BD1">
        <w:rPr>
          <w:rFonts w:asciiTheme="majorHAnsi" w:hAnsiTheme="majorHAnsi" w:cstheme="majorHAnsi"/>
          <w:sz w:val="24"/>
          <w:szCs w:val="24"/>
          <w:lang w:val="ro-MD"/>
        </w:rPr>
        <w:t>mijloacel</w:t>
      </w:r>
      <w:r>
        <w:rPr>
          <w:rFonts w:asciiTheme="majorHAnsi" w:hAnsiTheme="majorHAnsi" w:cstheme="majorHAnsi"/>
          <w:sz w:val="24"/>
          <w:szCs w:val="24"/>
          <w:lang w:val="ro-MD"/>
        </w:rPr>
        <w:t>or în Contul Unic Trezorerial</w:t>
      </w:r>
      <w:r w:rsidRPr="00736BD1">
        <w:rPr>
          <w:rFonts w:asciiTheme="majorHAnsi" w:hAnsiTheme="majorHAnsi" w:cstheme="majorHAnsi"/>
          <w:sz w:val="24"/>
          <w:szCs w:val="24"/>
          <w:lang w:val="ro-MD"/>
        </w:rPr>
        <w:t xml:space="preserve"> în</w:t>
      </w:r>
      <w:r w:rsidRPr="00401485">
        <w:rPr>
          <w:rFonts w:asciiTheme="majorHAnsi" w:hAnsiTheme="majorHAnsi" w:cstheme="majorHAnsi"/>
          <w:sz w:val="24"/>
          <w:szCs w:val="24"/>
          <w:lang w:val="ro-MD"/>
        </w:rPr>
        <w:t xml:space="preserve"> sumă de 40,7 mil. lei.</w:t>
      </w:r>
    </w:p>
    <w:p w:rsidR="00415EFD" w:rsidRPr="00415EFD" w:rsidRDefault="00415EFD" w:rsidP="009F634F">
      <w:pPr>
        <w:spacing w:line="276" w:lineRule="auto"/>
        <w:contextualSpacing/>
        <w:jc w:val="both"/>
        <w:rPr>
          <w:rFonts w:asciiTheme="majorHAnsi" w:hAnsiTheme="majorHAnsi" w:cstheme="majorHAnsi"/>
          <w:sz w:val="8"/>
          <w:szCs w:val="8"/>
          <w:lang w:val="ro-MD"/>
        </w:rPr>
      </w:pPr>
    </w:p>
    <w:p w:rsidR="009F634F" w:rsidRPr="00401485" w:rsidRDefault="009F634F" w:rsidP="009F634F">
      <w:pPr>
        <w:spacing w:after="0" w:line="276" w:lineRule="auto"/>
        <w:jc w:val="both"/>
        <w:rPr>
          <w:rFonts w:asciiTheme="majorHAnsi" w:eastAsia="Times New Roman" w:hAnsiTheme="majorHAnsi" w:cstheme="majorHAnsi"/>
          <w:iCs/>
          <w:sz w:val="24"/>
          <w:szCs w:val="24"/>
          <w:lang w:val="ro-MD"/>
        </w:rPr>
      </w:pPr>
      <w:r w:rsidRPr="00401485">
        <w:rPr>
          <w:rFonts w:asciiTheme="majorHAnsi" w:eastAsia="Times New Roman" w:hAnsiTheme="majorHAnsi" w:cstheme="majorHAnsi"/>
          <w:iCs/>
          <w:sz w:val="24"/>
          <w:szCs w:val="24"/>
          <w:lang w:val="ro-MD"/>
        </w:rPr>
        <w:t xml:space="preserve">Începând cu anul 2019, SRL </w:t>
      </w:r>
      <w:r>
        <w:rPr>
          <w:rFonts w:asciiTheme="majorHAnsi" w:eastAsia="Times New Roman" w:hAnsiTheme="majorHAnsi" w:cstheme="majorHAnsi"/>
          <w:iCs/>
          <w:sz w:val="24"/>
          <w:szCs w:val="24"/>
          <w:lang w:val="ro-MD"/>
        </w:rPr>
        <w:t>„</w:t>
      </w:r>
      <w:r w:rsidRPr="00401485">
        <w:rPr>
          <w:rFonts w:asciiTheme="majorHAnsi" w:eastAsia="Times New Roman" w:hAnsiTheme="majorHAnsi" w:cstheme="majorHAnsi"/>
          <w:iCs/>
          <w:sz w:val="24"/>
          <w:szCs w:val="24"/>
          <w:lang w:val="ro-MD"/>
        </w:rPr>
        <w:t xml:space="preserve">Avia Invest” a transferat redevența din concesionarea activelor și terenurilor din gestiunea ÎS </w:t>
      </w:r>
      <w:r>
        <w:rPr>
          <w:rFonts w:asciiTheme="majorHAnsi" w:eastAsia="Times New Roman" w:hAnsiTheme="majorHAnsi" w:cstheme="majorHAnsi"/>
          <w:iCs/>
          <w:sz w:val="24"/>
          <w:szCs w:val="24"/>
          <w:lang w:val="ro-MD"/>
        </w:rPr>
        <w:t>„</w:t>
      </w:r>
      <w:r w:rsidRPr="00401485">
        <w:rPr>
          <w:rFonts w:asciiTheme="majorHAnsi" w:eastAsia="Times New Roman" w:hAnsiTheme="majorHAnsi" w:cstheme="majorHAnsi"/>
          <w:iCs/>
          <w:sz w:val="24"/>
          <w:szCs w:val="24"/>
          <w:lang w:val="ro-MD"/>
        </w:rPr>
        <w:t xml:space="preserve">Aeroportul </w:t>
      </w:r>
      <w:r>
        <w:rPr>
          <w:rFonts w:asciiTheme="majorHAnsi" w:eastAsia="Times New Roman" w:hAnsiTheme="majorHAnsi" w:cstheme="majorHAnsi"/>
          <w:iCs/>
          <w:sz w:val="24"/>
          <w:szCs w:val="24"/>
          <w:lang w:val="ro-MD"/>
        </w:rPr>
        <w:t>I</w:t>
      </w:r>
      <w:r w:rsidRPr="00401485">
        <w:rPr>
          <w:rFonts w:asciiTheme="majorHAnsi" w:eastAsia="Times New Roman" w:hAnsiTheme="majorHAnsi" w:cstheme="majorHAnsi"/>
          <w:iCs/>
          <w:sz w:val="24"/>
          <w:szCs w:val="24"/>
          <w:lang w:val="ro-MD"/>
        </w:rPr>
        <w:t>nternațional Chișinău” (cod ECO 141541)</w:t>
      </w:r>
      <w:r>
        <w:rPr>
          <w:rFonts w:asciiTheme="majorHAnsi" w:eastAsia="Times New Roman" w:hAnsiTheme="majorHAnsi" w:cstheme="majorHAnsi"/>
          <w:iCs/>
          <w:sz w:val="24"/>
          <w:szCs w:val="24"/>
          <w:lang w:val="ro-MD"/>
        </w:rPr>
        <w:t>,</w:t>
      </w:r>
      <w:r w:rsidRPr="00401485">
        <w:rPr>
          <w:rFonts w:asciiTheme="majorHAnsi" w:eastAsia="Times New Roman" w:hAnsiTheme="majorHAnsi" w:cstheme="majorHAnsi"/>
          <w:iCs/>
          <w:sz w:val="24"/>
          <w:szCs w:val="24"/>
          <w:lang w:val="ro-MD"/>
        </w:rPr>
        <w:t xml:space="preserve"> în sumă de 2,7 mil. lei, față de 2,9 mil. lei aprobat.</w:t>
      </w:r>
    </w:p>
    <w:p w:rsidR="009F634F" w:rsidRPr="00401485" w:rsidRDefault="009F634F" w:rsidP="009F634F">
      <w:pPr>
        <w:spacing w:after="0" w:line="276" w:lineRule="auto"/>
        <w:jc w:val="both"/>
        <w:rPr>
          <w:rFonts w:asciiTheme="majorHAnsi" w:eastAsia="Times New Roman" w:hAnsiTheme="majorHAnsi" w:cstheme="majorHAnsi"/>
          <w:sz w:val="8"/>
          <w:szCs w:val="8"/>
          <w:lang w:val="ro-MD"/>
        </w:rPr>
      </w:pPr>
    </w:p>
    <w:p w:rsidR="009F634F" w:rsidRPr="001117ED" w:rsidRDefault="009F634F" w:rsidP="009F634F">
      <w:pPr>
        <w:spacing w:after="0" w:line="276" w:lineRule="auto"/>
        <w:jc w:val="both"/>
        <w:rPr>
          <w:rFonts w:asciiTheme="majorHAnsi" w:eastAsia="Times New Roman" w:hAnsiTheme="majorHAnsi" w:cstheme="majorHAnsi"/>
          <w:sz w:val="24"/>
          <w:szCs w:val="24"/>
          <w:lang w:val="ro-MD"/>
        </w:rPr>
      </w:pPr>
      <w:r w:rsidRPr="00401485">
        <w:rPr>
          <w:rFonts w:asciiTheme="majorHAnsi" w:eastAsia="Times New Roman" w:hAnsiTheme="majorHAnsi" w:cstheme="majorHAnsi"/>
          <w:sz w:val="24"/>
          <w:szCs w:val="24"/>
          <w:lang w:val="ro-MD"/>
        </w:rPr>
        <w:t xml:space="preserve">Potrivit art.20 alin. (1) lit. k) din Legea nr.181 din 25.07.2014, MF efectuează monitoringul financiar al autorităților publice la autogestiune, al întreprinderilor de stat și al societăților comerciale cu capital integral sau majoritar de stat. </w:t>
      </w:r>
      <w:r w:rsidRPr="00FF7573">
        <w:rPr>
          <w:rFonts w:asciiTheme="majorHAnsi" w:hAnsiTheme="majorHAnsi" w:cstheme="majorHAnsi"/>
          <w:sz w:val="24"/>
          <w:szCs w:val="24"/>
          <w:lang w:val="ro-MD"/>
        </w:rPr>
        <w:t>În anul 2019, la 22 SA au fost calculate dividende</w:t>
      </w:r>
      <w:r w:rsidRPr="00FF7573">
        <w:rPr>
          <w:b/>
          <w:lang w:val="ro-MD"/>
        </w:rPr>
        <w:t xml:space="preserve"> </w:t>
      </w:r>
      <w:r w:rsidRPr="00FF7573">
        <w:rPr>
          <w:rFonts w:asciiTheme="majorHAnsi" w:hAnsiTheme="majorHAnsi" w:cstheme="majorHAnsi"/>
          <w:sz w:val="24"/>
          <w:szCs w:val="24"/>
          <w:lang w:val="ro-MD"/>
        </w:rPr>
        <w:t>din cota-parte</w:t>
      </w:r>
      <w:r w:rsidRPr="00401485">
        <w:rPr>
          <w:rFonts w:asciiTheme="majorHAnsi" w:hAnsiTheme="majorHAnsi" w:cstheme="majorHAnsi"/>
          <w:sz w:val="24"/>
          <w:szCs w:val="24"/>
          <w:lang w:val="ro-MD"/>
        </w:rPr>
        <w:t xml:space="preserve"> a proprietății publice</w:t>
      </w:r>
      <w:r>
        <w:rPr>
          <w:rFonts w:asciiTheme="majorHAnsi" w:hAnsiTheme="majorHAnsi" w:cstheme="majorHAnsi"/>
          <w:sz w:val="24"/>
          <w:szCs w:val="24"/>
          <w:lang w:val="ro-MD"/>
        </w:rPr>
        <w:t>,</w:t>
      </w:r>
      <w:r w:rsidRPr="00401485">
        <w:rPr>
          <w:rFonts w:asciiTheme="majorHAnsi" w:hAnsiTheme="majorHAnsi" w:cstheme="majorHAnsi"/>
          <w:sz w:val="24"/>
          <w:szCs w:val="24"/>
          <w:lang w:val="ro-MD"/>
        </w:rPr>
        <w:t xml:space="preserve"> în sumă totală de 93</w:t>
      </w:r>
      <w:r w:rsidR="00153419">
        <w:rPr>
          <w:rFonts w:asciiTheme="majorHAnsi" w:hAnsiTheme="majorHAnsi" w:cstheme="majorHAnsi"/>
          <w:sz w:val="24"/>
          <w:szCs w:val="24"/>
          <w:lang w:val="ro-MD"/>
        </w:rPr>
        <w:t>,5 mil. lei, fiind achitate 93,7</w:t>
      </w:r>
      <w:r w:rsidRPr="00401485">
        <w:rPr>
          <w:rFonts w:asciiTheme="majorHAnsi" w:hAnsiTheme="majorHAnsi" w:cstheme="majorHAnsi"/>
          <w:sz w:val="24"/>
          <w:szCs w:val="24"/>
          <w:lang w:val="ro-MD"/>
        </w:rPr>
        <w:t xml:space="preserve"> mil. lei (cod ECO 141221). La situația din 31.12.2019, suma totală a plăților achitate în plus constitui</w:t>
      </w:r>
      <w:r>
        <w:rPr>
          <w:rFonts w:asciiTheme="majorHAnsi" w:hAnsiTheme="majorHAnsi" w:cstheme="majorHAnsi"/>
          <w:sz w:val="24"/>
          <w:szCs w:val="24"/>
          <w:lang w:val="ro-MD"/>
        </w:rPr>
        <w:t>a</w:t>
      </w:r>
      <w:r w:rsidRPr="00401485">
        <w:rPr>
          <w:rFonts w:asciiTheme="majorHAnsi" w:hAnsiTheme="majorHAnsi" w:cstheme="majorHAnsi"/>
          <w:sz w:val="24"/>
          <w:szCs w:val="24"/>
          <w:lang w:val="ro-MD"/>
        </w:rPr>
        <w:t xml:space="preserve"> 2,6 mil. lei, din care 1,5 mil. lei sunt achitate de către SA </w:t>
      </w:r>
      <w:r>
        <w:rPr>
          <w:rFonts w:asciiTheme="majorHAnsi" w:hAnsiTheme="majorHAnsi" w:cstheme="majorHAnsi"/>
          <w:sz w:val="24"/>
          <w:szCs w:val="24"/>
          <w:lang w:val="ro-MD"/>
        </w:rPr>
        <w:t>„</w:t>
      </w:r>
      <w:r w:rsidRPr="00401485">
        <w:rPr>
          <w:rFonts w:asciiTheme="majorHAnsi" w:hAnsiTheme="majorHAnsi" w:cstheme="majorHAnsi"/>
          <w:sz w:val="24"/>
          <w:szCs w:val="24"/>
          <w:lang w:val="ro-MD"/>
        </w:rPr>
        <w:t>Franzeluța”</w:t>
      </w:r>
      <w:r>
        <w:rPr>
          <w:rFonts w:asciiTheme="majorHAnsi" w:hAnsiTheme="majorHAnsi" w:cstheme="majorHAnsi"/>
          <w:sz w:val="24"/>
          <w:szCs w:val="24"/>
          <w:lang w:val="ro-MD"/>
        </w:rPr>
        <w:t>,</w:t>
      </w:r>
      <w:r w:rsidRPr="00401485">
        <w:rPr>
          <w:rFonts w:asciiTheme="majorHAnsi" w:hAnsiTheme="majorHAnsi" w:cstheme="majorHAnsi"/>
          <w:sz w:val="24"/>
          <w:szCs w:val="24"/>
          <w:lang w:val="ro-MD"/>
        </w:rPr>
        <w:t xml:space="preserve"> iar 0,5 mil. lei </w:t>
      </w:r>
      <w:r>
        <w:rPr>
          <w:rFonts w:asciiTheme="majorHAnsi" w:hAnsiTheme="majorHAnsi" w:cstheme="majorHAnsi"/>
          <w:sz w:val="24"/>
          <w:szCs w:val="24"/>
          <w:lang w:val="ro-MD"/>
        </w:rPr>
        <w:t xml:space="preserve">– </w:t>
      </w:r>
      <w:r w:rsidRPr="00401485">
        <w:rPr>
          <w:rFonts w:asciiTheme="majorHAnsi" w:hAnsiTheme="majorHAnsi" w:cstheme="majorHAnsi"/>
          <w:sz w:val="24"/>
          <w:szCs w:val="24"/>
          <w:lang w:val="ro-MD"/>
        </w:rPr>
        <w:t xml:space="preserve">de către SA </w:t>
      </w:r>
      <w:r>
        <w:rPr>
          <w:rFonts w:asciiTheme="majorHAnsi" w:hAnsiTheme="majorHAnsi" w:cstheme="majorHAnsi"/>
          <w:sz w:val="24"/>
          <w:szCs w:val="24"/>
          <w:lang w:val="ro-MD"/>
        </w:rPr>
        <w:t>„</w:t>
      </w:r>
      <w:r w:rsidRPr="00401485">
        <w:rPr>
          <w:rFonts w:asciiTheme="majorHAnsi" w:hAnsiTheme="majorHAnsi" w:cstheme="majorHAnsi"/>
          <w:sz w:val="24"/>
          <w:szCs w:val="24"/>
          <w:lang w:val="ro-MD"/>
        </w:rPr>
        <w:t xml:space="preserve">Tutun-CTC”.  </w:t>
      </w:r>
      <w:r w:rsidR="001117ED">
        <w:rPr>
          <w:rFonts w:asciiTheme="majorHAnsi" w:hAnsiTheme="majorHAnsi" w:cstheme="majorHAnsi"/>
          <w:sz w:val="24"/>
          <w:szCs w:val="24"/>
          <w:lang w:val="ro-MD"/>
        </w:rPr>
        <w:t>Totodată, î</w:t>
      </w:r>
      <w:r w:rsidRPr="00401485">
        <w:rPr>
          <w:rFonts w:asciiTheme="majorHAnsi" w:hAnsiTheme="majorHAnsi" w:cstheme="majorHAnsi"/>
          <w:sz w:val="24"/>
          <w:szCs w:val="24"/>
          <w:lang w:val="ro-MD"/>
        </w:rPr>
        <w:t>n anul 2019, ÎS au transferat în BS defalcări de la profitul net</w:t>
      </w:r>
      <w:r>
        <w:rPr>
          <w:rFonts w:asciiTheme="majorHAnsi" w:hAnsiTheme="majorHAnsi" w:cstheme="majorHAnsi"/>
          <w:sz w:val="24"/>
          <w:szCs w:val="24"/>
          <w:lang w:val="ro-MD"/>
        </w:rPr>
        <w:t>,</w:t>
      </w:r>
      <w:r w:rsidRPr="00401485">
        <w:rPr>
          <w:rFonts w:asciiTheme="majorHAnsi" w:hAnsiTheme="majorHAnsi" w:cstheme="majorHAnsi"/>
          <w:sz w:val="24"/>
          <w:szCs w:val="24"/>
          <w:lang w:val="ro-MD"/>
        </w:rPr>
        <w:t xml:space="preserve"> în sumă totală de 43,6 mil. lei (cod ECO 141231). La situația din 31.12.2019, </w:t>
      </w:r>
      <w:r w:rsidRPr="00401485">
        <w:rPr>
          <w:rFonts w:asciiTheme="majorHAnsi" w:eastAsia="Times New Roman" w:hAnsiTheme="majorHAnsi" w:cstheme="majorHAnsi"/>
          <w:sz w:val="24"/>
          <w:szCs w:val="24"/>
          <w:lang w:val="ro-MD"/>
        </w:rPr>
        <w:t xml:space="preserve">ÎS au înregistrat restanțe față de buget în sumă de 1,4 mil. lei, din care ÎS </w:t>
      </w:r>
      <w:r>
        <w:rPr>
          <w:rFonts w:asciiTheme="majorHAnsi" w:eastAsia="Times New Roman" w:hAnsiTheme="majorHAnsi" w:cstheme="majorHAnsi"/>
          <w:sz w:val="24"/>
          <w:szCs w:val="24"/>
          <w:lang w:val="ro-MD"/>
        </w:rPr>
        <w:t>„</w:t>
      </w:r>
      <w:r w:rsidRPr="00401485">
        <w:rPr>
          <w:rFonts w:asciiTheme="majorHAnsi" w:eastAsia="Times New Roman" w:hAnsiTheme="majorHAnsi" w:cstheme="majorHAnsi"/>
          <w:sz w:val="24"/>
          <w:szCs w:val="24"/>
          <w:lang w:val="ro-MD"/>
        </w:rPr>
        <w:t>Poșta Moldovei” – 0,5 mil. lei.</w:t>
      </w:r>
      <w:r w:rsidRPr="00401485">
        <w:rPr>
          <w:rFonts w:asciiTheme="majorHAnsi" w:hAnsiTheme="majorHAnsi" w:cstheme="majorHAnsi"/>
          <w:sz w:val="24"/>
          <w:szCs w:val="24"/>
          <w:lang w:val="ro-MD"/>
        </w:rPr>
        <w:t xml:space="preserve"> </w:t>
      </w:r>
      <w:r>
        <w:rPr>
          <w:rFonts w:asciiTheme="majorHAnsi" w:hAnsiTheme="majorHAnsi" w:cstheme="majorHAnsi"/>
          <w:sz w:val="24"/>
          <w:szCs w:val="24"/>
          <w:lang w:val="ro-MD"/>
        </w:rPr>
        <w:t>Ca u</w:t>
      </w:r>
      <w:r w:rsidRPr="00401485">
        <w:rPr>
          <w:rFonts w:asciiTheme="majorHAnsi" w:hAnsiTheme="majorHAnsi" w:cstheme="majorHAnsi"/>
          <w:sz w:val="24"/>
          <w:szCs w:val="24"/>
          <w:lang w:val="ro-MD"/>
        </w:rPr>
        <w:t xml:space="preserve">rmare </w:t>
      </w:r>
      <w:r>
        <w:rPr>
          <w:rFonts w:asciiTheme="majorHAnsi" w:hAnsiTheme="majorHAnsi" w:cstheme="majorHAnsi"/>
          <w:sz w:val="24"/>
          <w:szCs w:val="24"/>
          <w:lang w:val="ro-MD"/>
        </w:rPr>
        <w:t xml:space="preserve">a </w:t>
      </w:r>
      <w:r w:rsidRPr="00401485">
        <w:rPr>
          <w:rFonts w:asciiTheme="majorHAnsi" w:hAnsiTheme="majorHAnsi" w:cstheme="majorHAnsi"/>
          <w:sz w:val="24"/>
          <w:szCs w:val="24"/>
          <w:lang w:val="ro-MD"/>
        </w:rPr>
        <w:t>verificărilor de audit</w:t>
      </w:r>
      <w:r>
        <w:rPr>
          <w:rFonts w:asciiTheme="majorHAnsi" w:hAnsiTheme="majorHAnsi" w:cstheme="majorHAnsi"/>
          <w:sz w:val="24"/>
          <w:szCs w:val="24"/>
          <w:lang w:val="ro-MD"/>
        </w:rPr>
        <w:t>,</w:t>
      </w:r>
      <w:r w:rsidRPr="00401485">
        <w:rPr>
          <w:rFonts w:asciiTheme="majorHAnsi" w:hAnsiTheme="majorHAnsi" w:cstheme="majorHAnsi"/>
          <w:sz w:val="24"/>
          <w:szCs w:val="24"/>
          <w:lang w:val="ro-MD"/>
        </w:rPr>
        <w:t xml:space="preserve"> s-a</w:t>
      </w:r>
      <w:r>
        <w:rPr>
          <w:rFonts w:asciiTheme="majorHAnsi" w:hAnsiTheme="majorHAnsi" w:cstheme="majorHAnsi"/>
          <w:sz w:val="24"/>
          <w:szCs w:val="24"/>
          <w:lang w:val="ro-MD"/>
        </w:rPr>
        <w:t>u</w:t>
      </w:r>
      <w:r w:rsidRPr="00401485">
        <w:rPr>
          <w:rFonts w:asciiTheme="majorHAnsi" w:hAnsiTheme="majorHAnsi" w:cstheme="majorHAnsi"/>
          <w:sz w:val="24"/>
          <w:szCs w:val="24"/>
          <w:lang w:val="ro-MD"/>
        </w:rPr>
        <w:t xml:space="preserve"> constatat venituri raportate în sumă de 1,3 mil. lei ca defalcări în BS</w:t>
      </w:r>
      <w:r>
        <w:rPr>
          <w:rFonts w:asciiTheme="majorHAnsi" w:hAnsiTheme="majorHAnsi" w:cstheme="majorHAnsi"/>
          <w:sz w:val="24"/>
          <w:szCs w:val="24"/>
          <w:lang w:val="ro-MD"/>
        </w:rPr>
        <w:t>,</w:t>
      </w:r>
      <w:r w:rsidRPr="00401485">
        <w:rPr>
          <w:rFonts w:asciiTheme="majorHAnsi" w:hAnsiTheme="majorHAnsi" w:cstheme="majorHAnsi"/>
          <w:sz w:val="24"/>
          <w:szCs w:val="24"/>
          <w:lang w:val="ro-MD"/>
        </w:rPr>
        <w:t xml:space="preserve"> deși conform informației prezentate de MF, beneficiari sunt însăși întreprinderile de stat. Potrivit motivației MF, este o incertitudine la reflectare</w:t>
      </w:r>
      <w:r>
        <w:rPr>
          <w:rFonts w:asciiTheme="majorHAnsi" w:hAnsiTheme="majorHAnsi" w:cstheme="majorHAnsi"/>
          <w:sz w:val="24"/>
          <w:szCs w:val="24"/>
          <w:lang w:val="ro-MD"/>
        </w:rPr>
        <w:t>a</w:t>
      </w:r>
      <w:r w:rsidRPr="00401485">
        <w:rPr>
          <w:rFonts w:asciiTheme="majorHAnsi" w:hAnsiTheme="majorHAnsi" w:cstheme="majorHAnsi"/>
          <w:sz w:val="24"/>
          <w:szCs w:val="24"/>
          <w:lang w:val="ro-MD"/>
        </w:rPr>
        <w:t xml:space="preserve"> în SI, fiind </w:t>
      </w:r>
      <w:r w:rsidRPr="00401485">
        <w:rPr>
          <w:rFonts w:asciiTheme="majorHAnsi" w:hAnsiTheme="majorHAnsi" w:cstheme="majorHAnsi"/>
          <w:sz w:val="24"/>
          <w:szCs w:val="24"/>
        </w:rPr>
        <w:t>note de transfer interne sau ordine de plată transferate din diferite bugete, prezentate de SFS pentru stingerea obligației fiscale prin compensare.</w:t>
      </w:r>
    </w:p>
    <w:p w:rsidR="001117ED" w:rsidRPr="001117ED" w:rsidRDefault="001117ED" w:rsidP="009F634F">
      <w:pPr>
        <w:spacing w:after="0" w:line="276" w:lineRule="auto"/>
        <w:jc w:val="both"/>
        <w:rPr>
          <w:rFonts w:asciiTheme="majorHAnsi" w:hAnsiTheme="majorHAnsi" w:cstheme="majorHAnsi"/>
          <w:sz w:val="8"/>
          <w:szCs w:val="8"/>
          <w:lang w:val="ro-MD"/>
        </w:rPr>
      </w:pPr>
    </w:p>
    <w:p w:rsidR="009F634F" w:rsidRPr="00401485" w:rsidRDefault="009F634F" w:rsidP="009F634F">
      <w:pPr>
        <w:spacing w:after="0" w:line="276" w:lineRule="auto"/>
        <w:jc w:val="both"/>
        <w:rPr>
          <w:rFonts w:asciiTheme="majorHAnsi" w:eastAsia="Times New Roman" w:hAnsiTheme="majorHAnsi" w:cstheme="majorHAnsi"/>
          <w:sz w:val="24"/>
          <w:szCs w:val="24"/>
          <w:lang w:val="ro-MD"/>
        </w:rPr>
      </w:pPr>
      <w:r w:rsidRPr="00401485">
        <w:rPr>
          <w:rFonts w:asciiTheme="majorHAnsi" w:eastAsia="Times New Roman" w:hAnsiTheme="majorHAnsi" w:cstheme="majorHAnsi"/>
          <w:iCs/>
          <w:sz w:val="24"/>
          <w:szCs w:val="24"/>
          <w:lang w:val="ro-MD"/>
        </w:rPr>
        <w:t>Din toate autoritățile/instituțiile publice la autogestiune</w:t>
      </w:r>
      <w:r>
        <w:rPr>
          <w:rFonts w:asciiTheme="majorHAnsi" w:eastAsia="Times New Roman" w:hAnsiTheme="majorHAnsi" w:cstheme="majorHAnsi"/>
          <w:iCs/>
          <w:sz w:val="24"/>
          <w:szCs w:val="24"/>
          <w:lang w:val="ro-MD"/>
        </w:rPr>
        <w:t>,</w:t>
      </w:r>
      <w:r w:rsidRPr="00401485">
        <w:rPr>
          <w:rFonts w:asciiTheme="majorHAnsi" w:eastAsia="Times New Roman" w:hAnsiTheme="majorHAnsi" w:cstheme="majorHAnsi"/>
          <w:iCs/>
          <w:sz w:val="24"/>
          <w:szCs w:val="24"/>
          <w:lang w:val="ro-MD"/>
        </w:rPr>
        <w:t xml:space="preserve"> doar </w:t>
      </w:r>
      <w:r w:rsidRPr="00401485">
        <w:rPr>
          <w:rFonts w:asciiTheme="majorHAnsi" w:eastAsia="Times New Roman" w:hAnsiTheme="majorHAnsi" w:cstheme="majorHAnsi"/>
          <w:sz w:val="24"/>
          <w:szCs w:val="24"/>
          <w:lang w:val="ro-MD"/>
        </w:rPr>
        <w:t>Consiliul</w:t>
      </w:r>
      <w:r w:rsidRPr="00401485">
        <w:rPr>
          <w:rFonts w:asciiTheme="majorHAnsi" w:eastAsia="Times New Roman" w:hAnsiTheme="majorHAnsi" w:cstheme="majorHAnsi"/>
          <w:iCs/>
          <w:sz w:val="24"/>
          <w:szCs w:val="24"/>
          <w:lang w:val="ro-MD"/>
        </w:rPr>
        <w:t xml:space="preserve"> IP </w:t>
      </w:r>
      <w:r>
        <w:rPr>
          <w:rFonts w:asciiTheme="majorHAnsi" w:eastAsia="Times New Roman" w:hAnsiTheme="majorHAnsi" w:cstheme="majorHAnsi"/>
          <w:iCs/>
          <w:sz w:val="24"/>
          <w:szCs w:val="24"/>
          <w:lang w:val="ro-MD"/>
        </w:rPr>
        <w:t>„</w:t>
      </w:r>
      <w:r w:rsidRPr="00401485">
        <w:rPr>
          <w:rFonts w:asciiTheme="majorHAnsi" w:eastAsia="Times New Roman" w:hAnsiTheme="majorHAnsi" w:cstheme="majorHAnsi"/>
          <w:iCs/>
          <w:sz w:val="24"/>
          <w:szCs w:val="24"/>
          <w:lang w:val="ro-MD"/>
        </w:rPr>
        <w:t xml:space="preserve">Serviciul național de management al Frecvențelor Radio” a decis </w:t>
      </w:r>
      <w:r w:rsidRPr="00401485">
        <w:rPr>
          <w:rFonts w:asciiTheme="majorHAnsi" w:eastAsia="Times New Roman" w:hAnsiTheme="majorHAnsi" w:cstheme="majorHAnsi"/>
          <w:sz w:val="24"/>
          <w:szCs w:val="24"/>
          <w:lang w:val="ro-MD"/>
        </w:rPr>
        <w:t>să transfere în BS mijloace financiare în sumă de 205,8 mii lei, neutilizate pe parcursul anului bugetar precedent.</w:t>
      </w:r>
    </w:p>
    <w:p w:rsidR="009F634F" w:rsidRPr="00401485" w:rsidRDefault="009F634F" w:rsidP="009F634F">
      <w:pPr>
        <w:spacing w:after="0" w:line="276" w:lineRule="auto"/>
        <w:jc w:val="both"/>
        <w:rPr>
          <w:rFonts w:asciiTheme="majorHAnsi" w:eastAsia="Times New Roman" w:hAnsiTheme="majorHAnsi" w:cstheme="majorHAnsi"/>
          <w:iCs/>
          <w:sz w:val="8"/>
          <w:szCs w:val="8"/>
          <w:lang w:val="ro-MD"/>
        </w:rPr>
      </w:pPr>
    </w:p>
    <w:p w:rsidR="009F634F" w:rsidRPr="00401485" w:rsidRDefault="009F634F" w:rsidP="009F634F">
      <w:pPr>
        <w:spacing w:after="0" w:line="276" w:lineRule="auto"/>
        <w:jc w:val="both"/>
        <w:rPr>
          <w:rFonts w:asciiTheme="majorHAnsi" w:eastAsia="Times New Roman" w:hAnsiTheme="majorHAnsi" w:cstheme="majorHAnsi"/>
          <w:sz w:val="24"/>
          <w:szCs w:val="24"/>
        </w:rPr>
      </w:pPr>
      <w:r w:rsidRPr="00401485">
        <w:rPr>
          <w:rFonts w:asciiTheme="majorHAnsi" w:hAnsiTheme="majorHAnsi" w:cstheme="majorHAnsi"/>
          <w:sz w:val="24"/>
          <w:szCs w:val="24"/>
        </w:rPr>
        <w:t>În scopul corectitudinii întocmirii rapoartelor privind executarea BS, în corespundere cu normele aprobate</w:t>
      </w:r>
      <w:r w:rsidRPr="00401485">
        <w:rPr>
          <w:vertAlign w:val="superscript"/>
        </w:rPr>
        <w:footnoteReference w:id="26"/>
      </w:r>
      <w:r w:rsidRPr="00401485">
        <w:rPr>
          <w:rFonts w:asciiTheme="majorHAnsi" w:hAnsiTheme="majorHAnsi" w:cstheme="majorHAnsi"/>
          <w:sz w:val="24"/>
          <w:szCs w:val="24"/>
        </w:rPr>
        <w:t>, MF urmează să perfecteze și să prezinte</w:t>
      </w:r>
      <w:r w:rsidRPr="00401485">
        <w:rPr>
          <w:rFonts w:asciiTheme="majorHAnsi" w:eastAsia="Times New Roman" w:hAnsiTheme="majorHAnsi" w:cstheme="majorHAnsi"/>
          <w:sz w:val="24"/>
          <w:szCs w:val="24"/>
          <w:lang w:val="ro-MD"/>
        </w:rPr>
        <w:t xml:space="preserve"> administratorilor de venit</w:t>
      </w:r>
      <w:r w:rsidRPr="00401485">
        <w:rPr>
          <w:rFonts w:asciiTheme="majorHAnsi" w:hAnsiTheme="majorHAnsi" w:cstheme="majorHAnsi"/>
          <w:sz w:val="24"/>
          <w:szCs w:val="24"/>
        </w:rPr>
        <w:t xml:space="preserve"> Registrele veniturilor BS </w:t>
      </w:r>
      <w:r w:rsidRPr="00401485">
        <w:rPr>
          <w:rFonts w:asciiTheme="majorHAnsi" w:eastAsia="Times New Roman" w:hAnsiTheme="majorHAnsi" w:cstheme="majorHAnsi"/>
          <w:sz w:val="24"/>
          <w:szCs w:val="24"/>
          <w:lang w:val="ro-MD"/>
        </w:rPr>
        <w:t>(Form</w:t>
      </w:r>
      <w:r>
        <w:rPr>
          <w:rFonts w:asciiTheme="majorHAnsi" w:eastAsia="Times New Roman" w:hAnsiTheme="majorHAnsi" w:cstheme="majorHAnsi"/>
          <w:sz w:val="24"/>
          <w:szCs w:val="24"/>
          <w:lang w:val="ro-MD"/>
        </w:rPr>
        <w:t>ularul</w:t>
      </w:r>
      <w:r w:rsidRPr="00401485">
        <w:rPr>
          <w:rFonts w:asciiTheme="majorHAnsi" w:eastAsia="Times New Roman" w:hAnsiTheme="majorHAnsi" w:cstheme="majorHAnsi"/>
          <w:sz w:val="24"/>
          <w:szCs w:val="24"/>
          <w:lang w:val="ro-MD"/>
        </w:rPr>
        <w:t xml:space="preserve"> FI-006),</w:t>
      </w:r>
      <w:r w:rsidRPr="00401485">
        <w:rPr>
          <w:rFonts w:asciiTheme="majorHAnsi" w:hAnsiTheme="majorHAnsi" w:cstheme="majorHAnsi"/>
          <w:sz w:val="24"/>
          <w:szCs w:val="24"/>
        </w:rPr>
        <w:t xml:space="preserve"> întocmite cumulativ pe tipuri de impozite și taxe de la începutul anului. Concomitent, procesele </w:t>
      </w:r>
      <w:r w:rsidRPr="00401485">
        <w:rPr>
          <w:rFonts w:asciiTheme="majorHAnsi" w:hAnsiTheme="majorHAnsi" w:cstheme="majorHAnsi"/>
          <w:sz w:val="24"/>
          <w:szCs w:val="24"/>
          <w:lang w:val="ro-MD"/>
        </w:rPr>
        <w:t xml:space="preserve">descrise de MF prevăd pentru Direcția Trezoreria de </w:t>
      </w:r>
      <w:r>
        <w:rPr>
          <w:rFonts w:asciiTheme="majorHAnsi" w:hAnsiTheme="majorHAnsi" w:cstheme="majorHAnsi"/>
          <w:sz w:val="24"/>
          <w:szCs w:val="24"/>
          <w:lang w:val="ro-MD"/>
        </w:rPr>
        <w:t>S</w:t>
      </w:r>
      <w:r w:rsidRPr="00401485">
        <w:rPr>
          <w:rFonts w:asciiTheme="majorHAnsi" w:hAnsiTheme="majorHAnsi" w:cstheme="majorHAnsi"/>
          <w:sz w:val="24"/>
          <w:szCs w:val="24"/>
          <w:lang w:val="ro-MD"/>
        </w:rPr>
        <w:t xml:space="preserve">tat întocmirea și verificarea rapoartelor privind executarea de casă a veniturilor încasate la BS cu administratorii de venit. </w:t>
      </w:r>
      <w:r w:rsidRPr="00401485">
        <w:rPr>
          <w:rFonts w:asciiTheme="majorHAnsi" w:hAnsiTheme="majorHAnsi" w:cstheme="majorHAnsi"/>
          <w:sz w:val="24"/>
          <w:szCs w:val="24"/>
        </w:rPr>
        <w:t xml:space="preserve">Astfel, în anul 2019 </w:t>
      </w:r>
      <w:r w:rsidRPr="00401485">
        <w:rPr>
          <w:rFonts w:asciiTheme="majorHAnsi" w:eastAsia="Times New Roman" w:hAnsiTheme="majorHAnsi" w:cstheme="majorHAnsi"/>
          <w:iCs/>
          <w:sz w:val="24"/>
          <w:szCs w:val="24"/>
        </w:rPr>
        <w:t>au fost încasate venituri în BS de 630,2 mil. lei</w:t>
      </w:r>
      <w:r w:rsidRPr="00401485">
        <w:rPr>
          <w:rFonts w:asciiTheme="majorHAnsi" w:hAnsiTheme="majorHAnsi" w:cstheme="majorHAnsi"/>
          <w:sz w:val="24"/>
          <w:szCs w:val="24"/>
        </w:rPr>
        <w:t xml:space="preserve"> prin sistemul trezorerial</w:t>
      </w:r>
      <w:r w:rsidRPr="00401485">
        <w:rPr>
          <w:rFonts w:asciiTheme="majorHAnsi" w:eastAsia="Times New Roman" w:hAnsiTheme="majorHAnsi" w:cstheme="majorHAnsi"/>
          <w:iCs/>
          <w:sz w:val="24"/>
          <w:szCs w:val="24"/>
        </w:rPr>
        <w:t>, la care administratorii de venituri sunt stabiliți în actele legislative ce reglementează domenii specifice și/sau activitatea unor autorități/instituții bugetare. Contrar acestor prevederi, precum și neținând cont de prevederile art.65 alin.(2) din Legea nr.181, prin Ordinul MF nr.205 din 21.12.2018, în calitate de administrator de venituri la 12 coduri economice</w:t>
      </w:r>
      <w:r>
        <w:rPr>
          <w:rFonts w:asciiTheme="majorHAnsi" w:eastAsia="Times New Roman" w:hAnsiTheme="majorHAnsi" w:cstheme="majorHAnsi"/>
          <w:iCs/>
          <w:sz w:val="24"/>
          <w:szCs w:val="24"/>
        </w:rPr>
        <w:t>,</w:t>
      </w:r>
      <w:r w:rsidRPr="00401485">
        <w:rPr>
          <w:rFonts w:asciiTheme="majorHAnsi" w:eastAsia="Times New Roman" w:hAnsiTheme="majorHAnsi" w:cstheme="majorHAnsi"/>
          <w:iCs/>
          <w:sz w:val="24"/>
          <w:szCs w:val="24"/>
        </w:rPr>
        <w:t xml:space="preserve"> a </w:t>
      </w:r>
      <w:r>
        <w:rPr>
          <w:rFonts w:asciiTheme="majorHAnsi" w:eastAsia="Times New Roman" w:hAnsiTheme="majorHAnsi" w:cstheme="majorHAnsi"/>
          <w:iCs/>
          <w:sz w:val="24"/>
          <w:szCs w:val="24"/>
        </w:rPr>
        <w:t xml:space="preserve">fost </w:t>
      </w:r>
      <w:r w:rsidRPr="00401485">
        <w:rPr>
          <w:rFonts w:asciiTheme="majorHAnsi" w:eastAsia="Times New Roman" w:hAnsiTheme="majorHAnsi" w:cstheme="majorHAnsi"/>
          <w:iCs/>
          <w:sz w:val="24"/>
          <w:szCs w:val="24"/>
        </w:rPr>
        <w:t xml:space="preserve">desemnat MF, iar la alte 12 coduri economice </w:t>
      </w:r>
      <w:r>
        <w:rPr>
          <w:rFonts w:asciiTheme="majorHAnsi" w:eastAsia="Times New Roman" w:hAnsiTheme="majorHAnsi" w:cstheme="majorHAnsi"/>
          <w:iCs/>
          <w:sz w:val="24"/>
          <w:szCs w:val="24"/>
        </w:rPr>
        <w:t>–</w:t>
      </w:r>
      <w:r w:rsidRPr="00401485">
        <w:rPr>
          <w:rFonts w:asciiTheme="majorHAnsi" w:eastAsia="Times New Roman" w:hAnsiTheme="majorHAnsi" w:cstheme="majorHAnsi"/>
          <w:iCs/>
          <w:sz w:val="24"/>
          <w:szCs w:val="24"/>
        </w:rPr>
        <w:t xml:space="preserve"> SFS.</w:t>
      </w:r>
      <w:r w:rsidRPr="00401485">
        <w:rPr>
          <w:rFonts w:asciiTheme="majorHAnsi" w:eastAsia="Times New Roman" w:hAnsiTheme="majorHAnsi" w:cstheme="majorHAnsi"/>
          <w:iCs/>
          <w:sz w:val="24"/>
          <w:szCs w:val="24"/>
          <w:lang w:val="ro-MD"/>
        </w:rPr>
        <w:t xml:space="preserve"> </w:t>
      </w:r>
      <w:r w:rsidRPr="00401485">
        <w:rPr>
          <w:rFonts w:asciiTheme="majorHAnsi" w:eastAsia="Times New Roman" w:hAnsiTheme="majorHAnsi" w:cstheme="majorHAnsi"/>
          <w:sz w:val="24"/>
          <w:szCs w:val="24"/>
        </w:rPr>
        <w:t>Potrivit MF</w:t>
      </w:r>
      <w:r>
        <w:rPr>
          <w:rFonts w:asciiTheme="majorHAnsi" w:eastAsia="Times New Roman" w:hAnsiTheme="majorHAnsi" w:cstheme="majorHAnsi"/>
          <w:sz w:val="24"/>
          <w:szCs w:val="24"/>
        </w:rPr>
        <w:t>,</w:t>
      </w:r>
      <w:r w:rsidRPr="00401485">
        <w:rPr>
          <w:rFonts w:asciiTheme="majorHAnsi" w:eastAsia="Times New Roman" w:hAnsiTheme="majorHAnsi" w:cstheme="majorHAnsi"/>
          <w:sz w:val="24"/>
          <w:szCs w:val="24"/>
        </w:rPr>
        <w:t xml:space="preserve"> odată cu dezvoltarea și extinderea automatizării procesului de evidență a veniturilor, se va revizui desemnarea administratorilor pentru veniturile menționate de audit.</w:t>
      </w:r>
    </w:p>
    <w:p w:rsidR="009F634F" w:rsidRPr="00374692" w:rsidRDefault="009F634F" w:rsidP="00374692">
      <w:pPr>
        <w:widowControl w:val="0"/>
        <w:tabs>
          <w:tab w:val="left" w:pos="426"/>
          <w:tab w:val="left" w:pos="567"/>
        </w:tabs>
        <w:spacing w:after="0" w:line="276" w:lineRule="auto"/>
        <w:ind w:right="-1"/>
        <w:contextualSpacing/>
        <w:jc w:val="both"/>
        <w:rPr>
          <w:rFonts w:asciiTheme="majorHAnsi" w:eastAsia="Times New Roman" w:hAnsiTheme="majorHAnsi" w:cstheme="majorHAnsi"/>
          <w:iCs/>
          <w:sz w:val="24"/>
          <w:szCs w:val="24"/>
          <w:lang w:val="ro-MD"/>
        </w:rPr>
      </w:pPr>
      <w:r>
        <w:rPr>
          <w:rFonts w:asciiTheme="majorHAnsi" w:eastAsia="Times New Roman" w:hAnsiTheme="majorHAnsi" w:cstheme="majorHAnsi"/>
          <w:iCs/>
          <w:sz w:val="24"/>
          <w:szCs w:val="24"/>
          <w:lang w:val="ro-MD"/>
        </w:rPr>
        <w:t>Contrar</w:t>
      </w:r>
      <w:r w:rsidRPr="00401485">
        <w:rPr>
          <w:rFonts w:asciiTheme="majorHAnsi" w:eastAsia="Times New Roman" w:hAnsiTheme="majorHAnsi" w:cstheme="majorHAnsi"/>
          <w:iCs/>
          <w:sz w:val="24"/>
          <w:szCs w:val="24"/>
          <w:lang w:val="ro-MD"/>
        </w:rPr>
        <w:t xml:space="preserve"> prevederilor ce definesc noțiunea de </w:t>
      </w:r>
      <w:r>
        <w:rPr>
          <w:rFonts w:asciiTheme="majorHAnsi" w:eastAsia="Times New Roman" w:hAnsiTheme="majorHAnsi" w:cstheme="majorHAnsi"/>
          <w:iCs/>
          <w:sz w:val="24"/>
          <w:szCs w:val="24"/>
          <w:lang w:val="ro-MD"/>
        </w:rPr>
        <w:t>„</w:t>
      </w:r>
      <w:r w:rsidRPr="00401485">
        <w:rPr>
          <w:rFonts w:asciiTheme="majorHAnsi" w:eastAsia="Times New Roman" w:hAnsiTheme="majorHAnsi" w:cstheme="majorHAnsi"/>
          <w:iCs/>
          <w:sz w:val="24"/>
          <w:szCs w:val="24"/>
          <w:lang w:val="ro-MD"/>
        </w:rPr>
        <w:t>administrator de venituri”</w:t>
      </w:r>
      <w:r w:rsidRPr="00401485">
        <w:rPr>
          <w:rFonts w:asciiTheme="majorHAnsi" w:eastAsia="Times New Roman" w:hAnsiTheme="majorHAnsi" w:cstheme="majorHAnsi"/>
          <w:iCs/>
          <w:sz w:val="24"/>
          <w:szCs w:val="24"/>
          <w:vertAlign w:val="superscript"/>
          <w:lang w:val="ro-MD"/>
        </w:rPr>
        <w:footnoteReference w:id="27"/>
      </w:r>
      <w:r w:rsidRPr="00401485">
        <w:rPr>
          <w:rFonts w:asciiTheme="majorHAnsi" w:eastAsia="Times New Roman" w:hAnsiTheme="majorHAnsi" w:cstheme="majorHAnsi"/>
          <w:iCs/>
          <w:sz w:val="24"/>
          <w:szCs w:val="24"/>
          <w:lang w:val="ro-MD"/>
        </w:rPr>
        <w:t xml:space="preserve">, </w:t>
      </w:r>
      <w:r w:rsidRPr="00401485">
        <w:rPr>
          <w:rFonts w:asciiTheme="majorHAnsi" w:eastAsia="Times New Roman" w:hAnsiTheme="majorHAnsi" w:cstheme="majorHAnsi"/>
          <w:iCs/>
          <w:sz w:val="24"/>
          <w:szCs w:val="24"/>
        </w:rPr>
        <w:t>MF și SFS  și-au asumat doar o parte din responsabilitățile unui administrator de venituri, și anume doar cele de încasare</w:t>
      </w:r>
      <w:r>
        <w:rPr>
          <w:rFonts w:asciiTheme="majorHAnsi" w:eastAsia="Times New Roman" w:hAnsiTheme="majorHAnsi" w:cstheme="majorHAnsi"/>
          <w:iCs/>
          <w:sz w:val="24"/>
          <w:szCs w:val="24"/>
        </w:rPr>
        <w:t xml:space="preserve"> </w:t>
      </w:r>
      <w:r w:rsidRPr="00401485">
        <w:rPr>
          <w:rFonts w:asciiTheme="majorHAnsi" w:eastAsia="Times New Roman" w:hAnsiTheme="majorHAnsi" w:cstheme="majorHAnsi"/>
          <w:iCs/>
          <w:sz w:val="24"/>
          <w:szCs w:val="24"/>
        </w:rPr>
        <w:t>a veniturilor, dar nu și de corectitudine</w:t>
      </w:r>
      <w:r>
        <w:rPr>
          <w:rFonts w:asciiTheme="majorHAnsi" w:eastAsia="Times New Roman" w:hAnsiTheme="majorHAnsi" w:cstheme="majorHAnsi"/>
          <w:iCs/>
          <w:sz w:val="24"/>
          <w:szCs w:val="24"/>
        </w:rPr>
        <w:t xml:space="preserve"> </w:t>
      </w:r>
      <w:r w:rsidRPr="00401485">
        <w:rPr>
          <w:rFonts w:asciiTheme="majorHAnsi" w:eastAsia="Times New Roman" w:hAnsiTheme="majorHAnsi" w:cstheme="majorHAnsi"/>
          <w:iCs/>
          <w:sz w:val="24"/>
          <w:szCs w:val="24"/>
        </w:rPr>
        <w:t>a calculării acestora.</w:t>
      </w:r>
      <w:r w:rsidRPr="00401485">
        <w:rPr>
          <w:rFonts w:asciiTheme="majorHAnsi" w:hAnsiTheme="majorHAnsi" w:cstheme="majorHAnsi"/>
          <w:sz w:val="24"/>
          <w:szCs w:val="24"/>
        </w:rPr>
        <w:t xml:space="preserve"> În baza probelor de audit acumulate</w:t>
      </w:r>
      <w:r>
        <w:rPr>
          <w:rFonts w:asciiTheme="majorHAnsi" w:hAnsiTheme="majorHAnsi" w:cstheme="majorHAnsi"/>
          <w:sz w:val="24"/>
          <w:szCs w:val="24"/>
        </w:rPr>
        <w:t>,</w:t>
      </w:r>
      <w:r w:rsidRPr="00401485">
        <w:rPr>
          <w:rFonts w:asciiTheme="majorHAnsi" w:hAnsiTheme="majorHAnsi" w:cstheme="majorHAnsi"/>
          <w:sz w:val="24"/>
          <w:szCs w:val="24"/>
        </w:rPr>
        <w:t xml:space="preserve"> pentru a susține evaluarea privind exactitatea informațiilor </w:t>
      </w:r>
      <w:r w:rsidRPr="00401485">
        <w:rPr>
          <w:rFonts w:asciiTheme="majorHAnsi" w:eastAsia="Times New Roman" w:hAnsiTheme="majorHAnsi" w:cstheme="majorHAnsi"/>
          <w:iCs/>
          <w:sz w:val="24"/>
          <w:szCs w:val="24"/>
          <w:lang w:val="ro-MD"/>
        </w:rPr>
        <w:t xml:space="preserve">cu privire la sumele calculate, executate și restante în aspectul tipurilor de venituri solicitate de la instituțiile responsabile de calculare, auditul a stabilit că instituțiile nu cunosc situația de facto privind veniturile executate. </w:t>
      </w:r>
      <w:r w:rsidRPr="00401485">
        <w:rPr>
          <w:rFonts w:asciiTheme="majorHAnsi" w:eastAsia="Times New Roman" w:hAnsiTheme="majorHAnsi" w:cstheme="majorHAnsi"/>
          <w:sz w:val="24"/>
          <w:szCs w:val="24"/>
          <w:lang w:val="ro-MD"/>
        </w:rPr>
        <w:t xml:space="preserve">Această situație </w:t>
      </w:r>
      <w:r>
        <w:rPr>
          <w:rFonts w:asciiTheme="majorHAnsi" w:eastAsia="Times New Roman" w:hAnsiTheme="majorHAnsi" w:cstheme="majorHAnsi"/>
          <w:sz w:val="24"/>
          <w:szCs w:val="24"/>
          <w:lang w:val="ro-MD"/>
        </w:rPr>
        <w:t>este cauzată de</w:t>
      </w:r>
      <w:r w:rsidRPr="00401485">
        <w:rPr>
          <w:rFonts w:asciiTheme="majorHAnsi" w:eastAsia="Times New Roman" w:hAnsiTheme="majorHAnsi" w:cstheme="majorHAnsi"/>
          <w:sz w:val="24"/>
          <w:szCs w:val="24"/>
          <w:lang w:val="ro-MD"/>
        </w:rPr>
        <w:t xml:space="preserve"> faptul că MF nu întocmește și nu prezintă acestora Registrele veniturilor. Or, </w:t>
      </w:r>
      <w:r w:rsidRPr="00401485">
        <w:rPr>
          <w:rFonts w:asciiTheme="majorHAnsi" w:eastAsia="Times New Roman" w:hAnsiTheme="majorHAnsi" w:cstheme="majorHAnsi"/>
          <w:iCs/>
          <w:sz w:val="24"/>
          <w:szCs w:val="24"/>
          <w:lang w:val="ro-MD"/>
        </w:rPr>
        <w:t>MF și SFS</w:t>
      </w:r>
      <w:r>
        <w:rPr>
          <w:rFonts w:asciiTheme="majorHAnsi" w:eastAsia="Times New Roman" w:hAnsiTheme="majorHAnsi" w:cstheme="majorHAnsi"/>
          <w:iCs/>
          <w:sz w:val="24"/>
          <w:szCs w:val="24"/>
          <w:lang w:val="ro-MD"/>
        </w:rPr>
        <w:t>,</w:t>
      </w:r>
      <w:r w:rsidRPr="00401485">
        <w:rPr>
          <w:rFonts w:asciiTheme="majorHAnsi" w:eastAsia="Times New Roman" w:hAnsiTheme="majorHAnsi" w:cstheme="majorHAnsi"/>
          <w:iCs/>
          <w:sz w:val="24"/>
          <w:szCs w:val="24"/>
          <w:lang w:val="ro-MD"/>
        </w:rPr>
        <w:t xml:space="preserve"> prin asumarea doar a unei părți din responsabilități</w:t>
      </w:r>
      <w:r>
        <w:rPr>
          <w:rFonts w:asciiTheme="majorHAnsi" w:eastAsia="Times New Roman" w:hAnsiTheme="majorHAnsi" w:cstheme="majorHAnsi"/>
          <w:iCs/>
          <w:sz w:val="24"/>
          <w:szCs w:val="24"/>
          <w:lang w:val="ro-MD"/>
        </w:rPr>
        <w:t>,</w:t>
      </w:r>
      <w:r w:rsidRPr="00401485">
        <w:rPr>
          <w:rFonts w:asciiTheme="majorHAnsi" w:eastAsia="Times New Roman" w:hAnsiTheme="majorHAnsi" w:cstheme="majorHAnsi"/>
          <w:iCs/>
          <w:sz w:val="24"/>
          <w:szCs w:val="24"/>
          <w:lang w:val="ro-MD"/>
        </w:rPr>
        <w:t xml:space="preserve"> </w:t>
      </w:r>
      <w:r w:rsidRPr="00401485">
        <w:rPr>
          <w:rFonts w:asciiTheme="majorHAnsi" w:eastAsia="Times New Roman" w:hAnsiTheme="majorHAnsi" w:cstheme="majorHAnsi"/>
          <w:iCs/>
          <w:sz w:val="24"/>
          <w:szCs w:val="24"/>
        </w:rPr>
        <w:t>creează impedimente în activitatea instituțiilor/</w:t>
      </w:r>
      <w:r w:rsidRPr="00AF7FF2">
        <w:rPr>
          <w:rFonts w:asciiTheme="majorHAnsi" w:eastAsia="Times New Roman" w:hAnsiTheme="majorHAnsi" w:cstheme="majorHAnsi"/>
          <w:iCs/>
          <w:sz w:val="24"/>
          <w:szCs w:val="24"/>
        </w:rPr>
        <w:t xml:space="preserve">autorităților publice, iar lipsa monitorizării corectitudinii încasării veniturilor urmare a prezentării informațiilor de către instituții a cauzat devieri de </w:t>
      </w:r>
      <w:r w:rsidRPr="00AF7FF2">
        <w:rPr>
          <w:rFonts w:asciiTheme="majorHAnsi" w:eastAsia="Times New Roman" w:hAnsiTheme="majorHAnsi" w:cstheme="majorHAnsi"/>
          <w:iCs/>
          <w:sz w:val="24"/>
          <w:szCs w:val="24"/>
          <w:lang w:val="ro-MD"/>
        </w:rPr>
        <w:t>82,6 mil. lei față de datele raportate de MF.</w:t>
      </w:r>
      <w:r w:rsidR="00374692">
        <w:rPr>
          <w:rFonts w:asciiTheme="majorHAnsi" w:eastAsia="Times New Roman" w:hAnsiTheme="majorHAnsi" w:cstheme="majorHAnsi"/>
          <w:sz w:val="24"/>
          <w:szCs w:val="24"/>
          <w:lang w:val="ro-MD"/>
        </w:rPr>
        <w:t xml:space="preserve"> </w:t>
      </w:r>
      <w:r w:rsidRPr="00401485">
        <w:rPr>
          <w:rFonts w:asciiTheme="majorHAnsi" w:hAnsiTheme="majorHAnsi" w:cstheme="majorHAnsi"/>
          <w:sz w:val="24"/>
          <w:szCs w:val="24"/>
        </w:rPr>
        <w:t>Se atestă că aceste circumstanțe limitează auditul în posibilitatea de a se expune asupra veridicității și plenitudinii informației incluse la partea de venituri din Raportul Guvernului privind executarea bugetului de stat pentru anul 2019, în lipsa Registrelor de venituri semnate de părți.</w:t>
      </w:r>
      <w:r w:rsidRPr="00401485">
        <w:rPr>
          <w:rFonts w:asciiTheme="majorHAnsi" w:eastAsia="Times New Roman" w:hAnsiTheme="majorHAnsi" w:cstheme="majorHAnsi"/>
          <w:i/>
          <w:sz w:val="24"/>
          <w:szCs w:val="24"/>
        </w:rPr>
        <w:t xml:space="preserve"> </w:t>
      </w:r>
      <w:r w:rsidRPr="00401485">
        <w:rPr>
          <w:rFonts w:asciiTheme="majorHAnsi" w:hAnsiTheme="majorHAnsi" w:cstheme="majorHAnsi"/>
          <w:sz w:val="24"/>
          <w:szCs w:val="24"/>
        </w:rPr>
        <w:t>Al treilea an consecutiv auditul specifică necesitatea confirmării veniturilor raportate de către MF, în</w:t>
      </w:r>
      <w:r>
        <w:rPr>
          <w:rFonts w:asciiTheme="majorHAnsi" w:hAnsiTheme="majorHAnsi" w:cstheme="majorHAnsi"/>
          <w:sz w:val="24"/>
          <w:szCs w:val="24"/>
        </w:rPr>
        <w:t xml:space="preserve"> scopul</w:t>
      </w:r>
      <w:r w:rsidRPr="00401485">
        <w:rPr>
          <w:rFonts w:asciiTheme="majorHAnsi" w:hAnsiTheme="majorHAnsi" w:cstheme="majorHAnsi"/>
          <w:sz w:val="24"/>
          <w:szCs w:val="24"/>
        </w:rPr>
        <w:t xml:space="preserve"> respect</w:t>
      </w:r>
      <w:r>
        <w:rPr>
          <w:rFonts w:asciiTheme="majorHAnsi" w:hAnsiTheme="majorHAnsi" w:cstheme="majorHAnsi"/>
          <w:sz w:val="24"/>
          <w:szCs w:val="24"/>
        </w:rPr>
        <w:t>ării</w:t>
      </w:r>
      <w:r w:rsidRPr="00401485">
        <w:rPr>
          <w:rFonts w:asciiTheme="majorHAnsi" w:hAnsiTheme="majorHAnsi" w:cstheme="majorHAnsi"/>
          <w:sz w:val="24"/>
          <w:szCs w:val="24"/>
        </w:rPr>
        <w:t xml:space="preserve"> propriilor norme</w:t>
      </w:r>
      <w:r w:rsidRPr="00401485">
        <w:rPr>
          <w:vertAlign w:val="superscript"/>
        </w:rPr>
        <w:footnoteReference w:id="28"/>
      </w:r>
      <w:r w:rsidRPr="00401485">
        <w:rPr>
          <w:rFonts w:asciiTheme="majorHAnsi" w:hAnsiTheme="majorHAnsi" w:cstheme="majorHAnsi"/>
          <w:sz w:val="24"/>
          <w:szCs w:val="24"/>
        </w:rPr>
        <w:t xml:space="preserve">. </w:t>
      </w:r>
      <w:r w:rsidRPr="00401485">
        <w:rPr>
          <w:rFonts w:asciiTheme="majorHAnsi" w:eastAsia="Times New Roman" w:hAnsiTheme="majorHAnsi" w:cstheme="majorHAnsi"/>
          <w:i/>
          <w:sz w:val="24"/>
          <w:szCs w:val="24"/>
        </w:rPr>
        <w:t xml:space="preserve">Sinteza veniturilor bugetului de stat executate și raportate de către MF și SFS pentru anul 2019 la care administratorii de venituri conform cadrului legal sunt stabiliți se prezintă în Anexa nr.7 la prezentul Raport de audit. </w:t>
      </w:r>
    </w:p>
    <w:p w:rsidR="009F634F" w:rsidRPr="00401485" w:rsidRDefault="009F634F" w:rsidP="009F634F">
      <w:pPr>
        <w:spacing w:after="0" w:line="276" w:lineRule="auto"/>
        <w:jc w:val="both"/>
        <w:rPr>
          <w:rFonts w:asciiTheme="majorHAnsi" w:eastAsia="Times New Roman" w:hAnsiTheme="majorHAnsi" w:cstheme="majorHAnsi"/>
          <w:b/>
          <w:i/>
          <w:sz w:val="24"/>
          <w:szCs w:val="24"/>
          <w:lang w:val="ro-MD"/>
        </w:rPr>
      </w:pPr>
      <w:r w:rsidRPr="00401485">
        <w:rPr>
          <w:rFonts w:asciiTheme="majorHAnsi" w:eastAsia="Times New Roman" w:hAnsiTheme="majorHAnsi" w:cstheme="majorHAnsi"/>
          <w:b/>
          <w:i/>
          <w:sz w:val="24"/>
          <w:szCs w:val="24"/>
          <w:lang w:val="ro-MD"/>
        </w:rPr>
        <w:t xml:space="preserve">4.2.1 Neexecutarea </w:t>
      </w:r>
      <w:r>
        <w:rPr>
          <w:rFonts w:asciiTheme="majorHAnsi" w:eastAsia="Times New Roman" w:hAnsiTheme="majorHAnsi" w:cstheme="majorHAnsi"/>
          <w:b/>
          <w:i/>
          <w:sz w:val="24"/>
          <w:szCs w:val="24"/>
          <w:lang w:val="ro-MD"/>
        </w:rPr>
        <w:t xml:space="preserve">integrală a </w:t>
      </w:r>
      <w:r w:rsidRPr="00401485">
        <w:rPr>
          <w:rFonts w:asciiTheme="majorHAnsi" w:eastAsia="Times New Roman" w:hAnsiTheme="majorHAnsi" w:cstheme="majorHAnsi"/>
          <w:b/>
          <w:i/>
          <w:sz w:val="24"/>
          <w:szCs w:val="24"/>
          <w:lang w:val="ro-MD"/>
        </w:rPr>
        <w:t xml:space="preserve">cheltuielilor </w:t>
      </w:r>
      <w:r w:rsidRPr="00401485">
        <w:rPr>
          <w:rFonts w:asciiTheme="majorHAnsi" w:eastAsia="Times New Roman" w:hAnsiTheme="majorHAnsi" w:cstheme="majorHAnsi"/>
          <w:b/>
          <w:i/>
          <w:sz w:val="24"/>
          <w:szCs w:val="24"/>
        </w:rPr>
        <w:t>din surse externe (împrumuturi și/sau granturi)</w:t>
      </w:r>
      <w:r w:rsidRPr="00401485">
        <w:rPr>
          <w:rFonts w:asciiTheme="majorHAnsi" w:eastAsia="Times New Roman" w:hAnsiTheme="majorHAnsi" w:cstheme="majorHAnsi"/>
          <w:b/>
          <w:i/>
          <w:sz w:val="24"/>
          <w:szCs w:val="24"/>
          <w:lang w:val="ro-MD"/>
        </w:rPr>
        <w:t xml:space="preserve"> condiționează formarea</w:t>
      </w:r>
      <w:r w:rsidRPr="00401485">
        <w:rPr>
          <w:rFonts w:asciiTheme="majorHAnsi" w:eastAsia="Times New Roman" w:hAnsiTheme="majorHAnsi" w:cstheme="majorHAnsi"/>
          <w:b/>
          <w:i/>
          <w:sz w:val="24"/>
          <w:szCs w:val="24"/>
        </w:rPr>
        <w:t xml:space="preserve"> soldurilor de mijloace bănești provenite din proiecte finanțate din surse externe (1 150,5 mil. lei)</w:t>
      </w:r>
    </w:p>
    <w:p w:rsidR="009F634F" w:rsidRPr="00401485" w:rsidRDefault="009F634F" w:rsidP="009F634F">
      <w:pPr>
        <w:spacing w:after="0" w:line="276" w:lineRule="auto"/>
        <w:jc w:val="both"/>
        <w:rPr>
          <w:rFonts w:asciiTheme="majorHAnsi" w:eastAsia="Times New Roman" w:hAnsiTheme="majorHAnsi" w:cstheme="majorHAnsi"/>
          <w:sz w:val="24"/>
          <w:szCs w:val="24"/>
          <w:lang w:val="ro-MD"/>
        </w:rPr>
      </w:pPr>
      <w:r w:rsidRPr="00401485">
        <w:rPr>
          <w:rFonts w:asciiTheme="majorHAnsi" w:hAnsiTheme="majorHAnsi" w:cstheme="majorHAnsi"/>
          <w:sz w:val="24"/>
          <w:szCs w:val="24"/>
          <w:lang w:val="ro-MD"/>
        </w:rPr>
        <w:t>Inițial</w:t>
      </w:r>
      <w:r>
        <w:rPr>
          <w:rFonts w:asciiTheme="majorHAnsi" w:hAnsiTheme="majorHAnsi" w:cstheme="majorHAnsi"/>
          <w:sz w:val="24"/>
          <w:szCs w:val="24"/>
          <w:lang w:val="ro-MD"/>
        </w:rPr>
        <w:t>,</w:t>
      </w:r>
      <w:r w:rsidRPr="00401485">
        <w:rPr>
          <w:rFonts w:asciiTheme="majorHAnsi" w:hAnsiTheme="majorHAnsi" w:cstheme="majorHAnsi"/>
          <w:sz w:val="24"/>
          <w:szCs w:val="24"/>
          <w:lang w:val="ro-MD"/>
        </w:rPr>
        <w:t xml:space="preserve"> veniturile aprobate din granturi au însumat 1 960,3 mil. lei, la rectificarea bugetului de stat </w:t>
      </w:r>
      <w:r>
        <w:rPr>
          <w:rFonts w:asciiTheme="majorHAnsi" w:hAnsiTheme="majorHAnsi" w:cstheme="majorHAnsi"/>
          <w:sz w:val="24"/>
          <w:szCs w:val="24"/>
          <w:lang w:val="ro-MD"/>
        </w:rPr>
        <w:t>fiind</w:t>
      </w:r>
      <w:r w:rsidRPr="00401485">
        <w:rPr>
          <w:rFonts w:asciiTheme="majorHAnsi" w:hAnsiTheme="majorHAnsi" w:cstheme="majorHAnsi"/>
          <w:sz w:val="24"/>
          <w:szCs w:val="24"/>
          <w:lang w:val="ro-MD"/>
        </w:rPr>
        <w:t xml:space="preserve"> diminuate până la 1 786,2 mil lei</w:t>
      </w:r>
      <w:r>
        <w:rPr>
          <w:rFonts w:asciiTheme="majorHAnsi" w:hAnsiTheme="majorHAnsi" w:cstheme="majorHAnsi"/>
          <w:sz w:val="24"/>
          <w:szCs w:val="24"/>
          <w:lang w:val="ro-MD"/>
        </w:rPr>
        <w:t>,</w:t>
      </w:r>
      <w:r w:rsidRPr="00401485">
        <w:rPr>
          <w:rFonts w:asciiTheme="majorHAnsi" w:hAnsiTheme="majorHAnsi" w:cstheme="majorHAnsi"/>
          <w:sz w:val="24"/>
          <w:szCs w:val="24"/>
          <w:lang w:val="ro-MD"/>
        </w:rPr>
        <w:t xml:space="preserve"> iar ulterior au fost majorate de către MF cu 7,6 mil. lei. </w:t>
      </w:r>
      <w:r w:rsidRPr="00401485">
        <w:rPr>
          <w:rFonts w:asciiTheme="majorHAnsi" w:eastAsia="Times New Roman" w:hAnsiTheme="majorHAnsi" w:cstheme="majorHAnsi"/>
          <w:sz w:val="24"/>
          <w:szCs w:val="24"/>
          <w:lang w:val="ro-MD"/>
        </w:rPr>
        <w:t>Granturile primite de la organizațiile internaționale constituie 1 514,8 mil. lei</w:t>
      </w:r>
      <w:r>
        <w:rPr>
          <w:rFonts w:asciiTheme="majorHAnsi" w:eastAsia="Times New Roman" w:hAnsiTheme="majorHAnsi" w:cstheme="majorHAnsi"/>
          <w:sz w:val="24"/>
          <w:szCs w:val="24"/>
          <w:lang w:val="ro-MD"/>
        </w:rPr>
        <w:t>,</w:t>
      </w:r>
      <w:r w:rsidRPr="00401485">
        <w:rPr>
          <w:rFonts w:asciiTheme="majorHAnsi" w:hAnsiTheme="majorHAnsi" w:cstheme="majorHAnsi"/>
          <w:sz w:val="24"/>
          <w:szCs w:val="24"/>
          <w:lang w:val="ro-MD"/>
        </w:rPr>
        <w:t xml:space="preserve"> iar g</w:t>
      </w:r>
      <w:r w:rsidRPr="00401485">
        <w:rPr>
          <w:rFonts w:asciiTheme="majorHAnsi" w:eastAsia="Times New Roman" w:hAnsiTheme="majorHAnsi" w:cstheme="majorHAnsi"/>
          <w:sz w:val="24"/>
          <w:szCs w:val="24"/>
          <w:lang w:val="ro-MD"/>
        </w:rPr>
        <w:t xml:space="preserve">ranturile primite de la guvernele altor state </w:t>
      </w:r>
      <w:r>
        <w:rPr>
          <w:rFonts w:asciiTheme="majorHAnsi" w:eastAsia="Times New Roman" w:hAnsiTheme="majorHAnsi" w:cstheme="majorHAnsi"/>
          <w:sz w:val="24"/>
          <w:szCs w:val="24"/>
          <w:lang w:val="ro-MD"/>
        </w:rPr>
        <w:t>–</w:t>
      </w:r>
      <w:r w:rsidRPr="00401485">
        <w:rPr>
          <w:rFonts w:asciiTheme="majorHAnsi" w:eastAsia="Times New Roman" w:hAnsiTheme="majorHAnsi" w:cstheme="majorHAnsi"/>
          <w:sz w:val="24"/>
          <w:szCs w:val="24"/>
          <w:lang w:val="ro-MD"/>
        </w:rPr>
        <w:t xml:space="preserve"> 25,7 mil. lei. Comparativ cu anul 2018 (335,4 mil. lei), debursările din granturile externe s-au majorat cu 1 205,1 mil. lei, deoarece au fost debursate granturile din partea Comisiei Europene pentru susținerea bugetului, suspendate pentru debursare în anul 2018. </w:t>
      </w:r>
      <w:r w:rsidRPr="00401485">
        <w:rPr>
          <w:rFonts w:asciiTheme="majorHAnsi" w:eastAsia="Times New Roman" w:hAnsiTheme="majorHAnsi" w:cstheme="majorHAnsi"/>
          <w:i/>
          <w:sz w:val="24"/>
          <w:szCs w:val="24"/>
          <w:lang w:val="ro-MD"/>
        </w:rPr>
        <w:t>Informația privind executarea încasărilor din granturi pe anul 2019 se prezintă în Anexa nr.8 la prezentul Raport de audit.</w:t>
      </w:r>
    </w:p>
    <w:p w:rsidR="009F634F" w:rsidRPr="00401485" w:rsidRDefault="009F634F" w:rsidP="009F634F">
      <w:pPr>
        <w:spacing w:after="0" w:line="276" w:lineRule="auto"/>
        <w:jc w:val="both"/>
        <w:rPr>
          <w:rFonts w:asciiTheme="majorHAnsi" w:eastAsia="Times New Roman" w:hAnsiTheme="majorHAnsi" w:cstheme="majorHAnsi"/>
          <w:sz w:val="24"/>
          <w:szCs w:val="24"/>
          <w:lang w:val="ro-MD"/>
        </w:rPr>
      </w:pPr>
      <w:r w:rsidRPr="00401485">
        <w:rPr>
          <w:rFonts w:asciiTheme="majorHAnsi" w:eastAsia="Times New Roman" w:hAnsiTheme="majorHAnsi" w:cstheme="majorHAnsi"/>
          <w:sz w:val="24"/>
          <w:szCs w:val="24"/>
          <w:lang w:val="ro-MD"/>
        </w:rPr>
        <w:t xml:space="preserve">În anul 2019 au fost executate granturi de către 16 instituții/autorități publice (305,8 mil. lei) pentru realizarea a 41 de proiecte finanțate din surse externe. Se menționează că doar la 3 proiecte au fost executate </w:t>
      </w:r>
      <w:r>
        <w:rPr>
          <w:rFonts w:asciiTheme="majorHAnsi" w:eastAsia="Times New Roman" w:hAnsiTheme="majorHAnsi" w:cstheme="majorHAnsi"/>
          <w:sz w:val="24"/>
          <w:szCs w:val="24"/>
          <w:lang w:val="ro-MD"/>
        </w:rPr>
        <w:t xml:space="preserve">integral </w:t>
      </w:r>
      <w:r w:rsidRPr="00401485">
        <w:rPr>
          <w:rFonts w:asciiTheme="majorHAnsi" w:eastAsia="Times New Roman" w:hAnsiTheme="majorHAnsi" w:cstheme="majorHAnsi"/>
          <w:sz w:val="24"/>
          <w:szCs w:val="24"/>
          <w:lang w:val="ro-MD"/>
        </w:rPr>
        <w:t>cheltuieli</w:t>
      </w:r>
      <w:r>
        <w:rPr>
          <w:rFonts w:asciiTheme="majorHAnsi" w:eastAsia="Times New Roman" w:hAnsiTheme="majorHAnsi" w:cstheme="majorHAnsi"/>
          <w:sz w:val="24"/>
          <w:szCs w:val="24"/>
          <w:lang w:val="ro-MD"/>
        </w:rPr>
        <w:t>le</w:t>
      </w:r>
      <w:r w:rsidRPr="00401485">
        <w:rPr>
          <w:rFonts w:asciiTheme="majorHAnsi" w:eastAsia="Times New Roman" w:hAnsiTheme="majorHAnsi" w:cstheme="majorHAnsi"/>
          <w:sz w:val="24"/>
          <w:szCs w:val="24"/>
          <w:lang w:val="ro-MD"/>
        </w:rPr>
        <w:t xml:space="preserve"> din granturi. </w:t>
      </w:r>
      <w:r>
        <w:rPr>
          <w:rFonts w:asciiTheme="majorHAnsi" w:eastAsia="Times New Roman" w:hAnsiTheme="majorHAnsi" w:cstheme="majorHAnsi"/>
          <w:sz w:val="24"/>
          <w:szCs w:val="24"/>
          <w:lang w:val="ro-MD"/>
        </w:rPr>
        <w:t>Ca u</w:t>
      </w:r>
      <w:r w:rsidRPr="00401485">
        <w:rPr>
          <w:rFonts w:asciiTheme="majorHAnsi" w:eastAsia="Times New Roman" w:hAnsiTheme="majorHAnsi" w:cstheme="majorHAnsi"/>
          <w:sz w:val="24"/>
          <w:szCs w:val="24"/>
          <w:lang w:val="ro-MD"/>
        </w:rPr>
        <w:t>rmare</w:t>
      </w:r>
      <w:r>
        <w:rPr>
          <w:rFonts w:asciiTheme="majorHAnsi" w:eastAsia="Times New Roman" w:hAnsiTheme="majorHAnsi" w:cstheme="majorHAnsi"/>
          <w:sz w:val="24"/>
          <w:szCs w:val="24"/>
          <w:lang w:val="ro-MD"/>
        </w:rPr>
        <w:t xml:space="preserve"> a</w:t>
      </w:r>
      <w:r w:rsidRPr="00401485">
        <w:rPr>
          <w:rFonts w:asciiTheme="majorHAnsi" w:eastAsia="Times New Roman" w:hAnsiTheme="majorHAnsi" w:cstheme="majorHAnsi"/>
          <w:sz w:val="24"/>
          <w:szCs w:val="24"/>
          <w:lang w:val="ro-MD"/>
        </w:rPr>
        <w:t xml:space="preserve"> verificărilor auditului</w:t>
      </w:r>
      <w:r>
        <w:rPr>
          <w:rFonts w:asciiTheme="majorHAnsi" w:eastAsia="Times New Roman" w:hAnsiTheme="majorHAnsi" w:cstheme="majorHAnsi"/>
          <w:sz w:val="24"/>
          <w:szCs w:val="24"/>
          <w:lang w:val="ro-MD"/>
        </w:rPr>
        <w:t>,</w:t>
      </w:r>
      <w:r w:rsidRPr="00401485">
        <w:rPr>
          <w:rFonts w:asciiTheme="majorHAnsi" w:eastAsia="Times New Roman" w:hAnsiTheme="majorHAnsi" w:cstheme="majorHAnsi"/>
          <w:sz w:val="24"/>
          <w:szCs w:val="24"/>
          <w:lang w:val="ro-MD"/>
        </w:rPr>
        <w:t xml:space="preserve"> s-a constatat că: (i) 5 instituții (MF, MA, MSMPS, ANSA, Serviciul de Protecție și </w:t>
      </w:r>
      <w:r>
        <w:rPr>
          <w:rFonts w:asciiTheme="majorHAnsi" w:eastAsia="Times New Roman" w:hAnsiTheme="majorHAnsi" w:cstheme="majorHAnsi"/>
          <w:sz w:val="24"/>
          <w:szCs w:val="24"/>
          <w:lang w:val="ro-MD"/>
        </w:rPr>
        <w:t>P</w:t>
      </w:r>
      <w:r w:rsidRPr="00401485">
        <w:rPr>
          <w:rFonts w:asciiTheme="majorHAnsi" w:eastAsia="Times New Roman" w:hAnsiTheme="majorHAnsi" w:cstheme="majorHAnsi"/>
          <w:sz w:val="24"/>
          <w:szCs w:val="24"/>
          <w:lang w:val="ro-MD"/>
        </w:rPr>
        <w:t xml:space="preserve">ază de </w:t>
      </w:r>
      <w:r>
        <w:rPr>
          <w:rFonts w:asciiTheme="majorHAnsi" w:eastAsia="Times New Roman" w:hAnsiTheme="majorHAnsi" w:cstheme="majorHAnsi"/>
          <w:sz w:val="24"/>
          <w:szCs w:val="24"/>
          <w:lang w:val="ro-MD"/>
        </w:rPr>
        <w:t>S</w:t>
      </w:r>
      <w:r w:rsidRPr="00401485">
        <w:rPr>
          <w:rFonts w:asciiTheme="majorHAnsi" w:eastAsia="Times New Roman" w:hAnsiTheme="majorHAnsi" w:cstheme="majorHAnsi"/>
          <w:sz w:val="24"/>
          <w:szCs w:val="24"/>
          <w:lang w:val="ro-MD"/>
        </w:rPr>
        <w:t>tat) au primit granturi în sumă de 15,3 mil. lei</w:t>
      </w:r>
      <w:r>
        <w:rPr>
          <w:rFonts w:asciiTheme="majorHAnsi" w:eastAsia="Times New Roman" w:hAnsiTheme="majorHAnsi" w:cstheme="majorHAnsi"/>
          <w:sz w:val="24"/>
          <w:szCs w:val="24"/>
          <w:lang w:val="ro-MD"/>
        </w:rPr>
        <w:t>,</w:t>
      </w:r>
      <w:r w:rsidRPr="00401485">
        <w:rPr>
          <w:rFonts w:asciiTheme="majorHAnsi" w:eastAsia="Times New Roman" w:hAnsiTheme="majorHAnsi" w:cstheme="majorHAnsi"/>
          <w:sz w:val="24"/>
          <w:szCs w:val="24"/>
          <w:lang w:val="ro-MD"/>
        </w:rPr>
        <w:t xml:space="preserve"> dar MF a precizat mijloace pentru realizarea a 5 proiecte de doar 6,2 mil. lei</w:t>
      </w:r>
      <w:r>
        <w:rPr>
          <w:rFonts w:asciiTheme="majorHAnsi" w:eastAsia="Times New Roman" w:hAnsiTheme="majorHAnsi" w:cstheme="majorHAnsi"/>
          <w:sz w:val="24"/>
          <w:szCs w:val="24"/>
          <w:lang w:val="ro-MD"/>
        </w:rPr>
        <w:t>,</w:t>
      </w:r>
      <w:r w:rsidRPr="00401485">
        <w:rPr>
          <w:rFonts w:asciiTheme="majorHAnsi" w:eastAsia="Times New Roman" w:hAnsiTheme="majorHAnsi" w:cstheme="majorHAnsi"/>
          <w:sz w:val="24"/>
          <w:szCs w:val="24"/>
          <w:lang w:val="ro-MD"/>
        </w:rPr>
        <w:t xml:space="preserve"> sau cu 9,1 mil. lei mai puțin; (ii)</w:t>
      </w:r>
      <w:r w:rsidRPr="00401485">
        <w:rPr>
          <w:rFonts w:asciiTheme="majorHAnsi" w:eastAsia="Times New Roman" w:hAnsiTheme="majorHAnsi" w:cstheme="majorHAnsi"/>
          <w:i/>
          <w:sz w:val="24"/>
          <w:szCs w:val="24"/>
          <w:lang w:val="ro-MD"/>
        </w:rPr>
        <w:t xml:space="preserve"> </w:t>
      </w:r>
      <w:r w:rsidRPr="00401485">
        <w:rPr>
          <w:rFonts w:asciiTheme="majorHAnsi" w:eastAsia="Times New Roman" w:hAnsiTheme="majorHAnsi" w:cstheme="majorHAnsi"/>
          <w:sz w:val="24"/>
          <w:szCs w:val="24"/>
          <w:lang w:val="ro-MD"/>
        </w:rPr>
        <w:t>4 instituții (MF, MAI, MECC, MSMPS) au primit granturi în sumă de 16,1 mil. lei pentru realizarea a 5 proiecte, din care nu au fost executate cheltuieli; (iii) 2 instituții (MECC, CEC) au debursat mijloace din granturi în sumă de 2,2 mil.lei</w:t>
      </w:r>
      <w:r>
        <w:rPr>
          <w:rFonts w:asciiTheme="majorHAnsi" w:eastAsia="Times New Roman" w:hAnsiTheme="majorHAnsi" w:cstheme="majorHAnsi"/>
          <w:sz w:val="24"/>
          <w:szCs w:val="24"/>
          <w:lang w:val="ro-MD"/>
        </w:rPr>
        <w:t>,</w:t>
      </w:r>
      <w:r w:rsidRPr="00401485">
        <w:rPr>
          <w:rFonts w:asciiTheme="majorHAnsi" w:eastAsia="Times New Roman" w:hAnsiTheme="majorHAnsi" w:cstheme="majorHAnsi"/>
          <w:sz w:val="24"/>
          <w:szCs w:val="24"/>
          <w:lang w:val="ro-MD"/>
        </w:rPr>
        <w:t xml:space="preserve"> dar care nu au fost aprobate, precizate și</w:t>
      </w:r>
      <w:r>
        <w:rPr>
          <w:rFonts w:asciiTheme="majorHAnsi" w:eastAsia="Times New Roman" w:hAnsiTheme="majorHAnsi" w:cstheme="majorHAnsi"/>
          <w:sz w:val="24"/>
          <w:szCs w:val="24"/>
          <w:lang w:val="ro-MD"/>
        </w:rPr>
        <w:t>,</w:t>
      </w:r>
      <w:r w:rsidRPr="00401485">
        <w:rPr>
          <w:rFonts w:asciiTheme="majorHAnsi" w:eastAsia="Times New Roman" w:hAnsiTheme="majorHAnsi" w:cstheme="majorHAnsi"/>
          <w:sz w:val="24"/>
          <w:szCs w:val="24"/>
          <w:lang w:val="ro-MD"/>
        </w:rPr>
        <w:t xml:space="preserve"> respectiv</w:t>
      </w:r>
      <w:r>
        <w:rPr>
          <w:rFonts w:asciiTheme="majorHAnsi" w:eastAsia="Times New Roman" w:hAnsiTheme="majorHAnsi" w:cstheme="majorHAnsi"/>
          <w:sz w:val="24"/>
          <w:szCs w:val="24"/>
          <w:lang w:val="ro-MD"/>
        </w:rPr>
        <w:t>,</w:t>
      </w:r>
      <w:r w:rsidRPr="00401485">
        <w:rPr>
          <w:rFonts w:asciiTheme="majorHAnsi" w:eastAsia="Times New Roman" w:hAnsiTheme="majorHAnsi" w:cstheme="majorHAnsi"/>
          <w:sz w:val="24"/>
          <w:szCs w:val="24"/>
          <w:lang w:val="ro-MD"/>
        </w:rPr>
        <w:t xml:space="preserve"> valorificate.</w:t>
      </w:r>
      <w:r w:rsidRPr="00401485">
        <w:rPr>
          <w:rFonts w:asciiTheme="majorHAnsi" w:eastAsia="Times New Roman" w:hAnsiTheme="majorHAnsi" w:cstheme="majorHAnsi"/>
          <w:b/>
          <w:sz w:val="24"/>
          <w:szCs w:val="24"/>
        </w:rPr>
        <w:t xml:space="preserve"> </w:t>
      </w:r>
      <w:r w:rsidRPr="00401485">
        <w:rPr>
          <w:rFonts w:asciiTheme="majorHAnsi" w:eastAsia="Times New Roman" w:hAnsiTheme="majorHAnsi" w:cstheme="majorHAnsi"/>
          <w:i/>
          <w:sz w:val="24"/>
          <w:szCs w:val="24"/>
        </w:rPr>
        <w:t>Informația privind executarea mijloacelor din surse externe de către instituțiile care au executat/primit granturi în anul 2019 se prezintă în Anexa nr.9 la prezentul Raport de audit.</w:t>
      </w:r>
    </w:p>
    <w:p w:rsidR="009F634F" w:rsidRPr="00401485" w:rsidRDefault="009F634F" w:rsidP="009F634F">
      <w:pPr>
        <w:spacing w:after="0" w:line="276" w:lineRule="auto"/>
        <w:jc w:val="both"/>
        <w:rPr>
          <w:rFonts w:asciiTheme="majorHAnsi" w:eastAsia="Times New Roman" w:hAnsiTheme="majorHAnsi" w:cstheme="majorHAnsi"/>
          <w:i/>
          <w:sz w:val="24"/>
          <w:szCs w:val="24"/>
        </w:rPr>
      </w:pPr>
      <w:r w:rsidRPr="00401485">
        <w:rPr>
          <w:rFonts w:asciiTheme="majorHAnsi" w:eastAsia="Times New Roman" w:hAnsiTheme="majorHAnsi" w:cstheme="majorHAnsi"/>
          <w:sz w:val="24"/>
          <w:szCs w:val="24"/>
        </w:rPr>
        <w:t xml:space="preserve">Soldurile de mijloace bănești provenite din proiecte finanțate din surse externe (împrumuturi și/sau granturi) </w:t>
      </w:r>
      <w:r w:rsidRPr="00401485">
        <w:rPr>
          <w:rFonts w:asciiTheme="majorHAnsi" w:eastAsia="Times New Roman" w:hAnsiTheme="majorHAnsi" w:cstheme="majorHAnsi"/>
          <w:b/>
          <w:i/>
          <w:sz w:val="24"/>
          <w:szCs w:val="24"/>
        </w:rPr>
        <w:t>neutilizate până la finele anului 2019 constituie 1 150,5 mil. lei,</w:t>
      </w:r>
      <w:r w:rsidRPr="00401485">
        <w:rPr>
          <w:rFonts w:asciiTheme="majorHAnsi" w:eastAsia="Times New Roman" w:hAnsiTheme="majorHAnsi" w:cstheme="majorHAnsi"/>
          <w:sz w:val="24"/>
          <w:szCs w:val="24"/>
        </w:rPr>
        <w:t xml:space="preserve"> care sunt accesibile pentru utilizare în aceleași scopuri în anul bugetar următor, sau cu 8,0 mil. lei mai mult față de soldul mijloacelor la sfârșitul anului 2018. </w:t>
      </w:r>
      <w:r>
        <w:rPr>
          <w:rFonts w:asciiTheme="majorHAnsi" w:eastAsia="Times New Roman" w:hAnsiTheme="majorHAnsi" w:cstheme="majorHAnsi"/>
          <w:sz w:val="24"/>
          <w:szCs w:val="24"/>
        </w:rPr>
        <w:t>V</w:t>
      </w:r>
      <w:r w:rsidRPr="00401485">
        <w:rPr>
          <w:rFonts w:asciiTheme="majorHAnsi" w:eastAsia="Times New Roman" w:hAnsiTheme="majorHAnsi" w:cstheme="majorHAnsi"/>
          <w:sz w:val="24"/>
          <w:szCs w:val="24"/>
        </w:rPr>
        <w:t>erificăril</w:t>
      </w:r>
      <w:r>
        <w:rPr>
          <w:rFonts w:asciiTheme="majorHAnsi" w:eastAsia="Times New Roman" w:hAnsiTheme="majorHAnsi" w:cstheme="majorHAnsi"/>
          <w:sz w:val="24"/>
          <w:szCs w:val="24"/>
        </w:rPr>
        <w:t>e</w:t>
      </w:r>
      <w:r w:rsidRPr="00401485">
        <w:rPr>
          <w:rFonts w:asciiTheme="majorHAnsi" w:eastAsia="Times New Roman" w:hAnsiTheme="majorHAnsi" w:cstheme="majorHAnsi"/>
          <w:sz w:val="24"/>
          <w:szCs w:val="24"/>
        </w:rPr>
        <w:t xml:space="preserve"> auditului </w:t>
      </w:r>
      <w:r>
        <w:rPr>
          <w:rFonts w:asciiTheme="majorHAnsi" w:eastAsia="Times New Roman" w:hAnsiTheme="majorHAnsi" w:cstheme="majorHAnsi"/>
          <w:sz w:val="24"/>
          <w:szCs w:val="24"/>
        </w:rPr>
        <w:t>au stabilit</w:t>
      </w:r>
      <w:r w:rsidRPr="00401485">
        <w:rPr>
          <w:rFonts w:asciiTheme="majorHAnsi" w:eastAsia="Times New Roman" w:hAnsiTheme="majorHAnsi" w:cstheme="majorHAnsi"/>
          <w:sz w:val="24"/>
          <w:szCs w:val="24"/>
        </w:rPr>
        <w:t xml:space="preserve"> că la 11 instituții s-au majorat soldurile mijloacelor bănești</w:t>
      </w:r>
      <w:r>
        <w:rPr>
          <w:rFonts w:asciiTheme="majorHAnsi" w:eastAsia="Times New Roman" w:hAnsiTheme="majorHAnsi" w:cstheme="majorHAnsi"/>
          <w:sz w:val="24"/>
          <w:szCs w:val="24"/>
        </w:rPr>
        <w:t>,</w:t>
      </w:r>
      <w:r w:rsidRPr="00401485">
        <w:rPr>
          <w:rFonts w:asciiTheme="majorHAnsi" w:eastAsia="Times New Roman" w:hAnsiTheme="majorHAnsi" w:cstheme="majorHAnsi"/>
          <w:sz w:val="24"/>
          <w:szCs w:val="24"/>
        </w:rPr>
        <w:t xml:space="preserve"> în comparație cu anul 2018</w:t>
      </w:r>
      <w:r>
        <w:rPr>
          <w:rFonts w:asciiTheme="majorHAnsi" w:eastAsia="Times New Roman" w:hAnsiTheme="majorHAnsi" w:cstheme="majorHAnsi"/>
          <w:sz w:val="24"/>
          <w:szCs w:val="24"/>
        </w:rPr>
        <w:t>,</w:t>
      </w:r>
      <w:r w:rsidRPr="00401485">
        <w:rPr>
          <w:rFonts w:asciiTheme="majorHAnsi" w:eastAsia="Times New Roman" w:hAnsiTheme="majorHAnsi" w:cstheme="majorHAnsi"/>
          <w:sz w:val="24"/>
          <w:szCs w:val="24"/>
        </w:rPr>
        <w:t xml:space="preserve"> cu 58,9 mil. lei, iar la 8 instituții s-au micșorat cu 50,8 mil. lei.</w:t>
      </w:r>
      <w:r w:rsidRPr="00401485">
        <w:rPr>
          <w:rFonts w:asciiTheme="majorHAnsi" w:eastAsia="Times New Roman" w:hAnsiTheme="majorHAnsi" w:cstheme="majorHAnsi"/>
          <w:b/>
          <w:sz w:val="24"/>
          <w:szCs w:val="24"/>
        </w:rPr>
        <w:t xml:space="preserve"> </w:t>
      </w:r>
      <w:r w:rsidRPr="00401485">
        <w:rPr>
          <w:rFonts w:asciiTheme="majorHAnsi" w:eastAsia="Times New Roman" w:hAnsiTheme="majorHAnsi" w:cstheme="majorHAnsi"/>
          <w:sz w:val="24"/>
          <w:szCs w:val="24"/>
        </w:rPr>
        <w:t>Cele mai semnificative solduri de mijloace bănești la sfârșitul anului 2019 (și la sfârșitul anului 2018) se înregistrează la MEI (713,96 mil. lei) și la MADRM (158,8 mil. lei).</w:t>
      </w:r>
      <w:r w:rsidRPr="00401485">
        <w:rPr>
          <w:rFonts w:asciiTheme="majorHAnsi" w:eastAsia="Times New Roman" w:hAnsiTheme="majorHAnsi" w:cstheme="majorHAnsi"/>
          <w:b/>
          <w:sz w:val="24"/>
          <w:szCs w:val="24"/>
        </w:rPr>
        <w:t xml:space="preserve"> </w:t>
      </w:r>
      <w:r w:rsidRPr="00401485">
        <w:rPr>
          <w:rFonts w:asciiTheme="majorHAnsi" w:eastAsia="Times New Roman" w:hAnsiTheme="majorHAnsi" w:cstheme="majorHAnsi"/>
          <w:i/>
          <w:sz w:val="24"/>
          <w:szCs w:val="24"/>
        </w:rPr>
        <w:t>Informația privind soldul de mijloace bănești la sfârșitul anului 2019 și la sfârșitul anului 2018 provenite din proiecte finanțate din surse externe (împrumuturi și/sau granturi), accesibile pentru utilizare în aceleași scopuri în anul bugetar următor se prezintă în Anexa nr.10 la prezentul Raport de audit.</w:t>
      </w:r>
    </w:p>
    <w:p w:rsidR="009F634F" w:rsidRPr="00401485" w:rsidRDefault="009F634F" w:rsidP="009F634F">
      <w:pPr>
        <w:spacing w:after="0" w:line="276" w:lineRule="auto"/>
        <w:jc w:val="both"/>
        <w:rPr>
          <w:rFonts w:asciiTheme="majorHAnsi" w:eastAsia="Times New Roman" w:hAnsiTheme="majorHAnsi" w:cstheme="majorHAnsi"/>
          <w:b/>
          <w:sz w:val="24"/>
          <w:szCs w:val="24"/>
          <w:lang w:val="ro-MD"/>
        </w:rPr>
      </w:pPr>
      <w:r>
        <w:rPr>
          <w:rFonts w:asciiTheme="majorHAnsi" w:eastAsia="Times New Roman" w:hAnsiTheme="majorHAnsi" w:cstheme="majorHAnsi"/>
          <w:sz w:val="24"/>
          <w:szCs w:val="24"/>
        </w:rPr>
        <w:t>Totodată, auditul relevă</w:t>
      </w:r>
      <w:r w:rsidRPr="00401485">
        <w:rPr>
          <w:rFonts w:asciiTheme="majorHAnsi" w:eastAsia="Times New Roman" w:hAnsiTheme="majorHAnsi" w:cstheme="majorHAnsi"/>
          <w:sz w:val="24"/>
          <w:szCs w:val="24"/>
        </w:rPr>
        <w:t xml:space="preserve"> că soldurile de mijloace financiare formate la unele proiecte au fost restituite donatorilor</w:t>
      </w:r>
      <w:r>
        <w:rPr>
          <w:rFonts w:asciiTheme="majorHAnsi" w:eastAsia="Times New Roman" w:hAnsiTheme="majorHAnsi" w:cstheme="majorHAnsi"/>
          <w:sz w:val="24"/>
          <w:szCs w:val="24"/>
        </w:rPr>
        <w:t>,</w:t>
      </w:r>
      <w:r w:rsidRPr="00401485">
        <w:rPr>
          <w:rFonts w:asciiTheme="majorHAnsi" w:eastAsia="Times New Roman" w:hAnsiTheme="majorHAnsi" w:cstheme="majorHAnsi"/>
          <w:sz w:val="24"/>
          <w:szCs w:val="24"/>
        </w:rPr>
        <w:t xml:space="preserve"> la solicitarea acestora. Astfel, nevalorificarea mijloacelor externe debursate din granturi condiționează neîndeplinirea clauzelor Acordurilor de grant încheiate și restituirea mijloacelor nevalorificate din solduri.</w:t>
      </w:r>
    </w:p>
    <w:p w:rsidR="009F634F" w:rsidRPr="00401485" w:rsidRDefault="009F634F" w:rsidP="009F634F">
      <w:pPr>
        <w:spacing w:after="0" w:line="276" w:lineRule="auto"/>
        <w:jc w:val="both"/>
        <w:rPr>
          <w:rFonts w:asciiTheme="majorHAnsi" w:eastAsia="Times New Roman" w:hAnsiTheme="majorHAnsi" w:cstheme="majorHAnsi"/>
          <w:sz w:val="24"/>
          <w:szCs w:val="24"/>
          <w:lang w:val="ro-MD"/>
        </w:rPr>
      </w:pPr>
      <w:r w:rsidRPr="00401485">
        <w:rPr>
          <w:rFonts w:asciiTheme="majorHAnsi" w:eastAsia="Times New Roman" w:hAnsiTheme="majorHAnsi" w:cstheme="majorHAnsi"/>
          <w:sz w:val="24"/>
          <w:szCs w:val="24"/>
          <w:lang w:val="ro-MD"/>
        </w:rPr>
        <w:t>În anul 2019, granturile oferite însumează 305,8 mil. lei, din care 303,6 mil. lei revin la 18 donatori</w:t>
      </w:r>
      <w:r>
        <w:rPr>
          <w:rFonts w:asciiTheme="majorHAnsi" w:eastAsia="Times New Roman" w:hAnsiTheme="majorHAnsi" w:cstheme="majorHAnsi"/>
          <w:sz w:val="24"/>
          <w:szCs w:val="24"/>
          <w:lang w:val="ro-MD"/>
        </w:rPr>
        <w:t>,</w:t>
      </w:r>
      <w:r w:rsidRPr="00401485">
        <w:rPr>
          <w:rFonts w:asciiTheme="majorHAnsi" w:eastAsia="Times New Roman" w:hAnsiTheme="majorHAnsi" w:cstheme="majorHAnsi"/>
          <w:sz w:val="24"/>
          <w:szCs w:val="24"/>
          <w:lang w:val="ro-MD"/>
        </w:rPr>
        <w:t xml:space="preserve"> iar </w:t>
      </w:r>
    </w:p>
    <w:p w:rsidR="009F634F" w:rsidRPr="00247AED" w:rsidRDefault="009F634F" w:rsidP="009E3902">
      <w:pPr>
        <w:spacing w:after="0" w:line="276" w:lineRule="auto"/>
        <w:jc w:val="both"/>
        <w:rPr>
          <w:rFonts w:asciiTheme="majorHAnsi" w:eastAsia="Times New Roman" w:hAnsiTheme="majorHAnsi" w:cstheme="majorHAnsi"/>
          <w:sz w:val="24"/>
          <w:szCs w:val="24"/>
          <w:lang w:val="ro-MD"/>
        </w:rPr>
      </w:pPr>
      <w:r w:rsidRPr="00401485">
        <w:rPr>
          <w:rFonts w:asciiTheme="majorHAnsi" w:eastAsia="Times New Roman" w:hAnsiTheme="majorHAnsi" w:cstheme="majorHAnsi"/>
          <w:sz w:val="24"/>
          <w:szCs w:val="24"/>
          <w:lang w:val="ro-MD"/>
        </w:rPr>
        <w:t>pentru 2,2 mil. lei nu au fost atribuite coduri p</w:t>
      </w:r>
      <w:r>
        <w:rPr>
          <w:rFonts w:asciiTheme="majorHAnsi" w:eastAsia="Times New Roman" w:hAnsiTheme="majorHAnsi" w:cstheme="majorHAnsi"/>
          <w:sz w:val="24"/>
          <w:szCs w:val="24"/>
          <w:lang w:val="ro-MD"/>
        </w:rPr>
        <w:t>rivind</w:t>
      </w:r>
      <w:r w:rsidRPr="00401485">
        <w:rPr>
          <w:rFonts w:asciiTheme="majorHAnsi" w:eastAsia="Times New Roman" w:hAnsiTheme="majorHAnsi" w:cstheme="majorHAnsi"/>
          <w:sz w:val="24"/>
          <w:szCs w:val="24"/>
          <w:lang w:val="ro-MD"/>
        </w:rPr>
        <w:t xml:space="preserve"> originea sursei de venituri. </w:t>
      </w:r>
      <w:r>
        <w:rPr>
          <w:rFonts w:asciiTheme="majorHAnsi" w:eastAsia="Times New Roman" w:hAnsiTheme="majorHAnsi" w:cstheme="majorHAnsi"/>
          <w:sz w:val="24"/>
          <w:szCs w:val="24"/>
          <w:lang w:val="ro-MD"/>
        </w:rPr>
        <w:t>Ca u</w:t>
      </w:r>
      <w:r w:rsidRPr="00401485">
        <w:rPr>
          <w:rFonts w:asciiTheme="majorHAnsi" w:eastAsia="Times New Roman" w:hAnsiTheme="majorHAnsi" w:cstheme="majorHAnsi"/>
          <w:sz w:val="24"/>
          <w:szCs w:val="24"/>
          <w:lang w:val="ro-MD"/>
        </w:rPr>
        <w:t xml:space="preserve">rmare </w:t>
      </w:r>
      <w:r>
        <w:rPr>
          <w:rFonts w:asciiTheme="majorHAnsi" w:eastAsia="Times New Roman" w:hAnsiTheme="majorHAnsi" w:cstheme="majorHAnsi"/>
          <w:sz w:val="24"/>
          <w:szCs w:val="24"/>
          <w:lang w:val="ro-MD"/>
        </w:rPr>
        <w:t xml:space="preserve">a </w:t>
      </w:r>
      <w:r w:rsidRPr="00401485">
        <w:rPr>
          <w:rFonts w:asciiTheme="majorHAnsi" w:eastAsia="Times New Roman" w:hAnsiTheme="majorHAnsi" w:cstheme="majorHAnsi"/>
          <w:sz w:val="24"/>
          <w:szCs w:val="24"/>
          <w:lang w:val="ro-MD"/>
        </w:rPr>
        <w:t>analizei auditului, s-a constatat că au fost aprobate surse de venituri în sumă de 43,8 mil. lei provenite de la 6 donatori</w:t>
      </w:r>
      <w:r w:rsidRPr="00401485">
        <w:rPr>
          <w:rFonts w:asciiTheme="majorHAnsi" w:eastAsia="Times New Roman" w:hAnsiTheme="majorHAnsi" w:cstheme="majorHAnsi"/>
          <w:sz w:val="24"/>
          <w:szCs w:val="24"/>
          <w:vertAlign w:val="superscript"/>
          <w:lang w:val="ro-MD"/>
        </w:rPr>
        <w:footnoteReference w:id="29"/>
      </w:r>
      <w:r w:rsidRPr="00401485">
        <w:rPr>
          <w:rFonts w:asciiTheme="majorHAnsi" w:eastAsia="Times New Roman" w:hAnsiTheme="majorHAnsi" w:cstheme="majorHAnsi"/>
          <w:sz w:val="24"/>
          <w:szCs w:val="24"/>
          <w:lang w:val="ro-MD"/>
        </w:rPr>
        <w:t xml:space="preserve">, ulterior rectificate </w:t>
      </w:r>
      <w:r>
        <w:rPr>
          <w:rFonts w:asciiTheme="majorHAnsi" w:eastAsia="Times New Roman" w:hAnsiTheme="majorHAnsi" w:cstheme="majorHAnsi"/>
          <w:sz w:val="24"/>
          <w:szCs w:val="24"/>
          <w:lang w:val="ro-MD"/>
        </w:rPr>
        <w:t>–</w:t>
      </w:r>
      <w:r w:rsidRPr="00401485">
        <w:rPr>
          <w:rFonts w:asciiTheme="majorHAnsi" w:eastAsia="Times New Roman" w:hAnsiTheme="majorHAnsi" w:cstheme="majorHAnsi"/>
          <w:sz w:val="24"/>
          <w:szCs w:val="24"/>
          <w:lang w:val="ro-MD"/>
        </w:rPr>
        <w:t xml:space="preserve"> 7,0 mil. lei, nefiind executate venituri în BS </w:t>
      </w:r>
      <w:r>
        <w:rPr>
          <w:rFonts w:asciiTheme="majorHAnsi" w:eastAsia="Times New Roman" w:hAnsiTheme="majorHAnsi" w:cstheme="majorHAnsi"/>
          <w:sz w:val="24"/>
          <w:szCs w:val="24"/>
          <w:lang w:val="ro-MD"/>
        </w:rPr>
        <w:t>nici</w:t>
      </w:r>
      <w:r w:rsidRPr="00401485">
        <w:rPr>
          <w:rFonts w:asciiTheme="majorHAnsi" w:eastAsia="Times New Roman" w:hAnsiTheme="majorHAnsi" w:cstheme="majorHAnsi"/>
          <w:sz w:val="24"/>
          <w:szCs w:val="24"/>
          <w:lang w:val="ro-MD"/>
        </w:rPr>
        <w:t xml:space="preserve"> în anul 2019 și nici în anul precedent. Totodată, pentru alți 6 donatori au fost precizate venituri în sumă de 69,5 mil. lei, executate </w:t>
      </w:r>
      <w:r>
        <w:rPr>
          <w:rFonts w:asciiTheme="majorHAnsi" w:eastAsia="Times New Roman" w:hAnsiTheme="majorHAnsi" w:cstheme="majorHAnsi"/>
          <w:sz w:val="24"/>
          <w:szCs w:val="24"/>
          <w:lang w:val="ro-MD"/>
        </w:rPr>
        <w:t>–</w:t>
      </w:r>
      <w:r w:rsidRPr="00401485">
        <w:rPr>
          <w:rFonts w:asciiTheme="majorHAnsi" w:eastAsia="Times New Roman" w:hAnsiTheme="majorHAnsi" w:cstheme="majorHAnsi"/>
          <w:sz w:val="24"/>
          <w:szCs w:val="24"/>
          <w:lang w:val="ro-MD"/>
        </w:rPr>
        <w:t xml:space="preserve"> 84,1 mil. lei</w:t>
      </w:r>
      <w:r>
        <w:rPr>
          <w:rFonts w:asciiTheme="majorHAnsi" w:eastAsia="Times New Roman" w:hAnsiTheme="majorHAnsi" w:cstheme="majorHAnsi"/>
          <w:sz w:val="24"/>
          <w:szCs w:val="24"/>
          <w:lang w:val="ro-MD"/>
        </w:rPr>
        <w:t>,</w:t>
      </w:r>
      <w:r w:rsidRPr="00401485">
        <w:rPr>
          <w:rFonts w:asciiTheme="majorHAnsi" w:eastAsia="Times New Roman" w:hAnsiTheme="majorHAnsi" w:cstheme="majorHAnsi"/>
          <w:sz w:val="24"/>
          <w:szCs w:val="24"/>
          <w:lang w:val="ro-MD"/>
        </w:rPr>
        <w:t xml:space="preserve"> sau cu 14,6 mil. lei mai mult. În anul 2019, cele mai semnificative surse de venituri din granturi au fost aprobate de la Comisia Europeană (281,4 mil. lei) și de la BERD (185,0 mil. lei), ulterior la rectificare fiind diminuate. Nivelul de executare față de </w:t>
      </w:r>
      <w:r>
        <w:rPr>
          <w:rFonts w:asciiTheme="majorHAnsi" w:eastAsia="Times New Roman" w:hAnsiTheme="majorHAnsi" w:cstheme="majorHAnsi"/>
          <w:sz w:val="24"/>
          <w:szCs w:val="24"/>
          <w:lang w:val="ro-MD"/>
        </w:rPr>
        <w:t xml:space="preserve">cel </w:t>
      </w:r>
      <w:r w:rsidRPr="00401485">
        <w:rPr>
          <w:rFonts w:asciiTheme="majorHAnsi" w:eastAsia="Times New Roman" w:hAnsiTheme="majorHAnsi" w:cstheme="majorHAnsi"/>
          <w:sz w:val="24"/>
          <w:szCs w:val="24"/>
          <w:lang w:val="ro-MD"/>
        </w:rPr>
        <w:t xml:space="preserve">aprobat inițial </w:t>
      </w:r>
      <w:r>
        <w:rPr>
          <w:rFonts w:asciiTheme="majorHAnsi" w:eastAsia="Times New Roman" w:hAnsiTheme="majorHAnsi" w:cstheme="majorHAnsi"/>
          <w:sz w:val="24"/>
          <w:szCs w:val="24"/>
          <w:lang w:val="ro-MD"/>
        </w:rPr>
        <w:t>a fost</w:t>
      </w:r>
      <w:r w:rsidRPr="00401485">
        <w:rPr>
          <w:rFonts w:asciiTheme="majorHAnsi" w:eastAsia="Times New Roman" w:hAnsiTheme="majorHAnsi" w:cstheme="majorHAnsi"/>
          <w:sz w:val="24"/>
          <w:szCs w:val="24"/>
          <w:lang w:val="ro-MD"/>
        </w:rPr>
        <w:t xml:space="preserve"> de 13,9% (39,2 mil. lei) și, respectiv, de 30,6% (56,5 mil. lei). Totodată, cele mai mari sume debursate au fost din Grantul oferit de </w:t>
      </w:r>
      <w:r>
        <w:rPr>
          <w:rFonts w:asciiTheme="majorHAnsi" w:eastAsia="Times New Roman" w:hAnsiTheme="majorHAnsi" w:cstheme="majorHAnsi"/>
          <w:sz w:val="24"/>
          <w:szCs w:val="24"/>
          <w:lang w:val="ro-MD"/>
        </w:rPr>
        <w:t>„</w:t>
      </w:r>
      <w:r w:rsidRPr="00401485">
        <w:rPr>
          <w:rFonts w:asciiTheme="majorHAnsi" w:eastAsia="Times New Roman" w:hAnsiTheme="majorHAnsi" w:cstheme="majorHAnsi"/>
          <w:sz w:val="24"/>
          <w:szCs w:val="24"/>
          <w:lang w:val="ro-MD"/>
        </w:rPr>
        <w:t>Fondul Global pentru Combaterea SIDA, Tuberculozei și Malariei”</w:t>
      </w:r>
      <w:r>
        <w:rPr>
          <w:rFonts w:asciiTheme="majorHAnsi" w:eastAsia="Times New Roman" w:hAnsiTheme="majorHAnsi" w:cstheme="majorHAnsi"/>
          <w:sz w:val="24"/>
          <w:szCs w:val="24"/>
          <w:lang w:val="ro-MD"/>
        </w:rPr>
        <w:t>,</w:t>
      </w:r>
      <w:r w:rsidRPr="00401485">
        <w:rPr>
          <w:rFonts w:asciiTheme="majorHAnsi" w:eastAsia="Times New Roman" w:hAnsiTheme="majorHAnsi" w:cstheme="majorHAnsi"/>
          <w:sz w:val="24"/>
          <w:szCs w:val="24"/>
          <w:lang w:val="ro-MD"/>
        </w:rPr>
        <w:t xml:space="preserve"> în sumă de 82,3 mil. lei (aprobat 97,7 mil. lei), de către BERD </w:t>
      </w:r>
      <w:r>
        <w:rPr>
          <w:rFonts w:asciiTheme="majorHAnsi" w:eastAsia="Times New Roman" w:hAnsiTheme="majorHAnsi" w:cstheme="majorHAnsi"/>
          <w:sz w:val="24"/>
          <w:szCs w:val="24"/>
          <w:lang w:val="ro-MD"/>
        </w:rPr>
        <w:t xml:space="preserve">– </w:t>
      </w:r>
      <w:r w:rsidRPr="00401485">
        <w:rPr>
          <w:rFonts w:asciiTheme="majorHAnsi" w:eastAsia="Times New Roman" w:hAnsiTheme="majorHAnsi" w:cstheme="majorHAnsi"/>
          <w:sz w:val="24"/>
          <w:szCs w:val="24"/>
          <w:lang w:val="ro-MD"/>
        </w:rPr>
        <w:t>în sumă de 56,5 mil. lei</w:t>
      </w:r>
      <w:r>
        <w:rPr>
          <w:rFonts w:asciiTheme="majorHAnsi" w:eastAsia="Times New Roman" w:hAnsiTheme="majorHAnsi" w:cstheme="majorHAnsi"/>
          <w:sz w:val="24"/>
          <w:szCs w:val="24"/>
          <w:lang w:val="ro-MD"/>
        </w:rPr>
        <w:t>,</w:t>
      </w:r>
      <w:r w:rsidRPr="00401485">
        <w:rPr>
          <w:rFonts w:asciiTheme="majorHAnsi" w:eastAsia="Times New Roman" w:hAnsiTheme="majorHAnsi" w:cstheme="majorHAnsi"/>
          <w:sz w:val="24"/>
          <w:szCs w:val="24"/>
          <w:lang w:val="ro-MD"/>
        </w:rPr>
        <w:t xml:space="preserve"> și de către Fondul Internațional pentru Dezvoltarea Agricolă </w:t>
      </w:r>
      <w:r>
        <w:rPr>
          <w:rFonts w:asciiTheme="majorHAnsi" w:eastAsia="Times New Roman" w:hAnsiTheme="majorHAnsi" w:cstheme="majorHAnsi"/>
          <w:sz w:val="24"/>
          <w:szCs w:val="24"/>
          <w:lang w:val="ro-MD"/>
        </w:rPr>
        <w:t xml:space="preserve">– </w:t>
      </w:r>
      <w:r w:rsidRPr="00401485">
        <w:rPr>
          <w:rFonts w:asciiTheme="majorHAnsi" w:eastAsia="Times New Roman" w:hAnsiTheme="majorHAnsi" w:cstheme="majorHAnsi"/>
          <w:sz w:val="24"/>
          <w:szCs w:val="24"/>
          <w:lang w:val="ro-MD"/>
        </w:rPr>
        <w:t>în sumă de 48,8 mil. lei.</w:t>
      </w:r>
      <w:r w:rsidRPr="00401485">
        <w:rPr>
          <w:rFonts w:ascii="Times New Roman" w:eastAsia="Times New Roman" w:hAnsi="Times New Roman" w:cs="Times New Roman"/>
          <w:i/>
          <w:sz w:val="24"/>
          <w:szCs w:val="24"/>
        </w:rPr>
        <w:t xml:space="preserve"> </w:t>
      </w:r>
      <w:r w:rsidRPr="00401485">
        <w:rPr>
          <w:rFonts w:asciiTheme="majorHAnsi" w:eastAsia="Times New Roman" w:hAnsiTheme="majorHAnsi" w:cstheme="majorHAnsi"/>
          <w:i/>
          <w:sz w:val="24"/>
          <w:szCs w:val="24"/>
        </w:rPr>
        <w:t>Informația privind executarea granturilor pe donatori se prezintă în Anexa nr.11 la prezentul Raport de audit.</w:t>
      </w:r>
    </w:p>
    <w:p w:rsidR="009F634F" w:rsidRDefault="009F634F" w:rsidP="009E3902">
      <w:pPr>
        <w:spacing w:after="0"/>
      </w:pPr>
    </w:p>
    <w:p w:rsidR="00E67099" w:rsidRPr="00E67099" w:rsidRDefault="00E67099" w:rsidP="009E3902">
      <w:pPr>
        <w:spacing w:after="0" w:line="276" w:lineRule="auto"/>
        <w:jc w:val="both"/>
        <w:rPr>
          <w:rFonts w:asciiTheme="majorHAnsi" w:hAnsiTheme="majorHAnsi" w:cstheme="majorHAnsi"/>
          <w:b/>
          <w:sz w:val="24"/>
          <w:szCs w:val="24"/>
        </w:rPr>
      </w:pPr>
      <w:r w:rsidRPr="00E67099">
        <w:rPr>
          <w:rFonts w:asciiTheme="majorHAnsi" w:hAnsiTheme="majorHAnsi" w:cstheme="majorHAnsi"/>
          <w:b/>
          <w:sz w:val="24"/>
          <w:szCs w:val="24"/>
        </w:rPr>
        <w:t>4.3. Cheltuielile de casă ale bugetului de stat în anul 2019 au fost executate sub nivelul precizat, nefiind valorificate 7,1%</w:t>
      </w:r>
    </w:p>
    <w:p w:rsidR="00E67099" w:rsidRPr="00E67099" w:rsidRDefault="00E67099" w:rsidP="00E67099">
      <w:pPr>
        <w:spacing w:after="0" w:line="276" w:lineRule="auto"/>
        <w:jc w:val="both"/>
        <w:rPr>
          <w:rFonts w:ascii="Times New Roman" w:hAnsi="Times New Roman" w:cs="Times New Roman"/>
          <w:b/>
          <w:sz w:val="24"/>
          <w:szCs w:val="24"/>
          <w:lang w:val="ro-MD"/>
        </w:rPr>
      </w:pPr>
      <w:r w:rsidRPr="00E67099">
        <w:rPr>
          <w:rFonts w:asciiTheme="majorHAnsi" w:hAnsiTheme="majorHAnsi" w:cstheme="majorHAnsi"/>
          <w:sz w:val="24"/>
          <w:szCs w:val="24"/>
        </w:rPr>
        <w:t>Cheltuielile de casă</w:t>
      </w:r>
      <w:r w:rsidRPr="00E67099">
        <w:rPr>
          <w:rFonts w:asciiTheme="majorHAnsi" w:hAnsiTheme="majorHAnsi" w:cstheme="majorHAnsi"/>
          <w:sz w:val="24"/>
          <w:szCs w:val="24"/>
          <w:vertAlign w:val="superscript"/>
        </w:rPr>
        <w:footnoteReference w:id="30"/>
      </w:r>
      <w:r w:rsidRPr="00E67099">
        <w:rPr>
          <w:rFonts w:asciiTheme="majorHAnsi" w:hAnsiTheme="majorHAnsi" w:cstheme="majorHAnsi"/>
          <w:sz w:val="24"/>
          <w:szCs w:val="24"/>
        </w:rPr>
        <w:t xml:space="preserve"> au fost executate la un nivel de 92,9%, sau în sumă de 43 073,9 mil. lei, fiind înregistrat un sold de alocații nevalorificate în cuantum total de 3 272,3 mil. lei, sau 7,1% din totalul cheltuielilor precizate.</w:t>
      </w:r>
      <w:r w:rsidRPr="00E67099">
        <w:rPr>
          <w:rFonts w:ascii="Times New Roman" w:hAnsi="Times New Roman" w:cs="Times New Roman"/>
          <w:b/>
          <w:sz w:val="24"/>
          <w:szCs w:val="24"/>
          <w:lang w:val="ro-MD"/>
        </w:rPr>
        <w:t xml:space="preserve"> </w:t>
      </w:r>
      <w:r w:rsidRPr="00E67099">
        <w:rPr>
          <w:rFonts w:asciiTheme="majorHAnsi" w:hAnsiTheme="majorHAnsi" w:cstheme="majorHAnsi"/>
          <w:sz w:val="24"/>
          <w:szCs w:val="24"/>
        </w:rPr>
        <w:t xml:space="preserve">Astfel, se înregistrează o creștere de 4 365,6 mil. lei (11,3%) față de cheltuielile de casă executate în anul 2018 și o creștere de 7 594,8 mil. lei (21,4%) față de cheltuielile de casă executate în anul 2017. </w:t>
      </w:r>
      <w:r w:rsidRPr="00E67099">
        <w:rPr>
          <w:rFonts w:asciiTheme="majorHAnsi" w:hAnsiTheme="majorHAnsi" w:cstheme="majorHAnsi"/>
          <w:i/>
          <w:sz w:val="24"/>
          <w:szCs w:val="24"/>
          <w:lang w:val="ro-MD"/>
        </w:rPr>
        <w:t>Informația privind finanțarea cheltuielilor din BS pe parcursul anilor 2017-2019 se prezintă în Diagrama nr.1.</w:t>
      </w:r>
    </w:p>
    <w:p w:rsidR="00E67099" w:rsidRPr="00E67099" w:rsidRDefault="00E67099" w:rsidP="00E67099">
      <w:pPr>
        <w:spacing w:after="0" w:line="276" w:lineRule="auto"/>
        <w:jc w:val="right"/>
        <w:rPr>
          <w:rFonts w:asciiTheme="majorHAnsi" w:hAnsiTheme="majorHAnsi" w:cstheme="majorHAnsi"/>
          <w:b/>
          <w:i/>
          <w:sz w:val="24"/>
          <w:szCs w:val="24"/>
        </w:rPr>
      </w:pPr>
      <w:r w:rsidRPr="00E67099">
        <w:rPr>
          <w:rFonts w:asciiTheme="majorHAnsi" w:hAnsiTheme="majorHAnsi" w:cstheme="majorHAnsi"/>
          <w:i/>
          <w:sz w:val="24"/>
          <w:szCs w:val="24"/>
        </w:rPr>
        <w:t>Diagrama nr.1</w:t>
      </w:r>
    </w:p>
    <w:p w:rsidR="00E67099" w:rsidRPr="00E67099" w:rsidRDefault="00E67099" w:rsidP="00E67099">
      <w:pPr>
        <w:spacing w:after="0"/>
        <w:jc w:val="center"/>
        <w:rPr>
          <w:rFonts w:asciiTheme="majorHAnsi" w:hAnsiTheme="majorHAnsi" w:cstheme="majorHAnsi"/>
          <w:b/>
          <w:sz w:val="24"/>
          <w:szCs w:val="24"/>
          <w:lang w:val="ro-MD"/>
        </w:rPr>
      </w:pPr>
      <w:r w:rsidRPr="00E67099">
        <w:rPr>
          <w:rFonts w:asciiTheme="majorHAnsi" w:hAnsiTheme="majorHAnsi" w:cstheme="majorHAnsi"/>
          <w:b/>
          <w:sz w:val="24"/>
          <w:szCs w:val="24"/>
          <w:lang w:val="ro-MD"/>
        </w:rPr>
        <w:t>Finanțarea cheltuielilor din BS pe parcursul anilor 2017-2019</w:t>
      </w:r>
    </w:p>
    <w:p w:rsidR="00E67099" w:rsidRPr="00E67099" w:rsidRDefault="00E67099" w:rsidP="00E67099">
      <w:pPr>
        <w:spacing w:after="0"/>
        <w:ind w:right="899"/>
        <w:jc w:val="right"/>
        <w:rPr>
          <w:rFonts w:asciiTheme="majorHAnsi" w:hAnsiTheme="majorHAnsi" w:cstheme="majorHAnsi"/>
          <w:b/>
          <w:sz w:val="24"/>
          <w:szCs w:val="24"/>
          <w:lang w:val="ro-MD"/>
        </w:rPr>
      </w:pPr>
      <w:r w:rsidRPr="00E67099">
        <w:rPr>
          <w:rFonts w:asciiTheme="majorHAnsi" w:hAnsiTheme="majorHAnsi" w:cstheme="majorHAnsi"/>
          <w:b/>
          <w:sz w:val="24"/>
          <w:szCs w:val="24"/>
          <w:lang w:val="ro-MD"/>
        </w:rPr>
        <w:t>(mil. lei)</w:t>
      </w:r>
    </w:p>
    <w:p w:rsidR="00E67099" w:rsidRPr="00E67099" w:rsidRDefault="00E67099" w:rsidP="00E67099">
      <w:pPr>
        <w:spacing w:after="0" w:line="276" w:lineRule="auto"/>
        <w:jc w:val="center"/>
        <w:rPr>
          <w:rFonts w:asciiTheme="majorHAnsi" w:hAnsiTheme="majorHAnsi" w:cstheme="majorHAnsi"/>
          <w:color w:val="000000" w:themeColor="text1"/>
          <w:sz w:val="24"/>
          <w:szCs w:val="24"/>
          <w:lang w:val="ro-MD"/>
        </w:rPr>
      </w:pPr>
      <w:r w:rsidRPr="00E67099">
        <w:rPr>
          <w:noProof/>
          <w:lang w:val="ru-RU" w:eastAsia="ru-RU"/>
        </w:rPr>
        <w:drawing>
          <wp:inline distT="0" distB="0" distL="0" distR="0" wp14:anchorId="1C28992A" wp14:editId="5C88A57D">
            <wp:extent cx="5013960" cy="2217420"/>
            <wp:effectExtent l="0" t="0" r="15240" b="11430"/>
            <wp:docPr id="1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67099" w:rsidRPr="00E67099" w:rsidRDefault="00E67099" w:rsidP="00E67099">
      <w:pPr>
        <w:spacing w:after="0" w:line="276" w:lineRule="auto"/>
        <w:ind w:firstLine="851"/>
        <w:jc w:val="both"/>
        <w:rPr>
          <w:rFonts w:asciiTheme="majorHAnsi" w:hAnsiTheme="majorHAnsi" w:cstheme="majorHAnsi"/>
          <w:i/>
          <w:sz w:val="20"/>
          <w:szCs w:val="20"/>
        </w:rPr>
      </w:pPr>
      <w:r w:rsidRPr="00E67099">
        <w:rPr>
          <w:rFonts w:asciiTheme="majorHAnsi" w:hAnsiTheme="majorHAnsi" w:cstheme="majorHAnsi"/>
          <w:b/>
          <w:i/>
          <w:color w:val="000000" w:themeColor="text1"/>
          <w:sz w:val="20"/>
          <w:szCs w:val="20"/>
          <w:lang w:val="ro-MD"/>
        </w:rPr>
        <w:t>Sursă:</w:t>
      </w:r>
      <w:r w:rsidRPr="00E67099">
        <w:rPr>
          <w:rFonts w:asciiTheme="majorHAnsi" w:hAnsiTheme="majorHAnsi" w:cstheme="majorHAnsi"/>
          <w:color w:val="000000" w:themeColor="text1"/>
          <w:sz w:val="20"/>
          <w:szCs w:val="20"/>
          <w:lang w:val="ro-MD"/>
        </w:rPr>
        <w:t xml:space="preserve"> </w:t>
      </w:r>
      <w:r w:rsidRPr="00E67099">
        <w:rPr>
          <w:rFonts w:asciiTheme="majorHAnsi" w:hAnsiTheme="majorHAnsi" w:cstheme="majorHAnsi"/>
          <w:i/>
          <w:sz w:val="20"/>
          <w:szCs w:val="20"/>
        </w:rPr>
        <w:t>Raportul privind executarea bugetului de stat pe anul 2019.</w:t>
      </w:r>
    </w:p>
    <w:p w:rsidR="00E67099" w:rsidRPr="00E67099" w:rsidRDefault="00E67099" w:rsidP="00E67099">
      <w:pPr>
        <w:spacing w:after="0" w:line="276" w:lineRule="auto"/>
        <w:jc w:val="both"/>
        <w:rPr>
          <w:rFonts w:asciiTheme="majorHAnsi" w:hAnsiTheme="majorHAnsi" w:cstheme="majorHAnsi"/>
          <w:color w:val="000000" w:themeColor="text1"/>
          <w:sz w:val="24"/>
          <w:szCs w:val="24"/>
          <w:lang w:val="ro-MD"/>
        </w:rPr>
      </w:pPr>
    </w:p>
    <w:p w:rsidR="00E67099" w:rsidRPr="00E67099" w:rsidRDefault="00E67099" w:rsidP="00E67099">
      <w:pPr>
        <w:spacing w:after="0" w:line="276" w:lineRule="auto"/>
        <w:jc w:val="both"/>
        <w:rPr>
          <w:rFonts w:asciiTheme="majorHAnsi" w:eastAsia="Times New Roman" w:hAnsiTheme="majorHAnsi" w:cstheme="majorHAnsi"/>
          <w:color w:val="000000" w:themeColor="text1"/>
          <w:sz w:val="24"/>
          <w:szCs w:val="24"/>
          <w:lang w:val="ro-MD"/>
        </w:rPr>
      </w:pPr>
      <w:r w:rsidRPr="00E67099">
        <w:rPr>
          <w:rFonts w:asciiTheme="majorHAnsi" w:eastAsia="Times New Roman" w:hAnsiTheme="majorHAnsi" w:cstheme="majorHAnsi"/>
          <w:color w:val="000000" w:themeColor="text1"/>
          <w:sz w:val="24"/>
          <w:szCs w:val="24"/>
          <w:lang w:val="ro-MD"/>
        </w:rPr>
        <w:t xml:space="preserve">În aspectul componentelor, cheltuielile BS în anul 2019 s-au executat sub nivelul precizat la toate componentele. Astfel, cheltuielile au fost executate la nivel de 94,5%, sau mai puțin cu (-2 317,2 mil. lei), din care: </w:t>
      </w:r>
      <w:r w:rsidRPr="00E67099">
        <w:rPr>
          <w:rFonts w:asciiTheme="majorHAnsi" w:eastAsia="Times New Roman" w:hAnsiTheme="majorHAnsi" w:cstheme="majorHAnsi"/>
          <w:b/>
          <w:color w:val="000000" w:themeColor="text1"/>
          <w:sz w:val="24"/>
          <w:szCs w:val="24"/>
          <w:lang w:val="ro-MD"/>
        </w:rPr>
        <w:t>(i)</w:t>
      </w:r>
      <w:r w:rsidRPr="00E67099">
        <w:rPr>
          <w:rFonts w:asciiTheme="majorHAnsi" w:eastAsia="Times New Roman" w:hAnsiTheme="majorHAnsi" w:cstheme="majorHAnsi"/>
          <w:color w:val="000000" w:themeColor="text1"/>
          <w:sz w:val="24"/>
          <w:szCs w:val="24"/>
          <w:lang w:val="ro-MD"/>
        </w:rPr>
        <w:t xml:space="preserve"> cheltuieli de personal – 95,3% (-316,1 mil. lei), </w:t>
      </w:r>
      <w:r w:rsidRPr="00E67099">
        <w:rPr>
          <w:rFonts w:asciiTheme="majorHAnsi" w:eastAsia="Times New Roman" w:hAnsiTheme="majorHAnsi" w:cstheme="majorHAnsi"/>
          <w:b/>
          <w:color w:val="000000" w:themeColor="text1"/>
          <w:sz w:val="24"/>
          <w:szCs w:val="24"/>
          <w:lang w:val="ro-MD"/>
        </w:rPr>
        <w:t>(ii)</w:t>
      </w:r>
      <w:r w:rsidRPr="00E67099">
        <w:rPr>
          <w:rFonts w:asciiTheme="majorHAnsi" w:eastAsia="Times New Roman" w:hAnsiTheme="majorHAnsi" w:cstheme="majorHAnsi"/>
          <w:color w:val="000000" w:themeColor="text1"/>
          <w:sz w:val="24"/>
          <w:szCs w:val="24"/>
          <w:lang w:val="ro-MD"/>
        </w:rPr>
        <w:t xml:space="preserve"> bunuri și servicii – 79,9% (-434,9 mil. lei), </w:t>
      </w:r>
      <w:r w:rsidRPr="00E67099">
        <w:rPr>
          <w:rFonts w:asciiTheme="majorHAnsi" w:eastAsia="Times New Roman" w:hAnsiTheme="majorHAnsi" w:cstheme="majorHAnsi"/>
          <w:b/>
          <w:color w:val="000000" w:themeColor="text1"/>
          <w:sz w:val="24"/>
          <w:szCs w:val="24"/>
          <w:lang w:val="ro-MD"/>
        </w:rPr>
        <w:t>(iii)</w:t>
      </w:r>
      <w:r w:rsidRPr="00E67099">
        <w:rPr>
          <w:rFonts w:asciiTheme="majorHAnsi" w:eastAsia="Times New Roman" w:hAnsiTheme="majorHAnsi" w:cstheme="majorHAnsi"/>
          <w:color w:val="000000" w:themeColor="text1"/>
          <w:sz w:val="24"/>
          <w:szCs w:val="24"/>
          <w:lang w:val="ro-MD"/>
        </w:rPr>
        <w:t xml:space="preserve"> dobânzi – 97,0% (-49,5 mil. lei), </w:t>
      </w:r>
      <w:r w:rsidRPr="00E67099">
        <w:rPr>
          <w:rFonts w:asciiTheme="majorHAnsi" w:eastAsia="Times New Roman" w:hAnsiTheme="majorHAnsi" w:cstheme="majorHAnsi"/>
          <w:b/>
          <w:color w:val="000000" w:themeColor="text1"/>
          <w:sz w:val="24"/>
          <w:szCs w:val="24"/>
          <w:lang w:val="ro-MD"/>
        </w:rPr>
        <w:t>(iv)</w:t>
      </w:r>
      <w:r w:rsidRPr="00E67099">
        <w:rPr>
          <w:rFonts w:asciiTheme="majorHAnsi" w:eastAsia="Times New Roman" w:hAnsiTheme="majorHAnsi" w:cstheme="majorHAnsi"/>
          <w:color w:val="000000" w:themeColor="text1"/>
          <w:sz w:val="24"/>
          <w:szCs w:val="24"/>
          <w:lang w:val="ro-MD"/>
        </w:rPr>
        <w:t xml:space="preserve"> subsidii – 96,0% (-162,1 mil. lei), </w:t>
      </w:r>
      <w:r w:rsidRPr="00E67099">
        <w:rPr>
          <w:rFonts w:asciiTheme="majorHAnsi" w:eastAsia="Times New Roman" w:hAnsiTheme="majorHAnsi" w:cstheme="majorHAnsi"/>
          <w:b/>
          <w:color w:val="000000" w:themeColor="text1"/>
          <w:sz w:val="24"/>
          <w:szCs w:val="24"/>
          <w:lang w:val="ro-MD"/>
        </w:rPr>
        <w:t>(v)</w:t>
      </w:r>
      <w:r w:rsidRPr="00E67099">
        <w:rPr>
          <w:rFonts w:asciiTheme="majorHAnsi" w:eastAsia="Times New Roman" w:hAnsiTheme="majorHAnsi" w:cstheme="majorHAnsi"/>
          <w:color w:val="000000" w:themeColor="text1"/>
          <w:sz w:val="24"/>
          <w:szCs w:val="24"/>
          <w:lang w:val="ro-MD"/>
        </w:rPr>
        <w:t xml:space="preserve"> granturi acordate – 62,1% (-20,1 mil. lei), </w:t>
      </w:r>
      <w:r w:rsidRPr="00E67099">
        <w:rPr>
          <w:rFonts w:asciiTheme="majorHAnsi" w:eastAsia="Times New Roman" w:hAnsiTheme="majorHAnsi" w:cstheme="majorHAnsi"/>
          <w:b/>
          <w:color w:val="000000" w:themeColor="text1"/>
          <w:sz w:val="24"/>
          <w:szCs w:val="24"/>
          <w:lang w:val="ro-MD"/>
        </w:rPr>
        <w:t>(vi)</w:t>
      </w:r>
      <w:r w:rsidRPr="00E67099">
        <w:rPr>
          <w:rFonts w:asciiTheme="majorHAnsi" w:eastAsia="Times New Roman" w:hAnsiTheme="majorHAnsi" w:cstheme="majorHAnsi"/>
          <w:color w:val="000000" w:themeColor="text1"/>
          <w:sz w:val="24"/>
          <w:szCs w:val="24"/>
          <w:lang w:val="ro-MD"/>
        </w:rPr>
        <w:t xml:space="preserve"> prestații sociale – 82,8% (-82,8 mil. lei), </w:t>
      </w:r>
      <w:r w:rsidRPr="00E67099">
        <w:rPr>
          <w:rFonts w:asciiTheme="majorHAnsi" w:eastAsia="Times New Roman" w:hAnsiTheme="majorHAnsi" w:cstheme="majorHAnsi"/>
          <w:b/>
          <w:color w:val="000000" w:themeColor="text1"/>
          <w:sz w:val="24"/>
          <w:szCs w:val="24"/>
          <w:lang w:val="ro-MD"/>
        </w:rPr>
        <w:t>(vii)</w:t>
      </w:r>
      <w:r w:rsidRPr="00E67099">
        <w:rPr>
          <w:rFonts w:asciiTheme="majorHAnsi" w:eastAsia="Times New Roman" w:hAnsiTheme="majorHAnsi" w:cstheme="majorHAnsi"/>
          <w:color w:val="000000" w:themeColor="text1"/>
          <w:sz w:val="24"/>
          <w:szCs w:val="24"/>
          <w:lang w:val="ro-MD"/>
        </w:rPr>
        <w:t xml:space="preserve"> alte cheltuieli – 82,0% (-620,6 mil. lei), </w:t>
      </w:r>
      <w:r w:rsidRPr="00E67099">
        <w:rPr>
          <w:rFonts w:asciiTheme="majorHAnsi" w:eastAsia="Times New Roman" w:hAnsiTheme="majorHAnsi" w:cstheme="majorHAnsi"/>
          <w:b/>
          <w:color w:val="000000" w:themeColor="text1"/>
          <w:sz w:val="24"/>
          <w:szCs w:val="24"/>
          <w:lang w:val="ro-MD"/>
        </w:rPr>
        <w:t>(viii)</w:t>
      </w:r>
      <w:r w:rsidRPr="00E67099">
        <w:rPr>
          <w:rFonts w:asciiTheme="majorHAnsi" w:eastAsia="Times New Roman" w:hAnsiTheme="majorHAnsi" w:cstheme="majorHAnsi"/>
          <w:color w:val="000000" w:themeColor="text1"/>
          <w:sz w:val="24"/>
          <w:szCs w:val="24"/>
          <w:lang w:val="ro-MD"/>
        </w:rPr>
        <w:t xml:space="preserve"> transferuri acordate în cadrul BPN  – 97,3% (-631,1 mil. lei).</w:t>
      </w:r>
    </w:p>
    <w:p w:rsidR="00E67099" w:rsidRPr="00E67099" w:rsidRDefault="00E67099" w:rsidP="00E67099">
      <w:pPr>
        <w:spacing w:line="276" w:lineRule="auto"/>
        <w:contextualSpacing/>
        <w:jc w:val="both"/>
        <w:rPr>
          <w:rFonts w:asciiTheme="majorHAnsi" w:eastAsiaTheme="minorEastAsia" w:hAnsiTheme="majorHAnsi" w:cstheme="majorHAnsi"/>
          <w:bCs/>
          <w:iCs/>
          <w:sz w:val="24"/>
          <w:szCs w:val="24"/>
          <w:lang w:eastAsia="ru-RU"/>
        </w:rPr>
      </w:pPr>
      <w:r w:rsidRPr="00E67099">
        <w:rPr>
          <w:rFonts w:asciiTheme="majorHAnsi" w:eastAsiaTheme="minorEastAsia" w:hAnsiTheme="majorHAnsi" w:cstheme="majorHAnsi"/>
          <w:bCs/>
          <w:iCs/>
          <w:sz w:val="24"/>
          <w:szCs w:val="24"/>
          <w:lang w:eastAsia="ru-RU"/>
        </w:rPr>
        <w:t xml:space="preserve">Cele mai semnificative creșteri de cheltuieli executate în anul 2019, față de anul 2018, s-au înregistrat la: </w:t>
      </w:r>
      <w:r w:rsidRPr="00E67099">
        <w:rPr>
          <w:rFonts w:asciiTheme="majorHAnsi" w:eastAsiaTheme="minorEastAsia" w:hAnsiTheme="majorHAnsi" w:cstheme="majorHAnsi"/>
          <w:bCs/>
          <w:i/>
          <w:iCs/>
          <w:sz w:val="24"/>
          <w:szCs w:val="24"/>
          <w:lang w:eastAsia="ru-RU"/>
        </w:rPr>
        <w:t>i) „Alte cheltuieli”</w:t>
      </w:r>
      <w:r w:rsidRPr="00E67099">
        <w:rPr>
          <w:rFonts w:asciiTheme="majorHAnsi" w:eastAsiaTheme="minorEastAsia" w:hAnsiTheme="majorHAnsi" w:cstheme="majorHAnsi"/>
          <w:bCs/>
          <w:iCs/>
          <w:sz w:val="24"/>
          <w:szCs w:val="24"/>
          <w:lang w:eastAsia="ru-RU"/>
        </w:rPr>
        <w:t xml:space="preserve"> – cu 55,4%, sau cu 1 006,5 mil. lei mai mult, </w:t>
      </w:r>
      <w:r w:rsidRPr="00E67099">
        <w:rPr>
          <w:rFonts w:asciiTheme="majorHAnsi" w:eastAsiaTheme="minorEastAsia" w:hAnsiTheme="majorHAnsi" w:cstheme="majorHAnsi"/>
          <w:bCs/>
          <w:i/>
          <w:iCs/>
          <w:sz w:val="24"/>
          <w:szCs w:val="24"/>
          <w:lang w:eastAsia="ru-RU"/>
        </w:rPr>
        <w:t>ii)</w:t>
      </w:r>
      <w:r w:rsidRPr="00E67099">
        <w:rPr>
          <w:rFonts w:asciiTheme="majorHAnsi" w:eastAsiaTheme="minorEastAsia" w:hAnsiTheme="majorHAnsi" w:cstheme="majorHAnsi"/>
          <w:bCs/>
          <w:iCs/>
          <w:sz w:val="24"/>
          <w:szCs w:val="24"/>
          <w:lang w:eastAsia="ru-RU"/>
        </w:rPr>
        <w:t xml:space="preserve"> </w:t>
      </w:r>
      <w:r w:rsidRPr="00E67099">
        <w:rPr>
          <w:rFonts w:asciiTheme="majorHAnsi" w:eastAsiaTheme="minorEastAsia" w:hAnsiTheme="majorHAnsi" w:cstheme="majorHAnsi"/>
          <w:bCs/>
          <w:i/>
          <w:iCs/>
          <w:sz w:val="24"/>
          <w:szCs w:val="24"/>
          <w:lang w:eastAsia="ru-RU"/>
        </w:rPr>
        <w:t xml:space="preserve">„Granturi acordate” </w:t>
      </w:r>
      <w:r w:rsidRPr="00E67099">
        <w:rPr>
          <w:rFonts w:asciiTheme="majorHAnsi" w:eastAsiaTheme="minorEastAsia" w:hAnsiTheme="majorHAnsi" w:cstheme="majorHAnsi"/>
          <w:bCs/>
          <w:iCs/>
          <w:sz w:val="24"/>
          <w:szCs w:val="24"/>
          <w:lang w:eastAsia="ru-RU"/>
        </w:rPr>
        <w:t xml:space="preserve">– cu 53,0%, sau cu 11,4 mil. lei mai mult, </w:t>
      </w:r>
      <w:r w:rsidRPr="00E67099">
        <w:rPr>
          <w:rFonts w:asciiTheme="majorHAnsi" w:eastAsiaTheme="minorEastAsia" w:hAnsiTheme="majorHAnsi" w:cstheme="majorHAnsi"/>
          <w:bCs/>
          <w:i/>
          <w:iCs/>
          <w:sz w:val="24"/>
          <w:szCs w:val="24"/>
          <w:lang w:eastAsia="ru-RU"/>
        </w:rPr>
        <w:t>iii) „Transferuri acordate în cadrul BPN”</w:t>
      </w:r>
      <w:r w:rsidRPr="00E67099">
        <w:rPr>
          <w:rFonts w:asciiTheme="majorHAnsi" w:eastAsiaTheme="minorEastAsia" w:hAnsiTheme="majorHAnsi" w:cstheme="majorHAnsi"/>
          <w:bCs/>
          <w:iCs/>
          <w:sz w:val="24"/>
          <w:szCs w:val="24"/>
          <w:lang w:eastAsia="ru-RU"/>
        </w:rPr>
        <w:t xml:space="preserve"> – cu 16,9%, sau cu 3 343,2 mil. lei mai mult, precum și </w:t>
      </w:r>
      <w:r w:rsidRPr="00E67099">
        <w:rPr>
          <w:rFonts w:asciiTheme="majorHAnsi" w:eastAsiaTheme="minorEastAsia" w:hAnsiTheme="majorHAnsi" w:cstheme="majorHAnsi"/>
          <w:bCs/>
          <w:i/>
          <w:iCs/>
          <w:sz w:val="24"/>
          <w:szCs w:val="24"/>
          <w:lang w:eastAsia="ru-RU"/>
        </w:rPr>
        <w:t>iv) „Prestații sociale”</w:t>
      </w:r>
      <w:r w:rsidRPr="00E67099">
        <w:rPr>
          <w:rFonts w:asciiTheme="majorHAnsi" w:eastAsiaTheme="minorEastAsia" w:hAnsiTheme="majorHAnsi" w:cstheme="majorHAnsi"/>
          <w:bCs/>
          <w:iCs/>
          <w:sz w:val="24"/>
          <w:szCs w:val="24"/>
          <w:lang w:eastAsia="ru-RU"/>
        </w:rPr>
        <w:t xml:space="preserve"> – cu 16,7%, sau cu 57,0 mil. lei.</w:t>
      </w:r>
      <w:r w:rsidR="008E5979">
        <w:rPr>
          <w:rFonts w:asciiTheme="majorHAnsi" w:eastAsiaTheme="minorEastAsia" w:hAnsiTheme="majorHAnsi" w:cstheme="majorHAnsi"/>
          <w:bCs/>
          <w:iCs/>
          <w:sz w:val="24"/>
          <w:szCs w:val="24"/>
          <w:lang w:eastAsia="ru-RU"/>
        </w:rPr>
        <w:t xml:space="preserve"> </w:t>
      </w:r>
      <w:r w:rsidRPr="00E67099">
        <w:rPr>
          <w:rFonts w:asciiTheme="majorHAnsi" w:eastAsiaTheme="minorEastAsia" w:hAnsiTheme="majorHAnsi" w:cstheme="majorHAnsi"/>
          <w:bCs/>
          <w:iCs/>
          <w:sz w:val="24"/>
          <w:szCs w:val="24"/>
          <w:lang w:eastAsia="ru-RU"/>
        </w:rPr>
        <w:t xml:space="preserve">Totodată, se atestă descreșterea unor cheltuieli, din care la: </w:t>
      </w:r>
      <w:r w:rsidRPr="00E67099">
        <w:rPr>
          <w:rFonts w:asciiTheme="majorHAnsi" w:eastAsiaTheme="minorEastAsia" w:hAnsiTheme="majorHAnsi" w:cstheme="majorHAnsi"/>
          <w:bCs/>
          <w:i/>
          <w:iCs/>
          <w:sz w:val="24"/>
          <w:szCs w:val="24"/>
          <w:lang w:eastAsia="ru-RU"/>
        </w:rPr>
        <w:t>i)</w:t>
      </w:r>
      <w:r w:rsidRPr="00E67099">
        <w:rPr>
          <w:rFonts w:asciiTheme="majorHAnsi" w:eastAsiaTheme="minorEastAsia" w:hAnsiTheme="majorHAnsi" w:cstheme="majorHAnsi"/>
          <w:bCs/>
          <w:iCs/>
          <w:sz w:val="24"/>
          <w:szCs w:val="24"/>
          <w:lang w:eastAsia="ru-RU"/>
        </w:rPr>
        <w:t xml:space="preserve"> </w:t>
      </w:r>
      <w:r w:rsidRPr="00E67099">
        <w:rPr>
          <w:rFonts w:asciiTheme="majorHAnsi" w:eastAsiaTheme="minorEastAsia" w:hAnsiTheme="majorHAnsi" w:cstheme="majorHAnsi"/>
          <w:bCs/>
          <w:i/>
          <w:iCs/>
          <w:sz w:val="24"/>
          <w:szCs w:val="24"/>
          <w:lang w:eastAsia="ru-RU"/>
        </w:rPr>
        <w:t xml:space="preserve">„Subsidii” </w:t>
      </w:r>
      <w:r w:rsidRPr="00E67099">
        <w:rPr>
          <w:rFonts w:asciiTheme="majorHAnsi" w:eastAsiaTheme="minorEastAsia" w:hAnsiTheme="majorHAnsi" w:cstheme="majorHAnsi"/>
          <w:bCs/>
          <w:iCs/>
          <w:sz w:val="24"/>
          <w:szCs w:val="24"/>
          <w:lang w:eastAsia="ru-RU"/>
        </w:rPr>
        <w:t xml:space="preserve">– cu 3,6%, sau (-146,9 mil. lei); </w:t>
      </w:r>
      <w:r w:rsidRPr="00E67099">
        <w:rPr>
          <w:rFonts w:asciiTheme="majorHAnsi" w:eastAsiaTheme="minorEastAsia" w:hAnsiTheme="majorHAnsi" w:cstheme="majorHAnsi"/>
          <w:bCs/>
          <w:i/>
          <w:iCs/>
          <w:sz w:val="24"/>
          <w:szCs w:val="24"/>
          <w:lang w:eastAsia="ru-RU"/>
        </w:rPr>
        <w:t>ii)</w:t>
      </w:r>
      <w:r w:rsidRPr="00E67099">
        <w:rPr>
          <w:rFonts w:asciiTheme="majorHAnsi" w:eastAsiaTheme="minorEastAsia" w:hAnsiTheme="majorHAnsi" w:cstheme="majorHAnsi"/>
          <w:bCs/>
          <w:iCs/>
          <w:sz w:val="24"/>
          <w:szCs w:val="24"/>
          <w:lang w:eastAsia="ru-RU"/>
        </w:rPr>
        <w:t xml:space="preserve"> </w:t>
      </w:r>
      <w:r w:rsidRPr="00E67099">
        <w:rPr>
          <w:rFonts w:asciiTheme="majorHAnsi" w:eastAsiaTheme="minorEastAsia" w:hAnsiTheme="majorHAnsi" w:cstheme="majorHAnsi"/>
          <w:bCs/>
          <w:i/>
          <w:iCs/>
          <w:sz w:val="24"/>
          <w:szCs w:val="24"/>
          <w:lang w:eastAsia="ru-RU"/>
        </w:rPr>
        <w:t>„Cheltuieli de personal”</w:t>
      </w:r>
      <w:r w:rsidRPr="00E67099">
        <w:rPr>
          <w:rFonts w:asciiTheme="majorHAnsi" w:eastAsiaTheme="minorEastAsia" w:hAnsiTheme="majorHAnsi" w:cstheme="majorHAnsi"/>
          <w:bCs/>
          <w:iCs/>
          <w:sz w:val="24"/>
          <w:szCs w:val="24"/>
          <w:lang w:eastAsia="ru-RU"/>
        </w:rPr>
        <w:t xml:space="preserve"> – cu 2,1%, sau (-136,4 mil. lei); </w:t>
      </w:r>
      <w:r w:rsidRPr="00E67099">
        <w:rPr>
          <w:rFonts w:asciiTheme="majorHAnsi" w:eastAsiaTheme="minorEastAsia" w:hAnsiTheme="majorHAnsi" w:cstheme="majorHAnsi"/>
          <w:bCs/>
          <w:i/>
          <w:iCs/>
          <w:sz w:val="24"/>
          <w:szCs w:val="24"/>
          <w:lang w:eastAsia="ru-RU"/>
        </w:rPr>
        <w:t>iii) „Bunuri și servicii”</w:t>
      </w:r>
      <w:r w:rsidRPr="00E67099">
        <w:rPr>
          <w:rFonts w:asciiTheme="majorHAnsi" w:eastAsiaTheme="minorEastAsia" w:hAnsiTheme="majorHAnsi" w:cstheme="majorHAnsi"/>
          <w:bCs/>
          <w:iCs/>
          <w:sz w:val="24"/>
          <w:szCs w:val="24"/>
          <w:lang w:eastAsia="ru-RU"/>
        </w:rPr>
        <w:t xml:space="preserve"> – cu 1,8%, sau (-31,0 mil. lei). </w:t>
      </w:r>
      <w:r w:rsidRPr="00E67099">
        <w:rPr>
          <w:rFonts w:asciiTheme="majorHAnsi" w:hAnsiTheme="majorHAnsi" w:cstheme="majorHAnsi"/>
          <w:i/>
          <w:sz w:val="24"/>
          <w:szCs w:val="24"/>
        </w:rPr>
        <w:t>Analiza executării în anul 2019 a cheltuielilor de casă ale bugetului de stat, în aspectul clasificației economice, comparativ cu anul 2018, se prezintă în Anexa nr.12 la prezentul Raport de audit.</w:t>
      </w:r>
    </w:p>
    <w:p w:rsidR="00E67099" w:rsidRPr="00E67099" w:rsidRDefault="00E67099" w:rsidP="00E67099">
      <w:pPr>
        <w:spacing w:after="0" w:line="276" w:lineRule="auto"/>
        <w:jc w:val="both"/>
        <w:rPr>
          <w:rFonts w:asciiTheme="majorHAnsi" w:eastAsia="Times New Roman" w:hAnsiTheme="majorHAnsi" w:cstheme="majorHAnsi"/>
          <w:color w:val="000000" w:themeColor="text1"/>
          <w:sz w:val="24"/>
          <w:szCs w:val="24"/>
          <w:lang w:val="ro-MD"/>
        </w:rPr>
      </w:pPr>
      <w:r w:rsidRPr="00E67099">
        <w:rPr>
          <w:rFonts w:asciiTheme="majorHAnsi" w:hAnsiTheme="majorHAnsi" w:cstheme="majorHAnsi"/>
          <w:color w:val="000000" w:themeColor="text1"/>
          <w:sz w:val="24"/>
          <w:szCs w:val="24"/>
          <w:lang w:val="ro-MD"/>
        </w:rPr>
        <w:t>În anul 2019, trimestrele II (11 360,1 mil. lei) și IV (12 451,9 mil. lei), cheltuielile și activele nefinanciare au atins cel mai înalt nivel. Din mijloacele finanțate în trimestrul IV în sumă de 12 451,9 mil. lei, în luna decembrie suma finanțată constituia 4 913,4 mil. lei, sau 11,4% din totalul cheltuielilor anuale executate. Aceste circumstanțe determină formarea creanțelor la finele anului, cu imobilizarea mijloacelor bugetare în gestiunea agenților economici prin intermediul conturilor deservite de instituțiile financiare.</w:t>
      </w:r>
    </w:p>
    <w:p w:rsidR="00E67099" w:rsidRPr="00E67099" w:rsidRDefault="00E67099" w:rsidP="00E67099">
      <w:pPr>
        <w:spacing w:after="0" w:line="276" w:lineRule="auto"/>
        <w:jc w:val="both"/>
        <w:rPr>
          <w:rFonts w:asciiTheme="majorHAnsi" w:eastAsiaTheme="minorEastAsia" w:hAnsiTheme="majorHAnsi" w:cstheme="majorHAnsi"/>
          <w:bCs/>
          <w:i/>
          <w:iCs/>
          <w:sz w:val="24"/>
          <w:szCs w:val="24"/>
          <w:lang w:eastAsia="ru-RU"/>
        </w:rPr>
      </w:pPr>
      <w:r w:rsidRPr="00E67099">
        <w:rPr>
          <w:rFonts w:asciiTheme="majorHAnsi" w:eastAsiaTheme="minorEastAsia" w:hAnsiTheme="majorHAnsi" w:cstheme="majorHAnsi"/>
          <w:bCs/>
          <w:iCs/>
          <w:sz w:val="24"/>
          <w:szCs w:val="24"/>
          <w:lang w:eastAsia="ru-RU"/>
        </w:rPr>
        <w:t xml:space="preserve">Auditul relevă că ponderea majoră în totalul cheltuielilor BS, </w:t>
      </w:r>
      <w:r w:rsidRPr="00E67099">
        <w:rPr>
          <w:rFonts w:asciiTheme="majorHAnsi" w:eastAsia="Times New Roman" w:hAnsiTheme="majorHAnsi" w:cstheme="majorHAnsi"/>
          <w:color w:val="000000" w:themeColor="text1"/>
          <w:sz w:val="24"/>
          <w:szCs w:val="24"/>
          <w:lang w:val="ro-MD"/>
        </w:rPr>
        <w:t xml:space="preserve">conform clasificației funcționale, </w:t>
      </w:r>
      <w:r w:rsidRPr="00E67099">
        <w:rPr>
          <w:rFonts w:asciiTheme="majorHAnsi" w:eastAsiaTheme="minorEastAsia" w:hAnsiTheme="majorHAnsi" w:cstheme="majorHAnsi"/>
          <w:bCs/>
          <w:iCs/>
          <w:sz w:val="24"/>
          <w:szCs w:val="24"/>
          <w:lang w:eastAsia="ru-RU"/>
        </w:rPr>
        <w:t>revine cheltuielilor executate pentru „Învățământ” – 25,6%, sau 11 045,6 mil. lei, fiind urmate de cele pentru „Protecție socială” – 20,3%, sau 8 762,7 mil. lei, și „Servicii de stat cu destinație generală” – 16,6%, sau 7 147,8 mil. lei.</w:t>
      </w:r>
      <w:r w:rsidRPr="00E67099">
        <w:rPr>
          <w:rFonts w:asciiTheme="majorHAnsi" w:eastAsiaTheme="minorEastAsia" w:hAnsiTheme="majorHAnsi" w:cstheme="majorHAnsi"/>
          <w:bCs/>
          <w:i/>
          <w:iCs/>
          <w:sz w:val="24"/>
          <w:szCs w:val="24"/>
          <w:lang w:eastAsia="ru-RU"/>
        </w:rPr>
        <w:t xml:space="preserve"> Analiza auditului privind ponderea cheltuielilor bugetului de stat, în aspect funcțional, </w:t>
      </w:r>
      <w:r w:rsidRPr="00E67099">
        <w:rPr>
          <w:rFonts w:asciiTheme="majorHAnsi" w:eastAsia="Times New Roman" w:hAnsiTheme="majorHAnsi" w:cstheme="majorHAnsi"/>
          <w:i/>
          <w:sz w:val="24"/>
          <w:szCs w:val="24"/>
          <w:lang w:eastAsia="ru-RU"/>
        </w:rPr>
        <w:t>se prezintă în Anexa nr.13 la prezentul Raport de audit.</w:t>
      </w:r>
    </w:p>
    <w:p w:rsidR="00E67099" w:rsidRPr="00E67099" w:rsidRDefault="00E67099" w:rsidP="00E67099">
      <w:pPr>
        <w:spacing w:after="0" w:line="276" w:lineRule="auto"/>
        <w:contextualSpacing/>
        <w:jc w:val="both"/>
        <w:rPr>
          <w:rFonts w:asciiTheme="majorHAnsi" w:eastAsiaTheme="minorEastAsia" w:hAnsiTheme="majorHAnsi" w:cstheme="majorHAnsi"/>
          <w:bCs/>
          <w:iCs/>
          <w:sz w:val="24"/>
          <w:szCs w:val="24"/>
          <w:lang w:eastAsia="ru-RU"/>
        </w:rPr>
      </w:pPr>
      <w:r w:rsidRPr="00E67099">
        <w:rPr>
          <w:rFonts w:asciiTheme="majorHAnsi" w:eastAsiaTheme="minorEastAsia" w:hAnsiTheme="majorHAnsi" w:cstheme="majorHAnsi"/>
          <w:bCs/>
          <w:iCs/>
          <w:sz w:val="24"/>
          <w:szCs w:val="24"/>
          <w:lang w:eastAsia="ru-RU"/>
        </w:rPr>
        <w:t>Cel mai scăzut nivel de realizare a cheltuielilor precizate pe an se atestă la „Protecția mediului” (62,9%), „Gospodăria de locuințe și gospodăria serviciilor comunale” (77,4%)</w:t>
      </w:r>
      <w:r w:rsidRPr="00E67099">
        <w:rPr>
          <w:rFonts w:asciiTheme="majorHAnsi" w:eastAsia="Times New Roman" w:hAnsiTheme="majorHAnsi" w:cstheme="majorHAnsi"/>
          <w:sz w:val="24"/>
          <w:szCs w:val="24"/>
          <w:lang w:eastAsia="ru-RU"/>
        </w:rPr>
        <w:t xml:space="preserve"> </w:t>
      </w:r>
      <w:r w:rsidRPr="00E67099">
        <w:rPr>
          <w:rFonts w:asciiTheme="majorHAnsi" w:eastAsiaTheme="minorEastAsia" w:hAnsiTheme="majorHAnsi" w:cstheme="majorHAnsi"/>
          <w:bCs/>
          <w:iCs/>
          <w:sz w:val="24"/>
          <w:szCs w:val="24"/>
          <w:lang w:eastAsia="ru-RU"/>
        </w:rPr>
        <w:t>și „</w:t>
      </w:r>
      <w:r w:rsidRPr="00E67099">
        <w:rPr>
          <w:rFonts w:asciiTheme="majorHAnsi" w:eastAsia="Times New Roman" w:hAnsiTheme="majorHAnsi" w:cstheme="majorHAnsi"/>
          <w:sz w:val="24"/>
          <w:szCs w:val="24"/>
          <w:lang w:eastAsia="ru-RU"/>
        </w:rPr>
        <w:t>Serviciile în domeniul economiei” (88,2%).</w:t>
      </w:r>
    </w:p>
    <w:p w:rsidR="00E67099" w:rsidRPr="00E67099" w:rsidRDefault="00E67099" w:rsidP="00E67099">
      <w:pPr>
        <w:shd w:val="clear" w:color="auto" w:fill="FFFFFF" w:themeFill="background1"/>
        <w:tabs>
          <w:tab w:val="left" w:pos="284"/>
          <w:tab w:val="left" w:pos="993"/>
          <w:tab w:val="left" w:pos="6663"/>
        </w:tabs>
        <w:spacing w:after="0" w:line="276" w:lineRule="auto"/>
        <w:jc w:val="both"/>
        <w:rPr>
          <w:rFonts w:asciiTheme="majorHAnsi" w:eastAsia="Times New Roman" w:hAnsiTheme="majorHAnsi" w:cstheme="majorHAnsi"/>
          <w:sz w:val="24"/>
          <w:szCs w:val="24"/>
          <w:lang w:eastAsia="ru-RU"/>
        </w:rPr>
      </w:pPr>
      <w:r w:rsidRPr="00E67099">
        <w:rPr>
          <w:rFonts w:asciiTheme="majorHAnsi" w:eastAsiaTheme="minorEastAsia" w:hAnsiTheme="majorHAnsi" w:cstheme="majorHAnsi"/>
          <w:bCs/>
          <w:iCs/>
          <w:sz w:val="24"/>
          <w:szCs w:val="24"/>
          <w:lang w:eastAsia="ru-RU"/>
        </w:rPr>
        <w:t>Comparând cheltuielile executate în anul 2019, față de anul 2018, se observă că cele mai semnificative creșteri au fost înregistrate la „Protecția mediului” – cu 34,4%, sau 34,2 mil. lei, urmate de cele executate la capitolele „</w:t>
      </w:r>
      <w:r w:rsidRPr="00E67099">
        <w:rPr>
          <w:rFonts w:asciiTheme="majorHAnsi" w:eastAsia="Times New Roman" w:hAnsiTheme="majorHAnsi" w:cstheme="majorHAnsi"/>
          <w:sz w:val="24"/>
          <w:szCs w:val="24"/>
          <w:lang w:eastAsia="ru-RU"/>
        </w:rPr>
        <w:t>Servicii de stat cu destinație generală” – cu 20,6%, sau 1 220,9 mil. lei, și „Protecție socială” – cu 17,8%, sau 1 326,6 mil. lei.</w:t>
      </w:r>
    </w:p>
    <w:p w:rsidR="00E67099" w:rsidRPr="00E67099" w:rsidRDefault="00E67099" w:rsidP="00E67099">
      <w:pPr>
        <w:shd w:val="clear" w:color="auto" w:fill="FFFFFF" w:themeFill="background1"/>
        <w:tabs>
          <w:tab w:val="left" w:pos="284"/>
          <w:tab w:val="left" w:pos="993"/>
          <w:tab w:val="left" w:pos="6663"/>
        </w:tabs>
        <w:spacing w:after="0" w:line="276" w:lineRule="auto"/>
        <w:jc w:val="both"/>
        <w:rPr>
          <w:rFonts w:asciiTheme="majorHAnsi" w:eastAsia="Times New Roman" w:hAnsiTheme="majorHAnsi" w:cstheme="majorHAnsi"/>
          <w:b/>
          <w:sz w:val="28"/>
          <w:szCs w:val="28"/>
        </w:rPr>
      </w:pPr>
      <w:r w:rsidRPr="00E67099">
        <w:rPr>
          <w:rFonts w:asciiTheme="majorHAnsi" w:eastAsiaTheme="minorEastAsia" w:hAnsiTheme="majorHAnsi" w:cstheme="majorHAnsi"/>
          <w:bCs/>
          <w:iCs/>
          <w:sz w:val="24"/>
          <w:szCs w:val="24"/>
          <w:lang w:eastAsia="ru-RU"/>
        </w:rPr>
        <w:t>Concomitent, cheltuielile pentru „</w:t>
      </w:r>
      <w:r w:rsidRPr="00E67099">
        <w:rPr>
          <w:rFonts w:asciiTheme="majorHAnsi" w:eastAsia="Times New Roman" w:hAnsiTheme="majorHAnsi" w:cstheme="majorHAnsi"/>
          <w:sz w:val="24"/>
          <w:szCs w:val="24"/>
          <w:lang w:eastAsia="ru-RU"/>
        </w:rPr>
        <w:t>Gospodăria de locuințe și gospodăria serviciilor comunale</w:t>
      </w:r>
      <w:r w:rsidRPr="00E67099">
        <w:rPr>
          <w:rFonts w:asciiTheme="majorHAnsi" w:eastAsiaTheme="minorEastAsia" w:hAnsiTheme="majorHAnsi" w:cstheme="majorHAnsi"/>
          <w:bCs/>
          <w:iCs/>
          <w:sz w:val="24"/>
          <w:szCs w:val="24"/>
          <w:lang w:eastAsia="ru-RU"/>
        </w:rPr>
        <w:t>” s-au diminuat cu 79,7 mil. lei, sau cu 21,4%, pentru „</w:t>
      </w:r>
      <w:r w:rsidRPr="00E67099">
        <w:rPr>
          <w:rFonts w:asciiTheme="majorHAnsi" w:eastAsia="Times New Roman" w:hAnsiTheme="majorHAnsi" w:cstheme="majorHAnsi"/>
          <w:sz w:val="24"/>
          <w:szCs w:val="24"/>
          <w:lang w:eastAsia="ru-RU"/>
        </w:rPr>
        <w:t>Ordine publică și securitate națională” – cu 53,0 mil. lei, sau cu 1,2%, și pentru „Apărare națională” – cu 33,2 mil. lei, sau cu 5,3%.</w:t>
      </w:r>
      <w:r w:rsidRPr="00E67099">
        <w:rPr>
          <w:rFonts w:asciiTheme="majorHAnsi" w:eastAsia="Times New Roman" w:hAnsiTheme="majorHAnsi" w:cstheme="majorHAnsi"/>
          <w:b/>
          <w:sz w:val="28"/>
          <w:szCs w:val="28"/>
        </w:rPr>
        <w:t xml:space="preserve"> </w:t>
      </w:r>
    </w:p>
    <w:p w:rsidR="00E67099" w:rsidRPr="00E67099" w:rsidRDefault="00E67099" w:rsidP="00E67099">
      <w:pPr>
        <w:tabs>
          <w:tab w:val="left" w:pos="0"/>
          <w:tab w:val="left" w:pos="426"/>
          <w:tab w:val="left" w:pos="1134"/>
        </w:tabs>
        <w:spacing w:after="0" w:line="276" w:lineRule="auto"/>
        <w:jc w:val="both"/>
        <w:rPr>
          <w:rFonts w:asciiTheme="majorHAnsi" w:eastAsia="Times New Roman" w:hAnsiTheme="majorHAnsi" w:cstheme="majorHAnsi"/>
          <w:bCs/>
          <w:iCs/>
          <w:sz w:val="24"/>
          <w:szCs w:val="24"/>
          <w:lang w:val="ro-MD"/>
        </w:rPr>
      </w:pPr>
      <w:r w:rsidRPr="00E67099">
        <w:rPr>
          <w:rFonts w:asciiTheme="majorHAnsi" w:eastAsia="Times New Roman" w:hAnsiTheme="majorHAnsi" w:cstheme="majorHAnsi"/>
          <w:bCs/>
          <w:iCs/>
          <w:sz w:val="24"/>
          <w:szCs w:val="24"/>
          <w:lang w:val="ro-MD"/>
        </w:rPr>
        <w:t>Referitor la finanțarea de la poziția „Granturi acordate”</w:t>
      </w:r>
      <w:r w:rsidRPr="00E67099">
        <w:rPr>
          <w:rFonts w:asciiTheme="majorHAnsi" w:eastAsia="Times New Roman" w:hAnsiTheme="majorHAnsi" w:cstheme="majorHAnsi"/>
          <w:bCs/>
          <w:iCs/>
          <w:sz w:val="24"/>
          <w:szCs w:val="24"/>
          <w:vertAlign w:val="superscript"/>
          <w:lang w:val="ro-MD"/>
        </w:rPr>
        <w:footnoteReference w:id="31"/>
      </w:r>
      <w:r w:rsidRPr="00E67099">
        <w:rPr>
          <w:rFonts w:asciiTheme="majorHAnsi" w:eastAsia="Times New Roman" w:hAnsiTheme="majorHAnsi" w:cstheme="majorHAnsi"/>
          <w:bCs/>
          <w:iCs/>
          <w:sz w:val="24"/>
          <w:szCs w:val="24"/>
          <w:lang w:val="ro-MD"/>
        </w:rPr>
        <w:t>,</w:t>
      </w:r>
      <w:r w:rsidRPr="00E67099">
        <w:rPr>
          <w:rFonts w:asciiTheme="majorHAnsi" w:eastAsia="Times New Roman" w:hAnsiTheme="majorHAnsi" w:cstheme="majorHAnsi"/>
          <w:sz w:val="24"/>
          <w:szCs w:val="24"/>
          <w:lang w:val="ro-MD"/>
        </w:rPr>
        <w:t xml:space="preserve"> </w:t>
      </w:r>
      <w:r w:rsidRPr="00E67099">
        <w:rPr>
          <w:rFonts w:asciiTheme="majorHAnsi" w:hAnsiTheme="majorHAnsi" w:cstheme="majorHAnsi"/>
          <w:sz w:val="24"/>
          <w:szCs w:val="24"/>
          <w:lang w:val="ro-MD"/>
        </w:rPr>
        <w:t xml:space="preserve">auditul a constatat că MECC a acordat granturi instituțiilor publice teatrale și concertistice în sumă de 16,2 mil. lei, deși conform clasificației bugetare acestea se încadrează în noțiunea de subsidii, ca </w:t>
      </w:r>
      <w:r w:rsidRPr="00E67099">
        <w:rPr>
          <w:rFonts w:asciiTheme="majorHAnsi" w:eastAsia="Times New Roman" w:hAnsiTheme="majorHAnsi" w:cstheme="majorHAnsi"/>
          <w:sz w:val="24"/>
          <w:szCs w:val="24"/>
          <w:lang w:val="ro-MD"/>
        </w:rPr>
        <w:t>plăți nerambursabile achitate întreprinderilor producătoare sau prestatoare de servicii, cu scopul de a influența prețurile de livrare.</w:t>
      </w:r>
      <w:r w:rsidRPr="00E67099">
        <w:rPr>
          <w:rFonts w:asciiTheme="majorHAnsi" w:hAnsiTheme="majorHAnsi" w:cstheme="majorHAnsi"/>
          <w:sz w:val="24"/>
          <w:szCs w:val="24"/>
          <w:lang w:val="ro-MD"/>
        </w:rPr>
        <w:t xml:space="preserve"> </w:t>
      </w:r>
    </w:p>
    <w:p w:rsidR="00E67099" w:rsidRPr="00E67099" w:rsidRDefault="00E67099" w:rsidP="00E67099">
      <w:pPr>
        <w:tabs>
          <w:tab w:val="left" w:pos="142"/>
        </w:tabs>
        <w:spacing w:after="0" w:line="276" w:lineRule="auto"/>
        <w:contextualSpacing/>
        <w:jc w:val="both"/>
        <w:rPr>
          <w:rFonts w:asciiTheme="majorHAnsi" w:hAnsiTheme="majorHAnsi" w:cstheme="majorHAnsi"/>
          <w:sz w:val="24"/>
          <w:szCs w:val="24"/>
          <w:lang w:val="ro-MD"/>
        </w:rPr>
      </w:pPr>
      <w:r w:rsidRPr="00E67099">
        <w:rPr>
          <w:rFonts w:asciiTheme="majorHAnsi" w:eastAsia="Times New Roman" w:hAnsiTheme="majorHAnsi" w:cstheme="majorHAnsi"/>
          <w:bCs/>
          <w:sz w:val="24"/>
          <w:szCs w:val="24"/>
          <w:lang w:val="ro-MD"/>
        </w:rPr>
        <w:t>Totodată, contrar legii bugetare anuale,</w:t>
      </w:r>
      <w:r w:rsidRPr="00E67099">
        <w:rPr>
          <w:rFonts w:asciiTheme="majorHAnsi" w:eastAsia="Times New Roman" w:hAnsiTheme="majorHAnsi" w:cstheme="majorHAnsi"/>
          <w:b/>
          <w:bCs/>
          <w:sz w:val="24"/>
          <w:szCs w:val="24"/>
          <w:lang w:val="ro-MD"/>
        </w:rPr>
        <w:t xml:space="preserve"> </w:t>
      </w:r>
      <w:r w:rsidRPr="00E67099">
        <w:rPr>
          <w:rFonts w:asciiTheme="majorHAnsi" w:hAnsiTheme="majorHAnsi" w:cstheme="majorHAnsi"/>
          <w:sz w:val="24"/>
          <w:szCs w:val="24"/>
          <w:lang w:val="ro-MD"/>
        </w:rPr>
        <w:t xml:space="preserve">MECC a transferat Muzeului de istorie a evreilor din RM mijloace în sumă de 1,4 mil. lei, entitate care nu se regăsește în Lista instituțiilor ce primesc mijloace financiare de la BPN (Anexa nr.8 la Legea bugetului de stat pentru anul 2019). </w:t>
      </w:r>
      <w:r w:rsidRPr="00E67099">
        <w:rPr>
          <w:rFonts w:asciiTheme="majorHAnsi" w:eastAsia="Times New Roman" w:hAnsiTheme="majorHAnsi" w:cstheme="majorHAnsi"/>
          <w:sz w:val="24"/>
          <w:szCs w:val="24"/>
          <w:lang w:val="ro-MD"/>
        </w:rPr>
        <w:t>Î</w:t>
      </w:r>
      <w:r w:rsidRPr="00E67099">
        <w:rPr>
          <w:rFonts w:asciiTheme="majorHAnsi" w:eastAsia="Times New Roman" w:hAnsiTheme="majorHAnsi" w:cstheme="majorHAnsi"/>
          <w:sz w:val="24"/>
          <w:szCs w:val="24"/>
        </w:rPr>
        <w:t>n baza prevederilor Hotărârii Guvernului nr.1019 din 17.10.2018 „Cu privire la înființarea Muzeului de istorie a evreilor din Republica Moldova”, a fost înființată IP „Muzeul de istorie a evreilor din RM”, care funcționează în regim de autogestiune financiar-economică și care deține conturi în CUT al MF.</w:t>
      </w:r>
      <w:r w:rsidRPr="00E67099">
        <w:rPr>
          <w:rFonts w:asciiTheme="majorHAnsi" w:hAnsiTheme="majorHAnsi" w:cstheme="majorHAnsi"/>
          <w:sz w:val="24"/>
          <w:szCs w:val="24"/>
          <w:lang w:val="ro-MD"/>
        </w:rPr>
        <w:t xml:space="preserve"> Potrivit motivației MF, subsidiile acordate instituțiilor teatrale și concertistice sunt pentru efectuarea reparațiilor capitale, iar alocațiile de 1,4 mil. lei au fost pentru crearea și funcționarea Muzeului respectiv.</w:t>
      </w:r>
    </w:p>
    <w:p w:rsidR="00E67099" w:rsidRPr="00E67099" w:rsidRDefault="00E67099" w:rsidP="00E67099">
      <w:pPr>
        <w:spacing w:after="0" w:line="276" w:lineRule="auto"/>
        <w:jc w:val="both"/>
        <w:rPr>
          <w:rFonts w:asciiTheme="majorHAnsi" w:hAnsiTheme="majorHAnsi" w:cstheme="majorHAnsi"/>
          <w:b/>
          <w:i/>
          <w:sz w:val="24"/>
          <w:szCs w:val="24"/>
        </w:rPr>
      </w:pPr>
      <w:r w:rsidRPr="00E67099">
        <w:rPr>
          <w:rFonts w:asciiTheme="majorHAnsi" w:hAnsiTheme="majorHAnsi" w:cstheme="majorHAnsi"/>
          <w:b/>
          <w:i/>
          <w:sz w:val="24"/>
          <w:szCs w:val="24"/>
        </w:rPr>
        <w:t>4.3.1 Costul total pentru i</w:t>
      </w:r>
      <w:r w:rsidRPr="00E67099">
        <w:rPr>
          <w:rFonts w:asciiTheme="majorHAnsi" w:eastAsia="Times New Roman" w:hAnsiTheme="majorHAnsi" w:cstheme="majorHAnsi"/>
          <w:b/>
          <w:i/>
          <w:sz w:val="24"/>
          <w:szCs w:val="24"/>
        </w:rPr>
        <w:t>mplementarea noii Legi privind sistemul unitar de salarizare în sectorul bugetar a constituit 1 296,2 mil. lei, nefiind valorificate 228,0 mil. lei, fiind stabilită incoerența între limitele aprobate și cele precizate în Legea BS pe anul 2019</w:t>
      </w:r>
    </w:p>
    <w:p w:rsidR="00E67099" w:rsidRPr="00E67099" w:rsidRDefault="00E67099" w:rsidP="00E67099">
      <w:pPr>
        <w:spacing w:after="0" w:line="276" w:lineRule="auto"/>
        <w:jc w:val="both"/>
        <w:rPr>
          <w:rFonts w:asciiTheme="majorHAnsi" w:eastAsia="Times New Roman" w:hAnsiTheme="majorHAnsi" w:cstheme="majorHAnsi"/>
          <w:sz w:val="24"/>
          <w:szCs w:val="24"/>
        </w:rPr>
      </w:pPr>
      <w:r w:rsidRPr="00E67099">
        <w:rPr>
          <w:rFonts w:asciiTheme="majorHAnsi" w:eastAsia="Times New Roman" w:hAnsiTheme="majorHAnsi" w:cstheme="majorHAnsi"/>
          <w:sz w:val="24"/>
          <w:szCs w:val="24"/>
        </w:rPr>
        <w:t>În anul 2019 a fost implementată o nouă lege privind sistemul unitar de salarizare</w:t>
      </w:r>
      <w:r w:rsidRPr="00E67099">
        <w:rPr>
          <w:rFonts w:asciiTheme="majorHAnsi" w:eastAsia="Times New Roman" w:hAnsiTheme="majorHAnsi" w:cstheme="majorHAnsi"/>
          <w:sz w:val="24"/>
          <w:szCs w:val="24"/>
          <w:vertAlign w:val="superscript"/>
        </w:rPr>
        <w:footnoteReference w:id="32"/>
      </w:r>
      <w:r w:rsidRPr="00E67099">
        <w:rPr>
          <w:rFonts w:asciiTheme="majorHAnsi" w:eastAsia="Times New Roman" w:hAnsiTheme="majorHAnsi" w:cstheme="majorHAnsi"/>
          <w:sz w:val="24"/>
          <w:szCs w:val="24"/>
        </w:rPr>
        <w:t>, menită să asigure creșterea sustenabilă a salariilor angajaților. Potrivit Anexei nr.5 la Legea BS pentru anul 2019 „Volumul cheltuielilor de personal pe APC”, au fost aprobate inițial cheltuieli de personal (43 APC și Acțiuni generale) în sumă de 7 226,7 mil. lei, ulterior la rectificare au fost majorate cu 54,3 mil. lei (7 281,0 mil. lei). Conform art.18 din Legea BS pentru anul 2019, MF a modificat spre micșorare suma aprobată prin Lege, cu 499,6 mil. lei, suma precizată fiind de 6 781,4 mil. lei.</w:t>
      </w:r>
    </w:p>
    <w:p w:rsidR="00E67099" w:rsidRPr="00E67099" w:rsidRDefault="00E67099" w:rsidP="00E67099">
      <w:pPr>
        <w:spacing w:after="0" w:line="276" w:lineRule="auto"/>
        <w:jc w:val="both"/>
        <w:rPr>
          <w:rFonts w:asciiTheme="majorHAnsi" w:eastAsia="Times New Roman" w:hAnsiTheme="majorHAnsi" w:cstheme="majorHAnsi"/>
          <w:sz w:val="24"/>
          <w:szCs w:val="24"/>
        </w:rPr>
      </w:pPr>
      <w:r w:rsidRPr="00E67099">
        <w:rPr>
          <w:rFonts w:asciiTheme="majorHAnsi" w:eastAsia="Times New Roman" w:hAnsiTheme="majorHAnsi" w:cstheme="majorHAnsi"/>
          <w:sz w:val="24"/>
          <w:szCs w:val="24"/>
        </w:rPr>
        <w:t>Ca urmare a verificărilor auditului, s-a constatat că la APC au fost executate cheltuieli de personal în sumă de 6 465,3 mil. lei, în limita precizată (6 553,4 mil. lei) și în limita aprobată inițial (7 226,7 mil. lei), nefiind valorificate alocațiile precizate (88,1 mil. lei) și alocațiile aprobate (761,4 mil. lei). Totodată, din 43 de APC, 26 s-au încadrat în limita de alocații aprobată inițial prin Legea bugetară anuală, iar 17 APC au executat cheltuieli de personal mai mult față de aprobat inițial, cu 129,6 mil. lei, din care: Agenția Națională Antidoping (+62,4%), CEC (+33,7%), SIS (+29,0%), Centrul Serviciului Civil (+28,9%), Agenția „</w:t>
      </w:r>
      <w:r w:rsidRPr="00E577D8">
        <w:rPr>
          <w:rFonts w:asciiTheme="majorHAnsi" w:eastAsia="Times New Roman" w:hAnsiTheme="majorHAnsi" w:cstheme="majorHAnsi"/>
          <w:sz w:val="24"/>
          <w:szCs w:val="24"/>
        </w:rPr>
        <w:t>Moldsilva” (+27,6%) etc</w:t>
      </w:r>
      <w:r w:rsidRPr="00E67099">
        <w:rPr>
          <w:rFonts w:asciiTheme="majorHAnsi" w:eastAsia="Times New Roman" w:hAnsiTheme="majorHAnsi" w:cstheme="majorHAnsi"/>
          <w:sz w:val="24"/>
          <w:szCs w:val="24"/>
        </w:rPr>
        <w:t>.</w:t>
      </w:r>
      <w:r w:rsidRPr="00E67099">
        <w:rPr>
          <w:rFonts w:asciiTheme="majorHAnsi" w:eastAsia="Times New Roman" w:hAnsiTheme="majorHAnsi" w:cstheme="majorHAnsi"/>
          <w:i/>
          <w:sz w:val="24"/>
          <w:szCs w:val="24"/>
        </w:rPr>
        <w:t xml:space="preserve"> Informația privind volumul cheltuielilor de personal pe APC aprobat, precizat și executat în anul 2019 (Anexa nr.5 La Legea BS pentru anul 2019) se prezintă în Anexa nr.14 la prezentul Raport de audit.</w:t>
      </w:r>
    </w:p>
    <w:p w:rsidR="00E67099" w:rsidRPr="00E67099" w:rsidRDefault="00E67099" w:rsidP="00E67099">
      <w:pPr>
        <w:spacing w:after="0" w:line="276" w:lineRule="auto"/>
        <w:jc w:val="both"/>
        <w:rPr>
          <w:rFonts w:asciiTheme="majorHAnsi" w:eastAsia="Times New Roman" w:hAnsiTheme="majorHAnsi" w:cstheme="majorHAnsi"/>
          <w:sz w:val="24"/>
          <w:szCs w:val="24"/>
        </w:rPr>
      </w:pPr>
      <w:r w:rsidRPr="00E67099">
        <w:rPr>
          <w:rFonts w:asciiTheme="majorHAnsi" w:eastAsia="Times New Roman" w:hAnsiTheme="majorHAnsi" w:cstheme="majorHAnsi"/>
          <w:i/>
          <w:sz w:val="24"/>
          <w:szCs w:val="24"/>
        </w:rPr>
        <w:t>La acțiuni generale, au fost aprobate alocații</w:t>
      </w:r>
      <w:r w:rsidRPr="00E67099">
        <w:rPr>
          <w:rFonts w:asciiTheme="majorHAnsi" w:eastAsia="Times New Roman" w:hAnsiTheme="majorHAnsi" w:cstheme="majorHAnsi"/>
          <w:i/>
          <w:sz w:val="24"/>
          <w:szCs w:val="24"/>
          <w:vertAlign w:val="superscript"/>
        </w:rPr>
        <w:footnoteReference w:id="33"/>
      </w:r>
      <w:r w:rsidRPr="00E67099">
        <w:rPr>
          <w:rFonts w:asciiTheme="majorHAnsi" w:eastAsia="Times New Roman" w:hAnsiTheme="majorHAnsi" w:cstheme="majorHAnsi"/>
          <w:i/>
          <w:sz w:val="24"/>
          <w:szCs w:val="24"/>
        </w:rPr>
        <w:t xml:space="preserve"> din BS pentru implementarea sistemului unitar de salarizare în sectorul bugetar</w:t>
      </w:r>
      <w:r w:rsidRPr="00E67099">
        <w:rPr>
          <w:rFonts w:asciiTheme="majorHAnsi" w:eastAsia="Times New Roman" w:hAnsiTheme="majorHAnsi" w:cstheme="majorHAnsi"/>
          <w:sz w:val="24"/>
          <w:szCs w:val="24"/>
        </w:rPr>
        <w:t xml:space="preserve"> în sumă de 646,7 mil. lei, ulterior la rectificare fiind suplimentate alocațiile cu 718,5 mil. lei (1 365,2 mil. lei), suma precizată în Legea bugetară anuală constituind 760,5 mil. lei. Repartizarea acestor alocații a fost efectuată prin 8 Hotărâri de Guvern,</w:t>
      </w:r>
      <w:r w:rsidR="001809F5">
        <w:rPr>
          <w:rFonts w:asciiTheme="majorHAnsi" w:eastAsia="Times New Roman" w:hAnsiTheme="majorHAnsi" w:cstheme="majorHAnsi"/>
          <w:sz w:val="24"/>
          <w:szCs w:val="24"/>
        </w:rPr>
        <w:t xml:space="preserve"> </w:t>
      </w:r>
      <w:r w:rsidRPr="00E67099">
        <w:rPr>
          <w:rFonts w:asciiTheme="majorHAnsi" w:eastAsia="Times New Roman" w:hAnsiTheme="majorHAnsi" w:cstheme="majorHAnsi"/>
          <w:sz w:val="24"/>
          <w:szCs w:val="24"/>
        </w:rPr>
        <w:t>în sumă totală de 916,8 mil. lei, din care 41,8 mil. lei – la APC, și 875,0 mil. lei – la APL, nefiind distribuite alocații în sumă de 228,0 mil. lei. Astfel, auditul constată o incoerență între limitele aprobate și cele rectificate în Legea bugetară anuală.</w:t>
      </w:r>
    </w:p>
    <w:p w:rsidR="00E67099" w:rsidRPr="00E577D8" w:rsidRDefault="00E67099" w:rsidP="00E67099">
      <w:pPr>
        <w:spacing w:after="0" w:line="276" w:lineRule="auto"/>
        <w:jc w:val="both"/>
        <w:rPr>
          <w:rFonts w:asciiTheme="majorHAnsi" w:eastAsia="Times New Roman" w:hAnsiTheme="majorHAnsi" w:cstheme="majorHAnsi"/>
          <w:sz w:val="24"/>
          <w:szCs w:val="24"/>
        </w:rPr>
      </w:pPr>
      <w:r w:rsidRPr="00E67099">
        <w:rPr>
          <w:rFonts w:asciiTheme="majorHAnsi" w:eastAsia="Times New Roman" w:hAnsiTheme="majorHAnsi" w:cstheme="majorHAnsi"/>
          <w:sz w:val="24"/>
          <w:szCs w:val="24"/>
        </w:rPr>
        <w:t>Totodată, la rectificarea BS au fost aprobate alocații</w:t>
      </w:r>
      <w:r w:rsidRPr="00E67099">
        <w:rPr>
          <w:rFonts w:asciiTheme="majorHAnsi" w:eastAsia="Times New Roman" w:hAnsiTheme="majorHAnsi" w:cstheme="majorHAnsi"/>
          <w:sz w:val="24"/>
          <w:szCs w:val="24"/>
          <w:vertAlign w:val="superscript"/>
        </w:rPr>
        <w:footnoteReference w:id="34"/>
      </w:r>
      <w:r w:rsidRPr="00E67099">
        <w:rPr>
          <w:rFonts w:asciiTheme="majorHAnsi" w:eastAsia="Times New Roman" w:hAnsiTheme="majorHAnsi" w:cstheme="majorHAnsi"/>
          <w:sz w:val="24"/>
          <w:szCs w:val="24"/>
        </w:rPr>
        <w:t xml:space="preserve"> în sumă de 108,1 mil. lei la bugetele locale, pentru acoperirea parțială a cheltuielilor aferente domeniilor proprii de activitate în vederea implementării prevederilor Legii nr.270/2018. </w:t>
      </w:r>
      <w:r w:rsidRPr="00E577D8">
        <w:rPr>
          <w:rFonts w:asciiTheme="majorHAnsi" w:eastAsia="Times New Roman" w:hAnsiTheme="majorHAnsi" w:cstheme="majorHAnsi"/>
          <w:sz w:val="24"/>
          <w:szCs w:val="24"/>
        </w:rPr>
        <w:t>Suplimentar, din TDS din Anexa nr.7 la Legea BS au fost transferate de către MF pentru executarea cheltuielilor de personal  în sumă de 271,2 mil. lei.</w:t>
      </w:r>
    </w:p>
    <w:p w:rsidR="00E67099" w:rsidRPr="00E67099" w:rsidRDefault="00E67099" w:rsidP="00E67099">
      <w:pPr>
        <w:spacing w:after="0" w:line="276" w:lineRule="auto"/>
        <w:jc w:val="both"/>
        <w:rPr>
          <w:rFonts w:asciiTheme="majorHAnsi" w:eastAsia="Times New Roman" w:hAnsiTheme="majorHAnsi" w:cstheme="majorHAnsi"/>
          <w:sz w:val="24"/>
          <w:szCs w:val="24"/>
        </w:rPr>
      </w:pPr>
      <w:r w:rsidRPr="00E577D8">
        <w:rPr>
          <w:rFonts w:asciiTheme="majorHAnsi" w:eastAsia="Times New Roman" w:hAnsiTheme="majorHAnsi" w:cstheme="majorHAnsi"/>
          <w:i/>
          <w:sz w:val="24"/>
          <w:szCs w:val="24"/>
        </w:rPr>
        <w:t>Astfel, din totalul alocațiilor din BS (1 744,5 mil. lei), pentru implementarea sistemului unitar</w:t>
      </w:r>
      <w:r w:rsidRPr="00E67099">
        <w:rPr>
          <w:rFonts w:asciiTheme="majorHAnsi" w:eastAsia="Times New Roman" w:hAnsiTheme="majorHAnsi" w:cstheme="majorHAnsi"/>
          <w:i/>
          <w:sz w:val="24"/>
          <w:szCs w:val="24"/>
        </w:rPr>
        <w:t xml:space="preserve"> de salarizare în sectorul bugetar, în anul 2019 au fost executate cheltuieli de personal suplimentare în sumă totală de 1 296,2 mil. lei,</w:t>
      </w:r>
      <w:r w:rsidRPr="00E67099">
        <w:rPr>
          <w:rFonts w:asciiTheme="majorHAnsi" w:eastAsia="Times New Roman" w:hAnsiTheme="majorHAnsi" w:cstheme="majorHAnsi"/>
          <w:sz w:val="24"/>
          <w:szCs w:val="24"/>
        </w:rPr>
        <w:t xml:space="preserve"> din care: 1 254,4 mil. lei – de către APL (prin HG au fost repartizate mijloace în sumă de 875,0 mil. lei, prin TDS – în sumă de 379,3 mil. lei) și 41,8 mil. lei – de către 21 APC. Se menționează că, din alocațiile prevăzute în acest scop, au fost transferate la BASS 220,4 mil. lei, iar 228,0 mil. lei nu au fost executate.</w:t>
      </w:r>
    </w:p>
    <w:p w:rsidR="00E67099" w:rsidRPr="00E67099" w:rsidRDefault="00E67099" w:rsidP="00E67099">
      <w:pPr>
        <w:spacing w:after="0" w:line="276" w:lineRule="auto"/>
        <w:jc w:val="both"/>
        <w:rPr>
          <w:rFonts w:asciiTheme="majorHAnsi" w:eastAsia="Times New Roman" w:hAnsiTheme="majorHAnsi" w:cstheme="majorHAnsi"/>
          <w:sz w:val="24"/>
          <w:szCs w:val="24"/>
        </w:rPr>
      </w:pPr>
      <w:r w:rsidRPr="00E67099">
        <w:rPr>
          <w:rFonts w:asciiTheme="majorHAnsi" w:eastAsia="Times New Roman" w:hAnsiTheme="majorHAnsi" w:cstheme="majorHAnsi"/>
          <w:sz w:val="24"/>
          <w:szCs w:val="24"/>
        </w:rPr>
        <w:t>Verificările auditului au constatat următoarele:</w:t>
      </w:r>
    </w:p>
    <w:p w:rsidR="00E67099" w:rsidRPr="00E67099" w:rsidRDefault="00E67099" w:rsidP="00E77DE3">
      <w:pPr>
        <w:numPr>
          <w:ilvl w:val="0"/>
          <w:numId w:val="20"/>
        </w:numPr>
        <w:tabs>
          <w:tab w:val="left" w:pos="993"/>
        </w:tabs>
        <w:spacing w:after="0" w:line="276" w:lineRule="auto"/>
        <w:ind w:left="0" w:firstLine="709"/>
        <w:contextualSpacing/>
        <w:jc w:val="both"/>
        <w:rPr>
          <w:rFonts w:asciiTheme="majorHAnsi" w:eastAsia="Times New Roman" w:hAnsiTheme="majorHAnsi" w:cstheme="majorHAnsi"/>
          <w:sz w:val="24"/>
          <w:szCs w:val="24"/>
        </w:rPr>
      </w:pPr>
      <w:r w:rsidRPr="00E67099">
        <w:rPr>
          <w:rFonts w:asciiTheme="majorHAnsi" w:eastAsia="Times New Roman" w:hAnsiTheme="majorHAnsi" w:cstheme="majorHAnsi"/>
          <w:sz w:val="24"/>
          <w:szCs w:val="24"/>
        </w:rPr>
        <w:t xml:space="preserve">conform Anexei nr.5 „Volumul cheltuielilor de personal pe APC” la Legea BS pentru anul 2019, au fost aprobate mijloace pentru cheltuieli de personal în sumă totală de 7 281,0 mil. lei </w:t>
      </w:r>
      <w:r w:rsidRPr="00E67099">
        <w:rPr>
          <w:rFonts w:asciiTheme="majorHAnsi" w:eastAsia="Times New Roman" w:hAnsiTheme="majorHAnsi" w:cstheme="majorHAnsi"/>
          <w:i/>
          <w:sz w:val="24"/>
          <w:szCs w:val="24"/>
        </w:rPr>
        <w:t>(inclusiv acțiuni generale în sumă de 1 365,2 mil. lei )</w:t>
      </w:r>
      <w:r w:rsidRPr="00E67099">
        <w:rPr>
          <w:rFonts w:asciiTheme="majorHAnsi" w:eastAsia="Times New Roman" w:hAnsiTheme="majorHAnsi" w:cstheme="majorHAnsi"/>
          <w:sz w:val="24"/>
          <w:szCs w:val="24"/>
        </w:rPr>
        <w:t xml:space="preserve">, din care 875,0 mil. lei au fost repartizate la APL; </w:t>
      </w:r>
    </w:p>
    <w:p w:rsidR="00E77DE3" w:rsidRDefault="00E67099" w:rsidP="00E77DE3">
      <w:pPr>
        <w:numPr>
          <w:ilvl w:val="0"/>
          <w:numId w:val="20"/>
        </w:numPr>
        <w:tabs>
          <w:tab w:val="left" w:pos="993"/>
        </w:tabs>
        <w:spacing w:after="0" w:line="276" w:lineRule="auto"/>
        <w:ind w:left="0" w:firstLine="709"/>
        <w:contextualSpacing/>
        <w:jc w:val="both"/>
        <w:rPr>
          <w:rFonts w:asciiTheme="majorHAnsi" w:eastAsia="Times New Roman" w:hAnsiTheme="majorHAnsi" w:cstheme="majorHAnsi"/>
          <w:sz w:val="24"/>
          <w:szCs w:val="24"/>
        </w:rPr>
      </w:pPr>
      <w:r w:rsidRPr="00E67099">
        <w:rPr>
          <w:rFonts w:asciiTheme="majorHAnsi" w:eastAsia="Times New Roman" w:hAnsiTheme="majorHAnsi" w:cstheme="majorHAnsi"/>
          <w:sz w:val="24"/>
          <w:szCs w:val="24"/>
        </w:rPr>
        <w:t>deși inițial în Legea bugetară anuală au fost aprobate alocații în sumă totală de 305,4 mil.lei, din care în sumă de 220,4 mil. lei – pentru implementarea sistemului unitar de salarizare în sectorul bugetar ce urmau a fi redistribuite alocațiile prin HG, și în sumă de 85,0 mil. lei – pentru reforma administrației publice, cu aceste mijloace au fost majorate transferurile la BASS</w:t>
      </w:r>
      <w:r w:rsidRPr="00E67099">
        <w:rPr>
          <w:rFonts w:asciiTheme="majorHAnsi" w:eastAsia="Times New Roman" w:hAnsiTheme="majorHAnsi" w:cstheme="majorHAnsi"/>
          <w:sz w:val="24"/>
          <w:szCs w:val="24"/>
          <w:vertAlign w:val="superscript"/>
        </w:rPr>
        <w:footnoteReference w:id="35"/>
      </w:r>
      <w:r w:rsidRPr="00E67099">
        <w:rPr>
          <w:rFonts w:asciiTheme="majorHAnsi" w:eastAsia="Times New Roman" w:hAnsiTheme="majorHAnsi" w:cstheme="majorHAnsi"/>
          <w:sz w:val="24"/>
          <w:szCs w:val="24"/>
        </w:rPr>
        <w:t xml:space="preserve"> pentru finanțarea suportului unic cu prilejul sărbătorilor pascale, în sumă de 600 lei, beneficiarilor diferitor tipuri de pensii, precum și beneficiarilor de alocații sociale de stat, stabilite în sistemul public de pensii</w:t>
      </w:r>
      <w:r w:rsidRPr="00E67099">
        <w:rPr>
          <w:rFonts w:asciiTheme="majorHAnsi" w:eastAsia="Times New Roman" w:hAnsiTheme="majorHAnsi" w:cstheme="majorHAnsi"/>
          <w:sz w:val="24"/>
          <w:szCs w:val="24"/>
          <w:vertAlign w:val="superscript"/>
        </w:rPr>
        <w:footnoteReference w:id="36"/>
      </w:r>
      <w:r w:rsidRPr="00E67099">
        <w:rPr>
          <w:rFonts w:asciiTheme="majorHAnsi" w:eastAsia="Times New Roman" w:hAnsiTheme="majorHAnsi" w:cstheme="majorHAnsi"/>
          <w:sz w:val="24"/>
          <w:szCs w:val="24"/>
        </w:rPr>
        <w:t>. Potrivit art.61 din Legea nr.181 din 25.07.2014, de regulă mai degrabă de 1 iulie nu se adoptă modificări ale BS, ceea ce a condus la majorarea alocațiilor lunare finanțate la BASS;</w:t>
      </w:r>
    </w:p>
    <w:p w:rsidR="00E67099" w:rsidRPr="00E77DE3" w:rsidRDefault="00E67099" w:rsidP="00E77DE3">
      <w:pPr>
        <w:numPr>
          <w:ilvl w:val="0"/>
          <w:numId w:val="20"/>
        </w:numPr>
        <w:tabs>
          <w:tab w:val="left" w:pos="993"/>
        </w:tabs>
        <w:spacing w:after="0" w:line="276" w:lineRule="auto"/>
        <w:ind w:left="0" w:firstLine="709"/>
        <w:contextualSpacing/>
        <w:jc w:val="both"/>
        <w:rPr>
          <w:rFonts w:asciiTheme="majorHAnsi" w:eastAsia="Times New Roman" w:hAnsiTheme="majorHAnsi" w:cstheme="majorHAnsi"/>
          <w:sz w:val="24"/>
          <w:szCs w:val="24"/>
        </w:rPr>
      </w:pPr>
      <w:r w:rsidRPr="00E77DE3">
        <w:rPr>
          <w:rFonts w:asciiTheme="majorHAnsi" w:eastAsia="Times New Roman" w:hAnsiTheme="majorHAnsi" w:cstheme="majorHAnsi"/>
          <w:sz w:val="24"/>
          <w:szCs w:val="24"/>
        </w:rPr>
        <w:t>MF a diminuat cu 499,6 mil. lei suma aprobată (7 281,0 mil. lei) prin Legea bugetară anuală la cheltuielile de personal pentru APC, deși conform art.18 lit. b) MF este autorizat să redistribuie fără afectarea sumelor aprobate la nivel de program/subprogram. Potrivit motivației persoanelor responsabile, 491,7 mil. lei au fost redistribuite prin 4 HG la APL pentru cheltuieli de personal, iar 7,1 mil. lei sunt economii propuse de unele APC (Secretariatul Parlamentului, MECC, CNA, Consiliul Superior al Magistraturii).</w:t>
      </w:r>
    </w:p>
    <w:p w:rsidR="00E67099" w:rsidRPr="00E67099" w:rsidRDefault="00E67099" w:rsidP="00E67099">
      <w:pPr>
        <w:spacing w:after="0" w:line="276" w:lineRule="auto"/>
        <w:jc w:val="both"/>
        <w:rPr>
          <w:rFonts w:asciiTheme="majorHAnsi" w:eastAsia="Times New Roman" w:hAnsiTheme="majorHAnsi" w:cstheme="majorHAnsi"/>
          <w:b/>
          <w:bCs/>
          <w:i/>
          <w:iCs/>
          <w:sz w:val="24"/>
          <w:szCs w:val="24"/>
          <w:lang w:val="ro-MD" w:eastAsia="ru-RU"/>
        </w:rPr>
      </w:pPr>
      <w:r w:rsidRPr="00E67099">
        <w:rPr>
          <w:rFonts w:asciiTheme="majorHAnsi" w:eastAsia="Times New Roman" w:hAnsiTheme="majorHAnsi" w:cstheme="majorHAnsi"/>
          <w:b/>
          <w:bCs/>
          <w:i/>
          <w:iCs/>
          <w:sz w:val="24"/>
          <w:szCs w:val="24"/>
          <w:lang w:val="ro-MD" w:eastAsia="ru-RU"/>
        </w:rPr>
        <w:t xml:space="preserve">4.3.2 </w:t>
      </w:r>
      <w:r w:rsidRPr="00E67099">
        <w:rPr>
          <w:rFonts w:asciiTheme="majorHAnsi" w:eastAsia="Times New Roman" w:hAnsiTheme="majorHAnsi" w:cstheme="majorHAnsi"/>
          <w:b/>
          <w:bCs/>
          <w:i/>
          <w:iCs/>
          <w:sz w:val="24"/>
          <w:szCs w:val="24"/>
          <w:lang w:eastAsia="ru-RU"/>
        </w:rPr>
        <w:t>Efectuarea transferurilor interbugetare relevă o tendință de creștere</w:t>
      </w:r>
    </w:p>
    <w:p w:rsidR="00E67099" w:rsidRPr="00E67099" w:rsidRDefault="00E67099" w:rsidP="00E67099">
      <w:pPr>
        <w:shd w:val="clear" w:color="auto" w:fill="FFFFFF" w:themeFill="background1"/>
        <w:spacing w:after="0" w:line="276" w:lineRule="auto"/>
        <w:ind w:right="49"/>
        <w:jc w:val="both"/>
        <w:rPr>
          <w:rFonts w:asciiTheme="majorHAnsi" w:eastAsia="MS Mincho" w:hAnsiTheme="majorHAnsi" w:cstheme="majorHAnsi"/>
          <w:sz w:val="24"/>
          <w:szCs w:val="24"/>
          <w:lang w:eastAsia="ja-JP"/>
        </w:rPr>
      </w:pPr>
      <w:r w:rsidRPr="00E67099">
        <w:rPr>
          <w:rFonts w:asciiTheme="majorHAnsi" w:eastAsia="MS Mincho" w:hAnsiTheme="majorHAnsi" w:cstheme="majorHAnsi"/>
          <w:sz w:val="24"/>
          <w:szCs w:val="24"/>
          <w:lang w:eastAsia="ja-JP"/>
        </w:rPr>
        <w:t>Prin legea bugetar</w:t>
      </w:r>
      <w:r w:rsidRPr="00E67099">
        <w:rPr>
          <w:rFonts w:asciiTheme="majorHAnsi" w:eastAsia="MS Mincho" w:hAnsiTheme="majorHAnsi" w:cstheme="majorHAnsi"/>
          <w:sz w:val="24"/>
          <w:szCs w:val="24"/>
          <w:lang w:val="ro-MD" w:eastAsia="ja-JP"/>
        </w:rPr>
        <w:t>ă anuală pentru anul 2019</w:t>
      </w:r>
      <w:r w:rsidRPr="00E67099">
        <w:rPr>
          <w:rFonts w:asciiTheme="majorHAnsi" w:eastAsia="MS Mincho" w:hAnsiTheme="majorHAnsi" w:cstheme="majorHAnsi"/>
          <w:sz w:val="24"/>
          <w:szCs w:val="24"/>
          <w:vertAlign w:val="superscript"/>
          <w:lang w:val="ro-MD" w:eastAsia="ja-JP"/>
        </w:rPr>
        <w:footnoteReference w:id="37"/>
      </w:r>
      <w:r w:rsidRPr="00E67099">
        <w:rPr>
          <w:rFonts w:asciiTheme="majorHAnsi" w:eastAsia="MS Mincho" w:hAnsiTheme="majorHAnsi" w:cstheme="majorHAnsi"/>
          <w:sz w:val="24"/>
          <w:szCs w:val="24"/>
          <w:lang w:val="ro-MD" w:eastAsia="ja-JP"/>
        </w:rPr>
        <w:t>, inițial au fost aprobate transferuri din BS către alte bugete în volum de 22 555,4 mil. lei, iar ulterior, în urma modificărilor operate</w:t>
      </w:r>
      <w:r w:rsidRPr="00E67099">
        <w:rPr>
          <w:rFonts w:asciiTheme="majorHAnsi" w:eastAsia="MS Mincho" w:hAnsiTheme="majorHAnsi" w:cstheme="majorHAnsi"/>
          <w:sz w:val="24"/>
          <w:szCs w:val="24"/>
          <w:vertAlign w:val="superscript"/>
          <w:lang w:val="ro-MD" w:eastAsia="ja-JP"/>
        </w:rPr>
        <w:footnoteReference w:id="38"/>
      </w:r>
      <w:r w:rsidRPr="00E67099">
        <w:rPr>
          <w:rFonts w:asciiTheme="majorHAnsi" w:eastAsia="MS Mincho" w:hAnsiTheme="majorHAnsi" w:cstheme="majorHAnsi"/>
          <w:sz w:val="24"/>
          <w:szCs w:val="24"/>
          <w:lang w:val="ro-MD" w:eastAsia="ja-JP"/>
        </w:rPr>
        <w:t xml:space="preserve"> și precizării altor transferuri decât cele menționate în Anexa nr.7 la Legea BS, volumul transferurilor a însumat </w:t>
      </w:r>
      <w:r w:rsidRPr="00E67099">
        <w:rPr>
          <w:rFonts w:asciiTheme="majorHAnsi" w:eastAsia="MS Mincho" w:hAnsiTheme="majorHAnsi" w:cstheme="majorHAnsi"/>
          <w:sz w:val="24"/>
          <w:szCs w:val="24"/>
          <w:lang w:eastAsia="ja-JP"/>
        </w:rPr>
        <w:t>23 730,0 mil. lei.</w:t>
      </w:r>
      <w:r w:rsidRPr="00E67099">
        <w:rPr>
          <w:rFonts w:asciiTheme="majorHAnsi" w:eastAsia="MS Mincho" w:hAnsiTheme="majorHAnsi" w:cstheme="majorHAnsi"/>
          <w:sz w:val="24"/>
          <w:szCs w:val="24"/>
          <w:lang w:val="ro-MD" w:eastAsia="ja-JP"/>
        </w:rPr>
        <w:t xml:space="preserve"> Executarea transferurilor a constituit 23 098,8 mil. lei, sau 97,3% din suma precizată, </w:t>
      </w:r>
      <w:r w:rsidRPr="00E67099">
        <w:rPr>
          <w:rFonts w:asciiTheme="majorHAnsi" w:eastAsia="MS Mincho" w:hAnsiTheme="majorHAnsi" w:cstheme="majorHAnsi"/>
          <w:sz w:val="24"/>
          <w:szCs w:val="24"/>
          <w:lang w:eastAsia="ja-JP"/>
        </w:rPr>
        <w:t>inclusiv către: BASS – 7 957,0 mil. lei, sau 97,5%, FAOAM – 2 813,6 mil. lei, sau</w:t>
      </w:r>
      <w:r w:rsidRPr="00E67099">
        <w:rPr>
          <w:rFonts w:asciiTheme="majorHAnsi" w:eastAsia="MS Mincho" w:hAnsiTheme="majorHAnsi" w:cstheme="majorHAnsi"/>
          <w:sz w:val="24"/>
          <w:szCs w:val="24"/>
          <w:shd w:val="clear" w:color="auto" w:fill="FFFFFF" w:themeFill="background1"/>
          <w:lang w:eastAsia="ja-JP"/>
        </w:rPr>
        <w:t xml:space="preserve"> 100,0%, și </w:t>
      </w:r>
      <w:r w:rsidRPr="00E67099">
        <w:rPr>
          <w:rFonts w:asciiTheme="majorHAnsi" w:eastAsia="MS Mincho" w:hAnsiTheme="majorHAnsi" w:cstheme="majorHAnsi"/>
          <w:sz w:val="24"/>
          <w:szCs w:val="24"/>
          <w:lang w:eastAsia="ja-JP"/>
        </w:rPr>
        <w:t xml:space="preserve">BUAT – 12 328,2 mil. lei, sau 96,6%. </w:t>
      </w:r>
      <w:r w:rsidRPr="00E67099">
        <w:rPr>
          <w:rFonts w:asciiTheme="majorHAnsi" w:eastAsia="MS Mincho" w:hAnsiTheme="majorHAnsi" w:cstheme="majorHAnsi"/>
          <w:sz w:val="24"/>
          <w:szCs w:val="24"/>
          <w:shd w:val="clear" w:color="auto" w:fill="FFFFFF" w:themeFill="background1"/>
          <w:lang w:eastAsia="ja-JP"/>
        </w:rPr>
        <w:t>Ponderea transferurilor executate de la BS în totalul veniturilor bugetelor componente ale BPN a constituit 36,6% la BASS (în creștere cu 2,9 p.p. față de anul precedent), 36,8% la FAOAM (în descreștere cu 2,8 p.p. față de anul precedent) și 73,7% la BUAT (în creștere cu 3,2 p.p. față de anul precedent).</w:t>
      </w:r>
      <w:r w:rsidRPr="00E67099">
        <w:rPr>
          <w:rFonts w:asciiTheme="majorHAnsi" w:eastAsia="MS Mincho" w:hAnsiTheme="majorHAnsi" w:cstheme="majorHAnsi"/>
          <w:sz w:val="24"/>
          <w:szCs w:val="24"/>
          <w:shd w:val="clear" w:color="auto" w:fill="FFFFFF" w:themeFill="background1"/>
          <w:lang w:val="ro-MD" w:eastAsia="ja-JP"/>
        </w:rPr>
        <w:t xml:space="preserve"> </w:t>
      </w:r>
      <w:r w:rsidRPr="00E67099">
        <w:rPr>
          <w:rFonts w:asciiTheme="majorHAnsi" w:eastAsia="MS Mincho" w:hAnsiTheme="majorHAnsi" w:cstheme="majorHAnsi"/>
          <w:i/>
          <w:sz w:val="24"/>
          <w:szCs w:val="24"/>
          <w:lang w:eastAsia="ja-JP"/>
        </w:rPr>
        <w:t>Sinteza executării transferurilor de la bugetul de stat în comparație cu veniturile proprii ale bugetelor componente ale BPN în perioada 2017-2019 se prezintă în Anexa nr.15 la prezentul Raport de audit.</w:t>
      </w:r>
    </w:p>
    <w:p w:rsidR="00E67099" w:rsidRPr="00E67099" w:rsidRDefault="00E67099" w:rsidP="00E67099">
      <w:pPr>
        <w:shd w:val="clear" w:color="auto" w:fill="FFFFFF" w:themeFill="background1"/>
        <w:spacing w:after="0" w:line="276" w:lineRule="auto"/>
        <w:ind w:right="9"/>
        <w:jc w:val="both"/>
        <w:rPr>
          <w:rFonts w:asciiTheme="majorHAnsi" w:hAnsiTheme="majorHAnsi" w:cstheme="majorHAnsi"/>
          <w:sz w:val="24"/>
          <w:szCs w:val="24"/>
        </w:rPr>
      </w:pPr>
      <w:r w:rsidRPr="00E67099">
        <w:rPr>
          <w:rFonts w:asciiTheme="majorHAnsi" w:eastAsia="MS Mincho" w:hAnsiTheme="majorHAnsi" w:cstheme="majorHAnsi"/>
          <w:sz w:val="24"/>
          <w:szCs w:val="24"/>
          <w:lang w:eastAsia="ja-JP"/>
        </w:rPr>
        <w:t xml:space="preserve">Verificările transferurilor executate din BS către BUAT în anul 2019 atestă că executarea de casă a transferurilor a constituit 12 328,2 mil. lei, însumând următoarele transferuri: conform Anexei nr.7 la Legea BS – 11 578,9 mil. lei, din fondurile de urgență ale Guvernului – 30,2 mil. lei, din </w:t>
      </w:r>
      <w:r w:rsidRPr="00E67099">
        <w:rPr>
          <w:rFonts w:asciiTheme="majorHAnsi" w:hAnsiTheme="majorHAnsi" w:cstheme="majorHAnsi"/>
          <w:sz w:val="24"/>
          <w:szCs w:val="24"/>
        </w:rPr>
        <w:t xml:space="preserve">Fondul Ecologic Național din Moldova – 199,1 mil. lei, din Fondul de eficiență energetică – 10,5 mil. lei, pentru implementarea proiectului „Programul rural de reziliență economico-climatică incluzivă (IFAD VI)” – 0,2 mil. lei, </w:t>
      </w:r>
      <w:r w:rsidRPr="00E67099">
        <w:rPr>
          <w:rFonts w:asciiTheme="majorHAnsi" w:eastAsia="MS Mincho" w:hAnsiTheme="majorHAnsi" w:cstheme="majorHAnsi"/>
          <w:sz w:val="24"/>
          <w:szCs w:val="24"/>
          <w:lang w:val="ro-MD" w:eastAsia="ja-JP"/>
        </w:rPr>
        <w:t>pentru implementarea sistemului unitar de salarizare în sectorul bugetar</w:t>
      </w:r>
      <w:r w:rsidRPr="00E67099">
        <w:rPr>
          <w:rFonts w:asciiTheme="majorHAnsi" w:eastAsia="MS Mincho" w:hAnsiTheme="majorHAnsi" w:cstheme="majorHAnsi"/>
          <w:sz w:val="24"/>
          <w:szCs w:val="24"/>
          <w:vertAlign w:val="superscript"/>
          <w:lang w:val="ro-MD" w:eastAsia="ja-JP"/>
        </w:rPr>
        <w:footnoteReference w:id="39"/>
      </w:r>
      <w:r w:rsidRPr="00E67099">
        <w:rPr>
          <w:rFonts w:asciiTheme="majorHAnsi" w:eastAsia="MS Mincho" w:hAnsiTheme="majorHAnsi" w:cstheme="majorHAnsi"/>
          <w:sz w:val="24"/>
          <w:szCs w:val="24"/>
          <w:lang w:val="ro-MD" w:eastAsia="ja-JP"/>
        </w:rPr>
        <w:t xml:space="preserve"> – 491,8 mil. lei, pentru </w:t>
      </w:r>
      <w:r w:rsidRPr="00E67099">
        <w:rPr>
          <w:rFonts w:asciiTheme="majorHAnsi" w:hAnsiTheme="majorHAnsi" w:cstheme="majorHAnsi"/>
          <w:sz w:val="24"/>
          <w:szCs w:val="24"/>
        </w:rPr>
        <w:t>realizarea prevederilor actelor legislative – 17,5 mil. lei</w:t>
      </w:r>
      <w:r w:rsidRPr="00E67099">
        <w:rPr>
          <w:rFonts w:asciiTheme="majorHAnsi" w:hAnsiTheme="majorHAnsi" w:cstheme="majorHAnsi"/>
          <w:sz w:val="24"/>
          <w:szCs w:val="24"/>
          <w:vertAlign w:val="superscript"/>
        </w:rPr>
        <w:footnoteReference w:id="40"/>
      </w:r>
      <w:r w:rsidRPr="00E67099">
        <w:rPr>
          <w:rFonts w:asciiTheme="majorHAnsi" w:hAnsiTheme="majorHAnsi" w:cstheme="majorHAnsi"/>
          <w:sz w:val="24"/>
          <w:szCs w:val="24"/>
        </w:rPr>
        <w:t>.</w:t>
      </w:r>
    </w:p>
    <w:p w:rsidR="00E67099" w:rsidRPr="00E67099" w:rsidRDefault="00E67099" w:rsidP="00E67099">
      <w:pPr>
        <w:jc w:val="both"/>
        <w:rPr>
          <w:rFonts w:asciiTheme="majorHAnsi" w:eastAsia="MS Mincho" w:hAnsiTheme="majorHAnsi" w:cstheme="majorHAnsi"/>
          <w:sz w:val="24"/>
          <w:szCs w:val="24"/>
          <w:lang w:eastAsia="ja-JP"/>
        </w:rPr>
      </w:pPr>
      <w:r w:rsidRPr="00E67099">
        <w:rPr>
          <w:rFonts w:asciiTheme="majorHAnsi" w:eastAsia="MS Mincho" w:hAnsiTheme="majorHAnsi" w:cstheme="majorHAnsi"/>
          <w:sz w:val="24"/>
          <w:szCs w:val="24"/>
          <w:lang w:eastAsia="ja-JP"/>
        </w:rPr>
        <w:t>Conform prevederilor legale, BUAT beneficiază de transferuri cu destinație generală</w:t>
      </w:r>
      <w:r w:rsidRPr="00E67099">
        <w:rPr>
          <w:rFonts w:asciiTheme="majorHAnsi" w:eastAsia="MS Mincho" w:hAnsiTheme="majorHAnsi" w:cstheme="majorHAnsi"/>
          <w:sz w:val="24"/>
          <w:szCs w:val="24"/>
          <w:vertAlign w:val="superscript"/>
          <w:lang w:eastAsia="ja-JP"/>
        </w:rPr>
        <w:footnoteReference w:id="41"/>
      </w:r>
      <w:r w:rsidRPr="00E67099">
        <w:rPr>
          <w:rFonts w:asciiTheme="majorHAnsi" w:eastAsia="MS Mincho" w:hAnsiTheme="majorHAnsi" w:cstheme="majorHAnsi"/>
          <w:i/>
          <w:sz w:val="24"/>
          <w:szCs w:val="24"/>
          <w:lang w:eastAsia="ja-JP"/>
        </w:rPr>
        <w:t xml:space="preserve"> </w:t>
      </w:r>
      <w:r w:rsidRPr="00E67099">
        <w:rPr>
          <w:rFonts w:asciiTheme="majorHAnsi" w:eastAsia="MS Mincho" w:hAnsiTheme="majorHAnsi" w:cstheme="majorHAnsi"/>
          <w:sz w:val="24"/>
          <w:szCs w:val="24"/>
          <w:lang w:eastAsia="ja-JP"/>
        </w:rPr>
        <w:t>și  transferuri cu destinație specială</w:t>
      </w:r>
      <w:r w:rsidRPr="00E67099">
        <w:rPr>
          <w:rFonts w:asciiTheme="majorHAnsi" w:eastAsia="MS Mincho" w:hAnsiTheme="majorHAnsi" w:cstheme="majorHAnsi"/>
          <w:sz w:val="24"/>
          <w:szCs w:val="24"/>
          <w:vertAlign w:val="superscript"/>
          <w:lang w:eastAsia="ja-JP"/>
        </w:rPr>
        <w:footnoteReference w:id="42"/>
      </w:r>
      <w:r w:rsidRPr="00E67099">
        <w:rPr>
          <w:rFonts w:asciiTheme="majorHAnsi" w:eastAsia="MS Mincho" w:hAnsiTheme="majorHAnsi" w:cstheme="majorHAnsi"/>
          <w:sz w:val="24"/>
          <w:szCs w:val="24"/>
          <w:lang w:eastAsia="ja-JP"/>
        </w:rPr>
        <w:t xml:space="preserve">. Pe lângă acestea, BUAT mai beneficiază de transferuri cu destinație generală din fondul de compensare și de alte transferuri cu destinație generală. Aceste transferuri s-au aprobat și s-au repartizat </w:t>
      </w:r>
      <w:r w:rsidRPr="00E67099">
        <w:rPr>
          <w:rFonts w:asciiTheme="majorHAnsi" w:eastAsia="MS Mincho" w:hAnsiTheme="majorHAnsi" w:cstheme="majorHAnsi"/>
          <w:sz w:val="24"/>
          <w:szCs w:val="24"/>
          <w:lang w:val="ro-MD" w:eastAsia="ja-JP"/>
        </w:rPr>
        <w:t>conform Anexei nr.7</w:t>
      </w:r>
      <w:r w:rsidRPr="00E67099">
        <w:rPr>
          <w:rFonts w:asciiTheme="majorHAnsi" w:eastAsia="MS Mincho" w:hAnsiTheme="majorHAnsi" w:cstheme="majorHAnsi"/>
          <w:sz w:val="24"/>
          <w:szCs w:val="24"/>
          <w:vertAlign w:val="superscript"/>
          <w:lang w:eastAsia="ja-JP"/>
        </w:rPr>
        <w:footnoteReference w:id="43"/>
      </w:r>
      <w:r w:rsidRPr="00E67099">
        <w:rPr>
          <w:rFonts w:asciiTheme="majorHAnsi" w:eastAsia="MS Mincho" w:hAnsiTheme="majorHAnsi" w:cstheme="majorHAnsi"/>
          <w:sz w:val="24"/>
          <w:szCs w:val="24"/>
          <w:lang w:val="ro-MD" w:eastAsia="ja-JP"/>
        </w:rPr>
        <w:t xml:space="preserve"> la legea bugetară anuală.</w:t>
      </w:r>
      <w:r w:rsidRPr="00E67099">
        <w:rPr>
          <w:rFonts w:asciiTheme="majorHAnsi" w:eastAsia="MS Mincho" w:hAnsiTheme="majorHAnsi" w:cstheme="majorHAnsi"/>
          <w:sz w:val="24"/>
          <w:szCs w:val="24"/>
          <w:lang w:eastAsia="ja-JP"/>
        </w:rPr>
        <w:t xml:space="preserve"> </w:t>
      </w:r>
      <w:r w:rsidRPr="00E67099">
        <w:rPr>
          <w:rFonts w:asciiTheme="majorHAnsi" w:eastAsia="MS Mincho" w:hAnsiTheme="majorHAnsi" w:cstheme="majorHAnsi"/>
          <w:sz w:val="24"/>
          <w:szCs w:val="24"/>
          <w:lang w:val="ro-MD" w:eastAsia="ja-JP"/>
        </w:rPr>
        <w:t xml:space="preserve">Astfel, din volumul precizat în sumă de 11 957,6 mil. lei, pentru transferurile din BS către BUAT au fost executate transferuri cu destinație generală în sumă de 2 056,5 mil. lei, inclusiv 7,9 mil. lei din fondul de compensare și 429,0 mil. lei pentru alte transferuri cu destinație generală, cu o executare de 100% și transferuri cu destinație specială în sumă de 9 522,5 mil. lei, cu o executare de 96,2%. </w:t>
      </w:r>
      <w:r w:rsidRPr="00E67099">
        <w:rPr>
          <w:rFonts w:asciiTheme="majorHAnsi" w:eastAsia="MS Mincho" w:hAnsiTheme="majorHAnsi" w:cstheme="majorHAnsi"/>
          <w:sz w:val="24"/>
          <w:szCs w:val="24"/>
          <w:lang w:eastAsia="ja-JP"/>
        </w:rPr>
        <w:t xml:space="preserve">Totodată, analiza neexecutării  transferurilor cu destinație specială în sumă de 378,7 mil. lei atestă că, 283,5 mil. lei dintre acestea au fost destinate învățământului primar și celui secundar general, deși în anii 2017 și 2018 aceste tipuri de transferuri au înregistrat o executare de 100% din volumul precizat, 5,1 mil. lei –  școlilor sportive, 50,9 mil. lei – asistenței sociale, 20,9 mil. lei – pentru infrastructura drumurilor, 10,0 mil. lei – pentru cheltuieli capitale etc. </w:t>
      </w:r>
      <w:r w:rsidRPr="00E67099">
        <w:rPr>
          <w:rFonts w:asciiTheme="majorHAnsi" w:eastAsia="MS Mincho" w:hAnsiTheme="majorHAnsi" w:cstheme="majorHAnsi"/>
          <w:i/>
          <w:sz w:val="24"/>
          <w:szCs w:val="24"/>
          <w:lang w:eastAsia="ja-JP"/>
        </w:rPr>
        <w:t>Sinteza executării transferurilor de la BS către BUAT în anul 2019 (conform Anexei nr.7 la Legea bugetului de stat pentru anul 2019) se prezintă în Anexa nr.16 la prezentul Raport de audit.</w:t>
      </w:r>
    </w:p>
    <w:p w:rsidR="00E67099" w:rsidRPr="00E67099" w:rsidRDefault="00E67099" w:rsidP="00E67099">
      <w:pPr>
        <w:spacing w:after="0" w:line="276" w:lineRule="auto"/>
        <w:jc w:val="both"/>
        <w:rPr>
          <w:rFonts w:asciiTheme="majorHAnsi" w:eastAsia="MS Mincho" w:hAnsiTheme="majorHAnsi" w:cstheme="majorHAnsi"/>
          <w:sz w:val="24"/>
          <w:szCs w:val="24"/>
          <w:lang w:eastAsia="ja-JP"/>
        </w:rPr>
      </w:pPr>
      <w:r w:rsidRPr="00E67099">
        <w:rPr>
          <w:rFonts w:asciiTheme="majorHAnsi" w:eastAsia="Times New Roman" w:hAnsiTheme="majorHAnsi" w:cstheme="majorHAnsi"/>
          <w:sz w:val="24"/>
          <w:szCs w:val="24"/>
        </w:rPr>
        <w:t xml:space="preserve">Auditul a constatat că MF nu a finanțat în totalitate alocațiile aprobate în Legea bugetară anuală în sumă de 378,7 mil. lei. </w:t>
      </w:r>
      <w:r w:rsidRPr="00E67099">
        <w:rPr>
          <w:rFonts w:asciiTheme="majorHAnsi" w:eastAsia="MS Mincho" w:hAnsiTheme="majorHAnsi" w:cstheme="majorHAnsi"/>
          <w:sz w:val="24"/>
          <w:szCs w:val="24"/>
          <w:lang w:eastAsia="ja-JP"/>
        </w:rPr>
        <w:t>Potrivit explicațiilor MF,</w:t>
      </w:r>
      <w:r w:rsidRPr="00E67099">
        <w:rPr>
          <w:rFonts w:asciiTheme="majorHAnsi" w:eastAsia="MS Mincho" w:hAnsiTheme="majorHAnsi" w:cstheme="majorHAnsi"/>
          <w:i/>
          <w:sz w:val="24"/>
          <w:szCs w:val="24"/>
          <w:lang w:eastAsia="ja-JP"/>
        </w:rPr>
        <w:t xml:space="preserve"> </w:t>
      </w:r>
      <w:r w:rsidRPr="00E67099">
        <w:rPr>
          <w:rFonts w:asciiTheme="majorHAnsi" w:eastAsia="MS Mincho" w:hAnsiTheme="majorHAnsi" w:cstheme="majorHAnsi"/>
          <w:sz w:val="24"/>
          <w:szCs w:val="24"/>
          <w:lang w:eastAsia="ja-JP"/>
        </w:rPr>
        <w:t>cauza neexecutării integrale a transferurilor cu destinație specială este neprezentarea documentelor de plată de către autoritățile/instituțiile bugetare finanțate de la bugetul local în volumul total al alocațiilor prevăzute conform Legii bugetului de stat</w:t>
      </w:r>
      <w:r w:rsidRPr="00E67099">
        <w:rPr>
          <w:rFonts w:asciiTheme="majorHAnsi" w:eastAsia="Times New Roman" w:hAnsiTheme="majorHAnsi" w:cstheme="majorHAnsi"/>
          <w:sz w:val="24"/>
          <w:szCs w:val="24"/>
        </w:rPr>
        <w:t>.</w:t>
      </w:r>
      <w:r w:rsidRPr="00E67099">
        <w:rPr>
          <w:rFonts w:asciiTheme="majorHAnsi" w:eastAsia="Times New Roman" w:hAnsiTheme="majorHAnsi" w:cstheme="majorHAnsi"/>
          <w:sz w:val="24"/>
          <w:szCs w:val="24"/>
          <w:lang w:val="ro-MD"/>
        </w:rPr>
        <w:t xml:space="preserve"> </w:t>
      </w:r>
      <w:r w:rsidRPr="00E67099">
        <w:rPr>
          <w:rFonts w:asciiTheme="majorHAnsi" w:eastAsia="MS Mincho" w:hAnsiTheme="majorHAnsi" w:cstheme="majorHAnsi"/>
          <w:sz w:val="24"/>
          <w:szCs w:val="24"/>
          <w:lang w:val="ro-MD" w:eastAsia="ja-JP"/>
        </w:rPr>
        <w:t>Totodată, s</w:t>
      </w:r>
      <w:r w:rsidRPr="00E67099">
        <w:rPr>
          <w:rFonts w:asciiTheme="majorHAnsi" w:eastAsia="MS Mincho" w:hAnsiTheme="majorHAnsi" w:cstheme="majorHAnsi"/>
          <w:sz w:val="24"/>
          <w:szCs w:val="24"/>
          <w:lang w:eastAsia="ja-JP"/>
        </w:rPr>
        <w:t xml:space="preserve">oldurile mijloacelor neutilizate ale bugetelor locale primite din contul transferurilor cu destinație specială la sfârșitul anului 2019 s-au diminuat cu 236,7 mil. lei față de sfârșitul anului 2018. </w:t>
      </w:r>
      <w:r w:rsidRPr="00E67099">
        <w:rPr>
          <w:rFonts w:asciiTheme="majorHAnsi" w:eastAsia="MS Mincho" w:hAnsiTheme="majorHAnsi" w:cstheme="majorHAnsi"/>
          <w:i/>
          <w:sz w:val="24"/>
          <w:szCs w:val="24"/>
          <w:lang w:eastAsia="ja-JP"/>
        </w:rPr>
        <w:t>Sinteza soldurilor în structura transferurilor cu destinație specială se prezintă în Anexa nr.17 la prezentul Raport de audit.</w:t>
      </w:r>
    </w:p>
    <w:p w:rsidR="00E67099" w:rsidRPr="00E67099" w:rsidRDefault="00E67099" w:rsidP="00E67099">
      <w:pPr>
        <w:spacing w:after="0" w:line="276" w:lineRule="auto"/>
        <w:jc w:val="both"/>
        <w:rPr>
          <w:rFonts w:asciiTheme="majorHAnsi" w:eastAsia="MS Mincho" w:hAnsiTheme="majorHAnsi" w:cstheme="majorHAnsi"/>
          <w:sz w:val="24"/>
          <w:szCs w:val="24"/>
          <w:lang w:eastAsia="ja-JP"/>
        </w:rPr>
      </w:pPr>
      <w:r w:rsidRPr="00E67099">
        <w:rPr>
          <w:rFonts w:asciiTheme="majorHAnsi" w:eastAsia="MS Mincho" w:hAnsiTheme="majorHAnsi" w:cstheme="majorHAnsi"/>
          <w:sz w:val="24"/>
          <w:szCs w:val="24"/>
          <w:lang w:eastAsia="ja-JP"/>
        </w:rPr>
        <w:t xml:space="preserve">Referitor la conformitatea efectuării transferurilor din fondul de compensare, care a fost creat </w:t>
      </w:r>
      <w:r w:rsidRPr="00E67099">
        <w:rPr>
          <w:rFonts w:asciiTheme="majorHAnsi" w:hAnsiTheme="majorHAnsi" w:cstheme="majorHAnsi"/>
          <w:color w:val="333333"/>
          <w:sz w:val="24"/>
          <w:szCs w:val="24"/>
          <w:shd w:val="clear" w:color="auto" w:fill="FFFFFF"/>
        </w:rPr>
        <w:t xml:space="preserve">pentru acoperirea necesităților stringente ale autorităților publice locale, ca urmare a reformării sistemului de raporturi dintre bugetul de stat și bugetele locale </w:t>
      </w:r>
      <w:r w:rsidRPr="00E67099">
        <w:rPr>
          <w:rFonts w:asciiTheme="majorHAnsi" w:eastAsia="MS Mincho" w:hAnsiTheme="majorHAnsi" w:cstheme="majorHAnsi"/>
          <w:sz w:val="24"/>
          <w:szCs w:val="24"/>
          <w:lang w:eastAsia="ja-JP"/>
        </w:rPr>
        <w:t>pe o perioadă de 2 ani</w:t>
      </w:r>
      <w:r w:rsidRPr="00E67099">
        <w:rPr>
          <w:rFonts w:asciiTheme="majorHAnsi" w:eastAsia="MS Mincho" w:hAnsiTheme="majorHAnsi" w:cstheme="majorHAnsi"/>
          <w:sz w:val="24"/>
          <w:szCs w:val="24"/>
          <w:vertAlign w:val="superscript"/>
          <w:lang w:eastAsia="ja-JP"/>
        </w:rPr>
        <w:footnoteReference w:id="44"/>
      </w:r>
      <w:r w:rsidRPr="00E67099">
        <w:rPr>
          <w:rFonts w:asciiTheme="majorHAnsi" w:eastAsia="MS Mincho" w:hAnsiTheme="majorHAnsi" w:cstheme="majorHAnsi"/>
          <w:sz w:val="24"/>
          <w:szCs w:val="24"/>
          <w:lang w:eastAsia="ja-JP"/>
        </w:rPr>
        <w:t xml:space="preserve"> (2015-2016)</w:t>
      </w:r>
      <w:r w:rsidRPr="00E67099">
        <w:rPr>
          <w:rFonts w:asciiTheme="majorHAnsi" w:hAnsiTheme="majorHAnsi" w:cstheme="majorHAnsi"/>
          <w:color w:val="333333"/>
          <w:sz w:val="24"/>
          <w:szCs w:val="24"/>
          <w:shd w:val="clear" w:color="auto" w:fill="FFFFFF"/>
        </w:rPr>
        <w:t>,</w:t>
      </w:r>
      <w:r w:rsidRPr="00E67099">
        <w:rPr>
          <w:rFonts w:asciiTheme="majorHAnsi" w:eastAsia="MS Mincho" w:hAnsiTheme="majorHAnsi" w:cstheme="majorHAnsi"/>
          <w:sz w:val="24"/>
          <w:szCs w:val="24"/>
          <w:lang w:eastAsia="ja-JP"/>
        </w:rPr>
        <w:t xml:space="preserve"> auditul relevă că, ulterior, pe parcursul a 3 ani (2017-2019) Guvernul se abilitează cu dreptul de a crea acest fond în baza prevederilor legilor bugetare anuale pentru anii 2017-2019</w:t>
      </w:r>
      <w:r w:rsidRPr="00E67099">
        <w:rPr>
          <w:rFonts w:asciiTheme="majorHAnsi" w:eastAsia="MS Mincho" w:hAnsiTheme="majorHAnsi" w:cstheme="majorHAnsi"/>
          <w:sz w:val="24"/>
          <w:szCs w:val="24"/>
          <w:vertAlign w:val="superscript"/>
          <w:lang w:eastAsia="ja-JP"/>
        </w:rPr>
        <w:footnoteReference w:id="45"/>
      </w:r>
      <w:r w:rsidRPr="00E67099">
        <w:rPr>
          <w:rFonts w:asciiTheme="majorHAnsi" w:eastAsia="MS Mincho" w:hAnsiTheme="majorHAnsi" w:cstheme="majorHAnsi"/>
          <w:sz w:val="24"/>
          <w:szCs w:val="24"/>
          <w:lang w:eastAsia="ja-JP"/>
        </w:rPr>
        <w:t>. Verificările auditului constată că, pe parcursul ultimilor trei ani, au fost transferate către APL mijloace din BS în sumă de 100,8 mil. lei, inclusiv 7,9 mil. lei în anul 2019, fără a fi operate unele reformări ale sistemului de raporturi între BS și bugetele locale. Potrivit explicațiilor MF, pentru acoperirea cheltuielilor unor activități ce țin de domeniul propriu al APL, în mare parte se recurge la înaintarea solicitărilor de alocare a mijloacelor financiare către Guvern, în loc de identificarea surselor noi de venit sau de optimizarea cheltuielilor.</w:t>
      </w:r>
    </w:p>
    <w:p w:rsidR="00E67099" w:rsidRPr="00E67099" w:rsidRDefault="00E67099" w:rsidP="00E67099">
      <w:pPr>
        <w:spacing w:after="0" w:line="276" w:lineRule="auto"/>
        <w:jc w:val="both"/>
        <w:rPr>
          <w:rFonts w:asciiTheme="majorHAnsi" w:eastAsia="Times New Roman" w:hAnsiTheme="majorHAnsi" w:cstheme="majorHAnsi"/>
          <w:b/>
          <w:i/>
          <w:sz w:val="24"/>
          <w:szCs w:val="24"/>
          <w:lang w:val="ro-MD"/>
        </w:rPr>
      </w:pPr>
      <w:r w:rsidRPr="00E67099">
        <w:rPr>
          <w:rFonts w:asciiTheme="majorHAnsi" w:eastAsia="Times New Roman" w:hAnsiTheme="majorHAnsi" w:cstheme="majorHAnsi"/>
          <w:b/>
          <w:i/>
          <w:sz w:val="24"/>
          <w:szCs w:val="24"/>
          <w:lang w:val="ro-MD"/>
        </w:rPr>
        <w:t xml:space="preserve">4.3.3 </w:t>
      </w:r>
      <w:r w:rsidRPr="00E67099">
        <w:rPr>
          <w:rFonts w:asciiTheme="majorHAnsi" w:eastAsia="Times New Roman" w:hAnsiTheme="majorHAnsi" w:cstheme="majorHAnsi"/>
          <w:b/>
          <w:i/>
          <w:sz w:val="24"/>
          <w:szCs w:val="24"/>
        </w:rPr>
        <w:t>Executarea cheltuielilor destinate investițiilor capitale se menține la un nivel redus de valorificare,</w:t>
      </w:r>
      <w:r w:rsidRPr="00E67099">
        <w:rPr>
          <w:rFonts w:asciiTheme="majorHAnsi" w:hAnsiTheme="majorHAnsi" w:cstheme="majorHAnsi"/>
          <w:b/>
          <w:i/>
          <w:sz w:val="24"/>
          <w:szCs w:val="24"/>
          <w:lang w:val="ro-MD"/>
        </w:rPr>
        <w:t xml:space="preserve"> în lipsa unui grup de lucru activ, în timp ce </w:t>
      </w:r>
      <w:r w:rsidRPr="00E67099">
        <w:rPr>
          <w:rFonts w:asciiTheme="majorHAnsi" w:eastAsia="Times New Roman" w:hAnsiTheme="majorHAnsi" w:cstheme="majorHAnsi"/>
          <w:b/>
          <w:i/>
          <w:sz w:val="24"/>
          <w:szCs w:val="24"/>
          <w:lang w:val="ro-MD"/>
        </w:rPr>
        <w:t>costurile estimate la unele proiecte de investiții capitale se majorează semnificativ</w:t>
      </w:r>
    </w:p>
    <w:p w:rsidR="00E67099" w:rsidRPr="00E67099" w:rsidRDefault="00E67099" w:rsidP="00E67099">
      <w:pPr>
        <w:spacing w:after="0" w:line="276" w:lineRule="auto"/>
        <w:ind w:right="49"/>
        <w:jc w:val="both"/>
        <w:rPr>
          <w:rFonts w:asciiTheme="majorHAnsi" w:hAnsiTheme="majorHAnsi" w:cstheme="majorHAnsi"/>
          <w:i/>
          <w:sz w:val="16"/>
          <w:szCs w:val="16"/>
          <w:lang w:val="ro-MD"/>
        </w:rPr>
      </w:pPr>
      <w:r w:rsidRPr="00E67099">
        <w:rPr>
          <w:rFonts w:asciiTheme="majorHAnsi" w:hAnsiTheme="majorHAnsi" w:cstheme="majorHAnsi"/>
          <w:sz w:val="24"/>
          <w:szCs w:val="24"/>
          <w:lang w:val="ro-MD"/>
        </w:rPr>
        <w:t>Pentru anul 2019, prin Legea bugetului de stat au fost aprobate cheltuieli destinate investițiilor capitale</w:t>
      </w:r>
      <w:r w:rsidRPr="00E67099">
        <w:rPr>
          <w:rFonts w:asciiTheme="majorHAnsi" w:hAnsiTheme="majorHAnsi" w:cstheme="majorHAnsi"/>
          <w:sz w:val="24"/>
          <w:szCs w:val="24"/>
          <w:vertAlign w:val="superscript"/>
          <w:lang w:val="ro-MD"/>
        </w:rPr>
        <w:footnoteReference w:id="46"/>
      </w:r>
      <w:r w:rsidRPr="00E67099">
        <w:rPr>
          <w:rFonts w:asciiTheme="majorHAnsi" w:hAnsiTheme="majorHAnsi" w:cstheme="majorHAnsi"/>
          <w:sz w:val="24"/>
          <w:szCs w:val="24"/>
          <w:lang w:val="ro-MD"/>
        </w:rPr>
        <w:t xml:space="preserve"> în volum de 2 374,2 mil. lei pentru executarea a 81 de proiecte de investiții, dintre care 27 de proiecte cu finanțare/cofinanțare din surse externe, în sumă de 1 854,1 mil. lei. În urma modificărilor operate la legea bugetară anuală</w:t>
      </w:r>
      <w:r w:rsidRPr="00E67099">
        <w:rPr>
          <w:rFonts w:asciiTheme="majorHAnsi" w:hAnsiTheme="majorHAnsi" w:cstheme="majorHAnsi"/>
          <w:sz w:val="24"/>
          <w:szCs w:val="24"/>
          <w:vertAlign w:val="superscript"/>
          <w:lang w:val="ro-MD"/>
        </w:rPr>
        <w:footnoteReference w:id="47"/>
      </w:r>
      <w:r w:rsidRPr="00E67099">
        <w:rPr>
          <w:rFonts w:asciiTheme="majorHAnsi" w:hAnsiTheme="majorHAnsi" w:cstheme="majorHAnsi"/>
          <w:sz w:val="24"/>
          <w:szCs w:val="24"/>
          <w:lang w:val="ro-MD"/>
        </w:rPr>
        <w:t xml:space="preserve">, a fost precizată suma de 1 665,4 mil. lei pentru 72 de proiecte de investiții capitale, fiind excluse 13 proiecte în sumă de 580,9 mil. lei și incluse 4 proiecte noi în sumă de 9,0 mil. lei. Cheltuielile executate în anul 2019 pentru investiții capitale au constituit 1 278,7 mil. lei, sau la nivel de 76,8% din volumul precizat. </w:t>
      </w:r>
    </w:p>
    <w:p w:rsidR="00E67099" w:rsidRPr="00E67099" w:rsidRDefault="00E67099" w:rsidP="00E67099">
      <w:pPr>
        <w:spacing w:after="0" w:line="276" w:lineRule="auto"/>
        <w:ind w:right="49"/>
        <w:jc w:val="both"/>
        <w:rPr>
          <w:rFonts w:asciiTheme="majorHAnsi" w:hAnsiTheme="majorHAnsi" w:cstheme="majorHAnsi"/>
          <w:sz w:val="24"/>
          <w:szCs w:val="24"/>
          <w:lang w:val="ro-MD"/>
        </w:rPr>
      </w:pPr>
      <w:r w:rsidRPr="00E67099">
        <w:rPr>
          <w:rFonts w:asciiTheme="majorHAnsi" w:hAnsiTheme="majorHAnsi" w:cstheme="majorHAnsi"/>
          <w:sz w:val="24"/>
          <w:szCs w:val="24"/>
          <w:lang w:val="ro-MD"/>
        </w:rPr>
        <w:t xml:space="preserve">Executarea investițiilor capitale în anul 2019 sub aspectul surselor de finanțare relevă că nivelul de executare a constituit 204,1 mil. lei, sau 64,8% din volumul precizat, iar din contul proiectelor finanțate din surse externe – 1 074,7 mil. lei, sau 79,3% din volumul precizat. </w:t>
      </w:r>
      <w:r w:rsidRPr="00E67099">
        <w:rPr>
          <w:rFonts w:asciiTheme="majorHAnsi" w:hAnsiTheme="majorHAnsi" w:cstheme="majorHAnsi"/>
          <w:i/>
          <w:sz w:val="24"/>
          <w:szCs w:val="24"/>
          <w:lang w:val="ro-MD"/>
        </w:rPr>
        <w:t>Sinteza executării cheltuielilor din BS destinate investițiilor capitale se prezintă în Anexa nr.18 la prezentul Raport de audit.</w:t>
      </w:r>
    </w:p>
    <w:p w:rsidR="00E67099" w:rsidRPr="00E67099" w:rsidRDefault="00E67099" w:rsidP="00E67099">
      <w:pPr>
        <w:spacing w:after="0" w:line="276" w:lineRule="auto"/>
        <w:ind w:right="49"/>
        <w:jc w:val="both"/>
        <w:rPr>
          <w:rFonts w:asciiTheme="majorHAnsi" w:hAnsiTheme="majorHAnsi" w:cstheme="majorHAnsi"/>
          <w:sz w:val="24"/>
          <w:szCs w:val="24"/>
          <w:lang w:val="ro-MD"/>
        </w:rPr>
      </w:pPr>
      <w:r w:rsidRPr="00E67099">
        <w:rPr>
          <w:rFonts w:asciiTheme="majorHAnsi" w:hAnsiTheme="majorHAnsi" w:cstheme="majorHAnsi"/>
          <w:sz w:val="24"/>
          <w:szCs w:val="24"/>
          <w:lang w:val="ro-MD"/>
        </w:rPr>
        <w:t xml:space="preserve">Ponderea cheltuielilor din sursele externe în totalul cheltuielilor executate pentru investițiile capitale atestă o tendință ascendentă și a constituit 84,0%, față de 71,1% în anul 2018 și 69,8% în anul 2017. </w:t>
      </w:r>
    </w:p>
    <w:p w:rsidR="00E67099" w:rsidRPr="00E67099" w:rsidRDefault="00E67099" w:rsidP="00E67099">
      <w:pPr>
        <w:spacing w:after="0"/>
        <w:jc w:val="both"/>
        <w:rPr>
          <w:rFonts w:asciiTheme="majorHAnsi" w:hAnsiTheme="majorHAnsi" w:cstheme="majorHAnsi"/>
          <w:i/>
          <w:sz w:val="24"/>
          <w:szCs w:val="24"/>
          <w:lang w:val="ro-MD"/>
        </w:rPr>
      </w:pPr>
      <w:r w:rsidRPr="00E67099">
        <w:rPr>
          <w:rFonts w:asciiTheme="majorHAnsi" w:hAnsiTheme="majorHAnsi" w:cstheme="majorHAnsi"/>
          <w:sz w:val="24"/>
          <w:szCs w:val="24"/>
          <w:lang w:val="ro-MD"/>
        </w:rPr>
        <w:t>Analiza auditului asupra nivelului de executare a proiectelor în anul 2019 relevă că, din 72 de proiecte aprobate la precizarea bugetului, 52 au înregistrat o executare între 1,6% și 100</w:t>
      </w:r>
      <w:r w:rsidR="00060EEB">
        <w:rPr>
          <w:rFonts w:asciiTheme="majorHAnsi" w:hAnsiTheme="majorHAnsi" w:cstheme="majorHAnsi"/>
          <w:sz w:val="24"/>
          <w:szCs w:val="24"/>
          <w:lang w:val="ro-MD"/>
        </w:rPr>
        <w:t>,0</w:t>
      </w:r>
      <w:r w:rsidRPr="00E67099">
        <w:rPr>
          <w:rFonts w:asciiTheme="majorHAnsi" w:hAnsiTheme="majorHAnsi" w:cstheme="majorHAnsi"/>
          <w:sz w:val="24"/>
          <w:szCs w:val="24"/>
          <w:lang w:val="ro-MD"/>
        </w:rPr>
        <w:t>% din volumul precizat, și anume: 10 proiecte în valoare de 22,6 mil. lei – între 1,6% și 50%, 15 proiecte în valoare de 1 107,7 mil. lei – între 50% și 90%, 27 proiecte în valoare de 144,7 mil. lei – între 90% și 100%. Totodată, la 20 de proiecte în valoare de 110,6 mil. lei nu au fost executate cheltuieli</w:t>
      </w:r>
      <w:r w:rsidRPr="00E67099">
        <w:rPr>
          <w:rFonts w:asciiTheme="majorHAnsi" w:hAnsiTheme="majorHAnsi" w:cstheme="majorHAnsi"/>
          <w:sz w:val="24"/>
          <w:szCs w:val="24"/>
          <w:vertAlign w:val="superscript"/>
          <w:lang w:val="ro-MD"/>
        </w:rPr>
        <w:footnoteReference w:id="48"/>
      </w:r>
      <w:r w:rsidRPr="00E67099">
        <w:rPr>
          <w:rFonts w:asciiTheme="majorHAnsi" w:hAnsiTheme="majorHAnsi" w:cstheme="majorHAnsi"/>
          <w:sz w:val="24"/>
          <w:szCs w:val="24"/>
          <w:lang w:val="ro-MD"/>
        </w:rPr>
        <w:t>.</w:t>
      </w:r>
    </w:p>
    <w:p w:rsidR="00E67099" w:rsidRPr="00E67099" w:rsidRDefault="00E67099" w:rsidP="00E67099">
      <w:pPr>
        <w:spacing w:after="0" w:line="276" w:lineRule="auto"/>
        <w:ind w:right="49"/>
        <w:jc w:val="both"/>
        <w:rPr>
          <w:rFonts w:asciiTheme="majorHAnsi" w:hAnsiTheme="majorHAnsi" w:cstheme="majorHAnsi"/>
          <w:i/>
          <w:sz w:val="24"/>
          <w:szCs w:val="24"/>
          <w:lang w:val="ro-MD"/>
        </w:rPr>
      </w:pPr>
      <w:r w:rsidRPr="00E67099">
        <w:rPr>
          <w:rFonts w:asciiTheme="majorHAnsi" w:hAnsiTheme="majorHAnsi" w:cstheme="majorHAnsi"/>
          <w:sz w:val="24"/>
          <w:szCs w:val="24"/>
          <w:lang w:val="ro-MD"/>
        </w:rPr>
        <w:t>Pentru anul 2019, în urma modificărilor operate la legea bugetară anuală, au fost precizate 28,5  mil. lei pentru 16 proiecte de investiții capitale.  Cheltuielile executate au constituit 5,2 mil. lei, sau 18,2% din volumul precizat. Verificările auditului denotă că, pentru 11 proiecte, cheltuielile executate au atins un nivel între 1,6% și 100%, iar pentru 5 proiecte nu au fost executate cheltuieli</w:t>
      </w:r>
      <w:r w:rsidRPr="00E67099">
        <w:rPr>
          <w:rFonts w:asciiTheme="majorHAnsi" w:hAnsiTheme="majorHAnsi" w:cstheme="majorHAnsi"/>
          <w:sz w:val="24"/>
          <w:szCs w:val="24"/>
          <w:vertAlign w:val="superscript"/>
          <w:lang w:val="ro-MD"/>
        </w:rPr>
        <w:footnoteReference w:id="49"/>
      </w:r>
      <w:r w:rsidRPr="00E67099">
        <w:rPr>
          <w:rFonts w:asciiTheme="majorHAnsi" w:hAnsiTheme="majorHAnsi" w:cstheme="majorHAnsi"/>
          <w:sz w:val="24"/>
          <w:szCs w:val="24"/>
          <w:lang w:val="ro-MD"/>
        </w:rPr>
        <w:t xml:space="preserve">. Potrivit informației prezentate de către MF, neexecutarea cheltuielilor a fost cauzată de următoarele: </w:t>
      </w:r>
      <w:r w:rsidRPr="00E67099">
        <w:rPr>
          <w:rFonts w:asciiTheme="majorHAnsi" w:hAnsiTheme="majorHAnsi" w:cstheme="majorHAnsi"/>
          <w:i/>
          <w:sz w:val="24"/>
          <w:szCs w:val="24"/>
          <w:lang w:val="ro-MD"/>
        </w:rPr>
        <w:t>i)</w:t>
      </w:r>
      <w:r w:rsidRPr="00E67099">
        <w:rPr>
          <w:rFonts w:asciiTheme="majorHAnsi" w:hAnsiTheme="majorHAnsi" w:cstheme="majorHAnsi"/>
          <w:sz w:val="24"/>
          <w:szCs w:val="24"/>
          <w:lang w:val="ro-MD"/>
        </w:rPr>
        <w:t xml:space="preserve"> semnarea tardivă a acordului de finanțare externă</w:t>
      </w:r>
      <w:r w:rsidRPr="00E67099">
        <w:rPr>
          <w:rFonts w:asciiTheme="majorHAnsi" w:hAnsiTheme="majorHAnsi" w:cstheme="majorHAnsi"/>
          <w:sz w:val="24"/>
          <w:szCs w:val="24"/>
          <w:vertAlign w:val="superscript"/>
          <w:lang w:val="ro-MD"/>
        </w:rPr>
        <w:footnoteReference w:id="50"/>
      </w:r>
      <w:r w:rsidRPr="00E67099">
        <w:rPr>
          <w:rFonts w:asciiTheme="majorHAnsi" w:hAnsiTheme="majorHAnsi" w:cstheme="majorHAnsi"/>
          <w:sz w:val="24"/>
          <w:szCs w:val="24"/>
          <w:lang w:val="ro-MD"/>
        </w:rPr>
        <w:t xml:space="preserve">; </w:t>
      </w:r>
      <w:r w:rsidRPr="00E67099">
        <w:rPr>
          <w:rFonts w:asciiTheme="majorHAnsi" w:hAnsiTheme="majorHAnsi" w:cstheme="majorHAnsi"/>
          <w:i/>
          <w:sz w:val="24"/>
          <w:szCs w:val="24"/>
          <w:lang w:val="ro-MD"/>
        </w:rPr>
        <w:t>ii)</w:t>
      </w:r>
      <w:r w:rsidRPr="00E67099">
        <w:rPr>
          <w:rFonts w:asciiTheme="majorHAnsi" w:hAnsiTheme="majorHAnsi" w:cstheme="majorHAnsi"/>
          <w:sz w:val="24"/>
          <w:szCs w:val="24"/>
          <w:lang w:val="ro-MD"/>
        </w:rPr>
        <w:t xml:space="preserve"> identificarea tardivă a terenurilor pentru construcții, ceea ce a afectat posibilitatea efectuării în termen a procedurilor de achiziții publice</w:t>
      </w:r>
      <w:r w:rsidRPr="00E67099">
        <w:rPr>
          <w:rFonts w:asciiTheme="majorHAnsi" w:hAnsiTheme="majorHAnsi" w:cstheme="majorHAnsi"/>
          <w:sz w:val="24"/>
          <w:szCs w:val="24"/>
          <w:vertAlign w:val="superscript"/>
          <w:lang w:val="ro-MD"/>
        </w:rPr>
        <w:footnoteReference w:id="51"/>
      </w:r>
      <w:r w:rsidRPr="00E67099">
        <w:rPr>
          <w:rFonts w:asciiTheme="majorHAnsi" w:hAnsiTheme="majorHAnsi" w:cstheme="majorHAnsi"/>
          <w:sz w:val="24"/>
          <w:szCs w:val="24"/>
          <w:lang w:val="ro-MD"/>
        </w:rPr>
        <w:t xml:space="preserve">; </w:t>
      </w:r>
      <w:r w:rsidRPr="00E67099">
        <w:rPr>
          <w:rFonts w:asciiTheme="majorHAnsi" w:hAnsiTheme="majorHAnsi" w:cstheme="majorHAnsi"/>
          <w:i/>
          <w:sz w:val="24"/>
          <w:szCs w:val="24"/>
          <w:lang w:val="ro-MD"/>
        </w:rPr>
        <w:t>iii)</w:t>
      </w:r>
      <w:r w:rsidRPr="00E67099">
        <w:rPr>
          <w:rFonts w:asciiTheme="majorHAnsi" w:hAnsiTheme="majorHAnsi" w:cstheme="majorHAnsi"/>
          <w:sz w:val="24"/>
          <w:szCs w:val="24"/>
          <w:lang w:val="ro-MD"/>
        </w:rPr>
        <w:t xml:space="preserve"> modificarea de către donator a condițiilor de implementare a proiectului</w:t>
      </w:r>
      <w:r w:rsidRPr="00E67099">
        <w:rPr>
          <w:rFonts w:asciiTheme="majorHAnsi" w:eastAsia="Times New Roman" w:hAnsiTheme="majorHAnsi" w:cstheme="majorHAnsi"/>
          <w:iCs/>
          <w:color w:val="FF0000"/>
          <w:sz w:val="24"/>
          <w:szCs w:val="24"/>
          <w:lang w:val="ro-MD" w:eastAsia="ru-RU"/>
        </w:rPr>
        <w:t xml:space="preserve"> </w:t>
      </w:r>
      <w:r w:rsidRPr="00E67099">
        <w:rPr>
          <w:rFonts w:asciiTheme="majorHAnsi" w:eastAsia="Times New Roman" w:hAnsiTheme="majorHAnsi" w:cstheme="majorHAnsi"/>
          <w:iCs/>
          <w:sz w:val="24"/>
          <w:szCs w:val="24"/>
          <w:lang w:val="ro-MD" w:eastAsia="ru-RU"/>
        </w:rPr>
        <w:t>pe parcursul anului</w:t>
      </w:r>
      <w:r w:rsidRPr="00E67099">
        <w:rPr>
          <w:rFonts w:asciiTheme="majorHAnsi" w:eastAsia="Times New Roman" w:hAnsiTheme="majorHAnsi" w:cstheme="majorHAnsi"/>
          <w:iCs/>
          <w:sz w:val="24"/>
          <w:szCs w:val="24"/>
          <w:vertAlign w:val="superscript"/>
          <w:lang w:val="ro-MD" w:eastAsia="ru-RU"/>
        </w:rPr>
        <w:footnoteReference w:id="52"/>
      </w:r>
      <w:r w:rsidRPr="00E67099">
        <w:rPr>
          <w:rFonts w:asciiTheme="majorHAnsi" w:eastAsia="Times New Roman" w:hAnsiTheme="majorHAnsi" w:cstheme="majorHAnsi"/>
          <w:iCs/>
          <w:sz w:val="24"/>
          <w:szCs w:val="24"/>
          <w:lang w:val="ro-MD" w:eastAsia="ru-RU"/>
        </w:rPr>
        <w:t xml:space="preserve">; </w:t>
      </w:r>
      <w:r w:rsidRPr="00E67099">
        <w:rPr>
          <w:rFonts w:asciiTheme="majorHAnsi" w:hAnsiTheme="majorHAnsi" w:cstheme="majorHAnsi"/>
          <w:i/>
          <w:sz w:val="24"/>
          <w:szCs w:val="24"/>
          <w:lang w:val="ro-MD"/>
        </w:rPr>
        <w:t>iv)</w:t>
      </w:r>
      <w:r w:rsidRPr="00E67099">
        <w:rPr>
          <w:rFonts w:asciiTheme="majorHAnsi" w:hAnsiTheme="majorHAnsi" w:cstheme="majorHAnsi"/>
          <w:sz w:val="24"/>
          <w:szCs w:val="24"/>
          <w:lang w:val="ro-MD"/>
        </w:rPr>
        <w:t xml:space="preserve"> necesitatea reevaluării și actualizării documentației de proiect</w:t>
      </w:r>
      <w:r w:rsidRPr="00E67099">
        <w:rPr>
          <w:rFonts w:asciiTheme="majorHAnsi" w:hAnsiTheme="majorHAnsi" w:cstheme="majorHAnsi"/>
          <w:sz w:val="24"/>
          <w:szCs w:val="24"/>
          <w:vertAlign w:val="superscript"/>
          <w:lang w:val="ro-MD"/>
        </w:rPr>
        <w:footnoteReference w:id="53"/>
      </w:r>
      <w:r w:rsidRPr="00E67099">
        <w:rPr>
          <w:rFonts w:asciiTheme="majorHAnsi" w:hAnsiTheme="majorHAnsi" w:cstheme="majorHAnsi"/>
          <w:sz w:val="24"/>
          <w:szCs w:val="24"/>
          <w:lang w:val="ro-MD"/>
        </w:rPr>
        <w:t>. Totodată, valorificarea scăzută a mijloacelor destinate investițiilor capitale derivă, preponderent, din lipsa capacităților sau voinței autorităților publice centrale de a elabora și a înainta spre finanțare propuneri de proiecte, pregătite în conformitate cu cerințele cadrului legal</w:t>
      </w:r>
      <w:r w:rsidRPr="00E67099">
        <w:rPr>
          <w:rFonts w:asciiTheme="majorHAnsi" w:hAnsiTheme="majorHAnsi" w:cstheme="majorHAnsi"/>
          <w:sz w:val="24"/>
          <w:szCs w:val="24"/>
          <w:vertAlign w:val="superscript"/>
          <w:lang w:val="ro-MD"/>
        </w:rPr>
        <w:footnoteReference w:id="54"/>
      </w:r>
      <w:r w:rsidRPr="00E67099">
        <w:rPr>
          <w:rFonts w:asciiTheme="majorHAnsi" w:hAnsiTheme="majorHAnsi" w:cstheme="majorHAnsi"/>
          <w:sz w:val="24"/>
          <w:szCs w:val="24"/>
          <w:lang w:val="ro-MD"/>
        </w:rPr>
        <w:t xml:space="preserve">, și de neasigurarea de către APC a managementului corespunzător la implementarea proiectelor aprobate. </w:t>
      </w:r>
    </w:p>
    <w:p w:rsidR="00E67099" w:rsidRPr="00E67099" w:rsidRDefault="00E67099" w:rsidP="00E67099">
      <w:pPr>
        <w:spacing w:after="0" w:line="276" w:lineRule="auto"/>
        <w:ind w:right="49"/>
        <w:jc w:val="both"/>
        <w:rPr>
          <w:rFonts w:asciiTheme="majorHAnsi" w:hAnsiTheme="majorHAnsi" w:cstheme="majorHAnsi"/>
          <w:sz w:val="24"/>
          <w:szCs w:val="24"/>
          <w:lang w:val="ro-MD"/>
        </w:rPr>
      </w:pPr>
      <w:r w:rsidRPr="00E67099">
        <w:rPr>
          <w:rFonts w:asciiTheme="majorHAnsi" w:hAnsiTheme="majorHAnsi" w:cstheme="majorHAnsi"/>
          <w:sz w:val="24"/>
          <w:szCs w:val="24"/>
          <w:lang w:val="ro-MD"/>
        </w:rPr>
        <w:t>Conform prevederilor legale, costurile totale estimate ale proiectelor se aprobă odată cu aprobarea finanțării acestora</w:t>
      </w:r>
      <w:r w:rsidRPr="00E67099">
        <w:rPr>
          <w:rFonts w:asciiTheme="majorHAnsi" w:hAnsiTheme="majorHAnsi" w:cstheme="majorHAnsi"/>
          <w:sz w:val="24"/>
          <w:szCs w:val="24"/>
          <w:vertAlign w:val="superscript"/>
          <w:lang w:val="ro-MD"/>
        </w:rPr>
        <w:footnoteReference w:id="55"/>
      </w:r>
      <w:r w:rsidRPr="00E67099">
        <w:rPr>
          <w:rFonts w:asciiTheme="majorHAnsi" w:hAnsiTheme="majorHAnsi" w:cstheme="majorHAnsi"/>
          <w:sz w:val="24"/>
          <w:szCs w:val="24"/>
          <w:lang w:val="ro-MD"/>
        </w:rPr>
        <w:t xml:space="preserve"> și pot fi modificate</w:t>
      </w:r>
      <w:r w:rsidRPr="00E67099">
        <w:rPr>
          <w:rFonts w:asciiTheme="majorHAnsi" w:hAnsiTheme="majorHAnsi" w:cstheme="majorHAnsi"/>
          <w:sz w:val="24"/>
          <w:szCs w:val="24"/>
          <w:vertAlign w:val="superscript"/>
          <w:lang w:val="ro-MD"/>
        </w:rPr>
        <w:footnoteReference w:id="56"/>
      </w:r>
      <w:r w:rsidRPr="00E67099">
        <w:rPr>
          <w:rFonts w:asciiTheme="majorHAnsi" w:hAnsiTheme="majorHAnsi" w:cstheme="majorHAnsi"/>
          <w:sz w:val="24"/>
          <w:szCs w:val="24"/>
          <w:lang w:val="ro-MD"/>
        </w:rPr>
        <w:t xml:space="preserve"> </w:t>
      </w:r>
      <w:r w:rsidRPr="00E67099">
        <w:rPr>
          <w:rFonts w:asciiTheme="majorHAnsi" w:hAnsiTheme="majorHAnsi" w:cstheme="majorHAnsi"/>
          <w:i/>
          <w:sz w:val="24"/>
          <w:szCs w:val="24"/>
          <w:lang w:val="ro-MD"/>
        </w:rPr>
        <w:t xml:space="preserve">„de la an la an, datorită unor influențe inflaționiste sau altor factori, care nu au fost luați în considerare la etapa estimărilor inițiale” </w:t>
      </w:r>
      <w:r w:rsidRPr="00E67099">
        <w:rPr>
          <w:rFonts w:asciiTheme="majorHAnsi" w:hAnsiTheme="majorHAnsi" w:cstheme="majorHAnsi"/>
          <w:sz w:val="24"/>
          <w:szCs w:val="24"/>
          <w:lang w:val="ro-MD"/>
        </w:rPr>
        <w:t>în limita a 15,0% din costul estimat inițial</w:t>
      </w:r>
      <w:r w:rsidRPr="00E67099">
        <w:rPr>
          <w:rFonts w:asciiTheme="majorHAnsi" w:hAnsiTheme="majorHAnsi" w:cstheme="majorHAnsi"/>
          <w:i/>
          <w:sz w:val="24"/>
          <w:szCs w:val="24"/>
          <w:lang w:val="ro-MD"/>
        </w:rPr>
        <w:t>.</w:t>
      </w:r>
      <w:r w:rsidRPr="00E67099">
        <w:rPr>
          <w:rFonts w:asciiTheme="majorHAnsi" w:hAnsiTheme="majorHAnsi" w:cstheme="majorHAnsi"/>
          <w:sz w:val="24"/>
          <w:szCs w:val="24"/>
          <w:lang w:val="ro-MD"/>
        </w:rPr>
        <w:t xml:space="preserve"> Analiza auditului asupra aspectelor de conformitate referitor la majorările costurilor totale estimate ale proiectelor de investiții capitale, efectuată pe un eșantion de 11 proiecte, relevă că, costurile totale estimate pentru anul 2019 în 9 cazuri denotă majorări între 28,2% și 1816,3% față de costurile estimate inițial la data lansării proiectelor. </w:t>
      </w:r>
    </w:p>
    <w:p w:rsidR="00E67099" w:rsidRPr="00E67099" w:rsidRDefault="00E67099" w:rsidP="00E67099">
      <w:pPr>
        <w:spacing w:after="0" w:line="276" w:lineRule="auto"/>
        <w:ind w:right="49"/>
        <w:jc w:val="both"/>
        <w:rPr>
          <w:rFonts w:asciiTheme="majorHAnsi" w:hAnsiTheme="majorHAnsi" w:cstheme="majorHAnsi"/>
          <w:sz w:val="24"/>
          <w:szCs w:val="24"/>
          <w:lang w:val="ro-MD"/>
        </w:rPr>
      </w:pPr>
      <w:r w:rsidRPr="00E67099">
        <w:rPr>
          <w:rFonts w:asciiTheme="majorHAnsi" w:hAnsiTheme="majorHAnsi" w:cstheme="majorHAnsi"/>
          <w:sz w:val="24"/>
          <w:szCs w:val="24"/>
          <w:lang w:val="ro-MD"/>
        </w:rPr>
        <w:t>Potrivit MF, cauza majorărilor sus-menționate se explic</w:t>
      </w:r>
      <w:r w:rsidRPr="00E67099">
        <w:rPr>
          <w:rFonts w:asciiTheme="majorHAnsi" w:hAnsiTheme="majorHAnsi" w:cstheme="majorHAnsi"/>
          <w:sz w:val="24"/>
          <w:szCs w:val="24"/>
        </w:rPr>
        <w:t>ă</w:t>
      </w:r>
      <w:r w:rsidRPr="00E67099">
        <w:rPr>
          <w:rFonts w:asciiTheme="majorHAnsi" w:hAnsiTheme="majorHAnsi" w:cstheme="majorHAnsi"/>
          <w:sz w:val="24"/>
          <w:szCs w:val="24"/>
          <w:lang w:val="ro-MD"/>
        </w:rPr>
        <w:t xml:space="preserve"> prin faptul că APC au prezentat MF spre examinare propuneri de proiecte lipsite de documentația de proiect și de deviz, deși cadrul legal prevede</w:t>
      </w:r>
      <w:r w:rsidRPr="00E67099">
        <w:rPr>
          <w:rFonts w:asciiTheme="majorHAnsi" w:hAnsiTheme="majorHAnsi" w:cstheme="majorHAnsi"/>
          <w:sz w:val="24"/>
          <w:szCs w:val="24"/>
          <w:vertAlign w:val="superscript"/>
          <w:lang w:val="ro-MD"/>
        </w:rPr>
        <w:footnoteReference w:id="57"/>
      </w:r>
      <w:r w:rsidRPr="00E67099">
        <w:rPr>
          <w:rFonts w:asciiTheme="majorHAnsi" w:hAnsiTheme="majorHAnsi" w:cstheme="majorHAnsi"/>
          <w:sz w:val="24"/>
          <w:szCs w:val="24"/>
          <w:lang w:val="ro-MD"/>
        </w:rPr>
        <w:t xml:space="preserve"> că propunerile de proiect să fie însoțite de studii de fezabilitate (economice, financiare, tehnice) </w:t>
      </w:r>
      <w:r w:rsidRPr="00112877">
        <w:rPr>
          <w:rFonts w:asciiTheme="majorHAnsi" w:hAnsiTheme="majorHAnsi" w:cstheme="majorHAnsi"/>
          <w:sz w:val="24"/>
          <w:szCs w:val="24"/>
          <w:lang w:val="ro-MD"/>
        </w:rPr>
        <w:t xml:space="preserve">sau în cazul solicitării alocațiilor pentru pregătirea proiectelor de studii de </w:t>
      </w:r>
      <w:r w:rsidR="00112877" w:rsidRPr="00112877">
        <w:rPr>
          <w:rFonts w:asciiTheme="majorHAnsi" w:hAnsiTheme="majorHAnsi" w:cstheme="majorHAnsi"/>
          <w:sz w:val="24"/>
          <w:szCs w:val="24"/>
          <w:lang w:val="ro-MD"/>
        </w:rPr>
        <w:t xml:space="preserve">studiile </w:t>
      </w:r>
      <w:r w:rsidRPr="00112877">
        <w:rPr>
          <w:rFonts w:asciiTheme="majorHAnsi" w:hAnsiTheme="majorHAnsi" w:cstheme="majorHAnsi"/>
          <w:sz w:val="24"/>
          <w:szCs w:val="24"/>
          <w:lang w:val="ro-MD"/>
        </w:rPr>
        <w:t>pre-fezabilitate de efectuarea cărora sunt responsabile APC</w:t>
      </w:r>
      <w:r w:rsidRPr="00112877">
        <w:rPr>
          <w:rFonts w:asciiTheme="majorHAnsi" w:hAnsiTheme="majorHAnsi" w:cstheme="majorHAnsi"/>
          <w:sz w:val="24"/>
          <w:szCs w:val="24"/>
          <w:vertAlign w:val="superscript"/>
          <w:lang w:val="ro-MD"/>
        </w:rPr>
        <w:footnoteReference w:id="58"/>
      </w:r>
      <w:r w:rsidRPr="00112877">
        <w:rPr>
          <w:rFonts w:asciiTheme="majorHAnsi" w:hAnsiTheme="majorHAnsi" w:cstheme="majorHAnsi"/>
          <w:sz w:val="24"/>
          <w:szCs w:val="24"/>
          <w:lang w:val="ro-MD"/>
        </w:rPr>
        <w:t>.</w:t>
      </w:r>
    </w:p>
    <w:p w:rsidR="00E67099" w:rsidRPr="00E67099" w:rsidRDefault="00E67099" w:rsidP="00E67099">
      <w:pPr>
        <w:spacing w:after="0" w:line="276" w:lineRule="auto"/>
        <w:ind w:right="49"/>
        <w:jc w:val="both"/>
        <w:rPr>
          <w:rFonts w:asciiTheme="majorHAnsi" w:hAnsiTheme="majorHAnsi" w:cstheme="majorHAnsi"/>
          <w:sz w:val="24"/>
          <w:szCs w:val="24"/>
          <w:lang w:val="ro-MD"/>
        </w:rPr>
      </w:pPr>
      <w:r w:rsidRPr="00E67099">
        <w:rPr>
          <w:rFonts w:asciiTheme="majorHAnsi" w:hAnsiTheme="majorHAnsi" w:cstheme="majorHAnsi"/>
          <w:sz w:val="24"/>
          <w:szCs w:val="24"/>
          <w:lang w:val="ro-MD"/>
        </w:rPr>
        <w:t xml:space="preserve">Examinările auditului relevă că, pentru anul 2019, MF a estimat costurile totale a 9 proiecte la suma de 213,1 mil. lei, sau cu 122,3 mil. lei mai mult față de valoarea totală a costurilor estimate inițial. Cheltuielile executate cumulativ la 31.12.2019 au constituit 209,5 mil. lei, sau cu 118,8 mil. lei mai mult față de valoarea totală a costurilor estimate inițial. </w:t>
      </w:r>
      <w:r w:rsidRPr="00E67099">
        <w:rPr>
          <w:rFonts w:asciiTheme="majorHAnsi" w:hAnsiTheme="majorHAnsi" w:cstheme="majorHAnsi"/>
          <w:i/>
          <w:sz w:val="24"/>
          <w:szCs w:val="24"/>
          <w:lang w:val="ro-MD"/>
        </w:rPr>
        <w:t>Analiza executării cumulative a alocațiilor destinate investițiilor capitale față de costurile totale inițiale, estimate la data aprobării  proiectelor se prezintă în Anexa nr19. la prezentul Raport de audit.</w:t>
      </w:r>
    </w:p>
    <w:p w:rsidR="00E67099" w:rsidRPr="00E67099" w:rsidRDefault="00E67099" w:rsidP="00E67099">
      <w:pPr>
        <w:spacing w:after="0" w:line="276" w:lineRule="auto"/>
        <w:jc w:val="both"/>
        <w:rPr>
          <w:rFonts w:asciiTheme="majorHAnsi" w:hAnsiTheme="majorHAnsi" w:cstheme="majorHAnsi"/>
          <w:sz w:val="24"/>
          <w:szCs w:val="24"/>
          <w:lang w:val="ro-MD"/>
        </w:rPr>
      </w:pPr>
      <w:r w:rsidRPr="00E67099">
        <w:rPr>
          <w:rFonts w:asciiTheme="majorHAnsi" w:hAnsiTheme="majorHAnsi" w:cstheme="majorHAnsi"/>
          <w:sz w:val="24"/>
          <w:szCs w:val="24"/>
          <w:lang w:val="ro-MD"/>
        </w:rPr>
        <w:t>Capacitatea/voința APC de a elabora propuneri de proiecte conforme și neinstituirea Grupului de lucru pentru investiții capitale publice care trebuie să fie responsabil de examinarea și confirmarea eligibilității proiectelor</w:t>
      </w:r>
      <w:r w:rsidRPr="00E67099">
        <w:rPr>
          <w:rFonts w:asciiTheme="majorHAnsi" w:hAnsiTheme="majorHAnsi" w:cstheme="majorHAnsi"/>
          <w:sz w:val="24"/>
          <w:szCs w:val="24"/>
          <w:vertAlign w:val="superscript"/>
          <w:lang w:val="ro-MD"/>
        </w:rPr>
        <w:footnoteReference w:id="59"/>
      </w:r>
      <w:r w:rsidRPr="00E67099">
        <w:rPr>
          <w:rFonts w:asciiTheme="majorHAnsi" w:hAnsiTheme="majorHAnsi" w:cstheme="majorHAnsi"/>
          <w:sz w:val="24"/>
          <w:szCs w:val="24"/>
          <w:lang w:val="ro-MD"/>
        </w:rPr>
        <w:t>, fapt menționat și reiterat în rapoartele CCRM din anii precedenți, favorizează aprobarea unor proiecte slab pregătite, care necesită ulterior finanțare adițională considerabilă și majorează termenele de implementare a lor. Totodată, pentru asigurarea principiului transparenței decizionale, auditul consideră oportun de a include informațiile cu privire la costurile estimate inițial pentru proiectele de investiții capitale în anexa respectivă din nota informativă la proiectul legii bugetului de stat.</w:t>
      </w:r>
    </w:p>
    <w:p w:rsidR="00E67099" w:rsidRPr="00E67099" w:rsidRDefault="00E67099" w:rsidP="00E67099">
      <w:pPr>
        <w:spacing w:after="0" w:line="276" w:lineRule="auto"/>
        <w:jc w:val="both"/>
        <w:rPr>
          <w:rFonts w:asciiTheme="majorHAnsi" w:hAnsiTheme="majorHAnsi" w:cstheme="majorHAnsi"/>
          <w:i/>
          <w:sz w:val="24"/>
          <w:szCs w:val="24"/>
          <w:lang w:val="ro-MD"/>
        </w:rPr>
      </w:pPr>
      <w:r w:rsidRPr="00E67099">
        <w:rPr>
          <w:rFonts w:asciiTheme="majorHAnsi" w:hAnsiTheme="majorHAnsi" w:cstheme="majorHAnsi"/>
          <w:i/>
          <w:sz w:val="24"/>
          <w:szCs w:val="24"/>
          <w:lang w:val="ro-MD"/>
        </w:rPr>
        <w:t>Echipa de audit care a efectuat auditul financiar la MAI a constatat:</w:t>
      </w:r>
    </w:p>
    <w:p w:rsidR="00E67099" w:rsidRPr="00E67099" w:rsidRDefault="00E67099" w:rsidP="000818EB">
      <w:pPr>
        <w:numPr>
          <w:ilvl w:val="0"/>
          <w:numId w:val="20"/>
        </w:numPr>
        <w:tabs>
          <w:tab w:val="left" w:pos="142"/>
          <w:tab w:val="left" w:pos="851"/>
        </w:tabs>
        <w:spacing w:after="0" w:line="276" w:lineRule="auto"/>
        <w:ind w:left="0" w:firstLine="709"/>
        <w:contextualSpacing/>
        <w:jc w:val="both"/>
        <w:rPr>
          <w:rFonts w:asciiTheme="majorHAnsi" w:hAnsiTheme="majorHAnsi" w:cstheme="majorHAnsi"/>
          <w:sz w:val="24"/>
          <w:szCs w:val="24"/>
        </w:rPr>
      </w:pPr>
      <w:r w:rsidRPr="00E67099">
        <w:rPr>
          <w:rFonts w:asciiTheme="majorHAnsi" w:hAnsiTheme="majorHAnsi" w:cstheme="majorHAnsi"/>
          <w:sz w:val="24"/>
          <w:szCs w:val="24"/>
        </w:rPr>
        <w:t>cheltuielile totale pentru obiectul Reconstrucția bazinului de înot însumează 26,5 mil. lei, iar CSC</w:t>
      </w:r>
      <w:r w:rsidR="002059DD">
        <w:rPr>
          <w:rFonts w:asciiTheme="majorHAnsi" w:hAnsiTheme="majorHAnsi" w:cstheme="majorHAnsi"/>
          <w:sz w:val="24"/>
          <w:szCs w:val="24"/>
        </w:rPr>
        <w:t xml:space="preserve"> </w:t>
      </w:r>
      <w:r w:rsidRPr="00E67099">
        <w:rPr>
          <w:rFonts w:asciiTheme="majorHAnsi" w:hAnsiTheme="majorHAnsi" w:cstheme="majorHAnsi"/>
          <w:sz w:val="24"/>
          <w:szCs w:val="24"/>
        </w:rPr>
        <w:t>„Dinamo” a acumulat angajamente pentru reconstrucția obiectului conform estimărilor de deviz în sumă de 17,8 mil. lei, neavând aprobate regulamentar alocații la capitolul investiții capitale în legile bugetare pe anii 2016-2019,  toate acestea având impact negativ asupra bugetului de stat. Valoarea estimativă a investiției privind reconstrucția bazinului reprezintă 44,2 mil.lei;</w:t>
      </w:r>
    </w:p>
    <w:p w:rsidR="00E67099" w:rsidRPr="00E67099" w:rsidRDefault="00E67099" w:rsidP="000818EB">
      <w:pPr>
        <w:numPr>
          <w:ilvl w:val="0"/>
          <w:numId w:val="20"/>
        </w:numPr>
        <w:tabs>
          <w:tab w:val="left" w:pos="142"/>
          <w:tab w:val="left" w:pos="851"/>
        </w:tabs>
        <w:spacing w:after="0" w:line="276" w:lineRule="auto"/>
        <w:ind w:left="0" w:firstLine="709"/>
        <w:contextualSpacing/>
        <w:jc w:val="both"/>
        <w:rPr>
          <w:rFonts w:asciiTheme="majorHAnsi" w:hAnsiTheme="majorHAnsi" w:cstheme="majorHAnsi"/>
          <w:sz w:val="24"/>
          <w:szCs w:val="24"/>
        </w:rPr>
      </w:pPr>
      <w:r w:rsidRPr="00E67099">
        <w:rPr>
          <w:rFonts w:asciiTheme="majorHAnsi" w:hAnsiTheme="majorHAnsi" w:cstheme="majorHAnsi"/>
          <w:sz w:val="24"/>
          <w:szCs w:val="24"/>
        </w:rPr>
        <w:t xml:space="preserve">reconstrucția bazinului se efectuează prin intermediul PNUD, căruia i-au fost transferate în avans 22,7 mil. lei , inclusiv AC al MAI a transferat 9,2 mil. lei și CSC „Dinamo” - de 13,5 mil. lei, ultimul transferând suplimentar unui operator economic din România 3,8 mil. lei pentru utilajul bazinului mic de înot, însă documente justificative privind recepționarea utilajului în contabilitate lipsesc; </w:t>
      </w:r>
    </w:p>
    <w:p w:rsidR="00E67099" w:rsidRPr="00E67099" w:rsidRDefault="00E67099" w:rsidP="000818EB">
      <w:pPr>
        <w:numPr>
          <w:ilvl w:val="0"/>
          <w:numId w:val="20"/>
        </w:numPr>
        <w:tabs>
          <w:tab w:val="left" w:pos="142"/>
          <w:tab w:val="left" w:pos="851"/>
        </w:tabs>
        <w:spacing w:after="0" w:line="276" w:lineRule="auto"/>
        <w:ind w:left="0" w:firstLine="709"/>
        <w:contextualSpacing/>
        <w:jc w:val="both"/>
        <w:rPr>
          <w:rFonts w:asciiTheme="majorHAnsi" w:hAnsiTheme="majorHAnsi" w:cstheme="majorHAnsi"/>
          <w:sz w:val="24"/>
          <w:szCs w:val="24"/>
        </w:rPr>
      </w:pPr>
      <w:r w:rsidRPr="00E67099">
        <w:rPr>
          <w:rFonts w:asciiTheme="majorHAnsi" w:hAnsiTheme="majorHAnsi" w:cstheme="majorHAnsi"/>
          <w:sz w:val="24"/>
          <w:szCs w:val="24"/>
        </w:rPr>
        <w:t>unul din obiectivele pentru acordarea suportului bugetar comunitar conform Strategiei de dezvoltare a Poliției,  și anume crearea în anii 2017-2019 a Centrului comun de instruire a personalului MAI în concordanță cu standardele Uniunii Europene, nu a fost atins. În același timp, suportul bugetar comunitar în sumă de 17,8 mil. lei a fost administrat defectuos și cheltuit neeficient pentru documentația de proiect și deviz cu locația str. Nicolae Dimo nr.30, abandonată după trei ani de către MAI, persistând riscul neimplementării criteriilor de performanță din Matricea de politici, cu tergiversarea debursării tranșelor din suportul bugetar comunitar.</w:t>
      </w:r>
    </w:p>
    <w:p w:rsidR="00E67099" w:rsidRPr="00E67099" w:rsidRDefault="00E67099" w:rsidP="00E67099">
      <w:pPr>
        <w:tabs>
          <w:tab w:val="left" w:pos="142"/>
        </w:tabs>
        <w:spacing w:after="0" w:line="276" w:lineRule="auto"/>
        <w:jc w:val="both"/>
        <w:rPr>
          <w:rFonts w:asciiTheme="majorHAnsi" w:hAnsiTheme="majorHAnsi" w:cstheme="majorHAnsi"/>
          <w:sz w:val="24"/>
          <w:szCs w:val="24"/>
        </w:rPr>
      </w:pPr>
      <w:r w:rsidRPr="00E67099">
        <w:rPr>
          <w:rFonts w:asciiTheme="majorHAnsi" w:hAnsiTheme="majorHAnsi" w:cstheme="majorHAnsi"/>
          <w:sz w:val="24"/>
          <w:szCs w:val="24"/>
        </w:rPr>
        <w:t xml:space="preserve">Din mijloacele alocate în anii 2017-2019 pentru construcția </w:t>
      </w:r>
      <w:r w:rsidR="00DD66E7">
        <w:rPr>
          <w:rFonts w:asciiTheme="majorHAnsi" w:hAnsiTheme="majorHAnsi" w:cstheme="majorHAnsi"/>
          <w:sz w:val="24"/>
          <w:szCs w:val="24"/>
        </w:rPr>
        <w:t>C</w:t>
      </w:r>
      <w:r w:rsidR="001F08F0">
        <w:rPr>
          <w:rFonts w:asciiTheme="majorHAnsi" w:hAnsiTheme="majorHAnsi" w:cstheme="majorHAnsi"/>
          <w:sz w:val="24"/>
          <w:szCs w:val="24"/>
        </w:rPr>
        <w:t>entrului I</w:t>
      </w:r>
      <w:r w:rsidR="00DD66E7">
        <w:rPr>
          <w:rFonts w:asciiTheme="majorHAnsi" w:hAnsiTheme="majorHAnsi" w:cstheme="majorHAnsi"/>
          <w:sz w:val="24"/>
          <w:szCs w:val="24"/>
        </w:rPr>
        <w:t xml:space="preserve">ntegrat </w:t>
      </w:r>
      <w:r w:rsidR="001F08F0">
        <w:rPr>
          <w:rFonts w:asciiTheme="majorHAnsi" w:hAnsiTheme="majorHAnsi" w:cstheme="majorHAnsi"/>
          <w:sz w:val="24"/>
          <w:szCs w:val="24"/>
        </w:rPr>
        <w:t>de Pregătire pentru Aplicarea L</w:t>
      </w:r>
      <w:r w:rsidR="00DD66E7">
        <w:rPr>
          <w:rFonts w:asciiTheme="majorHAnsi" w:hAnsiTheme="majorHAnsi" w:cstheme="majorHAnsi"/>
          <w:sz w:val="24"/>
          <w:szCs w:val="24"/>
        </w:rPr>
        <w:t>egii (</w:t>
      </w:r>
      <w:r w:rsidRPr="00DD66E7">
        <w:rPr>
          <w:rFonts w:asciiTheme="majorHAnsi" w:hAnsiTheme="majorHAnsi" w:cstheme="majorHAnsi"/>
          <w:sz w:val="24"/>
          <w:szCs w:val="24"/>
        </w:rPr>
        <w:t>CIPAL</w:t>
      </w:r>
      <w:r w:rsidR="00D35DCA" w:rsidRPr="00DD66E7">
        <w:rPr>
          <w:rFonts w:asciiTheme="majorHAnsi" w:hAnsiTheme="majorHAnsi" w:cstheme="majorHAnsi"/>
          <w:sz w:val="24"/>
          <w:szCs w:val="24"/>
        </w:rPr>
        <w:t>)</w:t>
      </w:r>
      <w:r w:rsidR="00DD66E7" w:rsidRPr="00DD66E7">
        <w:rPr>
          <w:rFonts w:asciiTheme="majorHAnsi" w:hAnsiTheme="majorHAnsi" w:cstheme="majorHAnsi"/>
          <w:sz w:val="24"/>
          <w:szCs w:val="24"/>
        </w:rPr>
        <w:t xml:space="preserve"> a</w:t>
      </w:r>
      <w:r w:rsidR="00DD66E7">
        <w:rPr>
          <w:rFonts w:asciiTheme="majorHAnsi" w:hAnsiTheme="majorHAnsi" w:cstheme="majorHAnsi"/>
          <w:sz w:val="24"/>
          <w:szCs w:val="24"/>
        </w:rPr>
        <w:t xml:space="preserve"> MAI</w:t>
      </w:r>
      <w:r w:rsidRPr="00E67099">
        <w:rPr>
          <w:rFonts w:asciiTheme="majorHAnsi" w:hAnsiTheme="majorHAnsi" w:cstheme="majorHAnsi"/>
          <w:sz w:val="24"/>
          <w:szCs w:val="24"/>
        </w:rPr>
        <w:t xml:space="preserve"> din str. Nicolae Dimo nr.30, numai 17,8 mil. lei au fost cheltuite pentru studiul de fezabilitate, elaborarea documentației de deviz și proiect, expertiza proiectului. Restul (67,8 mil. lei), prin modificări de buget, au fost utilizate în alte scopuri decât cele aprobate prin legea bugetului de stat, inclusiv procurări de automobile, ulterior din alocațiile anului 2019, 6,5 mil. lei au fost realocate contrar destinației pentru reconstrucția bazinului de înot al CSC „Dinamo”, iar 52,0 mil. lei au rămas nevalorificate la situația din 31.12.2019;</w:t>
      </w:r>
    </w:p>
    <w:p w:rsidR="00E67099" w:rsidRDefault="00E67099" w:rsidP="000F5D9A">
      <w:pPr>
        <w:numPr>
          <w:ilvl w:val="0"/>
          <w:numId w:val="20"/>
        </w:numPr>
        <w:tabs>
          <w:tab w:val="left" w:pos="142"/>
          <w:tab w:val="left" w:pos="851"/>
        </w:tabs>
        <w:spacing w:after="0" w:line="276" w:lineRule="auto"/>
        <w:ind w:left="0" w:firstLine="709"/>
        <w:contextualSpacing/>
        <w:jc w:val="both"/>
        <w:rPr>
          <w:rFonts w:asciiTheme="majorHAnsi" w:hAnsiTheme="majorHAnsi" w:cstheme="majorHAnsi"/>
          <w:sz w:val="24"/>
          <w:szCs w:val="24"/>
        </w:rPr>
      </w:pPr>
      <w:r w:rsidRPr="00E67099">
        <w:rPr>
          <w:rFonts w:asciiTheme="majorHAnsi" w:hAnsiTheme="majorHAnsi" w:cstheme="majorHAnsi"/>
          <w:sz w:val="24"/>
          <w:szCs w:val="24"/>
        </w:rPr>
        <w:t>MAI a cheltuit 2,3 mil. lei pentru studiul de fezabilitate al proiectului de parteneriat public-privat, însă timp de trei ani nu a inițiat construcția spațiului locativ de serviciu pe terenul din str. N. Testemiţanu nr.31, contractul încheiat cu partenerul privat fiind reziliat la 02.07.2019, garanția pentru ofertă în sumă de 200,0 mii lei nu a fost transferată în BS, iar angajații MAI nu au fost asigurați cu spațiu locativ de serviciu.</w:t>
      </w:r>
    </w:p>
    <w:p w:rsidR="004A4971" w:rsidRPr="00E67099" w:rsidRDefault="004A4971" w:rsidP="004A4971">
      <w:pPr>
        <w:tabs>
          <w:tab w:val="left" w:pos="142"/>
          <w:tab w:val="left" w:pos="851"/>
        </w:tabs>
        <w:spacing w:after="0" w:line="276" w:lineRule="auto"/>
        <w:ind w:left="709"/>
        <w:contextualSpacing/>
        <w:jc w:val="both"/>
        <w:rPr>
          <w:rFonts w:asciiTheme="majorHAnsi" w:hAnsiTheme="majorHAnsi" w:cstheme="majorHAnsi"/>
          <w:sz w:val="24"/>
          <w:szCs w:val="24"/>
        </w:rPr>
      </w:pPr>
    </w:p>
    <w:p w:rsidR="00E67099" w:rsidRPr="00E67099" w:rsidRDefault="00E67099" w:rsidP="00015B94">
      <w:pPr>
        <w:numPr>
          <w:ilvl w:val="1"/>
          <w:numId w:val="4"/>
        </w:numPr>
        <w:tabs>
          <w:tab w:val="left" w:pos="426"/>
        </w:tabs>
        <w:spacing w:after="0" w:line="276" w:lineRule="auto"/>
        <w:ind w:left="0" w:firstLine="0"/>
        <w:contextualSpacing/>
        <w:jc w:val="both"/>
        <w:rPr>
          <w:rFonts w:asciiTheme="majorHAnsi" w:eastAsia="Times New Roman" w:hAnsiTheme="majorHAnsi" w:cstheme="majorHAnsi"/>
          <w:b/>
          <w:bCs/>
          <w:iCs/>
          <w:sz w:val="24"/>
          <w:szCs w:val="24"/>
        </w:rPr>
      </w:pPr>
      <w:r w:rsidRPr="00E67099">
        <w:rPr>
          <w:rFonts w:asciiTheme="majorHAnsi" w:eastAsia="Times New Roman" w:hAnsiTheme="majorHAnsi" w:cstheme="majorHAnsi"/>
          <w:b/>
          <w:bCs/>
          <w:iCs/>
          <w:sz w:val="24"/>
          <w:szCs w:val="24"/>
        </w:rPr>
        <w:t>Constatările generalizate în baza rezultatelor auditurilor financiare la Ministere</w:t>
      </w:r>
    </w:p>
    <w:p w:rsidR="00E67099" w:rsidRPr="00E67099" w:rsidRDefault="00E67099" w:rsidP="00E67099">
      <w:pPr>
        <w:tabs>
          <w:tab w:val="left" w:pos="426"/>
        </w:tabs>
        <w:spacing w:after="0" w:line="276" w:lineRule="auto"/>
        <w:contextualSpacing/>
        <w:jc w:val="both"/>
        <w:rPr>
          <w:rFonts w:asciiTheme="majorHAnsi" w:eastAsia="Times New Roman" w:hAnsiTheme="majorHAnsi" w:cstheme="majorHAnsi"/>
          <w:bCs/>
          <w:iCs/>
          <w:sz w:val="24"/>
          <w:szCs w:val="24"/>
        </w:rPr>
      </w:pPr>
      <w:r w:rsidRPr="00E67099">
        <w:rPr>
          <w:rFonts w:asciiTheme="majorHAnsi" w:eastAsia="Times New Roman" w:hAnsiTheme="majorHAnsi" w:cstheme="majorHAnsi"/>
          <w:bCs/>
          <w:iCs/>
          <w:sz w:val="24"/>
          <w:szCs w:val="24"/>
        </w:rPr>
        <w:t>În baza Scrisorilor de confirmare prezentate de către echipele de audit care au efectuat misiunile de audit la 9 Ministere și la Agenția „Moldsilva” (org 1)</w:t>
      </w:r>
      <w:r w:rsidRPr="00E67099">
        <w:rPr>
          <w:rFonts w:asciiTheme="majorHAnsi" w:eastAsia="Times New Roman" w:hAnsiTheme="majorHAnsi" w:cstheme="majorHAnsi"/>
          <w:bCs/>
          <w:iCs/>
          <w:sz w:val="24"/>
          <w:szCs w:val="24"/>
          <w:vertAlign w:val="superscript"/>
        </w:rPr>
        <w:footnoteReference w:id="60"/>
      </w:r>
      <w:r w:rsidRPr="00E67099">
        <w:rPr>
          <w:rFonts w:asciiTheme="majorHAnsi" w:eastAsia="Times New Roman" w:hAnsiTheme="majorHAnsi" w:cstheme="majorHAnsi"/>
          <w:bCs/>
          <w:iCs/>
          <w:sz w:val="24"/>
          <w:szCs w:val="24"/>
        </w:rPr>
        <w:t>, au fost constatate:</w:t>
      </w:r>
    </w:p>
    <w:p w:rsidR="00E67099" w:rsidRPr="00E67099" w:rsidRDefault="00E67099" w:rsidP="00E67099">
      <w:pPr>
        <w:tabs>
          <w:tab w:val="left" w:pos="426"/>
        </w:tabs>
        <w:spacing w:after="0" w:line="276" w:lineRule="auto"/>
        <w:contextualSpacing/>
        <w:jc w:val="both"/>
        <w:rPr>
          <w:rFonts w:asciiTheme="majorHAnsi" w:eastAsia="Times New Roman" w:hAnsiTheme="majorHAnsi" w:cstheme="majorHAnsi"/>
          <w:bCs/>
          <w:iCs/>
          <w:sz w:val="24"/>
          <w:szCs w:val="24"/>
        </w:rPr>
      </w:pPr>
      <w:r w:rsidRPr="00E67099">
        <w:rPr>
          <w:rFonts w:asciiTheme="majorHAnsi" w:eastAsia="Times New Roman" w:hAnsiTheme="majorHAnsi" w:cstheme="majorHAnsi"/>
          <w:bCs/>
          <w:iCs/>
          <w:sz w:val="24"/>
          <w:szCs w:val="24"/>
        </w:rPr>
        <w:t>-  erori/denaturări la soldul înregistrat la sfârșitul anului 2019</w:t>
      </w:r>
      <w:r w:rsidR="00CE01BD">
        <w:rPr>
          <w:rFonts w:asciiTheme="majorHAnsi" w:eastAsia="Times New Roman" w:hAnsiTheme="majorHAnsi" w:cstheme="majorHAnsi"/>
          <w:bCs/>
          <w:iCs/>
          <w:sz w:val="24"/>
          <w:szCs w:val="24"/>
        </w:rPr>
        <w:t xml:space="preserve"> după operațiunile de închidere a anului</w:t>
      </w:r>
      <w:r w:rsidRPr="00E67099">
        <w:rPr>
          <w:rFonts w:asciiTheme="majorHAnsi" w:eastAsia="Times New Roman" w:hAnsiTheme="majorHAnsi" w:cstheme="majorHAnsi"/>
          <w:bCs/>
          <w:iCs/>
          <w:sz w:val="24"/>
          <w:szCs w:val="24"/>
        </w:rPr>
        <w:t xml:space="preserve"> din Bilanțurile contabile (Formularul FD-041) prezentate MF, care sunt subevaluate cu 21 854,7 mil. lei și supraevaluate cu 3 627,4 mil. lei. Astfel, suma denaturărilor de 25 481,1 mil. lei constituie 68,4% din </w:t>
      </w:r>
      <w:r w:rsidRPr="002F3E80">
        <w:rPr>
          <w:rFonts w:asciiTheme="majorHAnsi" w:eastAsia="Times New Roman" w:hAnsiTheme="majorHAnsi" w:cstheme="majorHAnsi"/>
          <w:bCs/>
          <w:iCs/>
          <w:sz w:val="24"/>
          <w:szCs w:val="24"/>
        </w:rPr>
        <w:t xml:space="preserve">totalul </w:t>
      </w:r>
      <w:r w:rsidR="002F3E80" w:rsidRPr="002F3E80">
        <w:rPr>
          <w:rFonts w:asciiTheme="majorHAnsi" w:eastAsia="Times New Roman" w:hAnsiTheme="majorHAnsi" w:cstheme="majorHAnsi"/>
          <w:bCs/>
          <w:iCs/>
          <w:sz w:val="24"/>
          <w:szCs w:val="24"/>
        </w:rPr>
        <w:t>a</w:t>
      </w:r>
      <w:r w:rsidRPr="002F3E80">
        <w:rPr>
          <w:rFonts w:asciiTheme="majorHAnsi" w:eastAsia="Times New Roman" w:hAnsiTheme="majorHAnsi" w:cstheme="majorHAnsi"/>
          <w:bCs/>
          <w:iCs/>
          <w:sz w:val="24"/>
          <w:szCs w:val="24"/>
        </w:rPr>
        <w:t>ctiv consolidat</w:t>
      </w:r>
      <w:r w:rsidRPr="00E67099">
        <w:rPr>
          <w:rFonts w:asciiTheme="majorHAnsi" w:eastAsia="Times New Roman" w:hAnsiTheme="majorHAnsi" w:cstheme="majorHAnsi"/>
          <w:bCs/>
          <w:iCs/>
          <w:sz w:val="24"/>
          <w:szCs w:val="24"/>
        </w:rPr>
        <w:t xml:space="preserve"> de către MF (37 235,2 mil. lei).  Totodată, la conturile extrabilanțiere a fost constată o eroare la MAEIE în sumă de 26,3 mil. lei, ceea ce constituie 1,1% din valoarea conturilor extrabilanțiere consolidate de MF (2 494,1 mil. lei);</w:t>
      </w:r>
    </w:p>
    <w:p w:rsidR="00E67099" w:rsidRPr="00E67099" w:rsidRDefault="00E67099" w:rsidP="00E67099">
      <w:pPr>
        <w:tabs>
          <w:tab w:val="left" w:pos="426"/>
        </w:tabs>
        <w:spacing w:after="0" w:line="276" w:lineRule="auto"/>
        <w:contextualSpacing/>
        <w:jc w:val="both"/>
        <w:rPr>
          <w:rFonts w:asciiTheme="majorHAnsi" w:eastAsia="Times New Roman" w:hAnsiTheme="majorHAnsi" w:cstheme="majorHAnsi"/>
          <w:bCs/>
          <w:iCs/>
          <w:sz w:val="8"/>
          <w:szCs w:val="8"/>
        </w:rPr>
      </w:pPr>
    </w:p>
    <w:p w:rsidR="00E67099" w:rsidRPr="00E67099" w:rsidRDefault="00E67099" w:rsidP="00E67099">
      <w:pPr>
        <w:tabs>
          <w:tab w:val="left" w:pos="426"/>
        </w:tabs>
        <w:spacing w:after="0" w:line="276" w:lineRule="auto"/>
        <w:contextualSpacing/>
        <w:jc w:val="both"/>
        <w:rPr>
          <w:rFonts w:asciiTheme="majorHAnsi" w:eastAsia="Times New Roman" w:hAnsiTheme="majorHAnsi" w:cstheme="majorHAnsi"/>
          <w:bCs/>
          <w:iCs/>
          <w:sz w:val="24"/>
          <w:szCs w:val="24"/>
        </w:rPr>
      </w:pPr>
      <w:r w:rsidRPr="00E67099">
        <w:rPr>
          <w:rFonts w:asciiTheme="majorHAnsi" w:eastAsia="Times New Roman" w:hAnsiTheme="majorHAnsi" w:cstheme="majorHAnsi"/>
          <w:bCs/>
          <w:iCs/>
          <w:sz w:val="24"/>
          <w:szCs w:val="24"/>
        </w:rPr>
        <w:t>- erori/denaturări în Rapoartele ministerelor privind executarea bugetului (Formularul FD-044) la veniturile executate în sumă de 47,6 mil. lei, sau 0,3% din totalul consolidat de MF (17 854,5 mil. lei), la cheltuielile executate - de 315,8 mil. lei, sau 2,1% din totalul consolidat de MF (15 126,7 mil. lei). Astfel, veniturile executate au fost subevaluate cu 32,0 mil. lei și supraevaluate cu 15,6 mil.lei, iar cheltuielile executate au fost subevaluate cu 149,7 mil. lei și supraevaluate cu 166,1 mil.lei, activele nefinanciare au fost subevaluate cu 15,6 mil. lei și supraevaluate cu 14,6 mil. lei.</w:t>
      </w:r>
    </w:p>
    <w:p w:rsidR="00E67099" w:rsidRPr="00E67099" w:rsidRDefault="00E67099" w:rsidP="00E67099">
      <w:pPr>
        <w:tabs>
          <w:tab w:val="left" w:pos="426"/>
        </w:tabs>
        <w:spacing w:after="0" w:line="276" w:lineRule="auto"/>
        <w:contextualSpacing/>
        <w:jc w:val="both"/>
        <w:rPr>
          <w:rFonts w:asciiTheme="majorHAnsi" w:eastAsia="Times New Roman" w:hAnsiTheme="majorHAnsi" w:cstheme="majorHAnsi"/>
          <w:bCs/>
          <w:iCs/>
          <w:sz w:val="24"/>
          <w:szCs w:val="24"/>
        </w:rPr>
      </w:pPr>
      <w:r w:rsidRPr="00E67099">
        <w:rPr>
          <w:rFonts w:asciiTheme="majorHAnsi" w:eastAsia="Times New Roman" w:hAnsiTheme="majorHAnsi" w:cstheme="majorHAnsi"/>
          <w:bCs/>
          <w:iCs/>
          <w:sz w:val="24"/>
          <w:szCs w:val="24"/>
        </w:rPr>
        <w:t xml:space="preserve"> Totodată,:</w:t>
      </w:r>
    </w:p>
    <w:p w:rsidR="00E67099" w:rsidRPr="00E67099" w:rsidRDefault="00E67099" w:rsidP="00E67099">
      <w:pPr>
        <w:tabs>
          <w:tab w:val="left" w:pos="426"/>
        </w:tabs>
        <w:spacing w:after="0" w:line="276" w:lineRule="auto"/>
        <w:contextualSpacing/>
        <w:jc w:val="both"/>
        <w:rPr>
          <w:rFonts w:asciiTheme="majorHAnsi" w:eastAsia="Times New Roman" w:hAnsiTheme="majorHAnsi" w:cstheme="majorHAnsi"/>
          <w:bCs/>
          <w:iCs/>
          <w:sz w:val="24"/>
          <w:szCs w:val="24"/>
        </w:rPr>
      </w:pPr>
      <w:r w:rsidRPr="00E67099">
        <w:rPr>
          <w:rFonts w:asciiTheme="majorHAnsi" w:eastAsia="Times New Roman" w:hAnsiTheme="majorHAnsi" w:cstheme="majorHAnsi"/>
          <w:bCs/>
          <w:i/>
          <w:iCs/>
          <w:sz w:val="24"/>
          <w:szCs w:val="24"/>
        </w:rPr>
        <w:t xml:space="preserve"> (i)</w:t>
      </w:r>
      <w:r w:rsidRPr="00E67099">
        <w:rPr>
          <w:rFonts w:asciiTheme="majorHAnsi" w:eastAsia="Times New Roman" w:hAnsiTheme="majorHAnsi" w:cstheme="majorHAnsi"/>
          <w:bCs/>
          <w:iCs/>
          <w:sz w:val="24"/>
          <w:szCs w:val="24"/>
        </w:rPr>
        <w:t xml:space="preserve"> veniturile efective au fost subevaluate cu 14 062,3 mil. lei și supraevaluate cu 389,3 mil.lei, cheltuielile efective subevaluate cu 482,3 mil. lei și supraevaluate cu 302,7 mil.lei, activele nefinanciare subevaluate cu 0,6 mil. lei și supraevaluate cu 0,3 mil. lei; </w:t>
      </w:r>
    </w:p>
    <w:p w:rsidR="00E67099" w:rsidRPr="00E67099" w:rsidRDefault="00E67099" w:rsidP="00E67099">
      <w:pPr>
        <w:spacing w:after="0" w:line="276" w:lineRule="auto"/>
        <w:jc w:val="both"/>
        <w:rPr>
          <w:rFonts w:asciiTheme="majorHAnsi" w:eastAsia="Times New Roman" w:hAnsiTheme="majorHAnsi" w:cstheme="majorHAnsi"/>
          <w:bCs/>
          <w:iCs/>
          <w:sz w:val="24"/>
          <w:szCs w:val="24"/>
        </w:rPr>
      </w:pPr>
      <w:r w:rsidRPr="00E67099">
        <w:rPr>
          <w:rFonts w:asciiTheme="majorHAnsi" w:eastAsia="Times New Roman" w:hAnsiTheme="majorHAnsi" w:cstheme="majorHAnsi"/>
          <w:bCs/>
          <w:i/>
          <w:iCs/>
          <w:sz w:val="24"/>
          <w:szCs w:val="24"/>
        </w:rPr>
        <w:t>(ii)</w:t>
      </w:r>
      <w:r w:rsidRPr="00E67099">
        <w:rPr>
          <w:rFonts w:asciiTheme="majorHAnsi" w:eastAsia="Times New Roman" w:hAnsiTheme="majorHAnsi" w:cstheme="majorHAnsi"/>
          <w:bCs/>
          <w:iCs/>
          <w:sz w:val="24"/>
          <w:szCs w:val="24"/>
        </w:rPr>
        <w:t xml:space="preserve"> creanțele la venituri au fost subevaluate cu 23,9 mil. lei și supraevaluate cu 4,4 mil. lei, iar la cheltuieli au fost subevaluate cu 14,5 mil. lei și supraevaluate cu 0,2 mil. lei;</w:t>
      </w:r>
    </w:p>
    <w:p w:rsidR="00E67099" w:rsidRPr="00E67099" w:rsidRDefault="00E67099" w:rsidP="00015B94">
      <w:pPr>
        <w:tabs>
          <w:tab w:val="left" w:pos="0"/>
          <w:tab w:val="left" w:pos="426"/>
        </w:tabs>
        <w:spacing w:after="0" w:line="276" w:lineRule="auto"/>
        <w:jc w:val="both"/>
        <w:rPr>
          <w:rFonts w:asciiTheme="majorHAnsi" w:eastAsia="Times New Roman" w:hAnsiTheme="majorHAnsi" w:cstheme="majorHAnsi"/>
          <w:bCs/>
          <w:iCs/>
          <w:sz w:val="24"/>
          <w:szCs w:val="24"/>
        </w:rPr>
      </w:pPr>
      <w:r w:rsidRPr="00E67099">
        <w:rPr>
          <w:rFonts w:asciiTheme="majorHAnsi" w:eastAsia="Times New Roman" w:hAnsiTheme="majorHAnsi" w:cstheme="majorHAnsi"/>
          <w:bCs/>
          <w:i/>
          <w:iCs/>
          <w:sz w:val="24"/>
          <w:szCs w:val="24"/>
        </w:rPr>
        <w:t xml:space="preserve">(iii) </w:t>
      </w:r>
      <w:r w:rsidRPr="00E67099">
        <w:rPr>
          <w:rFonts w:asciiTheme="majorHAnsi" w:eastAsia="Times New Roman" w:hAnsiTheme="majorHAnsi" w:cstheme="majorHAnsi"/>
          <w:bCs/>
          <w:iCs/>
          <w:sz w:val="24"/>
          <w:szCs w:val="24"/>
        </w:rPr>
        <w:t>datoriile la venituri au fost subevaluate cu 0,8 mil. lei, iar la cheltuieli au fost subevaluate cu 0,4 mil. lei și supraevaluate cu 3,8 mil. lei.</w:t>
      </w:r>
    </w:p>
    <w:p w:rsidR="00E67099" w:rsidRPr="00E67099" w:rsidRDefault="00E67099" w:rsidP="00E67099">
      <w:pPr>
        <w:tabs>
          <w:tab w:val="left" w:pos="426"/>
        </w:tabs>
        <w:spacing w:after="0" w:line="276" w:lineRule="auto"/>
        <w:contextualSpacing/>
        <w:jc w:val="both"/>
        <w:rPr>
          <w:rFonts w:asciiTheme="majorHAnsi" w:eastAsia="Times New Roman" w:hAnsiTheme="majorHAnsi" w:cstheme="majorHAnsi"/>
          <w:bCs/>
          <w:iCs/>
          <w:sz w:val="8"/>
          <w:szCs w:val="8"/>
        </w:rPr>
      </w:pPr>
    </w:p>
    <w:p w:rsidR="00E67099" w:rsidRDefault="00E67099" w:rsidP="00E67099">
      <w:pPr>
        <w:tabs>
          <w:tab w:val="left" w:pos="142"/>
          <w:tab w:val="left" w:pos="851"/>
        </w:tabs>
        <w:spacing w:after="0" w:line="276" w:lineRule="auto"/>
        <w:contextualSpacing/>
        <w:jc w:val="both"/>
        <w:rPr>
          <w:rFonts w:asciiTheme="majorHAnsi" w:eastAsia="Times New Roman" w:hAnsiTheme="majorHAnsi" w:cstheme="majorHAnsi"/>
          <w:bCs/>
          <w:iCs/>
          <w:sz w:val="24"/>
          <w:szCs w:val="24"/>
          <w:lang w:val="ro-MD"/>
        </w:rPr>
      </w:pPr>
      <w:r w:rsidRPr="00E67099">
        <w:rPr>
          <w:rFonts w:asciiTheme="majorHAnsi" w:eastAsia="Times New Roman" w:hAnsiTheme="majorHAnsi" w:cstheme="majorHAnsi"/>
          <w:bCs/>
          <w:iCs/>
          <w:sz w:val="24"/>
          <w:szCs w:val="24"/>
          <w:lang w:val="ro-MD"/>
        </w:rPr>
        <w:t>Este necesar de menționat că Bilanțul contabil consolidat (Formularul FD-041) include datele prezentate de către APC prin modulul „CNFD” și 2 APC secrete care au fost adunate manual de către MF, iar Raportul privind executarea bugetului (Formularul FD-044) este consolidat de MF din modulul „CNFD” și cele 2 APC secrete adunate manual doar la indicatorii privind creanțele (inclusiv cu termen expirat) și datoriile (inclusiv cu termen de achitare expirat (arierate)), care se regăsesc în Formularul nr.9 „Raportul privind creanțele și datoriile la cheltuieli și active nefinanciare formate în autoritățile/instituțiile bugetare finanțate de la bugetul de stat conform clasificației economice”, parte componentă a raportului prezentat la Guvern.</w:t>
      </w:r>
    </w:p>
    <w:p w:rsidR="00481FF2" w:rsidRPr="00E67099" w:rsidRDefault="00481FF2" w:rsidP="00E67099">
      <w:pPr>
        <w:tabs>
          <w:tab w:val="left" w:pos="142"/>
          <w:tab w:val="left" w:pos="851"/>
        </w:tabs>
        <w:spacing w:after="0" w:line="276" w:lineRule="auto"/>
        <w:contextualSpacing/>
        <w:jc w:val="both"/>
        <w:rPr>
          <w:rFonts w:asciiTheme="majorHAnsi" w:eastAsia="Times New Roman" w:hAnsiTheme="majorHAnsi" w:cstheme="majorHAnsi"/>
          <w:bCs/>
          <w:iCs/>
          <w:sz w:val="24"/>
          <w:szCs w:val="24"/>
          <w:lang w:val="ro-MD"/>
        </w:rPr>
      </w:pPr>
    </w:p>
    <w:p w:rsidR="00E67099" w:rsidRPr="00E67099" w:rsidRDefault="00E67099" w:rsidP="0022497D">
      <w:pPr>
        <w:numPr>
          <w:ilvl w:val="0"/>
          <w:numId w:val="4"/>
        </w:numPr>
        <w:tabs>
          <w:tab w:val="left" w:pos="284"/>
        </w:tabs>
        <w:spacing w:after="0" w:line="276" w:lineRule="auto"/>
        <w:ind w:left="0" w:firstLine="0"/>
        <w:contextualSpacing/>
        <w:rPr>
          <w:rFonts w:asciiTheme="majorHAnsi" w:eastAsia="Times New Roman" w:hAnsiTheme="majorHAnsi" w:cstheme="majorHAnsi"/>
          <w:b/>
          <w:color w:val="000000" w:themeColor="text1"/>
          <w:sz w:val="28"/>
          <w:szCs w:val="28"/>
        </w:rPr>
      </w:pPr>
      <w:r w:rsidRPr="00E67099">
        <w:rPr>
          <w:rFonts w:asciiTheme="majorHAnsi" w:eastAsia="Times New Roman" w:hAnsiTheme="majorHAnsi" w:cstheme="majorHAnsi"/>
          <w:b/>
          <w:color w:val="000000" w:themeColor="text1"/>
          <w:sz w:val="28"/>
          <w:szCs w:val="28"/>
        </w:rPr>
        <w:t>ALTE INFORMAȚII</w:t>
      </w:r>
    </w:p>
    <w:p w:rsidR="00E67099" w:rsidRPr="00E67099" w:rsidRDefault="00E67099" w:rsidP="00E67099">
      <w:pPr>
        <w:tabs>
          <w:tab w:val="left" w:pos="284"/>
          <w:tab w:val="left" w:pos="426"/>
          <w:tab w:val="left" w:pos="1276"/>
        </w:tabs>
        <w:spacing w:after="0" w:line="276" w:lineRule="auto"/>
        <w:jc w:val="both"/>
        <w:rPr>
          <w:rFonts w:asciiTheme="majorHAnsi" w:eastAsia="Times New Roman" w:hAnsiTheme="majorHAnsi" w:cstheme="majorHAnsi"/>
          <w:b/>
          <w:color w:val="000000" w:themeColor="text1"/>
          <w:sz w:val="24"/>
          <w:szCs w:val="24"/>
        </w:rPr>
      </w:pPr>
      <w:r w:rsidRPr="00E67099">
        <w:rPr>
          <w:rFonts w:asciiTheme="majorHAnsi" w:eastAsia="Times New Roman" w:hAnsiTheme="majorHAnsi" w:cstheme="majorHAnsi"/>
          <w:b/>
          <w:color w:val="000000" w:themeColor="text1"/>
          <w:sz w:val="24"/>
          <w:szCs w:val="24"/>
        </w:rPr>
        <w:t>5.1. Raportarea de către 3 instituții conform cerințelor sistemului bugetar și conform sectorului corporativ</w:t>
      </w:r>
    </w:p>
    <w:p w:rsidR="00E67099" w:rsidRPr="00E67099" w:rsidRDefault="00E67099" w:rsidP="00E67099">
      <w:pPr>
        <w:tabs>
          <w:tab w:val="left" w:pos="284"/>
          <w:tab w:val="left" w:pos="426"/>
          <w:tab w:val="left" w:pos="1276"/>
        </w:tabs>
        <w:spacing w:after="0" w:line="276" w:lineRule="auto"/>
        <w:jc w:val="both"/>
        <w:rPr>
          <w:rFonts w:asciiTheme="majorHAnsi" w:eastAsia="Times New Roman" w:hAnsiTheme="majorHAnsi" w:cstheme="majorHAnsi"/>
          <w:sz w:val="24"/>
          <w:szCs w:val="24"/>
        </w:rPr>
      </w:pPr>
      <w:r w:rsidRPr="00E67099">
        <w:rPr>
          <w:rFonts w:asciiTheme="majorHAnsi" w:eastAsia="Times New Roman" w:hAnsiTheme="majorHAnsi" w:cstheme="majorHAnsi"/>
          <w:color w:val="000000" w:themeColor="text1"/>
          <w:sz w:val="24"/>
          <w:szCs w:val="24"/>
        </w:rPr>
        <w:t xml:space="preserve">La </w:t>
      </w:r>
      <w:r w:rsidRPr="00E67099">
        <w:rPr>
          <w:rFonts w:asciiTheme="majorHAnsi" w:eastAsia="Times New Roman" w:hAnsiTheme="majorHAnsi" w:cstheme="majorHAnsi"/>
          <w:color w:val="000000" w:themeColor="text1"/>
          <w:sz w:val="24"/>
          <w:szCs w:val="24"/>
          <w:lang w:val="ro-MD"/>
        </w:rPr>
        <w:t xml:space="preserve">3 instituții care au beneficiat de subsidii în sumă totală de 157,4 mil. lei (Agenția „Moldsilva” – 11,2 mil. lei, IP „Oficiul Național al Viei și Vinului” – 23,5 mil. lei, IP „Compania Națională Teleradio- Moldova” – 122,7 mil. lei) întocmesc 2 rapoarte financiare separate: rapoarte financiare potrivit cerințelor sistemului bugetar, prezentate MF, precum și situații financiare – conform cerințelor Standardelor Naționale de Contabilitate (SNC), aplicate sectorului corporativ și prezentate BNS. Aceste circumstanțe creează incertitudini cu privire la corectitudinea raportării subsidiilor. Totodată, MF a atribuit </w:t>
      </w:r>
      <w:r w:rsidRPr="00E67099">
        <w:rPr>
          <w:rFonts w:asciiTheme="majorHAnsi" w:hAnsiTheme="majorHAnsi" w:cstheme="majorHAnsi"/>
          <w:sz w:val="24"/>
          <w:szCs w:val="24"/>
        </w:rPr>
        <w:t>s</w:t>
      </w:r>
      <w:r w:rsidR="00AF1949">
        <w:rPr>
          <w:rFonts w:asciiTheme="majorHAnsi" w:hAnsiTheme="majorHAnsi" w:cstheme="majorHAnsi"/>
          <w:sz w:val="24"/>
          <w:szCs w:val="24"/>
        </w:rPr>
        <w:t>tatutul de autoritate publică (O</w:t>
      </w:r>
      <w:r w:rsidRPr="00E67099">
        <w:rPr>
          <w:rFonts w:asciiTheme="majorHAnsi" w:hAnsiTheme="majorHAnsi" w:cstheme="majorHAnsi"/>
          <w:sz w:val="24"/>
          <w:szCs w:val="24"/>
        </w:rPr>
        <w:t>rg.1) Agenției „Moldsilva”, deși urma a fi atribuit statutul de Org.2, ca instituție bugetară subordonată MADRM.</w:t>
      </w:r>
    </w:p>
    <w:p w:rsidR="00E67099" w:rsidRPr="00E67099" w:rsidRDefault="00E67099" w:rsidP="00E67099">
      <w:pPr>
        <w:shd w:val="clear" w:color="auto" w:fill="FFFFFF" w:themeFill="background1"/>
        <w:tabs>
          <w:tab w:val="left" w:pos="284"/>
          <w:tab w:val="left" w:pos="993"/>
        </w:tabs>
        <w:spacing w:after="0" w:line="276" w:lineRule="auto"/>
        <w:jc w:val="both"/>
        <w:rPr>
          <w:rFonts w:asciiTheme="majorHAnsi" w:hAnsiTheme="majorHAnsi" w:cstheme="majorHAnsi"/>
          <w:b/>
          <w:sz w:val="24"/>
          <w:szCs w:val="24"/>
          <w:lang w:val="ro-MD"/>
        </w:rPr>
      </w:pPr>
      <w:r w:rsidRPr="00E67099">
        <w:rPr>
          <w:rFonts w:asciiTheme="majorHAnsi" w:hAnsiTheme="majorHAnsi" w:cstheme="majorHAnsi"/>
          <w:b/>
          <w:sz w:val="24"/>
          <w:szCs w:val="24"/>
          <w:lang w:val="ro-MD"/>
        </w:rPr>
        <w:t>5.2. Neexecutarea integrală a mijloacelor aprobate pentru Programul activităților de reintegrare a țării</w:t>
      </w:r>
    </w:p>
    <w:p w:rsidR="00E67099" w:rsidRPr="00E67099" w:rsidRDefault="00E67099" w:rsidP="00E67099">
      <w:pPr>
        <w:spacing w:after="0" w:line="276" w:lineRule="auto"/>
        <w:jc w:val="both"/>
        <w:rPr>
          <w:rFonts w:asciiTheme="majorHAnsi" w:hAnsiTheme="majorHAnsi" w:cstheme="majorHAnsi"/>
          <w:sz w:val="24"/>
          <w:szCs w:val="24"/>
          <w:lang w:val="ro-MD"/>
        </w:rPr>
      </w:pPr>
      <w:r w:rsidRPr="00E67099">
        <w:rPr>
          <w:rFonts w:asciiTheme="majorHAnsi" w:hAnsiTheme="majorHAnsi" w:cstheme="majorHAnsi"/>
          <w:sz w:val="24"/>
          <w:szCs w:val="24"/>
          <w:lang w:val="ro-MD"/>
        </w:rPr>
        <w:t>Conform art.3 lit. c) din Legea BS pentru anul 2019, au fost aprobate alocații pentru activități de reintegrare a țării în sumă de 15,0 mil. lei, repartizarea acestor alocații s-a efectuat în baza HG nr.212 din 03.04.2019</w:t>
      </w:r>
      <w:r w:rsidRPr="00E67099">
        <w:rPr>
          <w:rFonts w:asciiTheme="majorHAnsi" w:hAnsiTheme="majorHAnsi" w:cstheme="majorHAnsi"/>
          <w:sz w:val="24"/>
          <w:szCs w:val="24"/>
          <w:vertAlign w:val="superscript"/>
          <w:lang w:val="ro-MD"/>
        </w:rPr>
        <w:footnoteReference w:id="61"/>
      </w:r>
      <w:r w:rsidRPr="00E67099">
        <w:rPr>
          <w:rFonts w:asciiTheme="majorHAnsi" w:hAnsiTheme="majorHAnsi" w:cstheme="majorHAnsi"/>
          <w:sz w:val="24"/>
          <w:szCs w:val="24"/>
          <w:lang w:val="ro-MD"/>
        </w:rPr>
        <w:t xml:space="preserve">, pentru: </w:t>
      </w:r>
      <w:r w:rsidRPr="00E67099">
        <w:rPr>
          <w:rFonts w:asciiTheme="majorHAnsi" w:hAnsiTheme="majorHAnsi" w:cstheme="majorHAnsi"/>
          <w:i/>
          <w:sz w:val="24"/>
          <w:szCs w:val="24"/>
          <w:lang w:val="ro-MD"/>
        </w:rPr>
        <w:t>(i)</w:t>
      </w:r>
      <w:r w:rsidRPr="00E67099">
        <w:rPr>
          <w:rFonts w:asciiTheme="majorHAnsi" w:hAnsiTheme="majorHAnsi" w:cstheme="majorHAnsi"/>
          <w:sz w:val="24"/>
          <w:szCs w:val="24"/>
          <w:lang w:val="ro-MD"/>
        </w:rPr>
        <w:t xml:space="preserve"> dezvoltarea și modernizarea instituțiilor din sistemul educațional (10) – 4,2 mil. lei, fiind executate la nivel de 78,6% (APL – 3,3 mil. lei); </w:t>
      </w:r>
      <w:r w:rsidRPr="00E67099">
        <w:rPr>
          <w:rFonts w:asciiTheme="majorHAnsi" w:hAnsiTheme="majorHAnsi" w:cstheme="majorHAnsi"/>
          <w:i/>
          <w:sz w:val="24"/>
          <w:szCs w:val="24"/>
          <w:lang w:val="ro-MD"/>
        </w:rPr>
        <w:t>(ii)</w:t>
      </w:r>
      <w:r w:rsidRPr="00E67099">
        <w:rPr>
          <w:rFonts w:asciiTheme="majorHAnsi" w:hAnsiTheme="majorHAnsi" w:cstheme="majorHAnsi"/>
          <w:sz w:val="24"/>
          <w:szCs w:val="24"/>
          <w:lang w:val="ro-MD"/>
        </w:rPr>
        <w:t xml:space="preserve"> reparația sau dotarea clădirilor instituțiilor de cultură și sport (4) – 2,8 mil. lei, fiind executate la nivel de 98,5% (APL); </w:t>
      </w:r>
      <w:r w:rsidRPr="00E67099">
        <w:rPr>
          <w:rFonts w:asciiTheme="majorHAnsi" w:hAnsiTheme="majorHAnsi" w:cstheme="majorHAnsi"/>
          <w:i/>
          <w:sz w:val="24"/>
          <w:szCs w:val="24"/>
          <w:lang w:val="ro-MD"/>
        </w:rPr>
        <w:t>(iii)</w:t>
      </w:r>
      <w:r w:rsidRPr="00E67099">
        <w:rPr>
          <w:rFonts w:asciiTheme="majorHAnsi" w:hAnsiTheme="majorHAnsi" w:cstheme="majorHAnsi"/>
          <w:sz w:val="24"/>
          <w:szCs w:val="24"/>
          <w:lang w:val="ro-MD"/>
        </w:rPr>
        <w:t xml:space="preserve"> iluminarea stradală și reconstrucția apeductelor (18) – 6,8 mil. lei, fiind executate la nivel de 91,9% (APL); </w:t>
      </w:r>
      <w:r w:rsidRPr="00E67099">
        <w:rPr>
          <w:rFonts w:asciiTheme="majorHAnsi" w:hAnsiTheme="majorHAnsi" w:cstheme="majorHAnsi"/>
          <w:i/>
          <w:sz w:val="24"/>
          <w:szCs w:val="24"/>
          <w:lang w:val="ro-MD"/>
        </w:rPr>
        <w:t>(iv)</w:t>
      </w:r>
      <w:r w:rsidRPr="00E67099">
        <w:rPr>
          <w:rFonts w:asciiTheme="majorHAnsi" w:hAnsiTheme="majorHAnsi" w:cstheme="majorHAnsi"/>
          <w:sz w:val="24"/>
          <w:szCs w:val="24"/>
          <w:lang w:val="ro-MD"/>
        </w:rPr>
        <w:t xml:space="preserve"> alte activități (3) – 1,2 mil. lei, fiind neexecutate (MJ, MA). </w:t>
      </w:r>
    </w:p>
    <w:p w:rsidR="00E67099" w:rsidRDefault="00E67099" w:rsidP="00E67099">
      <w:pPr>
        <w:spacing w:after="0" w:line="276" w:lineRule="auto"/>
        <w:jc w:val="both"/>
        <w:rPr>
          <w:rFonts w:asciiTheme="majorHAnsi" w:hAnsiTheme="majorHAnsi" w:cstheme="majorHAnsi"/>
          <w:sz w:val="24"/>
          <w:szCs w:val="24"/>
          <w:lang w:val="ro-MD"/>
        </w:rPr>
      </w:pPr>
      <w:r w:rsidRPr="00E67099">
        <w:rPr>
          <w:rFonts w:asciiTheme="majorHAnsi" w:hAnsiTheme="majorHAnsi" w:cstheme="majorHAnsi"/>
          <w:sz w:val="24"/>
          <w:szCs w:val="24"/>
          <w:lang w:val="ro-MD"/>
        </w:rPr>
        <w:t>MF a finanțat cheltuielile pentru activitățile de reintegrare a țării pentru anul 2019 în baza documentelor confirmative prezentate către trezoreriile regionale de beneficiarii mijloacelor financiare din Program. Astfel, la 27 APL au fost precizate alocații în sumă de 13,03 mil. lei, din care MF a finanțat cheltuieli în sumă totală de 12,3 mil. lei, fiind înregistrat un sold de alocații disponibile în sumă de 691,4 mii lei la APL (Primăria Ustia – 400,0 mii lei, Primăria Plop-Știubei – 129,4 mii lei, Consiliul raional Rezina – 108,9 mii lei etc.).</w:t>
      </w:r>
      <w:r w:rsidR="00D64E42">
        <w:rPr>
          <w:rFonts w:asciiTheme="majorHAnsi" w:hAnsiTheme="majorHAnsi" w:cstheme="majorHAnsi"/>
          <w:sz w:val="24"/>
          <w:szCs w:val="24"/>
          <w:lang w:val="ro-MD"/>
        </w:rPr>
        <w:t xml:space="preserve"> </w:t>
      </w:r>
      <w:r w:rsidRPr="00E67099">
        <w:rPr>
          <w:rFonts w:asciiTheme="majorHAnsi" w:hAnsiTheme="majorHAnsi" w:cstheme="majorHAnsi"/>
          <w:sz w:val="24"/>
          <w:szCs w:val="24"/>
          <w:lang w:val="ro-MD"/>
        </w:rPr>
        <w:t xml:space="preserve">Examinările auditului au stabilit că, conform HG menționate, au fost repartizate alocații în sumă de 0,4 mil. lei pentru „construcția rețelelor de apă potabilă în complex cu rezervorul de apă și fântâna arteziană în satul Ustia, raionul Dubăsari”, dar nu au fost executate din BS. Potrivit motivației responsabililor din cadrul MF, din cauza neîndeplinirii corecte a ordinului de plată, mijloacele au fost transferate din bugetul local. </w:t>
      </w:r>
    </w:p>
    <w:p w:rsidR="00E67099" w:rsidRPr="00E67099" w:rsidRDefault="00E67099" w:rsidP="00E67099">
      <w:pPr>
        <w:spacing w:after="0" w:line="276" w:lineRule="auto"/>
        <w:jc w:val="both"/>
        <w:rPr>
          <w:rFonts w:asciiTheme="majorHAnsi" w:hAnsiTheme="majorHAnsi" w:cstheme="majorHAnsi"/>
          <w:b/>
          <w:i/>
          <w:color w:val="000000" w:themeColor="text1"/>
          <w:sz w:val="24"/>
          <w:szCs w:val="24"/>
          <w:lang w:val="ro-MD"/>
        </w:rPr>
      </w:pPr>
      <w:r w:rsidRPr="00E67099">
        <w:rPr>
          <w:rFonts w:asciiTheme="majorHAnsi" w:eastAsia="Times New Roman" w:hAnsiTheme="majorHAnsi" w:cstheme="majorHAnsi"/>
          <w:b/>
          <w:sz w:val="24"/>
          <w:szCs w:val="24"/>
          <w:lang w:val="ro-MD"/>
        </w:rPr>
        <w:t>5</w:t>
      </w:r>
      <w:r w:rsidR="001177C0">
        <w:rPr>
          <w:rFonts w:asciiTheme="majorHAnsi" w:eastAsia="Times New Roman" w:hAnsiTheme="majorHAnsi" w:cstheme="majorHAnsi"/>
          <w:b/>
          <w:sz w:val="24"/>
          <w:szCs w:val="24"/>
          <w:lang w:val="ro-MD"/>
        </w:rPr>
        <w:t>.3</w:t>
      </w:r>
      <w:r w:rsidRPr="00E67099">
        <w:rPr>
          <w:rFonts w:asciiTheme="majorHAnsi" w:eastAsia="Times New Roman" w:hAnsiTheme="majorHAnsi" w:cstheme="majorHAnsi"/>
          <w:b/>
          <w:sz w:val="24"/>
          <w:szCs w:val="24"/>
          <w:lang w:val="ro-MD"/>
        </w:rPr>
        <w:t>.</w:t>
      </w:r>
      <w:r w:rsidRPr="00E67099">
        <w:rPr>
          <w:rFonts w:asciiTheme="majorHAnsi" w:hAnsiTheme="majorHAnsi" w:cstheme="majorHAnsi"/>
          <w:b/>
          <w:i/>
          <w:color w:val="000000" w:themeColor="text1"/>
          <w:sz w:val="24"/>
          <w:szCs w:val="24"/>
        </w:rPr>
        <w:t xml:space="preserve"> </w:t>
      </w:r>
      <w:r w:rsidRPr="00E67099">
        <w:rPr>
          <w:rFonts w:asciiTheme="majorHAnsi" w:hAnsiTheme="majorHAnsi" w:cstheme="majorHAnsi"/>
          <w:b/>
          <w:color w:val="000000" w:themeColor="text1"/>
          <w:sz w:val="24"/>
          <w:szCs w:val="24"/>
        </w:rPr>
        <w:t xml:space="preserve">Soldul creanțelor și al datoriilor sunt în creștere, totodată se înregistrează datorii cu termen de achitare expirat în timp ce </w:t>
      </w:r>
      <w:r w:rsidRPr="00E67099">
        <w:rPr>
          <w:rFonts w:asciiTheme="majorHAnsi" w:hAnsiTheme="majorHAnsi" w:cstheme="majorHAnsi"/>
          <w:b/>
          <w:color w:val="000000" w:themeColor="text1"/>
          <w:sz w:val="24"/>
          <w:szCs w:val="24"/>
          <w:lang w:val="ro-MD"/>
        </w:rPr>
        <w:t>autoritățile/instituțiile bugetare trebuie să efectueze plăți în limitele alocațiilor bugetare aprobate după stingerea acestora</w:t>
      </w:r>
    </w:p>
    <w:p w:rsidR="00E67099" w:rsidRPr="00E67099" w:rsidRDefault="00E67099" w:rsidP="00E67099">
      <w:pPr>
        <w:spacing w:after="0" w:line="276" w:lineRule="auto"/>
        <w:jc w:val="both"/>
        <w:rPr>
          <w:rFonts w:asciiTheme="majorHAnsi" w:hAnsiTheme="majorHAnsi" w:cstheme="majorHAnsi"/>
          <w:i/>
          <w:sz w:val="24"/>
          <w:szCs w:val="24"/>
        </w:rPr>
      </w:pPr>
      <w:r w:rsidRPr="00E67099">
        <w:rPr>
          <w:rFonts w:asciiTheme="majorHAnsi" w:hAnsiTheme="majorHAnsi" w:cstheme="majorHAnsi"/>
          <w:sz w:val="24"/>
          <w:szCs w:val="24"/>
        </w:rPr>
        <w:t>La 31.12.2019, creanțele constituie 1 031,2 mil. lei, inclusiv cu termenul de achitare expirat – 0,15 mil. lei, iar datoriile au atins o valoare de 799,8 mil. lei, inclusiv cu termenul de achitare expirat – 0,7 mil. lei.</w:t>
      </w:r>
      <w:r w:rsidRPr="00E67099">
        <w:rPr>
          <w:rFonts w:asciiTheme="majorHAnsi" w:hAnsiTheme="majorHAnsi" w:cstheme="majorHAnsi"/>
          <w:i/>
          <w:sz w:val="24"/>
          <w:szCs w:val="24"/>
        </w:rPr>
        <w:t xml:space="preserve"> </w:t>
      </w:r>
      <w:r w:rsidRPr="00E67099">
        <w:rPr>
          <w:rFonts w:asciiTheme="majorHAnsi" w:hAnsiTheme="majorHAnsi" w:cstheme="majorHAnsi"/>
          <w:sz w:val="24"/>
          <w:szCs w:val="24"/>
        </w:rPr>
        <w:t>Astfel, creanțele și datoriile la cheltuieli și active nefinanciare formate în autoritățile/instituțiile bugetare finanțate de la BS pe anul 2019 au crescut în comparație cu anul 2018 cu 26,1% și 1,0%.</w:t>
      </w:r>
      <w:r w:rsidRPr="00E67099">
        <w:rPr>
          <w:rFonts w:asciiTheme="majorHAnsi" w:hAnsiTheme="majorHAnsi" w:cstheme="majorHAnsi"/>
          <w:i/>
          <w:sz w:val="24"/>
          <w:szCs w:val="24"/>
        </w:rPr>
        <w:t xml:space="preserve"> </w:t>
      </w:r>
    </w:p>
    <w:p w:rsidR="00E67099" w:rsidRPr="00E67099" w:rsidRDefault="00E67099" w:rsidP="00E67099">
      <w:pPr>
        <w:spacing w:after="0" w:line="276" w:lineRule="auto"/>
        <w:jc w:val="both"/>
        <w:rPr>
          <w:rFonts w:asciiTheme="majorHAnsi" w:eastAsia="Times New Roman" w:hAnsiTheme="majorHAnsi" w:cstheme="majorHAnsi"/>
          <w:sz w:val="24"/>
          <w:szCs w:val="24"/>
          <w:lang w:val="ro-MD"/>
        </w:rPr>
      </w:pPr>
      <w:r w:rsidRPr="00E67099">
        <w:rPr>
          <w:rFonts w:asciiTheme="majorHAnsi" w:eastAsia="Times New Roman" w:hAnsiTheme="majorHAnsi" w:cstheme="majorHAnsi"/>
          <w:sz w:val="24"/>
          <w:szCs w:val="24"/>
          <w:lang w:val="ro-MD"/>
        </w:rPr>
        <w:t>Auditul denotă că, la finele anului 2019, erau înregistrate datorii cu termen de achitare expirat în sumă totală de 0,7 mil. lei, deși potrivit art.67 din Legea nr.181 din 25.07.2014, autoritățile/instituțiile bugetare efectuează plăți în limitele alocațiilor bugetare aprobate după stingerea datoriilor cu termen de achitare expirat.</w:t>
      </w:r>
    </w:p>
    <w:p w:rsidR="00E67099" w:rsidRPr="00E67099" w:rsidRDefault="00E67099" w:rsidP="00E67099">
      <w:pPr>
        <w:tabs>
          <w:tab w:val="left" w:pos="284"/>
          <w:tab w:val="left" w:pos="426"/>
        </w:tabs>
        <w:spacing w:after="0" w:line="276" w:lineRule="auto"/>
        <w:jc w:val="both"/>
        <w:rPr>
          <w:rFonts w:asciiTheme="majorHAnsi" w:eastAsia="Times New Roman" w:hAnsiTheme="majorHAnsi" w:cs="Times New Roman"/>
          <w:bCs/>
          <w:sz w:val="24"/>
          <w:szCs w:val="24"/>
          <w:lang w:val="ro-MD"/>
        </w:rPr>
      </w:pPr>
      <w:r w:rsidRPr="00E67099">
        <w:rPr>
          <w:rFonts w:asciiTheme="majorHAnsi" w:hAnsiTheme="majorHAnsi" w:cstheme="majorHAnsi"/>
          <w:sz w:val="24"/>
          <w:szCs w:val="24"/>
        </w:rPr>
        <w:t>Auditul a constatat că a</w:t>
      </w:r>
      <w:r w:rsidRPr="00E67099">
        <w:rPr>
          <w:rFonts w:asciiTheme="majorHAnsi" w:eastAsia="Times New Roman" w:hAnsiTheme="majorHAnsi" w:cs="Times New Roman"/>
          <w:bCs/>
          <w:sz w:val="24"/>
          <w:szCs w:val="24"/>
          <w:lang w:val="ro-MD"/>
        </w:rPr>
        <w:t xml:space="preserve">chitările în avans unei organizații internaționale (PNUD) în contul serviciilor contractate </w:t>
      </w:r>
      <w:r w:rsidRPr="00E67099">
        <w:rPr>
          <w:rFonts w:asciiTheme="majorHAnsi" w:hAnsiTheme="majorHAnsi" w:cstheme="majorHAnsi"/>
          <w:sz w:val="24"/>
          <w:szCs w:val="24"/>
        </w:rPr>
        <w:t xml:space="preserve">de către 7 APC </w:t>
      </w:r>
      <w:r w:rsidRPr="00E67099">
        <w:rPr>
          <w:rFonts w:asciiTheme="majorHAnsi" w:eastAsia="Times New Roman" w:hAnsiTheme="majorHAnsi" w:cs="Times New Roman"/>
          <w:bCs/>
          <w:sz w:val="24"/>
          <w:szCs w:val="24"/>
          <w:lang w:val="ro-MD"/>
        </w:rPr>
        <w:t>au determinat majorarea creanțelor cu 33,4 mil. lei</w:t>
      </w:r>
      <w:r w:rsidRPr="00E67099">
        <w:rPr>
          <w:rFonts w:asciiTheme="majorHAnsi" w:hAnsiTheme="majorHAnsi" w:cstheme="majorHAnsi"/>
          <w:sz w:val="24"/>
          <w:szCs w:val="24"/>
        </w:rPr>
        <w:t xml:space="preserve">, ca urmare fiind </w:t>
      </w:r>
      <w:r w:rsidRPr="00E67099">
        <w:rPr>
          <w:rFonts w:asciiTheme="majorHAnsi" w:eastAsia="Times New Roman" w:hAnsiTheme="majorHAnsi" w:cs="Times New Roman"/>
          <w:bCs/>
          <w:sz w:val="24"/>
          <w:szCs w:val="24"/>
          <w:lang w:val="ro-MD"/>
        </w:rPr>
        <w:t xml:space="preserve">imobilizate/dezafectate resursele financiare publice pe un termen nedeterminat. </w:t>
      </w:r>
    </w:p>
    <w:p w:rsidR="00E67099" w:rsidRPr="00E67099" w:rsidRDefault="001738F4" w:rsidP="00E67099">
      <w:pPr>
        <w:tabs>
          <w:tab w:val="left" w:pos="142"/>
        </w:tabs>
        <w:spacing w:after="0" w:line="276" w:lineRule="auto"/>
        <w:jc w:val="both"/>
        <w:rPr>
          <w:rFonts w:asciiTheme="majorHAnsi" w:hAnsiTheme="majorHAnsi" w:cstheme="majorHAnsi"/>
          <w:sz w:val="24"/>
          <w:szCs w:val="24"/>
        </w:rPr>
      </w:pPr>
      <w:r w:rsidRPr="00223211">
        <w:rPr>
          <w:rFonts w:asciiTheme="majorHAnsi" w:hAnsiTheme="majorHAnsi" w:cstheme="majorHAnsi"/>
          <w:sz w:val="24"/>
          <w:szCs w:val="24"/>
          <w:lang w:val="ro-MD"/>
        </w:rPr>
        <w:t>A</w:t>
      </w:r>
      <w:r w:rsidR="00E67099" w:rsidRPr="00223211">
        <w:rPr>
          <w:rFonts w:asciiTheme="majorHAnsi" w:hAnsiTheme="majorHAnsi" w:cstheme="majorHAnsi"/>
          <w:sz w:val="24"/>
          <w:szCs w:val="24"/>
          <w:lang w:val="ro-MD"/>
        </w:rPr>
        <w:t>uditul financiar la MAI a constatat că m</w:t>
      </w:r>
      <w:r w:rsidR="00E67099" w:rsidRPr="00223211">
        <w:rPr>
          <w:rFonts w:asciiTheme="majorHAnsi" w:hAnsiTheme="majorHAnsi" w:cstheme="majorHAnsi"/>
          <w:sz w:val="24"/>
          <w:szCs w:val="24"/>
        </w:rPr>
        <w:t>ărimea</w:t>
      </w:r>
      <w:r w:rsidR="00E67099" w:rsidRPr="00E67099">
        <w:rPr>
          <w:rFonts w:asciiTheme="majorHAnsi" w:hAnsiTheme="majorHAnsi" w:cstheme="majorHAnsi"/>
          <w:sz w:val="24"/>
          <w:szCs w:val="24"/>
        </w:rPr>
        <w:t xml:space="preserve"> soldului stocului real al rezervelor materiale de stat la finele perioadei de gestiune este afectat de creanțele cu termen de achitare expirat (arierate) în sumă de 147,0 mil. lei reflectate la subcontul „Alte conturi extrabilanțiere”, formate pentru bunurile eliberate neregulamentar prin hotărâri de Guvern, fără plată sau garanție bancară din rezervele materiale ale statului, contestate în instanțele de judecată și sumele cărora au fost validate de instanțe. Soldul stocului real al rezervelor materiale de stat raportat la finele perioadei de gestiune este afectat indirect de nerambursarea regulamentară Ministerului Finanțelor, timp de 10 ani, a datoriei pentru împrumutul financiar acordat în sumă de 98,2 mil. lei pentru completarea rezervelor materiale de stat cu grâu alimentar.</w:t>
      </w:r>
    </w:p>
    <w:p w:rsidR="00E67099" w:rsidRPr="00E67099" w:rsidRDefault="00223211" w:rsidP="00E67099">
      <w:pPr>
        <w:tabs>
          <w:tab w:val="left" w:pos="142"/>
        </w:tabs>
        <w:spacing w:line="276" w:lineRule="auto"/>
        <w:contextualSpacing/>
        <w:jc w:val="both"/>
        <w:rPr>
          <w:rFonts w:asciiTheme="majorHAnsi" w:eastAsia="Calibri" w:hAnsiTheme="majorHAnsi" w:cstheme="majorHAnsi"/>
          <w:sz w:val="24"/>
          <w:szCs w:val="24"/>
        </w:rPr>
      </w:pPr>
      <w:r w:rsidRPr="00223211">
        <w:rPr>
          <w:rFonts w:asciiTheme="majorHAnsi" w:hAnsiTheme="majorHAnsi" w:cstheme="majorHAnsi"/>
          <w:sz w:val="24"/>
          <w:szCs w:val="24"/>
          <w:lang w:val="ro-MD"/>
        </w:rPr>
        <w:t xml:space="preserve">În cadrul </w:t>
      </w:r>
      <w:r w:rsidR="00E67099" w:rsidRPr="00223211">
        <w:rPr>
          <w:rFonts w:asciiTheme="majorHAnsi" w:hAnsiTheme="majorHAnsi" w:cstheme="majorHAnsi"/>
          <w:sz w:val="24"/>
          <w:szCs w:val="24"/>
          <w:lang w:val="ro-MD"/>
        </w:rPr>
        <w:t>auditul</w:t>
      </w:r>
      <w:r w:rsidRPr="00223211">
        <w:rPr>
          <w:rFonts w:asciiTheme="majorHAnsi" w:hAnsiTheme="majorHAnsi" w:cstheme="majorHAnsi"/>
          <w:sz w:val="24"/>
          <w:szCs w:val="24"/>
          <w:lang w:val="ro-MD"/>
        </w:rPr>
        <w:t>ui</w:t>
      </w:r>
      <w:r w:rsidR="00E67099" w:rsidRPr="00223211">
        <w:rPr>
          <w:rFonts w:asciiTheme="majorHAnsi" w:hAnsiTheme="majorHAnsi" w:cstheme="majorHAnsi"/>
          <w:sz w:val="24"/>
          <w:szCs w:val="24"/>
          <w:lang w:val="ro-MD"/>
        </w:rPr>
        <w:t xml:space="preserve"> financiar la MJ </w:t>
      </w:r>
      <w:r w:rsidRPr="00223211">
        <w:rPr>
          <w:rFonts w:asciiTheme="majorHAnsi" w:hAnsiTheme="majorHAnsi" w:cstheme="majorHAnsi"/>
          <w:sz w:val="24"/>
          <w:szCs w:val="24"/>
          <w:lang w:val="ro-MD"/>
        </w:rPr>
        <w:t>s-</w:t>
      </w:r>
      <w:r w:rsidR="00E67099" w:rsidRPr="00223211">
        <w:rPr>
          <w:rFonts w:asciiTheme="majorHAnsi" w:hAnsiTheme="majorHAnsi" w:cstheme="majorHAnsi"/>
          <w:sz w:val="24"/>
          <w:szCs w:val="24"/>
          <w:lang w:val="ro-MD"/>
        </w:rPr>
        <w:t>a constatat că,</w:t>
      </w:r>
      <w:r w:rsidR="00E67099" w:rsidRPr="00223211">
        <w:rPr>
          <w:rFonts w:asciiTheme="majorHAnsi" w:eastAsia="Calibri" w:hAnsiTheme="majorHAnsi" w:cstheme="majorHAnsi"/>
          <w:sz w:val="24"/>
          <w:szCs w:val="24"/>
        </w:rPr>
        <w:t xml:space="preserve"> potrivit</w:t>
      </w:r>
      <w:r w:rsidR="00E67099" w:rsidRPr="00E67099">
        <w:rPr>
          <w:rFonts w:asciiTheme="majorHAnsi" w:eastAsia="Calibri" w:hAnsiTheme="majorHAnsi" w:cstheme="majorHAnsi"/>
          <w:sz w:val="24"/>
          <w:szCs w:val="24"/>
        </w:rPr>
        <w:t xml:space="preserve"> datelor raportate de MJ </w:t>
      </w:r>
      <w:r w:rsidR="00E67099" w:rsidRPr="00E67099">
        <w:rPr>
          <w:rFonts w:asciiTheme="majorHAnsi" w:hAnsiTheme="majorHAnsi" w:cstheme="majorHAnsi"/>
          <w:sz w:val="24"/>
          <w:szCs w:val="24"/>
        </w:rPr>
        <w:t xml:space="preserve">la 31.12.2019, valoarea creanțelor față de Programul Națiunilor Unite pentru Dezvoltare (PNUD) a însumat 3,6 mil. lei. Testele auditului au relevat că, creanțele s-au format la </w:t>
      </w:r>
      <w:r w:rsidR="00E67099" w:rsidRPr="00E67099">
        <w:rPr>
          <w:rFonts w:asciiTheme="majorHAnsi" w:eastAsia="Calibri" w:hAnsiTheme="majorHAnsi" w:cstheme="majorHAnsi"/>
          <w:sz w:val="24"/>
          <w:szCs w:val="24"/>
        </w:rPr>
        <w:t xml:space="preserve">finele anului 2017, în urma transferării mijloacelor financiare către PNUD, pentru efectuarea reparațiilor </w:t>
      </w:r>
      <w:r w:rsidR="00E67099" w:rsidRPr="00E6639A">
        <w:rPr>
          <w:rFonts w:asciiTheme="majorHAnsi" w:eastAsia="Calibri" w:hAnsiTheme="majorHAnsi" w:cstheme="majorHAnsi"/>
          <w:sz w:val="24"/>
          <w:szCs w:val="24"/>
        </w:rPr>
        <w:t xml:space="preserve">capitale a clădirii </w:t>
      </w:r>
      <w:r w:rsidR="00E6639A">
        <w:rPr>
          <w:rFonts w:asciiTheme="majorHAnsi" w:eastAsia="Calibri" w:hAnsiTheme="majorHAnsi" w:cstheme="majorHAnsi"/>
          <w:sz w:val="24"/>
          <w:szCs w:val="24"/>
        </w:rPr>
        <w:t>Centrului Național de Expertize Judiciare</w:t>
      </w:r>
      <w:r w:rsidR="00E67099" w:rsidRPr="00E6639A">
        <w:rPr>
          <w:rFonts w:asciiTheme="majorHAnsi" w:eastAsia="Calibri" w:hAnsiTheme="majorHAnsi" w:cstheme="majorHAnsi"/>
          <w:sz w:val="24"/>
          <w:szCs w:val="24"/>
        </w:rPr>
        <w:t>,</w:t>
      </w:r>
      <w:r w:rsidR="00E67099" w:rsidRPr="00E67099">
        <w:rPr>
          <w:rFonts w:asciiTheme="majorHAnsi" w:eastAsia="Calibri" w:hAnsiTheme="majorHAnsi" w:cstheme="majorHAnsi"/>
          <w:sz w:val="24"/>
          <w:szCs w:val="24"/>
        </w:rPr>
        <w:t xml:space="preserve"> </w:t>
      </w:r>
      <w:r w:rsidR="00E67099" w:rsidRPr="00E67099">
        <w:rPr>
          <w:rFonts w:asciiTheme="majorHAnsi" w:hAnsiTheme="majorHAnsi" w:cstheme="majorHAnsi"/>
          <w:sz w:val="24"/>
          <w:szCs w:val="24"/>
        </w:rPr>
        <w:t xml:space="preserve">în contextul implementării </w:t>
      </w:r>
      <w:r w:rsidR="00E67099" w:rsidRPr="00E67099">
        <w:rPr>
          <w:rFonts w:asciiTheme="majorHAnsi" w:eastAsia="Calibri" w:hAnsiTheme="majorHAnsi" w:cstheme="majorHAnsi"/>
          <w:sz w:val="24"/>
          <w:szCs w:val="24"/>
        </w:rPr>
        <w:t>proiectului „Suport pentru Reforma Sectorului Justiției în Moldova”, care nu s-au inițiat până la finele anului 2019.</w:t>
      </w:r>
    </w:p>
    <w:p w:rsidR="00E67099" w:rsidRPr="00E67099" w:rsidRDefault="00E67099" w:rsidP="00E67099">
      <w:pPr>
        <w:tabs>
          <w:tab w:val="left" w:pos="284"/>
        </w:tabs>
        <w:spacing w:after="0" w:line="276" w:lineRule="auto"/>
        <w:contextualSpacing/>
        <w:jc w:val="both"/>
        <w:rPr>
          <w:rFonts w:asciiTheme="majorHAnsi" w:hAnsiTheme="majorHAnsi" w:cstheme="majorHAnsi"/>
          <w:sz w:val="24"/>
          <w:szCs w:val="24"/>
        </w:rPr>
      </w:pPr>
    </w:p>
    <w:p w:rsidR="00E67099" w:rsidRPr="00E67099" w:rsidRDefault="00E67099" w:rsidP="000E25D7">
      <w:pPr>
        <w:numPr>
          <w:ilvl w:val="0"/>
          <w:numId w:val="4"/>
        </w:numPr>
        <w:tabs>
          <w:tab w:val="left" w:pos="426"/>
        </w:tabs>
        <w:spacing w:after="0" w:line="276" w:lineRule="auto"/>
        <w:ind w:left="0" w:firstLine="0"/>
        <w:contextualSpacing/>
        <w:jc w:val="both"/>
        <w:outlineLvl w:val="0"/>
        <w:rPr>
          <w:rFonts w:asciiTheme="majorHAnsi" w:hAnsiTheme="majorHAnsi" w:cstheme="majorHAnsi"/>
          <w:b/>
          <w:sz w:val="28"/>
          <w:szCs w:val="28"/>
          <w:lang w:val="ro-MD"/>
        </w:rPr>
      </w:pPr>
      <w:r w:rsidRPr="00E67099">
        <w:rPr>
          <w:rFonts w:asciiTheme="majorHAnsi" w:hAnsiTheme="majorHAnsi" w:cstheme="majorHAnsi"/>
          <w:b/>
          <w:sz w:val="28"/>
          <w:szCs w:val="28"/>
          <w:lang w:val="ro-MD"/>
        </w:rPr>
        <w:t>BUNA GUVERNANȚĂ</w:t>
      </w:r>
    </w:p>
    <w:p w:rsidR="00E67099" w:rsidRPr="00E67099" w:rsidRDefault="00E67099" w:rsidP="00E67099">
      <w:pPr>
        <w:spacing w:after="0" w:line="276" w:lineRule="auto"/>
        <w:jc w:val="both"/>
        <w:rPr>
          <w:rFonts w:asciiTheme="majorHAnsi" w:hAnsiTheme="majorHAnsi" w:cstheme="majorHAnsi"/>
          <w:b/>
          <w:sz w:val="24"/>
          <w:szCs w:val="24"/>
          <w:lang w:val="ro-MD"/>
        </w:rPr>
      </w:pPr>
      <w:r w:rsidRPr="00E67099">
        <w:rPr>
          <w:rFonts w:asciiTheme="majorHAnsi" w:hAnsiTheme="majorHAnsi" w:cstheme="majorHAnsi"/>
          <w:b/>
          <w:sz w:val="24"/>
          <w:szCs w:val="24"/>
          <w:lang w:val="ro-MD"/>
        </w:rPr>
        <w:t>6.1. Organizarea, implementarea, evaluarea și raportarea sistemului de control intern</w:t>
      </w:r>
    </w:p>
    <w:p w:rsidR="00E67099" w:rsidRPr="00E67099" w:rsidRDefault="00E67099" w:rsidP="00E67099">
      <w:pPr>
        <w:spacing w:after="0" w:line="276" w:lineRule="auto"/>
        <w:jc w:val="both"/>
        <w:rPr>
          <w:rFonts w:asciiTheme="majorHAnsi" w:eastAsia="Times New Roman" w:hAnsiTheme="majorHAnsi" w:cstheme="majorHAnsi"/>
          <w:sz w:val="24"/>
          <w:szCs w:val="24"/>
          <w:lang w:val="ro-MD"/>
        </w:rPr>
      </w:pPr>
      <w:r w:rsidRPr="00E67099">
        <w:rPr>
          <w:rFonts w:asciiTheme="majorHAnsi" w:hAnsiTheme="majorHAnsi" w:cstheme="majorHAnsi"/>
          <w:sz w:val="24"/>
          <w:szCs w:val="24"/>
          <w:lang w:val="ro-MD"/>
        </w:rPr>
        <w:t>Potrivit Legii nr.229 din 23.09.2010</w:t>
      </w:r>
      <w:r w:rsidRPr="00E67099">
        <w:rPr>
          <w:rFonts w:asciiTheme="majorHAnsi" w:hAnsiTheme="majorHAnsi" w:cstheme="majorHAnsi"/>
          <w:sz w:val="24"/>
          <w:szCs w:val="24"/>
          <w:vertAlign w:val="superscript"/>
          <w:lang w:val="ro-MD"/>
        </w:rPr>
        <w:footnoteReference w:id="62"/>
      </w:r>
      <w:r w:rsidRPr="00E67099">
        <w:rPr>
          <w:rFonts w:asciiTheme="majorHAnsi" w:hAnsiTheme="majorHAnsi" w:cstheme="majorHAnsi"/>
          <w:sz w:val="24"/>
          <w:szCs w:val="24"/>
          <w:lang w:val="ro-MD"/>
        </w:rPr>
        <w:t xml:space="preserve">, </w:t>
      </w:r>
      <w:r w:rsidRPr="00E67099">
        <w:rPr>
          <w:rFonts w:asciiTheme="majorHAnsi" w:eastAsia="Times New Roman" w:hAnsiTheme="majorHAnsi" w:cstheme="majorHAnsi"/>
          <w:sz w:val="24"/>
          <w:szCs w:val="24"/>
          <w:lang w:val="ro-MD"/>
        </w:rPr>
        <w:t xml:space="preserve">pentru promovarea unei bune guvernări a entităților publice, se implementează controlul financiar public intern, care include: controlul intern managerial, auditul intern, responsabili fiind managerii entităților publice, precum și coordonarea și armonizarea centralizată efectuată de către MF. </w:t>
      </w:r>
    </w:p>
    <w:p w:rsidR="00E67099" w:rsidRPr="00E67099" w:rsidRDefault="00E67099" w:rsidP="00E67099">
      <w:pPr>
        <w:spacing w:after="0" w:line="276" w:lineRule="auto"/>
        <w:jc w:val="both"/>
        <w:rPr>
          <w:rFonts w:asciiTheme="majorHAnsi" w:hAnsiTheme="majorHAnsi" w:cstheme="majorHAnsi"/>
          <w:sz w:val="24"/>
          <w:szCs w:val="24"/>
          <w:lang w:val="ro-MD"/>
        </w:rPr>
      </w:pPr>
      <w:r w:rsidRPr="00E67099">
        <w:rPr>
          <w:rFonts w:asciiTheme="majorHAnsi" w:hAnsiTheme="majorHAnsi" w:cstheme="majorHAnsi"/>
          <w:sz w:val="24"/>
          <w:szCs w:val="24"/>
          <w:lang w:val="ro-MD"/>
        </w:rPr>
        <w:t xml:space="preserve">Potrivit Declarației de răspundere managerială, MF dispune de un sistem de control intern managerial a cărui organizare și funcționare </w:t>
      </w:r>
      <w:r w:rsidRPr="00E67099">
        <w:rPr>
          <w:rFonts w:asciiTheme="majorHAnsi" w:hAnsiTheme="majorHAnsi" w:cstheme="majorHAnsi"/>
          <w:i/>
          <w:sz w:val="24"/>
          <w:szCs w:val="24"/>
          <w:lang w:val="ro-MD"/>
        </w:rPr>
        <w:t>permite parțial furnizarea unei asigurări rezonabile</w:t>
      </w:r>
      <w:r w:rsidRPr="00E67099">
        <w:rPr>
          <w:rFonts w:asciiTheme="majorHAnsi" w:hAnsiTheme="majorHAnsi" w:cstheme="majorHAnsi"/>
          <w:sz w:val="24"/>
          <w:szCs w:val="24"/>
          <w:lang w:val="ro-MD"/>
        </w:rPr>
        <w:t xml:space="preserve"> precum că fondurile publice alocate în scopul atingerii obiectivelor strategice și operaționale au fost utilizate în condiții de transparență, economicitate, eficiență, eficacitate, legalitate, etică și integritate. Pe baza rezultatelor autoevaluării, sistemul de control intern managerial este parțial conform Standardelor naționale de control intern în sectorul public.</w:t>
      </w:r>
    </w:p>
    <w:p w:rsidR="00E67099" w:rsidRPr="00E67099" w:rsidRDefault="00E67099" w:rsidP="00E67099">
      <w:pPr>
        <w:spacing w:after="0" w:line="276" w:lineRule="auto"/>
        <w:jc w:val="both"/>
        <w:rPr>
          <w:rFonts w:asciiTheme="majorHAnsi" w:hAnsiTheme="majorHAnsi" w:cstheme="majorHAnsi"/>
          <w:sz w:val="24"/>
          <w:szCs w:val="24"/>
          <w:lang w:val="ro-MD"/>
        </w:rPr>
      </w:pPr>
      <w:r w:rsidRPr="00E67099">
        <w:rPr>
          <w:rFonts w:asciiTheme="majorHAnsi" w:hAnsiTheme="majorHAnsi" w:cstheme="majorHAnsi"/>
          <w:sz w:val="24"/>
          <w:szCs w:val="24"/>
          <w:lang w:val="ro-MD"/>
        </w:rPr>
        <w:t xml:space="preserve">Astfel, în baza rezultatelor autoevaluării CIM de către MF și constatărilor auditului urmare a testării controalelor interne, se confirmă că organizarea și funcționarea sistemului de control intern managerial </w:t>
      </w:r>
      <w:r w:rsidRPr="00E67099">
        <w:rPr>
          <w:rFonts w:asciiTheme="majorHAnsi" w:hAnsiTheme="majorHAnsi" w:cstheme="majorHAnsi"/>
          <w:i/>
          <w:sz w:val="24"/>
          <w:szCs w:val="24"/>
          <w:lang w:val="ro-MD"/>
        </w:rPr>
        <w:t>permite parțial furnizarea unei asigurări rezonabile, după cum urmează:</w:t>
      </w:r>
    </w:p>
    <w:p w:rsidR="00E67099" w:rsidRPr="00567049" w:rsidRDefault="00E67099" w:rsidP="008C71CD">
      <w:pPr>
        <w:numPr>
          <w:ilvl w:val="0"/>
          <w:numId w:val="21"/>
        </w:numPr>
        <w:tabs>
          <w:tab w:val="left" w:pos="426"/>
          <w:tab w:val="left" w:pos="993"/>
        </w:tabs>
        <w:spacing w:after="0" w:line="276" w:lineRule="auto"/>
        <w:ind w:left="0" w:firstLine="709"/>
        <w:contextualSpacing/>
        <w:jc w:val="both"/>
        <w:rPr>
          <w:rFonts w:asciiTheme="majorHAnsi" w:hAnsiTheme="majorHAnsi" w:cstheme="majorHAnsi"/>
          <w:color w:val="000000" w:themeColor="text1"/>
          <w:sz w:val="24"/>
          <w:szCs w:val="24"/>
          <w:lang w:val="ro-MD"/>
        </w:rPr>
      </w:pPr>
      <w:r w:rsidRPr="00567049">
        <w:rPr>
          <w:rFonts w:asciiTheme="majorHAnsi" w:hAnsiTheme="majorHAnsi" w:cstheme="majorHAnsi"/>
          <w:bCs/>
          <w:color w:val="000000" w:themeColor="text1"/>
          <w:sz w:val="24"/>
          <w:szCs w:val="24"/>
          <w:lang w:val="ro-MD"/>
        </w:rPr>
        <w:t>neelaborarea HG conform Codului contravențional, a condus la afectarea controlului intern privind nemonitorizarea sumelor amenzilor și sancțiunilor calculate, încasate și restante;</w:t>
      </w:r>
    </w:p>
    <w:p w:rsidR="00E67099" w:rsidRPr="00E67099" w:rsidRDefault="00E67099" w:rsidP="008C71CD">
      <w:pPr>
        <w:numPr>
          <w:ilvl w:val="0"/>
          <w:numId w:val="21"/>
        </w:numPr>
        <w:tabs>
          <w:tab w:val="left" w:pos="426"/>
          <w:tab w:val="left" w:pos="993"/>
        </w:tabs>
        <w:spacing w:after="0" w:line="276" w:lineRule="auto"/>
        <w:ind w:left="0" w:firstLine="709"/>
        <w:contextualSpacing/>
        <w:jc w:val="both"/>
        <w:rPr>
          <w:rFonts w:asciiTheme="majorHAnsi" w:hAnsiTheme="majorHAnsi" w:cstheme="majorHAnsi"/>
          <w:color w:val="000000" w:themeColor="text1"/>
          <w:sz w:val="24"/>
          <w:szCs w:val="24"/>
          <w:lang w:val="ro-MD"/>
        </w:rPr>
      </w:pPr>
      <w:r w:rsidRPr="00E67099">
        <w:rPr>
          <w:rFonts w:asciiTheme="majorHAnsi" w:hAnsiTheme="majorHAnsi" w:cstheme="majorHAnsi"/>
          <w:bCs/>
          <w:color w:val="000000" w:themeColor="text1"/>
          <w:sz w:val="24"/>
          <w:szCs w:val="24"/>
          <w:lang w:val="ro-MD"/>
        </w:rPr>
        <w:t>înregistrarea plăților și încasărilor la 31.12.2019, deși conform art.70 alin.(1) din Legea nr.181 din 25.07.2014 î</w:t>
      </w:r>
      <w:r w:rsidRPr="00E67099">
        <w:rPr>
          <w:rFonts w:asciiTheme="majorHAnsi" w:hAnsiTheme="majorHAnsi" w:cstheme="majorHAnsi"/>
          <w:sz w:val="24"/>
          <w:szCs w:val="24"/>
          <w:lang w:val="ro-MD"/>
        </w:rPr>
        <w:t>n ultima zi lucrătoare a anului bugetar nu se efectuează operațiuni de încasări și plăți, ci doar operațiuni interne și de încheiere a anului bugetar;</w:t>
      </w:r>
    </w:p>
    <w:p w:rsidR="00E67099" w:rsidRPr="00E67099" w:rsidRDefault="00E67099" w:rsidP="008C71CD">
      <w:pPr>
        <w:numPr>
          <w:ilvl w:val="0"/>
          <w:numId w:val="21"/>
        </w:numPr>
        <w:tabs>
          <w:tab w:val="left" w:pos="284"/>
          <w:tab w:val="left" w:pos="426"/>
          <w:tab w:val="left" w:pos="1134"/>
        </w:tabs>
        <w:spacing w:after="0" w:line="276" w:lineRule="auto"/>
        <w:ind w:left="0" w:firstLine="709"/>
        <w:contextualSpacing/>
        <w:jc w:val="both"/>
        <w:rPr>
          <w:rFonts w:asciiTheme="majorHAnsi" w:eastAsia="Times New Roman" w:hAnsiTheme="majorHAnsi" w:cstheme="majorHAnsi"/>
          <w:bCs/>
          <w:iCs/>
          <w:sz w:val="24"/>
          <w:szCs w:val="24"/>
          <w:lang w:val="ro-MD"/>
        </w:rPr>
      </w:pPr>
      <w:r w:rsidRPr="00E67099">
        <w:rPr>
          <w:rFonts w:asciiTheme="majorHAnsi" w:hAnsiTheme="majorHAnsi" w:cstheme="majorHAnsi"/>
          <w:sz w:val="24"/>
          <w:szCs w:val="24"/>
          <w:lang w:val="ro-MD"/>
        </w:rPr>
        <w:t xml:space="preserve">revizuirea și ajustarea cadrului legislativ-normativ în vederea asigurării gestionării și utilizării conforme a mijloacelor de către autoritățile beneficiare de subsidii, urmează a fi o prioritate a MF pentru administrarea resurselor BS și utilizarea </w:t>
      </w:r>
      <w:r w:rsidRPr="00E67099">
        <w:rPr>
          <w:rFonts w:asciiTheme="majorHAnsi" w:hAnsiTheme="majorHAnsi" w:cstheme="majorHAnsi"/>
          <w:bCs/>
          <w:sz w:val="24"/>
          <w:szCs w:val="24"/>
          <w:lang w:val="ro-MD"/>
        </w:rPr>
        <w:t>alocațiilor bugetare conform destinației</w:t>
      </w:r>
      <w:r w:rsidRPr="00E67099">
        <w:rPr>
          <w:rFonts w:asciiTheme="majorHAnsi" w:hAnsiTheme="majorHAnsi" w:cstheme="majorHAnsi"/>
          <w:sz w:val="24"/>
          <w:szCs w:val="24"/>
          <w:lang w:val="ro-MD"/>
        </w:rPr>
        <w:t xml:space="preserve">. </w:t>
      </w:r>
    </w:p>
    <w:p w:rsidR="00E67099" w:rsidRPr="00E67099" w:rsidRDefault="00E67099" w:rsidP="00E67099">
      <w:pPr>
        <w:tabs>
          <w:tab w:val="left" w:pos="851"/>
        </w:tabs>
        <w:spacing w:after="0" w:line="276" w:lineRule="auto"/>
        <w:jc w:val="both"/>
        <w:rPr>
          <w:rFonts w:asciiTheme="majorHAnsi" w:eastAsia="Times New Roman" w:hAnsiTheme="majorHAnsi" w:cstheme="majorHAnsi"/>
          <w:sz w:val="24"/>
          <w:szCs w:val="24"/>
        </w:rPr>
      </w:pPr>
      <w:r w:rsidRPr="00E67099">
        <w:rPr>
          <w:rFonts w:asciiTheme="majorHAnsi" w:eastAsia="Times New Roman" w:hAnsiTheme="majorHAnsi" w:cstheme="majorHAnsi"/>
          <w:sz w:val="24"/>
          <w:szCs w:val="24"/>
        </w:rPr>
        <w:t>Potrivit prevederilor CBTM, în perioada 2019-2021 se preconizează reducerea numărului de unități de personal în instituțiile finanțate din BS cu peste 1300 de unități. Astfel, la situația din 31.12.2019, în comparație cu situația din 31.12.2018, numărul de unități (posturi) s-a micșorat cu 10 557, iar numărul de angajați (persoane fizice) cu 8 928</w:t>
      </w:r>
      <w:r w:rsidRPr="00E67099">
        <w:rPr>
          <w:rFonts w:asciiTheme="majorHAnsi" w:eastAsia="Times New Roman" w:hAnsiTheme="majorHAnsi" w:cstheme="majorHAnsi"/>
          <w:sz w:val="24"/>
          <w:szCs w:val="24"/>
          <w:vertAlign w:val="superscript"/>
        </w:rPr>
        <w:footnoteReference w:id="63"/>
      </w:r>
      <w:r w:rsidRPr="00E67099">
        <w:rPr>
          <w:rFonts w:asciiTheme="majorHAnsi" w:eastAsia="Times New Roman" w:hAnsiTheme="majorHAnsi" w:cstheme="majorHAnsi"/>
          <w:sz w:val="24"/>
          <w:szCs w:val="24"/>
        </w:rPr>
        <w:t xml:space="preserve">. Cel mai semnificativ s-a micșorat numărul angajaților în domeniul învățământului, cu 8 046 de persoane, din cauza modificării statutului instituțiilor de învățământ superior și profesional-tehnic și trecerii acestora la autogestiune. </w:t>
      </w:r>
    </w:p>
    <w:p w:rsidR="00E67099" w:rsidRPr="00E67099" w:rsidRDefault="00E67099" w:rsidP="00E67099">
      <w:pPr>
        <w:tabs>
          <w:tab w:val="left" w:pos="851"/>
        </w:tabs>
        <w:spacing w:after="0" w:line="276" w:lineRule="auto"/>
        <w:jc w:val="both"/>
        <w:rPr>
          <w:rFonts w:asciiTheme="majorHAnsi" w:eastAsia="Times New Roman" w:hAnsiTheme="majorHAnsi" w:cstheme="majorHAnsi"/>
          <w:sz w:val="24"/>
          <w:szCs w:val="24"/>
        </w:rPr>
      </w:pPr>
      <w:r w:rsidRPr="00E67099">
        <w:rPr>
          <w:rFonts w:asciiTheme="majorHAnsi" w:hAnsiTheme="majorHAnsi" w:cstheme="majorHAnsi"/>
          <w:i/>
          <w:sz w:val="24"/>
          <w:szCs w:val="24"/>
          <w:lang w:val="ro-MD"/>
        </w:rPr>
        <w:t>Echipele de audit la 3 Ministere au constatat</w:t>
      </w:r>
      <w:r w:rsidRPr="00E67099">
        <w:rPr>
          <w:rFonts w:asciiTheme="majorHAnsi" w:hAnsiTheme="majorHAnsi" w:cstheme="majorHAnsi"/>
          <w:sz w:val="24"/>
          <w:szCs w:val="24"/>
          <w:lang w:val="ro-MD"/>
        </w:rPr>
        <w:t xml:space="preserve"> neasigurarea promovării și implementării unui management eficient al resurselor umane, ceea ce a condiționat acumularea numărului semnificativ de zile de concediu anual </w:t>
      </w:r>
      <w:r w:rsidRPr="0094138E">
        <w:rPr>
          <w:rFonts w:asciiTheme="majorHAnsi" w:hAnsiTheme="majorHAnsi" w:cstheme="majorHAnsi"/>
          <w:sz w:val="24"/>
          <w:szCs w:val="24"/>
          <w:lang w:val="ro-MD"/>
        </w:rPr>
        <w:t>nefolosite: MADRM – (15 402 zile, 460 angajați), MEI – circa</w:t>
      </w:r>
      <w:r w:rsidRPr="00E67099">
        <w:rPr>
          <w:rFonts w:asciiTheme="majorHAnsi" w:hAnsiTheme="majorHAnsi" w:cstheme="majorHAnsi"/>
          <w:sz w:val="24"/>
          <w:szCs w:val="24"/>
          <w:lang w:val="ro-MD"/>
        </w:rPr>
        <w:t xml:space="preserve"> 7,1 mil. lei (12 807 zile), MAI – circa 72,6 mil. lei (3000 angajați, 266 490 zile).</w:t>
      </w:r>
      <w:r w:rsidRPr="00E67099">
        <w:rPr>
          <w:rFonts w:asciiTheme="majorHAnsi" w:eastAsia="Times New Roman" w:hAnsiTheme="majorHAnsi" w:cstheme="majorHAnsi"/>
          <w:sz w:val="24"/>
          <w:szCs w:val="24"/>
        </w:rPr>
        <w:t xml:space="preserve"> </w:t>
      </w:r>
      <w:r w:rsidRPr="00E67099">
        <w:rPr>
          <w:rFonts w:asciiTheme="majorHAnsi" w:hAnsiTheme="majorHAnsi" w:cstheme="majorHAnsi"/>
          <w:sz w:val="24"/>
          <w:szCs w:val="24"/>
        </w:rPr>
        <w:t>Obligațiile în cauză urmează a fi realizate în exercițiile financiare viitoare, nefiind acoperite cu resurse financiare bugetare, ceea ce va condiționa perturbarea echilibrului bugetar.</w:t>
      </w:r>
    </w:p>
    <w:p w:rsidR="00E67099" w:rsidRPr="00E67099" w:rsidRDefault="00E67099" w:rsidP="00E67099">
      <w:pPr>
        <w:tabs>
          <w:tab w:val="left" w:pos="426"/>
        </w:tabs>
        <w:spacing w:after="0" w:line="276" w:lineRule="auto"/>
        <w:contextualSpacing/>
        <w:jc w:val="both"/>
        <w:rPr>
          <w:rFonts w:asciiTheme="majorHAnsi" w:hAnsiTheme="majorHAnsi" w:cstheme="majorHAnsi"/>
          <w:sz w:val="8"/>
          <w:szCs w:val="8"/>
          <w:lang w:val="ro-MD"/>
        </w:rPr>
      </w:pPr>
    </w:p>
    <w:p w:rsidR="00E67099" w:rsidRPr="00E67099" w:rsidRDefault="00E67099" w:rsidP="00E67099">
      <w:pPr>
        <w:spacing w:after="0" w:line="276" w:lineRule="auto"/>
        <w:jc w:val="both"/>
        <w:rPr>
          <w:rFonts w:asciiTheme="majorHAnsi" w:hAnsiTheme="majorHAnsi" w:cstheme="majorHAnsi"/>
          <w:sz w:val="24"/>
          <w:szCs w:val="24"/>
          <w:lang w:val="ro-MD"/>
        </w:rPr>
      </w:pPr>
      <w:r w:rsidRPr="00E67099">
        <w:rPr>
          <w:rFonts w:asciiTheme="majorHAnsi" w:hAnsiTheme="majorHAnsi" w:cstheme="majorHAnsi"/>
          <w:sz w:val="24"/>
          <w:szCs w:val="24"/>
          <w:lang w:val="ro-MD"/>
        </w:rPr>
        <w:t>În anul 2019,</w:t>
      </w:r>
      <w:r w:rsidRPr="00E67099">
        <w:rPr>
          <w:rFonts w:asciiTheme="majorHAnsi" w:hAnsiTheme="majorHAnsi" w:cstheme="majorHAnsi"/>
          <w:b/>
          <w:sz w:val="24"/>
          <w:szCs w:val="24"/>
          <w:lang w:val="ro-MD"/>
        </w:rPr>
        <w:t xml:space="preserve"> </w:t>
      </w:r>
      <w:r w:rsidRPr="00E67099">
        <w:rPr>
          <w:rFonts w:asciiTheme="majorHAnsi" w:hAnsiTheme="majorHAnsi" w:cstheme="majorHAnsi"/>
          <w:sz w:val="24"/>
          <w:szCs w:val="24"/>
          <w:lang w:val="ro-MD"/>
        </w:rPr>
        <w:t>MF a achiziționat servicii informatice de administrare, menținere, dezvoltare și asigurare a funcționării sistemului informațional de gestionare a finanțelor publice de la IP „Centrul de Tehnologii Informaționale în Finanțe”</w:t>
      </w:r>
      <w:r w:rsidRPr="00E67099">
        <w:rPr>
          <w:rFonts w:asciiTheme="majorHAnsi" w:hAnsiTheme="majorHAnsi" w:cstheme="majorHAnsi"/>
          <w:sz w:val="24"/>
          <w:szCs w:val="24"/>
          <w:vertAlign w:val="superscript"/>
          <w:lang w:val="ro-MD"/>
        </w:rPr>
        <w:footnoteReference w:id="64"/>
      </w:r>
      <w:r w:rsidRPr="00E67099">
        <w:rPr>
          <w:rFonts w:asciiTheme="majorHAnsi" w:hAnsiTheme="majorHAnsi" w:cstheme="majorHAnsi"/>
          <w:sz w:val="24"/>
          <w:szCs w:val="24"/>
          <w:lang w:val="ro-MD"/>
        </w:rPr>
        <w:t xml:space="preserve">, în sumă de 18,5 mil. lei, inclusiv TVA. În urma verificărilor de audit s-a constatat că: </w:t>
      </w:r>
      <w:r w:rsidRPr="00E67099">
        <w:rPr>
          <w:rFonts w:asciiTheme="majorHAnsi" w:hAnsiTheme="majorHAnsi" w:cstheme="majorHAnsi"/>
          <w:i/>
          <w:sz w:val="24"/>
          <w:szCs w:val="24"/>
          <w:lang w:val="ro-MD"/>
        </w:rPr>
        <w:t>a)</w:t>
      </w:r>
      <w:r w:rsidRPr="00E67099">
        <w:rPr>
          <w:rFonts w:asciiTheme="majorHAnsi" w:hAnsiTheme="majorHAnsi" w:cstheme="majorHAnsi"/>
          <w:sz w:val="24"/>
          <w:szCs w:val="24"/>
          <w:lang w:val="ro-MD"/>
        </w:rPr>
        <w:t xml:space="preserve"> nu există un comitet de supraveghere cu roluri și responsabilități;</w:t>
      </w:r>
      <w:r w:rsidRPr="00E67099">
        <w:rPr>
          <w:rFonts w:asciiTheme="majorHAnsi" w:hAnsiTheme="majorHAnsi" w:cstheme="majorHAnsi"/>
          <w:sz w:val="24"/>
          <w:szCs w:val="24"/>
        </w:rPr>
        <w:t xml:space="preserve"> </w:t>
      </w:r>
      <w:r w:rsidRPr="00E67099">
        <w:rPr>
          <w:rFonts w:asciiTheme="majorHAnsi" w:hAnsiTheme="majorHAnsi" w:cstheme="majorHAnsi"/>
          <w:i/>
          <w:sz w:val="24"/>
          <w:szCs w:val="24"/>
        </w:rPr>
        <w:t>b)</w:t>
      </w:r>
      <w:r w:rsidRPr="00E67099">
        <w:rPr>
          <w:rFonts w:asciiTheme="majorHAnsi" w:hAnsiTheme="majorHAnsi" w:cstheme="majorHAnsi"/>
          <w:sz w:val="24"/>
          <w:szCs w:val="24"/>
        </w:rPr>
        <w:t xml:space="preserve"> MF deține o Politică de securitate a informației, aprobată prin Ordinul MF nr.147 din 21 noiembrie 2016, dar</w:t>
      </w:r>
      <w:r w:rsidRPr="00E67099">
        <w:rPr>
          <w:rFonts w:asciiTheme="majorHAnsi" w:hAnsiTheme="majorHAnsi" w:cstheme="majorHAnsi"/>
          <w:sz w:val="24"/>
          <w:szCs w:val="24"/>
          <w:lang w:val="ro-MD"/>
        </w:rPr>
        <w:t xml:space="preserve"> nu a elaborat și aprobat normele de securitate informațională conform prevederilor Politicii de securitate, fapt constatat și de auditul precedent. Se menționează că MF a elaborat, a aprobat și a pus în aplicare un Plan de acțiuni</w:t>
      </w:r>
      <w:r w:rsidRPr="00E67099">
        <w:rPr>
          <w:rFonts w:asciiTheme="majorHAnsi" w:hAnsiTheme="majorHAnsi" w:cstheme="majorHAnsi"/>
          <w:sz w:val="24"/>
          <w:szCs w:val="24"/>
          <w:vertAlign w:val="superscript"/>
          <w:lang w:val="ro-MD"/>
        </w:rPr>
        <w:footnoteReference w:id="65"/>
      </w:r>
      <w:r w:rsidRPr="00E67099">
        <w:rPr>
          <w:rFonts w:asciiTheme="majorHAnsi" w:hAnsiTheme="majorHAnsi" w:cstheme="majorHAnsi"/>
          <w:sz w:val="24"/>
          <w:szCs w:val="24"/>
          <w:lang w:val="ro-MD"/>
        </w:rPr>
        <w:t xml:space="preserve"> urmare a căruia vor fi soluționate neconformitățile vizate.</w:t>
      </w:r>
    </w:p>
    <w:p w:rsidR="00E67099" w:rsidRPr="00E67099" w:rsidRDefault="00E67099" w:rsidP="00E67099">
      <w:pPr>
        <w:spacing w:after="0" w:line="276" w:lineRule="auto"/>
        <w:jc w:val="both"/>
        <w:rPr>
          <w:rFonts w:asciiTheme="majorHAnsi" w:hAnsiTheme="majorHAnsi" w:cstheme="majorHAnsi"/>
          <w:sz w:val="24"/>
          <w:szCs w:val="24"/>
          <w:lang w:val="ro-MD"/>
        </w:rPr>
      </w:pPr>
      <w:r w:rsidRPr="00E67099">
        <w:rPr>
          <w:rFonts w:asciiTheme="majorHAnsi" w:hAnsiTheme="majorHAnsi" w:cstheme="majorHAnsi"/>
          <w:sz w:val="24"/>
          <w:szCs w:val="24"/>
          <w:lang w:val="ro-MD"/>
        </w:rPr>
        <w:t>Se menționează că auditul a fost limitat în acest domeniu deoarece nu a fost oferit acces la programele informaționale ale MF.</w:t>
      </w:r>
    </w:p>
    <w:p w:rsidR="00E67099" w:rsidRPr="00E67099" w:rsidRDefault="00E67099" w:rsidP="00E67099">
      <w:pPr>
        <w:spacing w:after="0" w:line="276" w:lineRule="auto"/>
        <w:jc w:val="both"/>
        <w:rPr>
          <w:rFonts w:asciiTheme="majorHAnsi" w:eastAsia="Times New Roman" w:hAnsiTheme="majorHAnsi" w:cstheme="majorHAnsi"/>
          <w:b/>
          <w:sz w:val="24"/>
          <w:szCs w:val="24"/>
          <w:lang w:val="ro-MD"/>
        </w:rPr>
      </w:pPr>
      <w:r w:rsidRPr="00E67099">
        <w:rPr>
          <w:rFonts w:asciiTheme="majorHAnsi" w:eastAsia="Times New Roman" w:hAnsiTheme="majorHAnsi" w:cstheme="majorHAnsi"/>
          <w:b/>
          <w:sz w:val="24"/>
          <w:szCs w:val="24"/>
          <w:lang w:val="ro-MD"/>
        </w:rPr>
        <w:t>6.2. Auditul intern a evaluat doar un proces cu privire la executarea mijloacelor din BS</w:t>
      </w:r>
    </w:p>
    <w:p w:rsidR="00E67099" w:rsidRPr="00E67099" w:rsidRDefault="00E67099" w:rsidP="00E67099">
      <w:pPr>
        <w:spacing w:after="0" w:line="276" w:lineRule="auto"/>
        <w:jc w:val="both"/>
        <w:rPr>
          <w:rFonts w:asciiTheme="majorHAnsi" w:eastAsia="Times New Roman" w:hAnsiTheme="majorHAnsi" w:cstheme="majorHAnsi"/>
          <w:sz w:val="24"/>
          <w:szCs w:val="24"/>
          <w:lang w:val="ro-MD"/>
        </w:rPr>
      </w:pPr>
      <w:r w:rsidRPr="00E67099">
        <w:rPr>
          <w:rFonts w:asciiTheme="majorHAnsi" w:eastAsia="Times New Roman" w:hAnsiTheme="majorHAnsi" w:cstheme="majorHAnsi"/>
          <w:sz w:val="24"/>
          <w:szCs w:val="24"/>
          <w:lang w:val="ro-MD"/>
        </w:rPr>
        <w:t>Conform Planului strategic al activității Serviciului audit intern pentru anii 2019-2021, au fost planificate 2 misiuni de audit de sistem (68 de procese) cu privire la evaluarea proceselor de executare a alocațiilor din BS, dar în anul 2019 a fost selectat doar un proces pentru examinare, și anume  Programul de stat „Prima Casă”.  Nerealizarea integrală a Planului strategic se explică prin decalajul între resursele necesare și cele disponibile ale Serviciului audit intern, pentru realizarea integrală a Planului strategic într-o perioadă rațională de timp (3 ani).</w:t>
      </w:r>
    </w:p>
    <w:p w:rsidR="00E67099" w:rsidRPr="00E67099" w:rsidRDefault="00E67099" w:rsidP="00E67099">
      <w:pPr>
        <w:spacing w:after="0" w:line="276" w:lineRule="auto"/>
        <w:jc w:val="both"/>
        <w:rPr>
          <w:rFonts w:asciiTheme="majorHAnsi" w:eastAsia="Times New Roman" w:hAnsiTheme="majorHAnsi" w:cstheme="majorHAnsi"/>
          <w:b/>
          <w:sz w:val="24"/>
          <w:szCs w:val="24"/>
          <w:lang w:val="ro-MD"/>
        </w:rPr>
      </w:pPr>
      <w:r w:rsidRPr="00E67099">
        <w:rPr>
          <w:rFonts w:asciiTheme="majorHAnsi" w:eastAsia="Times New Roman" w:hAnsiTheme="majorHAnsi" w:cstheme="majorHAnsi"/>
          <w:b/>
          <w:sz w:val="24"/>
          <w:szCs w:val="24"/>
          <w:lang w:val="ro-MD"/>
        </w:rPr>
        <w:t>6.3. Implementarea parțială a recomandărilor din misiunea de audit precedentă</w:t>
      </w:r>
    </w:p>
    <w:p w:rsidR="00E67099" w:rsidRPr="00E67099" w:rsidRDefault="00E67099" w:rsidP="00E67099">
      <w:pPr>
        <w:spacing w:after="0" w:line="276" w:lineRule="auto"/>
        <w:jc w:val="both"/>
        <w:rPr>
          <w:rFonts w:ascii="Tahoma" w:eastAsia="Times New Roman" w:hAnsi="Tahoma" w:cs="Tahoma"/>
          <w:sz w:val="18"/>
          <w:szCs w:val="18"/>
          <w:lang w:val="en-US"/>
        </w:rPr>
      </w:pPr>
      <w:r w:rsidRPr="00E67099">
        <w:rPr>
          <w:rFonts w:asciiTheme="majorHAnsi" w:hAnsiTheme="majorHAnsi" w:cs="Times New Roman"/>
          <w:sz w:val="24"/>
          <w:szCs w:val="24"/>
          <w:lang w:val="ro-MD"/>
        </w:rPr>
        <w:t>Prin Hotărârea Curții de Conturi nr.44 din 28.05.2019</w:t>
      </w:r>
      <w:r w:rsidRPr="00E67099">
        <w:rPr>
          <w:rFonts w:asciiTheme="majorHAnsi" w:hAnsiTheme="majorHAnsi" w:cs="Times New Roman"/>
          <w:sz w:val="24"/>
          <w:szCs w:val="24"/>
          <w:vertAlign w:val="superscript"/>
          <w:lang w:val="ro-MD"/>
        </w:rPr>
        <w:footnoteReference w:id="66"/>
      </w:r>
      <w:r w:rsidRPr="00E67099">
        <w:rPr>
          <w:rFonts w:asciiTheme="majorHAnsi" w:hAnsiTheme="majorHAnsi" w:cs="Times New Roman"/>
          <w:sz w:val="24"/>
          <w:szCs w:val="24"/>
          <w:lang w:val="ro-MD"/>
        </w:rPr>
        <w:t>, MF i-au fost înaintate 7 recomandări (inclusiv o recomandare de comun cu MECC), din care 3 au fost implementate și 4  parțial implementate. Analiza efectuată relevă implementarea la nivel de 71,4% a recomandărilor înaintate, fapt care permite excluderea acesteia din regim de monitorizare, cu reiterarea recomandărilor parțial implementate.</w:t>
      </w:r>
      <w:r w:rsidRPr="00E67099">
        <w:rPr>
          <w:rFonts w:ascii="Tahoma" w:eastAsia="Times New Roman" w:hAnsi="Tahoma" w:cs="Tahoma"/>
          <w:sz w:val="18"/>
          <w:szCs w:val="18"/>
          <w:lang w:val="en-US"/>
        </w:rPr>
        <w:t xml:space="preserve"> </w:t>
      </w:r>
    </w:p>
    <w:p w:rsidR="00E67099" w:rsidRPr="00E67099" w:rsidRDefault="00E67099" w:rsidP="00E67099">
      <w:pPr>
        <w:spacing w:after="0" w:line="276" w:lineRule="auto"/>
        <w:jc w:val="both"/>
        <w:rPr>
          <w:rFonts w:asciiTheme="majorHAnsi" w:hAnsiTheme="majorHAnsi" w:cstheme="majorHAnsi"/>
          <w:i/>
          <w:sz w:val="24"/>
          <w:szCs w:val="24"/>
        </w:rPr>
      </w:pPr>
      <w:r w:rsidRPr="00E67099">
        <w:rPr>
          <w:rFonts w:ascii="Calibri Light" w:eastAsia="Calibri" w:hAnsi="Calibri Light" w:cs="Calibri Light"/>
          <w:sz w:val="24"/>
          <w:szCs w:val="24"/>
          <w:lang w:val="ro-MD"/>
        </w:rPr>
        <w:t xml:space="preserve">Recomandările au fost evaluate de audit ca parțial implementate, deoarece MF; de comun cu MECC, nu a elaborat metodologiile de calcul pentru transferurile cu destinație specială la finanțarea instituțiilor de învățământ; </w:t>
      </w:r>
      <w:r w:rsidRPr="00E67099">
        <w:rPr>
          <w:rFonts w:asciiTheme="majorHAnsi" w:hAnsiTheme="majorHAnsi"/>
          <w:sz w:val="24"/>
          <w:szCs w:val="24"/>
          <w:lang w:val="ro-MD"/>
        </w:rPr>
        <w:t>nu a monitorizat suficient, pentru nu a admite imobilizarea mijloacelor bugetare de către APC în generarea creanțelor;</w:t>
      </w:r>
      <w:r w:rsidRPr="00E67099">
        <w:rPr>
          <w:rFonts w:ascii="Calibri Light" w:eastAsia="Calibri" w:hAnsi="Calibri Light" w:cs="Calibri Light"/>
          <w:sz w:val="28"/>
          <w:szCs w:val="28"/>
          <w:lang w:val="ro-MD"/>
        </w:rPr>
        <w:t xml:space="preserve"> </w:t>
      </w:r>
      <w:r w:rsidRPr="00E67099">
        <w:rPr>
          <w:rFonts w:ascii="Calibri Light" w:eastAsia="Calibri" w:hAnsi="Calibri Light" w:cs="Calibri Light"/>
          <w:sz w:val="24"/>
          <w:szCs w:val="24"/>
          <w:lang w:val="ro-MD"/>
        </w:rPr>
        <w:t>nu a asigurat un sistem eficient de monitorizare a execuției obiectelor de investiții capitale;</w:t>
      </w:r>
      <w:r w:rsidRPr="00E67099">
        <w:rPr>
          <w:rFonts w:asciiTheme="majorHAnsi" w:hAnsiTheme="majorHAnsi"/>
          <w:sz w:val="24"/>
          <w:szCs w:val="24"/>
          <w:lang w:val="ro-MD"/>
        </w:rPr>
        <w:t xml:space="preserve"> nu a dezvoltat/completat cadrul normativ cu reglementări privind executarea și debursarea mijloacelor de finan</w:t>
      </w:r>
      <w:r w:rsidRPr="00E67099">
        <w:rPr>
          <w:rFonts w:asciiTheme="majorHAnsi" w:hAnsiTheme="majorHAnsi"/>
          <w:sz w:val="24"/>
          <w:szCs w:val="24"/>
        </w:rPr>
        <w:t>țare externă provenite exclusiv prin intermediul sistemului trezorerial.</w:t>
      </w:r>
      <w:r w:rsidRPr="00E67099">
        <w:rPr>
          <w:rFonts w:ascii="Tahoma" w:eastAsia="Times New Roman" w:hAnsi="Tahoma" w:cs="Tahoma"/>
          <w:sz w:val="24"/>
          <w:szCs w:val="24"/>
          <w:lang w:val="en-US"/>
        </w:rPr>
        <w:t xml:space="preserve"> </w:t>
      </w:r>
      <w:r w:rsidRPr="00E67099">
        <w:rPr>
          <w:rFonts w:asciiTheme="majorHAnsi" w:hAnsiTheme="majorHAnsi" w:cstheme="majorHAnsi"/>
          <w:i/>
          <w:sz w:val="24"/>
          <w:szCs w:val="24"/>
        </w:rPr>
        <w:t>Rezultatele verificărilor efectuate, precum și informațiile prezentate de MF în vederea executării recomandărilor se prezintă în detaliu în Anexa nr.20 la prezentul Raport de audit.</w:t>
      </w:r>
    </w:p>
    <w:p w:rsidR="00E67099" w:rsidRPr="00E67099" w:rsidRDefault="00E67099" w:rsidP="00231C06">
      <w:pPr>
        <w:numPr>
          <w:ilvl w:val="1"/>
          <w:numId w:val="4"/>
        </w:numPr>
        <w:tabs>
          <w:tab w:val="left" w:pos="426"/>
        </w:tabs>
        <w:spacing w:after="0" w:line="276" w:lineRule="auto"/>
        <w:ind w:left="0" w:firstLine="0"/>
        <w:contextualSpacing/>
        <w:jc w:val="both"/>
        <w:rPr>
          <w:rFonts w:asciiTheme="majorHAnsi" w:eastAsia="Times New Roman" w:hAnsiTheme="majorHAnsi" w:cstheme="majorHAnsi"/>
          <w:b/>
          <w:sz w:val="24"/>
          <w:szCs w:val="24"/>
        </w:rPr>
      </w:pPr>
      <w:r w:rsidRPr="00E67099">
        <w:rPr>
          <w:rFonts w:asciiTheme="majorHAnsi" w:eastAsia="Times New Roman" w:hAnsiTheme="majorHAnsi" w:cstheme="majorHAnsi"/>
          <w:b/>
          <w:sz w:val="24"/>
          <w:szCs w:val="24"/>
        </w:rPr>
        <w:t xml:space="preserve">Nerespectarea calendarului bugetar la elaborarea și aprobarea BS pentru anul 2019, iar </w:t>
      </w:r>
      <w:r w:rsidRPr="00E67099">
        <w:rPr>
          <w:rFonts w:asciiTheme="majorHAnsi" w:eastAsia="Times New Roman" w:hAnsiTheme="majorHAnsi" w:cstheme="majorHAnsi"/>
          <w:b/>
          <w:color w:val="000000" w:themeColor="text1"/>
          <w:sz w:val="24"/>
          <w:szCs w:val="24"/>
          <w:lang w:val="ro-MD"/>
        </w:rPr>
        <w:t>limita aprobată în CBTM nu a servit ca punct de reper în estimarea liniei de bază pentru ciclul bugetar</w:t>
      </w:r>
    </w:p>
    <w:p w:rsidR="00E67099" w:rsidRPr="00E67099" w:rsidRDefault="00E67099" w:rsidP="00E67099">
      <w:pPr>
        <w:spacing w:after="0" w:line="276" w:lineRule="auto"/>
        <w:jc w:val="both"/>
        <w:rPr>
          <w:rFonts w:asciiTheme="majorHAnsi" w:eastAsia="Times New Roman" w:hAnsiTheme="majorHAnsi" w:cstheme="majorHAnsi"/>
          <w:sz w:val="24"/>
          <w:szCs w:val="24"/>
          <w:lang w:eastAsia="ru-RU"/>
        </w:rPr>
      </w:pPr>
      <w:r w:rsidRPr="00E67099">
        <w:rPr>
          <w:rFonts w:asciiTheme="majorHAnsi" w:eastAsia="Times New Roman" w:hAnsiTheme="majorHAnsi" w:cstheme="majorHAnsi"/>
          <w:sz w:val="24"/>
          <w:szCs w:val="24"/>
          <w:lang w:eastAsia="ru-RU"/>
        </w:rPr>
        <w:t xml:space="preserve">Elaborarea CBTM constituie prima fază – strategică, în procesul de planificare a bugetului, iar elaborarea și aprobarea proiectului bugetului anual reprezintă a doua fază a ciclului anual de planificare bugetară. </w:t>
      </w:r>
      <w:r w:rsidRPr="00E67099">
        <w:rPr>
          <w:rFonts w:asciiTheme="majorHAnsi" w:hAnsiTheme="majorHAnsi" w:cstheme="majorHAnsi"/>
          <w:sz w:val="24"/>
          <w:szCs w:val="24"/>
        </w:rPr>
        <w:t xml:space="preserve">Conform art.12 din Legea nr.181 din 25.07.2014, BS se elaborează, se aprobă și se administrează în mod transparent având la bază procesul bugetar, bazat pe un calendar bugetar și pe proceduri transparente. </w:t>
      </w:r>
    </w:p>
    <w:p w:rsidR="00E67099" w:rsidRPr="00C123C3" w:rsidRDefault="00E67099" w:rsidP="00C123C3">
      <w:pPr>
        <w:shd w:val="clear" w:color="auto" w:fill="FFFFFF" w:themeFill="background1"/>
        <w:spacing w:after="0" w:line="276" w:lineRule="auto"/>
        <w:contextualSpacing/>
        <w:jc w:val="both"/>
        <w:rPr>
          <w:rFonts w:asciiTheme="majorHAnsi" w:hAnsiTheme="majorHAnsi" w:cstheme="majorHAnsi"/>
          <w:sz w:val="24"/>
          <w:szCs w:val="24"/>
        </w:rPr>
      </w:pPr>
      <w:r w:rsidRPr="00E67099">
        <w:rPr>
          <w:rFonts w:asciiTheme="majorHAnsi" w:hAnsiTheme="majorHAnsi" w:cstheme="majorHAnsi"/>
          <w:sz w:val="24"/>
          <w:szCs w:val="24"/>
        </w:rPr>
        <w:t>CBTM este documentul principal în baza căruia se elaborează bugetul</w:t>
      </w:r>
      <w:r w:rsidRPr="00E67099">
        <w:rPr>
          <w:rFonts w:asciiTheme="majorHAnsi" w:eastAsia="Times New Roman" w:hAnsiTheme="majorHAnsi" w:cstheme="majorHAnsi"/>
          <w:sz w:val="24"/>
          <w:szCs w:val="24"/>
          <w:lang w:eastAsia="ru-RU"/>
        </w:rPr>
        <w:t xml:space="preserve"> și care </w:t>
      </w:r>
      <w:r w:rsidRPr="00E67099">
        <w:rPr>
          <w:rFonts w:asciiTheme="majorHAnsi" w:eastAsia="Times New Roman" w:hAnsiTheme="majorHAnsi" w:cstheme="majorHAnsi"/>
          <w:color w:val="000000" w:themeColor="text1"/>
          <w:sz w:val="24"/>
          <w:szCs w:val="24"/>
          <w:lang w:val="ro-MD"/>
        </w:rPr>
        <w:t>reprezintă instrumentul ce asigură corelarea alocării resurselor cu prioritățile de politici</w:t>
      </w:r>
      <w:r w:rsidRPr="00E67099">
        <w:rPr>
          <w:rFonts w:asciiTheme="majorHAnsi" w:hAnsiTheme="majorHAnsi" w:cstheme="majorHAnsi"/>
          <w:sz w:val="24"/>
          <w:szCs w:val="24"/>
        </w:rPr>
        <w:t xml:space="preserve">. Anual, în conformitate cu calendarul bugetar, CBTM se elaborează de către MF, în comun cu alte autorități responsabile, în conformitate cu principiile și regulile bugetar-fiscale stabilite, iar Guvernul îl aprobă și îl prezintă spre informare Parlamentului. </w:t>
      </w:r>
      <w:r w:rsidRPr="00E67099">
        <w:rPr>
          <w:rFonts w:asciiTheme="majorHAnsi" w:eastAsia="Times New Roman" w:hAnsiTheme="majorHAnsi" w:cstheme="majorHAnsi"/>
          <w:color w:val="000000" w:themeColor="text1"/>
          <w:sz w:val="24"/>
          <w:szCs w:val="24"/>
          <w:lang w:val="ro-MD"/>
        </w:rPr>
        <w:t>Auditul a verificat respectarea calendarului bugetar și dacă limita aprobată în CBTM a servit în calitate de punct de reper în estimarea liniei de bază pentru ciclul bugetar, examinările</w:t>
      </w:r>
      <w:r w:rsidRPr="00E67099">
        <w:rPr>
          <w:rFonts w:asciiTheme="majorHAnsi" w:hAnsiTheme="majorHAnsi" w:cstheme="majorHAnsi"/>
          <w:sz w:val="24"/>
          <w:szCs w:val="24"/>
        </w:rPr>
        <w:t xml:space="preserve"> efectuate de audit constatând următoarele:</w:t>
      </w:r>
    </w:p>
    <w:p w:rsidR="00E67099" w:rsidRPr="00E67099" w:rsidRDefault="00E67099" w:rsidP="007043B4">
      <w:pPr>
        <w:numPr>
          <w:ilvl w:val="0"/>
          <w:numId w:val="7"/>
        </w:numPr>
        <w:shd w:val="clear" w:color="auto" w:fill="FFFFFF" w:themeFill="background1"/>
        <w:tabs>
          <w:tab w:val="left" w:pos="284"/>
          <w:tab w:val="left" w:pos="993"/>
        </w:tabs>
        <w:spacing w:after="0" w:line="276" w:lineRule="auto"/>
        <w:ind w:left="0" w:firstLine="709"/>
        <w:contextualSpacing/>
        <w:jc w:val="both"/>
        <w:rPr>
          <w:rFonts w:asciiTheme="majorHAnsi" w:eastAsia="Times New Roman" w:hAnsiTheme="majorHAnsi" w:cstheme="majorHAnsi"/>
          <w:b/>
          <w:sz w:val="24"/>
          <w:szCs w:val="24"/>
        </w:rPr>
      </w:pPr>
      <w:r w:rsidRPr="00E67099">
        <w:rPr>
          <w:rFonts w:asciiTheme="majorHAnsi" w:hAnsiTheme="majorHAnsi" w:cstheme="majorHAnsi"/>
          <w:sz w:val="24"/>
          <w:szCs w:val="24"/>
        </w:rPr>
        <w:t>MF a prezentat Guvernului documentul cu privire la CBTM, spre aprobare, la data de 20.08.2018, ceea ce înseamnă cu o întârziere de 80 de zile, iar CBTM fiind aprobat de către Guvern</w:t>
      </w:r>
      <w:r w:rsidRPr="00E67099">
        <w:rPr>
          <w:rFonts w:asciiTheme="majorHAnsi" w:hAnsiTheme="majorHAnsi" w:cstheme="majorHAnsi"/>
          <w:sz w:val="24"/>
          <w:szCs w:val="24"/>
          <w:vertAlign w:val="superscript"/>
        </w:rPr>
        <w:footnoteReference w:id="67"/>
      </w:r>
      <w:r w:rsidRPr="00E67099">
        <w:rPr>
          <w:rFonts w:asciiTheme="majorHAnsi" w:hAnsiTheme="majorHAnsi" w:cstheme="majorHAnsi"/>
          <w:sz w:val="24"/>
          <w:szCs w:val="24"/>
        </w:rPr>
        <w:t xml:space="preserve"> în aceeași zi;</w:t>
      </w:r>
      <w:r w:rsidRPr="00E67099">
        <w:rPr>
          <w:rFonts w:asciiTheme="majorHAnsi" w:hAnsiTheme="majorHAnsi" w:cstheme="majorHAnsi"/>
          <w:i/>
          <w:sz w:val="24"/>
          <w:szCs w:val="24"/>
        </w:rPr>
        <w:t xml:space="preserve"> </w:t>
      </w:r>
    </w:p>
    <w:p w:rsidR="00E67099" w:rsidRPr="00E67099" w:rsidRDefault="00E67099" w:rsidP="007043B4">
      <w:pPr>
        <w:numPr>
          <w:ilvl w:val="0"/>
          <w:numId w:val="7"/>
        </w:numPr>
        <w:shd w:val="clear" w:color="auto" w:fill="FFFFFF" w:themeFill="background1"/>
        <w:tabs>
          <w:tab w:val="left" w:pos="284"/>
          <w:tab w:val="left" w:pos="993"/>
        </w:tabs>
        <w:spacing w:after="0" w:line="276" w:lineRule="auto"/>
        <w:ind w:left="0" w:firstLine="709"/>
        <w:contextualSpacing/>
        <w:jc w:val="both"/>
        <w:rPr>
          <w:rFonts w:asciiTheme="majorHAnsi" w:eastAsia="Times New Roman" w:hAnsiTheme="majorHAnsi" w:cstheme="majorHAnsi"/>
          <w:b/>
          <w:sz w:val="24"/>
          <w:szCs w:val="24"/>
        </w:rPr>
      </w:pPr>
      <w:r w:rsidRPr="00E67099">
        <w:rPr>
          <w:rFonts w:asciiTheme="majorHAnsi" w:eastAsia="Times New Roman" w:hAnsiTheme="majorHAnsi" w:cstheme="majorHAnsi"/>
          <w:sz w:val="24"/>
          <w:szCs w:val="24"/>
          <w:lang w:val="ro-MD"/>
        </w:rPr>
        <w:t>limitele de resurse și cheltuieli ale BS, repartizate pe APC, nu au fost aprobate de către Guvern și nu sunt parte a CBTM, HG nr.851 din 20.08.2018 „Cu privire la aprobarea Cadrului bugetar pe termen mediu (2019-2021)”</w:t>
      </w:r>
      <w:r w:rsidRPr="00E67099">
        <w:rPr>
          <w:rFonts w:asciiTheme="majorHAnsi" w:eastAsia="Times New Roman" w:hAnsiTheme="majorHAnsi" w:cstheme="majorHAnsi"/>
          <w:sz w:val="24"/>
          <w:szCs w:val="24"/>
          <w:vertAlign w:val="superscript"/>
          <w:lang w:val="ro-MD"/>
        </w:rPr>
        <w:footnoteReference w:id="68"/>
      </w:r>
      <w:r w:rsidRPr="00E67099">
        <w:rPr>
          <w:rFonts w:asciiTheme="majorHAnsi" w:eastAsia="Times New Roman" w:hAnsiTheme="majorHAnsi" w:cstheme="majorHAnsi"/>
          <w:sz w:val="24"/>
          <w:szCs w:val="24"/>
          <w:lang w:val="ro-MD"/>
        </w:rPr>
        <w:t>.</w:t>
      </w:r>
      <w:r w:rsidRPr="00E67099">
        <w:rPr>
          <w:rFonts w:asciiTheme="majorHAnsi" w:eastAsia="Times New Roman" w:hAnsiTheme="majorHAnsi" w:cstheme="majorHAnsi"/>
          <w:sz w:val="24"/>
          <w:szCs w:val="24"/>
        </w:rPr>
        <w:t xml:space="preserve"> Conform </w:t>
      </w:r>
      <w:r w:rsidRPr="00E67099">
        <w:rPr>
          <w:rFonts w:asciiTheme="majorHAnsi" w:hAnsiTheme="majorHAnsi" w:cstheme="majorHAnsi"/>
          <w:sz w:val="24"/>
          <w:szCs w:val="24"/>
          <w:lang w:val="ro-MD"/>
        </w:rPr>
        <w:t>pct.69 din Ordinul MF nr.209 din 24.12.2015, printre responsabilitățile de bază ale MF în procesul de elaborare a CBTM este coordonarea procesului de repartizare a limitelor sectoriale de cheltuieli pe componentele BPN și pe APC;</w:t>
      </w:r>
    </w:p>
    <w:p w:rsidR="00E67099" w:rsidRPr="00E67099" w:rsidRDefault="00E67099" w:rsidP="007043B4">
      <w:pPr>
        <w:numPr>
          <w:ilvl w:val="0"/>
          <w:numId w:val="7"/>
        </w:numPr>
        <w:shd w:val="clear" w:color="auto" w:fill="FFFFFF" w:themeFill="background1"/>
        <w:tabs>
          <w:tab w:val="left" w:pos="284"/>
          <w:tab w:val="left" w:pos="993"/>
        </w:tabs>
        <w:spacing w:after="0" w:line="276" w:lineRule="auto"/>
        <w:ind w:left="0" w:firstLine="709"/>
        <w:contextualSpacing/>
        <w:jc w:val="both"/>
        <w:rPr>
          <w:rFonts w:asciiTheme="majorHAnsi" w:eastAsia="Times New Roman" w:hAnsiTheme="majorHAnsi" w:cstheme="majorHAnsi"/>
          <w:sz w:val="24"/>
          <w:szCs w:val="24"/>
          <w:lang w:val="ro-MD"/>
        </w:rPr>
      </w:pPr>
      <w:r w:rsidRPr="00E67099">
        <w:rPr>
          <w:rFonts w:asciiTheme="majorHAnsi" w:eastAsia="Times New Roman" w:hAnsiTheme="majorHAnsi" w:cstheme="majorHAnsi"/>
          <w:sz w:val="24"/>
          <w:szCs w:val="24"/>
          <w:lang w:val="ro-MD"/>
        </w:rPr>
        <w:t>suma totală a cheltuielilor din CBTM (45 377,9 mil. lei) nu corespunde cu suma totală din Limitele de resurse și cheltuieli de la BS pe APC, elaborată de MF (44 749,3 mil. lei), cu 628,6 mil. lei fiind mai puțin față de suma aprobată în CBTM. Limitele de resurse și cheltuieli de la BS, pe APC pe anii 2019-2021, au fost anexate la Circulara bugetară anuală a MF, prin care s-au solicitat propunerile de buget;</w:t>
      </w:r>
    </w:p>
    <w:p w:rsidR="00E67099" w:rsidRPr="00E67099" w:rsidRDefault="00E67099" w:rsidP="007043B4">
      <w:pPr>
        <w:numPr>
          <w:ilvl w:val="0"/>
          <w:numId w:val="7"/>
        </w:numPr>
        <w:shd w:val="clear" w:color="auto" w:fill="FFFFFF" w:themeFill="background1"/>
        <w:tabs>
          <w:tab w:val="left" w:pos="284"/>
          <w:tab w:val="left" w:pos="993"/>
        </w:tabs>
        <w:spacing w:after="0" w:line="276" w:lineRule="auto"/>
        <w:ind w:left="0" w:firstLine="709"/>
        <w:contextualSpacing/>
        <w:jc w:val="both"/>
        <w:rPr>
          <w:rFonts w:asciiTheme="majorHAnsi" w:eastAsia="Times New Roman" w:hAnsiTheme="majorHAnsi" w:cstheme="majorHAnsi"/>
          <w:b/>
          <w:sz w:val="24"/>
          <w:szCs w:val="24"/>
        </w:rPr>
      </w:pPr>
      <w:r w:rsidRPr="00E67099">
        <w:rPr>
          <w:rFonts w:asciiTheme="majorHAnsi" w:eastAsia="Times New Roman" w:hAnsiTheme="majorHAnsi" w:cstheme="majorHAnsi"/>
          <w:sz w:val="24"/>
          <w:szCs w:val="24"/>
          <w:lang w:val="ro-MD"/>
        </w:rPr>
        <w:t xml:space="preserve">limitele nu reprezintă volume de resurse și cheltuieli bugetare maxime, iar </w:t>
      </w:r>
      <w:r w:rsidRPr="00E67099">
        <w:rPr>
          <w:rFonts w:asciiTheme="majorHAnsi" w:hAnsiTheme="majorHAnsi" w:cstheme="majorHAnsi"/>
          <w:sz w:val="24"/>
          <w:szCs w:val="24"/>
          <w:lang w:val="ro-MD"/>
        </w:rPr>
        <w:t>primul an din CBTM nu reprezintă anul bugetar viitor, pentru care a fost elaborat proiectul de buget</w:t>
      </w:r>
      <w:r w:rsidRPr="00E67099">
        <w:rPr>
          <w:rFonts w:asciiTheme="majorHAnsi" w:hAnsiTheme="majorHAnsi" w:cstheme="majorHAnsi"/>
          <w:sz w:val="24"/>
          <w:szCs w:val="24"/>
          <w:vertAlign w:val="superscript"/>
          <w:lang w:val="ro-MD"/>
        </w:rPr>
        <w:footnoteReference w:id="69"/>
      </w:r>
      <w:r w:rsidRPr="00E67099">
        <w:rPr>
          <w:rFonts w:asciiTheme="majorHAnsi" w:hAnsiTheme="majorHAnsi" w:cstheme="majorHAnsi"/>
          <w:sz w:val="24"/>
          <w:szCs w:val="24"/>
          <w:lang w:val="ro-MD"/>
        </w:rPr>
        <w:t xml:space="preserve">. </w:t>
      </w:r>
      <w:r w:rsidRPr="00E67099">
        <w:rPr>
          <w:rFonts w:asciiTheme="majorHAnsi" w:eastAsia="Times New Roman" w:hAnsiTheme="majorHAnsi" w:cstheme="majorHAnsi"/>
          <w:sz w:val="24"/>
          <w:szCs w:val="24"/>
          <w:lang w:val="ro-MD"/>
        </w:rPr>
        <w:t xml:space="preserve">Potrivit art.53 alin. (6) din Legea nr.181 din 25.07.2014, Nota informativă la proiectul legii bugetare anuale trebuie să cuprindă explicații privind eventualele abateri de la limitele de cheltuieli aprobate în cadrul bugetar pe termen mediu, dar acestea nu se regăsesc. </w:t>
      </w:r>
      <w:r w:rsidRPr="00E67099">
        <w:rPr>
          <w:rFonts w:asciiTheme="majorHAnsi" w:hAnsiTheme="majorHAnsi" w:cstheme="majorHAnsi"/>
          <w:sz w:val="24"/>
          <w:szCs w:val="24"/>
          <w:lang w:val="ro-MD"/>
        </w:rPr>
        <w:t>Totodată, MF nu a respins propunerile de buget care nu au respectat cerințele stabilite în art.51 alin.(5) din Legea nr.181 din 25.07.2014, deși cheltuielile executate în anul 2019 s-au încadrat în limitele stabilite în Circulara MF;</w:t>
      </w:r>
    </w:p>
    <w:p w:rsidR="00E67099" w:rsidRPr="00E67099" w:rsidRDefault="00E67099" w:rsidP="00E67099">
      <w:pPr>
        <w:numPr>
          <w:ilvl w:val="0"/>
          <w:numId w:val="7"/>
        </w:numPr>
        <w:shd w:val="clear" w:color="auto" w:fill="FFFFFF" w:themeFill="background1"/>
        <w:tabs>
          <w:tab w:val="left" w:pos="284"/>
          <w:tab w:val="left" w:pos="993"/>
        </w:tabs>
        <w:spacing w:after="0" w:line="276" w:lineRule="auto"/>
        <w:ind w:left="0" w:firstLine="709"/>
        <w:contextualSpacing/>
        <w:jc w:val="both"/>
        <w:rPr>
          <w:rFonts w:asciiTheme="majorHAnsi" w:eastAsia="Times New Roman" w:hAnsiTheme="majorHAnsi" w:cstheme="majorHAnsi"/>
          <w:b/>
          <w:sz w:val="24"/>
          <w:szCs w:val="24"/>
        </w:rPr>
      </w:pPr>
      <w:r w:rsidRPr="00E67099">
        <w:rPr>
          <w:rFonts w:asciiTheme="majorHAnsi" w:eastAsia="Times New Roman" w:hAnsiTheme="majorHAnsi" w:cstheme="majorHAnsi"/>
          <w:sz w:val="24"/>
          <w:szCs w:val="24"/>
          <w:lang w:val="ro-MD"/>
        </w:rPr>
        <w:t xml:space="preserve"> în anul 2019 au fost executate alocații de către APC, față de sumele estimate în CBTM, cu (- 2 312,4 mil. lei) mai puțin, iar față de alocațiile aprobate prin Legea bugetară a</w:t>
      </w:r>
      <w:r w:rsidR="00F12E93">
        <w:rPr>
          <w:rFonts w:asciiTheme="majorHAnsi" w:eastAsia="Times New Roman" w:hAnsiTheme="majorHAnsi" w:cstheme="majorHAnsi"/>
          <w:sz w:val="24"/>
          <w:szCs w:val="24"/>
          <w:lang w:val="ro-MD"/>
        </w:rPr>
        <w:t xml:space="preserve">nuală – cu (- 4 598,7 mil. lei). </w:t>
      </w:r>
      <w:r w:rsidRPr="00E67099">
        <w:rPr>
          <w:rFonts w:asciiTheme="majorHAnsi" w:eastAsia="Times New Roman" w:hAnsiTheme="majorHAnsi" w:cstheme="majorHAnsi"/>
          <w:sz w:val="24"/>
          <w:szCs w:val="24"/>
          <w:lang w:val="ro-MD"/>
        </w:rPr>
        <w:t>Totodată, auditul a constatat că, în Legea bugetară anuală au fost aprobate resurse și cheltuieli pentru APC cu cele mai mari devieri față de limitele stabilite de MF la: Acțiuni generale (+ 2 070,0 mil. lei), Ministerul Sănătății,</w:t>
      </w:r>
      <w:r w:rsidRPr="00E67099">
        <w:rPr>
          <w:rFonts w:asciiTheme="majorHAnsi" w:eastAsia="Times New Roman" w:hAnsiTheme="majorHAnsi" w:cstheme="majorHAnsi"/>
          <w:color w:val="000000"/>
          <w:sz w:val="24"/>
          <w:szCs w:val="24"/>
          <w:lang w:val="ro-MD"/>
        </w:rPr>
        <w:t xml:space="preserve"> </w:t>
      </w:r>
      <w:r w:rsidRPr="00E67099">
        <w:rPr>
          <w:rFonts w:asciiTheme="majorHAnsi" w:eastAsia="Times New Roman" w:hAnsiTheme="majorHAnsi" w:cstheme="majorHAnsi"/>
          <w:sz w:val="24"/>
          <w:szCs w:val="24"/>
          <w:lang w:val="ro-MD"/>
        </w:rPr>
        <w:t>Muncii și Protecției Sociale (+298,1 mil. lei), Cancelaria de Stat (+100,8 mil. lei), Ministerul Economiei și Infrastructurii (+77,2 mil. lei), MAI (+73,5 mil. lei), MADRM (+73,4 mil. lei) etc. Se menționează că p</w:t>
      </w:r>
      <w:r w:rsidRPr="00E67099">
        <w:rPr>
          <w:rFonts w:asciiTheme="majorHAnsi" w:eastAsia="Times New Roman" w:hAnsiTheme="majorHAnsi" w:cstheme="majorHAnsi"/>
          <w:color w:val="000000" w:themeColor="text1"/>
          <w:sz w:val="24"/>
          <w:szCs w:val="24"/>
          <w:lang w:val="ro-MD"/>
        </w:rPr>
        <w:t>rognozele de cheltuieli bazate pe presupuneri prea optimiste afectează sustenabilitatea bugetului pe termen mediu;</w:t>
      </w:r>
    </w:p>
    <w:p w:rsidR="00E67099" w:rsidRPr="00E67099" w:rsidRDefault="00E67099" w:rsidP="00E67099">
      <w:pPr>
        <w:numPr>
          <w:ilvl w:val="0"/>
          <w:numId w:val="7"/>
        </w:numPr>
        <w:shd w:val="clear" w:color="auto" w:fill="FFFFFF" w:themeFill="background1"/>
        <w:tabs>
          <w:tab w:val="left" w:pos="284"/>
          <w:tab w:val="left" w:pos="993"/>
        </w:tabs>
        <w:spacing w:after="0" w:line="276" w:lineRule="auto"/>
        <w:ind w:left="0" w:firstLine="709"/>
        <w:contextualSpacing/>
        <w:jc w:val="both"/>
        <w:rPr>
          <w:rFonts w:asciiTheme="majorHAnsi" w:eastAsia="Times New Roman" w:hAnsiTheme="majorHAnsi" w:cstheme="majorHAnsi"/>
          <w:b/>
          <w:sz w:val="24"/>
          <w:szCs w:val="24"/>
        </w:rPr>
      </w:pPr>
      <w:r w:rsidRPr="00E67099">
        <w:rPr>
          <w:rFonts w:asciiTheme="majorHAnsi" w:hAnsiTheme="majorHAnsi" w:cstheme="majorHAnsi"/>
          <w:sz w:val="24"/>
          <w:szCs w:val="24"/>
        </w:rPr>
        <w:t>MF a remis Guvernului, pentru examinare și aprobare, proiectul Legii bugetului de stat pentru anul 2019 cu întârziere, la data de 08.11.2018, respectiv, acesta fiind aprobat</w:t>
      </w:r>
      <w:r w:rsidRPr="00E67099">
        <w:rPr>
          <w:rFonts w:asciiTheme="majorHAnsi" w:hAnsiTheme="majorHAnsi" w:cstheme="majorHAnsi"/>
          <w:sz w:val="24"/>
          <w:szCs w:val="24"/>
          <w:vertAlign w:val="superscript"/>
        </w:rPr>
        <w:footnoteReference w:id="70"/>
      </w:r>
      <w:r w:rsidRPr="00E67099">
        <w:rPr>
          <w:rFonts w:asciiTheme="majorHAnsi" w:hAnsiTheme="majorHAnsi" w:cstheme="majorHAnsi"/>
          <w:sz w:val="24"/>
          <w:szCs w:val="24"/>
        </w:rPr>
        <w:t xml:space="preserve"> cu</w:t>
      </w:r>
      <w:r w:rsidR="00213531">
        <w:rPr>
          <w:rFonts w:asciiTheme="majorHAnsi" w:hAnsiTheme="majorHAnsi" w:cstheme="majorHAnsi"/>
          <w:sz w:val="24"/>
          <w:szCs w:val="24"/>
        </w:rPr>
        <w:t xml:space="preserve"> </w:t>
      </w:r>
      <w:r w:rsidRPr="00E67099">
        <w:rPr>
          <w:rFonts w:asciiTheme="majorHAnsi" w:hAnsiTheme="majorHAnsi" w:cstheme="majorHAnsi"/>
          <w:sz w:val="24"/>
          <w:szCs w:val="24"/>
        </w:rPr>
        <w:t>53 de zile mai târziu. Pe de altă parte, Parlamentul a adoptat Legea bugetului de stat pentru anul 2019 la data de 30.11.2018</w:t>
      </w:r>
      <w:r w:rsidRPr="00E67099">
        <w:rPr>
          <w:rFonts w:asciiTheme="majorHAnsi" w:hAnsiTheme="majorHAnsi" w:cstheme="majorHAnsi"/>
          <w:sz w:val="24"/>
          <w:szCs w:val="24"/>
          <w:vertAlign w:val="superscript"/>
        </w:rPr>
        <w:footnoteReference w:id="71"/>
      </w:r>
      <w:r w:rsidRPr="00E67099">
        <w:rPr>
          <w:rFonts w:asciiTheme="majorHAnsi" w:hAnsiTheme="majorHAnsi" w:cstheme="majorHAnsi"/>
          <w:sz w:val="24"/>
          <w:szCs w:val="24"/>
        </w:rPr>
        <w:t>, în termenul-limită de adoptare a Legii anuale a BS;</w:t>
      </w:r>
    </w:p>
    <w:p w:rsidR="00E67099" w:rsidRPr="00E67099" w:rsidRDefault="00E67099" w:rsidP="00E67099">
      <w:pPr>
        <w:numPr>
          <w:ilvl w:val="0"/>
          <w:numId w:val="7"/>
        </w:numPr>
        <w:shd w:val="clear" w:color="auto" w:fill="FFFFFF" w:themeFill="background1"/>
        <w:tabs>
          <w:tab w:val="left" w:pos="284"/>
          <w:tab w:val="left" w:pos="993"/>
        </w:tabs>
        <w:spacing w:after="0" w:line="276" w:lineRule="auto"/>
        <w:ind w:left="0" w:firstLine="709"/>
        <w:contextualSpacing/>
        <w:jc w:val="both"/>
        <w:rPr>
          <w:rFonts w:asciiTheme="majorHAnsi" w:eastAsia="Times New Roman" w:hAnsiTheme="majorHAnsi" w:cstheme="majorHAnsi"/>
          <w:b/>
          <w:sz w:val="24"/>
          <w:szCs w:val="24"/>
        </w:rPr>
      </w:pPr>
      <w:r w:rsidRPr="00E67099">
        <w:rPr>
          <w:rFonts w:asciiTheme="majorHAnsi" w:hAnsiTheme="majorHAnsi" w:cstheme="majorHAnsi"/>
          <w:i/>
          <w:sz w:val="24"/>
          <w:szCs w:val="24"/>
        </w:rPr>
        <w:t>modificarea de 4 ori în anul 2019 a legii bugetare anuale</w:t>
      </w:r>
      <w:r w:rsidRPr="00E67099">
        <w:rPr>
          <w:rFonts w:asciiTheme="majorHAnsi" w:hAnsiTheme="majorHAnsi" w:cstheme="majorHAnsi"/>
          <w:sz w:val="24"/>
          <w:szCs w:val="24"/>
        </w:rPr>
        <w:t>, de 3 ori fiind modificată până la 15 iulie, deși MF trebuie să asigure monitorizarea bugetului și să desfășoare procedurile de modificare a legii bugetare anuale, de regulă, nu mai mult de două ori pe an, nu mai degrabă de 15 iulie și nu mai târziu de 15 noiembrie a anului bugetar</w:t>
      </w:r>
      <w:r w:rsidRPr="00E67099">
        <w:rPr>
          <w:rFonts w:asciiTheme="majorHAnsi" w:hAnsiTheme="majorHAnsi" w:cstheme="majorHAnsi"/>
          <w:sz w:val="24"/>
          <w:szCs w:val="24"/>
          <w:vertAlign w:val="superscript"/>
        </w:rPr>
        <w:footnoteReference w:id="72"/>
      </w:r>
      <w:r w:rsidRPr="00E67099">
        <w:rPr>
          <w:rFonts w:asciiTheme="majorHAnsi" w:hAnsiTheme="majorHAnsi" w:cstheme="majorHAnsi"/>
          <w:sz w:val="24"/>
          <w:szCs w:val="24"/>
        </w:rPr>
        <w:t>. Această situație afectează gradul de credibilitate a bugetului aprobat, ceea ce nu asigură respectarea principiilor bugetare și atestă rezerve la acuratețea planificării bugetare;</w:t>
      </w:r>
    </w:p>
    <w:p w:rsidR="000E41A8" w:rsidRDefault="00E67099" w:rsidP="00E67099">
      <w:pPr>
        <w:numPr>
          <w:ilvl w:val="0"/>
          <w:numId w:val="7"/>
        </w:numPr>
        <w:shd w:val="clear" w:color="auto" w:fill="FFFFFF" w:themeFill="background1"/>
        <w:tabs>
          <w:tab w:val="left" w:pos="284"/>
          <w:tab w:val="left" w:pos="993"/>
        </w:tabs>
        <w:spacing w:after="0" w:line="276" w:lineRule="auto"/>
        <w:ind w:left="0" w:firstLine="709"/>
        <w:contextualSpacing/>
        <w:jc w:val="both"/>
        <w:rPr>
          <w:rFonts w:asciiTheme="majorHAnsi" w:eastAsia="Times New Roman" w:hAnsiTheme="majorHAnsi" w:cstheme="majorHAnsi"/>
          <w:sz w:val="24"/>
          <w:szCs w:val="24"/>
        </w:rPr>
      </w:pPr>
      <w:r w:rsidRPr="00E67099">
        <w:rPr>
          <w:rFonts w:asciiTheme="majorHAnsi" w:eastAsia="Times New Roman" w:hAnsiTheme="majorHAnsi" w:cstheme="majorHAnsi"/>
          <w:sz w:val="24"/>
          <w:szCs w:val="24"/>
        </w:rPr>
        <w:t xml:space="preserve">conform art.47 alin.(1) lit. f) din Legea nr.181 din 25.07.2014, </w:t>
      </w:r>
      <w:r w:rsidRPr="00E67099">
        <w:rPr>
          <w:rFonts w:asciiTheme="majorHAnsi" w:eastAsia="Times New Roman" w:hAnsiTheme="majorHAnsi" w:cstheme="majorHAnsi"/>
          <w:sz w:val="24"/>
          <w:szCs w:val="24"/>
          <w:lang w:val="ro-MD"/>
        </w:rPr>
        <w:t>MF întocmește și prezintă spre auditare Curții de Conturi Raportul anual privind executarea BS până la 15 aprilie a anului următor anului bugetar încheiat. În condițiile pandemiei, prin Decizia Comisiei pentru situații excepționale a RM nr.17 din 13.04.2020 (pct.15), a fost prelungit termenul de prezentare a Raportului până la 15 iunie 2020 (30 zile de la data ridicării stării de urgență). Astfel, MF a prezentat Raportul în termen Curții de Conturi, la 15 iunie 2020.</w:t>
      </w:r>
    </w:p>
    <w:p w:rsidR="00E67099" w:rsidRPr="00F67CC1" w:rsidRDefault="000E41A8" w:rsidP="00E67099">
      <w:pPr>
        <w:numPr>
          <w:ilvl w:val="0"/>
          <w:numId w:val="7"/>
        </w:numPr>
        <w:shd w:val="clear" w:color="auto" w:fill="FFFFFF" w:themeFill="background1"/>
        <w:tabs>
          <w:tab w:val="left" w:pos="284"/>
          <w:tab w:val="left" w:pos="993"/>
        </w:tabs>
        <w:spacing w:after="0" w:line="276" w:lineRule="auto"/>
        <w:ind w:left="0" w:firstLine="709"/>
        <w:contextualSpacing/>
        <w:jc w:val="both"/>
        <w:rPr>
          <w:rFonts w:asciiTheme="majorHAnsi" w:eastAsia="Times New Roman" w:hAnsiTheme="majorHAnsi" w:cstheme="majorHAnsi"/>
          <w:sz w:val="24"/>
          <w:szCs w:val="24"/>
        </w:rPr>
      </w:pPr>
      <w:r>
        <w:rPr>
          <w:rFonts w:asciiTheme="majorHAnsi" w:eastAsia="Times New Roman" w:hAnsiTheme="majorHAnsi" w:cstheme="majorHAnsi"/>
          <w:sz w:val="24"/>
          <w:szCs w:val="24"/>
          <w:lang w:val="ro-MD"/>
        </w:rPr>
        <w:t>p</w:t>
      </w:r>
      <w:r w:rsidR="00E67099" w:rsidRPr="000E41A8">
        <w:rPr>
          <w:rFonts w:asciiTheme="majorHAnsi" w:eastAsia="Times New Roman" w:hAnsiTheme="majorHAnsi" w:cstheme="majorHAnsi"/>
          <w:sz w:val="24"/>
          <w:szCs w:val="24"/>
          <w:lang w:val="ro-MD"/>
        </w:rPr>
        <w:t xml:space="preserve">e parcursul anului 2019 au fost elaborate și adoptate 14 HG privind redistribuirea și repartizarea alocațiilor prevăzute în Legea bugetului de stat pentru anul 2019, iar în modulul e-alocații sunt înregistrate 916 modificări inițiate de MF în calitate de administrator de buget. </w:t>
      </w:r>
      <w:r w:rsidR="00E67099" w:rsidRPr="000E41A8">
        <w:rPr>
          <w:rFonts w:asciiTheme="majorHAnsi" w:hAnsiTheme="majorHAnsi" w:cstheme="majorHAnsi"/>
          <w:sz w:val="24"/>
          <w:szCs w:val="24"/>
        </w:rPr>
        <w:t xml:space="preserve">Conform art.60 alin.(4) din Legea nr.181 din 25.07.2014, redistribuirea alocațiilor bugetare se efectuează până la 30 noiembrie a anului bugetar, însă verificările auditului au constatat că în luna decembrie au fost redistribuite alocații cu acordul Guvernului (HG nr.639 din 11.12.2019) și cu acordul MF. </w:t>
      </w:r>
    </w:p>
    <w:p w:rsidR="00F67CC1" w:rsidRPr="00F67CC1" w:rsidRDefault="00F67CC1" w:rsidP="00F67CC1">
      <w:pPr>
        <w:shd w:val="clear" w:color="auto" w:fill="FFFFFF" w:themeFill="background1"/>
        <w:tabs>
          <w:tab w:val="left" w:pos="284"/>
          <w:tab w:val="left" w:pos="993"/>
        </w:tabs>
        <w:spacing w:after="0" w:line="276" w:lineRule="auto"/>
        <w:ind w:left="709"/>
        <w:contextualSpacing/>
        <w:jc w:val="both"/>
        <w:rPr>
          <w:rFonts w:asciiTheme="majorHAnsi" w:eastAsia="Times New Roman" w:hAnsiTheme="majorHAnsi" w:cstheme="majorHAnsi"/>
          <w:sz w:val="8"/>
          <w:szCs w:val="8"/>
        </w:rPr>
      </w:pPr>
    </w:p>
    <w:p w:rsidR="00E67099" w:rsidRPr="00FD7A78" w:rsidRDefault="00E67099" w:rsidP="00E67099">
      <w:pPr>
        <w:spacing w:after="0" w:line="276" w:lineRule="auto"/>
        <w:contextualSpacing/>
        <w:jc w:val="both"/>
        <w:rPr>
          <w:rFonts w:asciiTheme="majorHAnsi" w:eastAsia="Times New Roman" w:hAnsiTheme="majorHAnsi" w:cstheme="majorHAnsi"/>
          <w:sz w:val="24"/>
          <w:szCs w:val="24"/>
          <w:lang w:val="ro-MD"/>
        </w:rPr>
      </w:pPr>
      <w:r w:rsidRPr="00E67099">
        <w:rPr>
          <w:rFonts w:asciiTheme="majorHAnsi" w:eastAsia="Times New Roman" w:hAnsiTheme="majorHAnsi" w:cstheme="majorHAnsi"/>
          <w:sz w:val="24"/>
          <w:szCs w:val="24"/>
          <w:lang w:val="ro-MD"/>
        </w:rPr>
        <w:t>Auditul relevă că, deși nivelul de executare a veniturilor BS la finele anului bugetar a constituit 98,3% din prevederile anuale, neîncasările nete la venituri au constituit 675,0 mil. lei, iar în aspectul tipurilor de venituri s-a executat neuniform. Astfel, analiza nivelului de executare a veniturilor BS la nivel de capitol denotă că acestea au fost supraestimate, față de veniturile precizate (la 17 tipuri de venituri) care au însumat 972,9 mil. lei, și subestimate (la 10 tipuri de venituri) cu 297,95 mil. lei.</w:t>
      </w:r>
      <w:r w:rsidRPr="00E67099">
        <w:rPr>
          <w:rFonts w:asciiTheme="majorHAnsi" w:eastAsia="Times New Roman" w:hAnsiTheme="majorHAnsi" w:cstheme="majorHAnsi"/>
          <w:b/>
          <w:bCs/>
          <w:sz w:val="24"/>
          <w:szCs w:val="24"/>
          <w:lang w:val="ro-MD"/>
        </w:rPr>
        <w:t xml:space="preserve"> </w:t>
      </w:r>
      <w:r w:rsidRPr="00E67099">
        <w:rPr>
          <w:rFonts w:asciiTheme="majorHAnsi" w:eastAsia="Times New Roman" w:hAnsiTheme="majorHAnsi" w:cstheme="majorHAnsi"/>
          <w:bCs/>
          <w:sz w:val="24"/>
          <w:szCs w:val="24"/>
          <w:lang w:val="ro-MD"/>
        </w:rPr>
        <w:t xml:space="preserve">Totodată, față de suma aprobată inițial prin Legea bugetară </w:t>
      </w:r>
      <w:r w:rsidRPr="002906FB">
        <w:rPr>
          <w:rFonts w:asciiTheme="majorHAnsi" w:eastAsia="Times New Roman" w:hAnsiTheme="majorHAnsi" w:cstheme="majorHAnsi"/>
          <w:bCs/>
          <w:sz w:val="24"/>
          <w:szCs w:val="24"/>
          <w:lang w:val="ro-MD"/>
        </w:rPr>
        <w:t>anuală, veniturile au fost</w:t>
      </w:r>
      <w:r w:rsidRPr="00E67099">
        <w:rPr>
          <w:rFonts w:asciiTheme="majorHAnsi" w:eastAsia="Times New Roman" w:hAnsiTheme="majorHAnsi" w:cstheme="majorHAnsi"/>
          <w:bCs/>
          <w:sz w:val="24"/>
          <w:szCs w:val="24"/>
          <w:lang w:val="ro-MD"/>
        </w:rPr>
        <w:t xml:space="preserve"> supraestimate cu 2 519,2 mil. lei și subestimate cu 361,7 mil. lei, </w:t>
      </w:r>
      <w:r w:rsidRPr="00E67099">
        <w:rPr>
          <w:rFonts w:asciiTheme="majorHAnsi" w:eastAsia="Times New Roman" w:hAnsiTheme="majorHAnsi" w:cstheme="majorHAnsi"/>
          <w:sz w:val="24"/>
          <w:szCs w:val="24"/>
        </w:rPr>
        <w:t>ceea ce subminează implementarea programelor multianuale de cheltuieli.</w:t>
      </w:r>
      <w:r w:rsidR="00FD7A78">
        <w:rPr>
          <w:rFonts w:asciiTheme="majorHAnsi" w:eastAsia="Times New Roman" w:hAnsiTheme="majorHAnsi" w:cstheme="majorHAnsi"/>
          <w:sz w:val="24"/>
          <w:szCs w:val="24"/>
          <w:lang w:val="ro-MD"/>
        </w:rPr>
        <w:t xml:space="preserve"> </w:t>
      </w:r>
      <w:r w:rsidRPr="00E67099">
        <w:rPr>
          <w:rFonts w:asciiTheme="majorHAnsi" w:eastAsia="Times New Roman" w:hAnsiTheme="majorHAnsi" w:cstheme="majorHAnsi"/>
          <w:sz w:val="24"/>
          <w:szCs w:val="24"/>
          <w:lang w:val="ro-MD"/>
        </w:rPr>
        <w:t>Analiza nivelului de executare a cheltuielilor BS la nivel de capitol denotă că au fost supraestimate față de cheltuielile precizate cu 2 317,2 mil. lei, iar față de cheltuielile aprobate – cu 3 336,1 mil. lei.</w:t>
      </w:r>
      <w:r w:rsidRPr="00E67099">
        <w:rPr>
          <w:rFonts w:asciiTheme="majorHAnsi" w:eastAsia="Times New Roman" w:hAnsiTheme="majorHAnsi" w:cstheme="majorHAnsi"/>
          <w:b/>
          <w:bCs/>
          <w:sz w:val="24"/>
          <w:szCs w:val="24"/>
          <w:lang w:val="ro-MD"/>
        </w:rPr>
        <w:t xml:space="preserve"> </w:t>
      </w:r>
      <w:r w:rsidRPr="00E67099">
        <w:rPr>
          <w:rFonts w:asciiTheme="majorHAnsi" w:eastAsia="Times New Roman" w:hAnsiTheme="majorHAnsi" w:cstheme="majorHAnsi"/>
          <w:bCs/>
          <w:i/>
          <w:sz w:val="24"/>
          <w:szCs w:val="24"/>
          <w:lang w:val="ro-MD"/>
        </w:rPr>
        <w:t>Sinteza analizei auditului referitor la executarea veniturilor și cheltuielilor sub aspectul indicatorilor (capitol) aprobați/precizați prin Legea bugetului de stat pentru anul 2019 se prezintă în Anexa nr.21 la prezentul Raport de audit.</w:t>
      </w:r>
    </w:p>
    <w:p w:rsidR="00E67099" w:rsidRPr="002906FB" w:rsidRDefault="00E67099" w:rsidP="00E67099">
      <w:pPr>
        <w:numPr>
          <w:ilvl w:val="1"/>
          <w:numId w:val="4"/>
        </w:numPr>
        <w:tabs>
          <w:tab w:val="left" w:pos="426"/>
        </w:tabs>
        <w:spacing w:after="0" w:line="276" w:lineRule="auto"/>
        <w:ind w:left="0" w:firstLine="0"/>
        <w:contextualSpacing/>
        <w:jc w:val="both"/>
        <w:rPr>
          <w:rFonts w:asciiTheme="majorHAnsi" w:eastAsia="Times New Roman" w:hAnsiTheme="majorHAnsi" w:cstheme="majorHAnsi"/>
          <w:color w:val="000000" w:themeColor="text1"/>
          <w:sz w:val="24"/>
          <w:szCs w:val="24"/>
          <w:lang w:val="ro-MD"/>
        </w:rPr>
      </w:pPr>
      <w:r w:rsidRPr="00E67099">
        <w:rPr>
          <w:rFonts w:asciiTheme="majorHAnsi" w:eastAsia="Times New Roman" w:hAnsiTheme="majorHAnsi" w:cstheme="majorHAnsi"/>
          <w:b/>
          <w:color w:val="000000" w:themeColor="text1"/>
          <w:sz w:val="24"/>
          <w:szCs w:val="24"/>
          <w:lang w:val="ro-MD"/>
        </w:rPr>
        <w:t>MF</w:t>
      </w:r>
      <w:r w:rsidR="002906FB">
        <w:rPr>
          <w:rFonts w:asciiTheme="majorHAnsi" w:eastAsia="Times New Roman" w:hAnsiTheme="majorHAnsi" w:cstheme="majorHAnsi"/>
          <w:b/>
          <w:color w:val="000000" w:themeColor="text1"/>
          <w:sz w:val="24"/>
          <w:szCs w:val="24"/>
          <w:lang w:val="ro-MD"/>
        </w:rPr>
        <w:t xml:space="preserve"> nu dispune</w:t>
      </w:r>
      <w:r w:rsidRPr="00E67099">
        <w:rPr>
          <w:rFonts w:asciiTheme="majorHAnsi" w:eastAsia="Times New Roman" w:hAnsiTheme="majorHAnsi" w:cstheme="majorHAnsi"/>
          <w:b/>
          <w:color w:val="000000" w:themeColor="text1"/>
          <w:sz w:val="24"/>
          <w:szCs w:val="24"/>
          <w:lang w:val="ro-MD"/>
        </w:rPr>
        <w:t xml:space="preserve"> de totalitatea restanțelor în structura integrală a tipurilor de venituri și administratorilor acestor plăți, pentru sporirea încasărilor bugetare</w:t>
      </w:r>
    </w:p>
    <w:p w:rsidR="00E67099" w:rsidRPr="00E67099" w:rsidRDefault="00E67099" w:rsidP="00E67099">
      <w:pPr>
        <w:spacing w:after="0" w:line="276" w:lineRule="auto"/>
        <w:jc w:val="both"/>
        <w:rPr>
          <w:rFonts w:asciiTheme="majorHAnsi" w:eastAsia="Times New Roman" w:hAnsiTheme="majorHAnsi" w:cstheme="majorHAnsi"/>
          <w:sz w:val="24"/>
          <w:szCs w:val="24"/>
          <w:lang w:val="ro-MD"/>
        </w:rPr>
      </w:pPr>
      <w:r w:rsidRPr="00E67099">
        <w:rPr>
          <w:rFonts w:asciiTheme="majorHAnsi" w:eastAsia="Times New Roman" w:hAnsiTheme="majorHAnsi" w:cstheme="majorHAnsi"/>
          <w:sz w:val="24"/>
          <w:szCs w:val="24"/>
          <w:lang w:val="ro-MD"/>
        </w:rPr>
        <w:t>Potrivit pct.3.9.4 din Ordinul MF nr.215 din 28.12.2015, administratorii de venit prezintă anual  Direcției Trezoreria de Stat restanțele privind plățile pe care le administrează. Verificările auditului au constatat că, doar 2 administratori de venituri (SFS și SV) le-au prezentat. Se menționează că, prin Ordinul MF nr.8 din 15.01.2020</w:t>
      </w:r>
      <w:r w:rsidRPr="00E67099">
        <w:rPr>
          <w:rFonts w:asciiTheme="majorHAnsi" w:eastAsia="Times New Roman" w:hAnsiTheme="majorHAnsi" w:cstheme="majorHAnsi"/>
          <w:sz w:val="24"/>
          <w:szCs w:val="24"/>
          <w:vertAlign w:val="superscript"/>
          <w:lang w:val="ro-MD"/>
        </w:rPr>
        <w:footnoteReference w:id="73"/>
      </w:r>
      <w:r w:rsidRPr="00E67099">
        <w:rPr>
          <w:rFonts w:asciiTheme="majorHAnsi" w:eastAsia="Times New Roman" w:hAnsiTheme="majorHAnsi" w:cstheme="majorHAnsi"/>
          <w:sz w:val="24"/>
          <w:szCs w:val="24"/>
          <w:lang w:val="ro-MD"/>
        </w:rPr>
        <w:t xml:space="preserve">, MF a exclus prezentarea de către administratorii de venituri a restanțelor privind plățile pe care le administrează. </w:t>
      </w:r>
    </w:p>
    <w:p w:rsidR="00E67099" w:rsidRPr="00E67099" w:rsidRDefault="00E67099" w:rsidP="00E67099">
      <w:pPr>
        <w:spacing w:after="0" w:line="276" w:lineRule="auto"/>
        <w:jc w:val="both"/>
        <w:rPr>
          <w:rFonts w:asciiTheme="majorHAnsi" w:eastAsia="Times New Roman" w:hAnsiTheme="majorHAnsi" w:cstheme="majorHAnsi"/>
          <w:sz w:val="24"/>
          <w:szCs w:val="24"/>
          <w:lang w:val="ro-MD"/>
        </w:rPr>
      </w:pPr>
      <w:r w:rsidRPr="00E67099">
        <w:rPr>
          <w:rFonts w:asciiTheme="majorHAnsi" w:eastAsia="Times New Roman" w:hAnsiTheme="majorHAnsi" w:cstheme="majorHAnsi"/>
          <w:sz w:val="24"/>
          <w:szCs w:val="24"/>
          <w:lang w:val="ro-MD"/>
        </w:rPr>
        <w:t>Astfel, MF nu dispune de informația cu privire la totalitatea restanțelor în structura integrală a tipurilor de venituri și administratorii acestor plăți pentru includerea informației respective în Raportul Guvernului privind executarea bugetului de stat, în vederea monitorizării și responsabilizării tuturor organelor cu atribuții de administrare a veniturilor și pentru sporirea încasărilor bugetare.</w:t>
      </w:r>
    </w:p>
    <w:p w:rsidR="00E67099" w:rsidRPr="003E5E2E" w:rsidRDefault="00E67099" w:rsidP="00E67099">
      <w:pPr>
        <w:spacing w:after="0" w:line="276" w:lineRule="auto"/>
        <w:jc w:val="both"/>
        <w:rPr>
          <w:rFonts w:asciiTheme="majorHAnsi" w:eastAsia="Times New Roman" w:hAnsiTheme="majorHAnsi" w:cstheme="majorHAnsi"/>
          <w:sz w:val="24"/>
          <w:szCs w:val="24"/>
          <w:lang w:val="ro-MD"/>
        </w:rPr>
      </w:pPr>
      <w:r w:rsidRPr="003E5E2E">
        <w:rPr>
          <w:rFonts w:asciiTheme="majorHAnsi" w:eastAsia="Times New Roman" w:hAnsiTheme="majorHAnsi" w:cstheme="majorHAnsi"/>
          <w:sz w:val="24"/>
          <w:szCs w:val="24"/>
          <w:lang w:val="ro-MD"/>
        </w:rPr>
        <w:t>Prin prisma funcțiilor de bază de gestionare a finanțelor publice, MF ar fi necesar să includă obligativitatea tuturor responsabililor de acumularea diferitor tipuri de venituri în vederea raportării restanțelor la acestea, cu reglementarea conținutului și periodicității de prezentare a Dărilor de seamă.</w:t>
      </w:r>
    </w:p>
    <w:p w:rsidR="00E67099" w:rsidRPr="00E67099" w:rsidRDefault="00E67099" w:rsidP="00E67099">
      <w:pPr>
        <w:spacing w:after="0" w:line="276" w:lineRule="auto"/>
        <w:jc w:val="both"/>
        <w:rPr>
          <w:rFonts w:asciiTheme="majorHAnsi" w:eastAsia="Times New Roman" w:hAnsiTheme="majorHAnsi" w:cstheme="majorHAnsi"/>
          <w:i/>
          <w:sz w:val="24"/>
          <w:szCs w:val="24"/>
        </w:rPr>
      </w:pPr>
      <w:r w:rsidRPr="003E5E2E">
        <w:rPr>
          <w:rFonts w:asciiTheme="majorHAnsi" w:eastAsia="Times New Roman" w:hAnsiTheme="majorHAnsi" w:cstheme="majorHAnsi"/>
          <w:sz w:val="24"/>
          <w:szCs w:val="24"/>
          <w:lang w:val="ro-MD"/>
        </w:rPr>
        <w:t xml:space="preserve">Examinările auditului relevă că, administratorii de venituri care au prezentat dări de seamă pentru exercițiul bugetar 2019 au finalizat cu restanțe BS (inclusiv plăți de bază, amenzi și penalități), în valoare de 1 259,3 mil. lei, inclusiv administrate de SFS – 802,2 mil. lei, și de SV – 457,1 mil. lei. </w:t>
      </w:r>
      <w:r w:rsidRPr="003E5E2E">
        <w:rPr>
          <w:rFonts w:asciiTheme="majorHAnsi" w:eastAsia="Times New Roman" w:hAnsiTheme="majorHAnsi" w:cstheme="majorHAnsi"/>
          <w:i/>
          <w:sz w:val="24"/>
          <w:szCs w:val="24"/>
          <w:lang w:val="ro-MD"/>
        </w:rPr>
        <w:t>Informația detaliată se prezintă în Anexa nr.22 la prezentul Raport de audit.</w:t>
      </w:r>
      <w:r w:rsidRPr="00E67099">
        <w:rPr>
          <w:rFonts w:asciiTheme="majorHAnsi" w:eastAsia="Times New Roman" w:hAnsiTheme="majorHAnsi" w:cstheme="majorHAnsi"/>
          <w:i/>
          <w:sz w:val="24"/>
          <w:szCs w:val="24"/>
          <w:lang w:val="ro-MD"/>
        </w:rPr>
        <w:t xml:space="preserve">  </w:t>
      </w:r>
    </w:p>
    <w:p w:rsidR="00E67099" w:rsidRPr="00E67099" w:rsidRDefault="00E67099" w:rsidP="00E67099">
      <w:pPr>
        <w:spacing w:after="0" w:line="276" w:lineRule="auto"/>
        <w:jc w:val="both"/>
        <w:rPr>
          <w:rFonts w:asciiTheme="majorHAnsi" w:eastAsia="Times New Roman" w:hAnsiTheme="majorHAnsi" w:cstheme="majorHAnsi"/>
          <w:sz w:val="24"/>
          <w:szCs w:val="24"/>
          <w:lang w:val="ro-MD"/>
        </w:rPr>
      </w:pPr>
      <w:r w:rsidRPr="00E67099">
        <w:rPr>
          <w:rFonts w:asciiTheme="majorHAnsi" w:eastAsia="Times New Roman" w:hAnsiTheme="majorHAnsi" w:cstheme="majorHAnsi"/>
          <w:sz w:val="24"/>
          <w:szCs w:val="24"/>
          <w:lang w:val="ro-MD"/>
        </w:rPr>
        <w:t>Restanțele au înregistrat o micșorare în sumă de 362,2 mil. lei, față de anul 2018, și în sumă de 593,4 mil. lei, față de anul 2017, fapt condiționat de amnistia fiscală aplicată în baza Legii nr.180 din 26.07.2018</w:t>
      </w:r>
      <w:r w:rsidRPr="00E67099">
        <w:rPr>
          <w:rFonts w:asciiTheme="majorHAnsi" w:hAnsiTheme="majorHAnsi" w:cstheme="majorHAnsi"/>
          <w:sz w:val="24"/>
          <w:szCs w:val="24"/>
          <w:vertAlign w:val="superscript"/>
          <w:lang w:val="ro-MD"/>
        </w:rPr>
        <w:footnoteReference w:id="74"/>
      </w:r>
      <w:r w:rsidRPr="00E67099">
        <w:rPr>
          <w:rFonts w:asciiTheme="majorHAnsi" w:eastAsia="Times New Roman" w:hAnsiTheme="majorHAnsi" w:cstheme="majorHAnsi"/>
          <w:sz w:val="24"/>
          <w:szCs w:val="24"/>
          <w:lang w:val="ro-MD"/>
        </w:rPr>
        <w:t xml:space="preserve">, în temeiul căreia au fost amnistiate restanțe în sumă de 234,6 mil.lei. </w:t>
      </w:r>
    </w:p>
    <w:p w:rsidR="00E67099" w:rsidRPr="00E67099" w:rsidRDefault="00E67099" w:rsidP="00E67099">
      <w:pPr>
        <w:spacing w:after="0" w:line="276" w:lineRule="auto"/>
        <w:jc w:val="both"/>
        <w:rPr>
          <w:rFonts w:asciiTheme="majorHAnsi" w:eastAsia="Times New Roman" w:hAnsiTheme="majorHAnsi" w:cstheme="majorHAnsi"/>
          <w:sz w:val="24"/>
          <w:szCs w:val="24"/>
          <w:lang w:val="ro-MD"/>
        </w:rPr>
      </w:pPr>
      <w:r w:rsidRPr="00E67099">
        <w:rPr>
          <w:rFonts w:asciiTheme="majorHAnsi" w:eastAsia="Times New Roman" w:hAnsiTheme="majorHAnsi" w:cstheme="majorHAnsi"/>
          <w:sz w:val="24"/>
          <w:szCs w:val="24"/>
          <w:lang w:val="ro-MD"/>
        </w:rPr>
        <w:t>Conform datelor din SI al SFS la situația din 20.12.2018, din 131301 contribuabili potențiali subiecți ai stimulării fiscale, 103321 de contribuabili nu înregistrau restanțe la plăți de bază și au beneficiat de stimulare fiscală în sumă totală d</w:t>
      </w:r>
      <w:r w:rsidR="00C62868">
        <w:rPr>
          <w:rFonts w:asciiTheme="majorHAnsi" w:eastAsia="Times New Roman" w:hAnsiTheme="majorHAnsi" w:cstheme="majorHAnsi"/>
          <w:sz w:val="24"/>
          <w:szCs w:val="24"/>
          <w:lang w:val="ro-MD"/>
        </w:rPr>
        <w:t>e 187,3 mil. lei, din care 36,7 mil. lei</w:t>
      </w:r>
      <w:r w:rsidRPr="00E67099">
        <w:rPr>
          <w:rFonts w:asciiTheme="majorHAnsi" w:eastAsia="Times New Roman" w:hAnsiTheme="majorHAnsi" w:cstheme="majorHAnsi"/>
          <w:sz w:val="24"/>
          <w:szCs w:val="24"/>
          <w:lang w:val="ro-MD"/>
        </w:rPr>
        <w:t xml:space="preserve"> majorări de întârziere și 150,6 mil. lei amenzi.</w:t>
      </w:r>
    </w:p>
    <w:p w:rsidR="00E67099" w:rsidRPr="00E67099" w:rsidRDefault="00E67099" w:rsidP="00E67099">
      <w:pPr>
        <w:spacing w:after="0" w:line="276" w:lineRule="auto"/>
        <w:jc w:val="both"/>
        <w:rPr>
          <w:rFonts w:asciiTheme="majorHAnsi" w:eastAsia="Times New Roman" w:hAnsiTheme="majorHAnsi" w:cstheme="majorHAnsi"/>
          <w:sz w:val="24"/>
          <w:szCs w:val="24"/>
          <w:lang w:val="ro-MD"/>
        </w:rPr>
      </w:pPr>
      <w:r w:rsidRPr="00E67099">
        <w:rPr>
          <w:rFonts w:asciiTheme="majorHAnsi" w:eastAsia="Times New Roman" w:hAnsiTheme="majorHAnsi" w:cstheme="majorHAnsi"/>
          <w:sz w:val="24"/>
          <w:szCs w:val="24"/>
          <w:lang w:val="ro-MD"/>
        </w:rPr>
        <w:t>Totodată, din 943 de plătitori vamali pasibili subiecți ai stimulării fiscale, 605 plătitori vamali au beneficiat de stimulare fiscală în sumă totală de 47,3 mil. lei, din care 12,3 mil. lei – majorări de întârziere, și 35,0 mil. lei – amenzi.</w:t>
      </w:r>
    </w:p>
    <w:p w:rsidR="00E67099" w:rsidRPr="00E67099" w:rsidRDefault="00E67099" w:rsidP="00E67099">
      <w:pPr>
        <w:tabs>
          <w:tab w:val="left" w:pos="851"/>
        </w:tabs>
        <w:spacing w:after="0" w:line="276" w:lineRule="auto"/>
        <w:jc w:val="both"/>
        <w:rPr>
          <w:rFonts w:asciiTheme="majorHAnsi" w:hAnsiTheme="majorHAnsi" w:cstheme="majorHAnsi"/>
          <w:sz w:val="24"/>
          <w:szCs w:val="24"/>
          <w:lang w:val="ro-MD"/>
        </w:rPr>
      </w:pPr>
      <w:r w:rsidRPr="00E67099">
        <w:rPr>
          <w:rFonts w:asciiTheme="majorHAnsi" w:hAnsiTheme="majorHAnsi" w:cstheme="majorHAnsi"/>
          <w:sz w:val="24"/>
          <w:szCs w:val="24"/>
          <w:lang w:val="ro-MD"/>
        </w:rPr>
        <w:t>Din totalul restanțelor la venituri raportate de SFS în anul 2019, restanțele de bază constituie 425,7 mil. lei (53,1%), amenzile – 163,5 mil. lei (20,4%), și penalitățile – 212,9 mil. lei (26,5%). Totodată, din totalul restanțelor la venituri raportate de SV, restanțele de bază constituie 265,1 mil.lei (58,0%), amenzile – 57,3 mil.lei (12,5%), și penalitățile – 134,6 mil.lei (29,5%).</w:t>
      </w:r>
    </w:p>
    <w:p w:rsidR="00E67099" w:rsidRPr="00E67099" w:rsidRDefault="00E67099" w:rsidP="00E67099">
      <w:pPr>
        <w:tabs>
          <w:tab w:val="left" w:pos="851"/>
        </w:tabs>
        <w:spacing w:after="0" w:line="276" w:lineRule="auto"/>
        <w:jc w:val="both"/>
        <w:rPr>
          <w:rFonts w:asciiTheme="majorHAnsi" w:hAnsiTheme="majorHAnsi" w:cstheme="majorHAnsi"/>
          <w:i/>
          <w:sz w:val="24"/>
          <w:szCs w:val="24"/>
          <w:lang w:val="ro-MD"/>
        </w:rPr>
      </w:pPr>
      <w:r w:rsidRPr="00E67099">
        <w:rPr>
          <w:rFonts w:asciiTheme="majorHAnsi" w:hAnsiTheme="majorHAnsi" w:cstheme="majorHAnsi"/>
          <w:i/>
          <w:sz w:val="24"/>
          <w:szCs w:val="24"/>
          <w:lang w:val="ro-MD"/>
        </w:rPr>
        <w:t>În cadrul misiunii de audit la SFS, echipa de audit a constatat:</w:t>
      </w:r>
    </w:p>
    <w:p w:rsidR="00E67099" w:rsidRPr="00E67099" w:rsidRDefault="00E67099" w:rsidP="00E67099">
      <w:pPr>
        <w:numPr>
          <w:ilvl w:val="0"/>
          <w:numId w:val="7"/>
        </w:numPr>
        <w:tabs>
          <w:tab w:val="left" w:pos="142"/>
        </w:tabs>
        <w:spacing w:after="0" w:line="276" w:lineRule="auto"/>
        <w:ind w:left="0" w:firstLine="0"/>
        <w:contextualSpacing/>
        <w:jc w:val="both"/>
        <w:rPr>
          <w:rFonts w:asciiTheme="majorHAnsi" w:eastAsia="Times New Roman" w:hAnsiTheme="majorHAnsi" w:cstheme="majorHAnsi"/>
          <w:color w:val="000000" w:themeColor="text1"/>
          <w:sz w:val="24"/>
          <w:szCs w:val="24"/>
          <w:lang w:val="ro-MD" w:eastAsia="ru-RU"/>
        </w:rPr>
      </w:pPr>
      <w:r w:rsidRPr="00E67099">
        <w:rPr>
          <w:rFonts w:asciiTheme="majorHAnsi" w:eastAsia="Calibri" w:hAnsiTheme="majorHAnsi" w:cstheme="majorHAnsi"/>
          <w:color w:val="000000" w:themeColor="text1"/>
          <w:sz w:val="24"/>
          <w:szCs w:val="24"/>
          <w:lang w:val="ro-MD" w:eastAsia="ru-RU"/>
        </w:rPr>
        <w:t>atât normele interne ale MF</w:t>
      </w:r>
      <w:r w:rsidRPr="00E67099">
        <w:rPr>
          <w:rFonts w:eastAsia="Calibri"/>
          <w:vertAlign w:val="superscript"/>
          <w:lang w:val="ro-MD" w:eastAsia="ru-RU"/>
        </w:rPr>
        <w:footnoteReference w:id="75"/>
      </w:r>
      <w:r w:rsidRPr="00E67099">
        <w:rPr>
          <w:rFonts w:asciiTheme="majorHAnsi" w:eastAsia="Calibri" w:hAnsiTheme="majorHAnsi" w:cstheme="majorHAnsi"/>
          <w:color w:val="000000" w:themeColor="text1"/>
          <w:sz w:val="24"/>
          <w:szCs w:val="24"/>
          <w:lang w:val="ro-MD" w:eastAsia="ru-RU"/>
        </w:rPr>
        <w:t xml:space="preserve"> privind  raportarea restanței, cât și cele aprobate de SFS</w:t>
      </w:r>
      <w:r w:rsidRPr="00E67099">
        <w:rPr>
          <w:rFonts w:eastAsia="Calibri"/>
          <w:vertAlign w:val="superscript"/>
          <w:lang w:val="ro-MD" w:eastAsia="ru-RU"/>
        </w:rPr>
        <w:footnoteReference w:id="76"/>
      </w:r>
      <w:r w:rsidRPr="00E67099">
        <w:rPr>
          <w:rFonts w:asciiTheme="majorHAnsi" w:eastAsia="Times New Roman" w:hAnsiTheme="majorHAnsi" w:cstheme="majorHAnsi"/>
          <w:color w:val="000000" w:themeColor="text1"/>
          <w:sz w:val="24"/>
          <w:szCs w:val="24"/>
          <w:lang w:val="ro-MD" w:eastAsia="ru-RU"/>
        </w:rPr>
        <w:t>, nu asigură corectitudinea și plenitudinea raportării obligațiilor fiscale atribuite ca „</w:t>
      </w:r>
      <w:r w:rsidRPr="00E67099">
        <w:rPr>
          <w:rFonts w:asciiTheme="majorHAnsi" w:eastAsia="Times New Roman" w:hAnsiTheme="majorHAnsi" w:cstheme="majorHAnsi"/>
          <w:i/>
          <w:color w:val="000000" w:themeColor="text1"/>
          <w:sz w:val="24"/>
          <w:szCs w:val="24"/>
          <w:lang w:val="ro-MD" w:eastAsia="ru-RU"/>
        </w:rPr>
        <w:t>restanțe</w:t>
      </w:r>
      <w:r w:rsidRPr="00E67099">
        <w:rPr>
          <w:rFonts w:asciiTheme="majorHAnsi" w:eastAsia="Times New Roman" w:hAnsiTheme="majorHAnsi" w:cstheme="majorHAnsi"/>
          <w:color w:val="000000" w:themeColor="text1"/>
          <w:sz w:val="24"/>
          <w:szCs w:val="24"/>
          <w:lang w:val="ro-MD" w:eastAsia="ru-RU"/>
        </w:rPr>
        <w:t>” conform cerințelor art.</w:t>
      </w:r>
      <w:r w:rsidRPr="00E67099">
        <w:rPr>
          <w:rFonts w:asciiTheme="majorHAnsi" w:eastAsia="Times New Roman" w:hAnsiTheme="majorHAnsi" w:cstheme="majorHAnsi"/>
          <w:sz w:val="24"/>
          <w:szCs w:val="24"/>
          <w:lang w:val="en-US" w:eastAsia="ru-RU"/>
        </w:rPr>
        <w:t>1</w:t>
      </w:r>
      <w:r w:rsidRPr="00E67099">
        <w:rPr>
          <w:rFonts w:asciiTheme="majorHAnsi" w:eastAsia="Times New Roman" w:hAnsiTheme="majorHAnsi" w:cstheme="majorHAnsi"/>
          <w:color w:val="000000" w:themeColor="text1"/>
          <w:sz w:val="24"/>
          <w:szCs w:val="24"/>
          <w:lang w:val="ro-MD" w:eastAsia="ru-RU"/>
        </w:rPr>
        <w:t xml:space="preserve">29 pct.13) din Codul fiscal. </w:t>
      </w:r>
      <w:r w:rsidRPr="00E67099">
        <w:rPr>
          <w:rFonts w:asciiTheme="majorHAnsi" w:eastAsia="Times New Roman" w:hAnsiTheme="majorHAnsi" w:cstheme="majorHAnsi"/>
          <w:color w:val="000000" w:themeColor="text1"/>
          <w:sz w:val="24"/>
          <w:szCs w:val="24"/>
          <w:lang w:eastAsia="ru-RU"/>
        </w:rPr>
        <w:t>Prin urmare, cele menționate au determinat raportarea incorectă a restantelor la BS pentru contribuabilii aflați în procedură de insolvabilitate, în procedura falimentului sau în procedura simplificată a falimentului;</w:t>
      </w:r>
    </w:p>
    <w:p w:rsidR="00E67099" w:rsidRPr="00E67099" w:rsidRDefault="00E67099" w:rsidP="00E67099">
      <w:pPr>
        <w:numPr>
          <w:ilvl w:val="0"/>
          <w:numId w:val="7"/>
        </w:numPr>
        <w:tabs>
          <w:tab w:val="left" w:pos="142"/>
        </w:tabs>
        <w:spacing w:after="0" w:line="276" w:lineRule="auto"/>
        <w:ind w:left="0" w:firstLine="0"/>
        <w:contextualSpacing/>
        <w:jc w:val="both"/>
        <w:rPr>
          <w:rFonts w:asciiTheme="majorHAnsi" w:eastAsia="Times New Roman" w:hAnsiTheme="majorHAnsi" w:cstheme="majorHAnsi"/>
          <w:color w:val="000000" w:themeColor="text1"/>
          <w:sz w:val="24"/>
          <w:szCs w:val="24"/>
          <w:lang w:val="ro-MD" w:eastAsia="ru-RU"/>
        </w:rPr>
      </w:pPr>
      <w:r w:rsidRPr="00E67099">
        <w:rPr>
          <w:rFonts w:asciiTheme="majorHAnsi" w:eastAsia="Times New Roman" w:hAnsiTheme="majorHAnsi" w:cstheme="majorHAnsi"/>
          <w:color w:val="000000" w:themeColor="text1"/>
          <w:sz w:val="24"/>
          <w:szCs w:val="24"/>
          <w:lang w:val="ro-MD" w:eastAsia="x-none"/>
        </w:rPr>
        <w:t xml:space="preserve">SFS a exclus </w:t>
      </w:r>
      <w:r w:rsidRPr="00E67099">
        <w:rPr>
          <w:rFonts w:asciiTheme="majorHAnsi" w:eastAsia="Times New Roman" w:hAnsiTheme="majorHAnsi" w:cstheme="majorHAnsi"/>
          <w:color w:val="000000" w:themeColor="text1"/>
          <w:sz w:val="24"/>
          <w:szCs w:val="24"/>
          <w:shd w:val="clear" w:color="auto" w:fill="FFFFFF"/>
          <w:lang w:val="ro-MD" w:eastAsia="x-none"/>
        </w:rPr>
        <w:t>neîntemeiat din evidența fiscală restanțele unor contribuabili în</w:t>
      </w:r>
      <w:r w:rsidRPr="00E67099">
        <w:rPr>
          <w:rFonts w:asciiTheme="majorHAnsi" w:eastAsia="Times New Roman" w:hAnsiTheme="majorHAnsi" w:cstheme="majorHAnsi"/>
          <w:color w:val="000000" w:themeColor="text1"/>
          <w:sz w:val="24"/>
          <w:szCs w:val="24"/>
          <w:lang w:val="ro-MD" w:eastAsia="x-none"/>
        </w:rPr>
        <w:t xml:space="preserve"> sumă de </w:t>
      </w:r>
      <w:r w:rsidRPr="00E67099">
        <w:rPr>
          <w:rFonts w:asciiTheme="majorHAnsi" w:eastAsia="Times New Roman" w:hAnsiTheme="majorHAnsi" w:cstheme="majorHAnsi"/>
          <w:bCs/>
          <w:color w:val="000000" w:themeColor="text1"/>
          <w:sz w:val="24"/>
          <w:szCs w:val="24"/>
          <w:lang w:val="x-none" w:eastAsia="x-none"/>
        </w:rPr>
        <w:t>8</w:t>
      </w:r>
      <w:r w:rsidRPr="00E67099">
        <w:rPr>
          <w:rFonts w:asciiTheme="majorHAnsi" w:eastAsia="Times New Roman" w:hAnsiTheme="majorHAnsi" w:cstheme="majorHAnsi"/>
          <w:bCs/>
          <w:color w:val="000000" w:themeColor="text1"/>
          <w:sz w:val="24"/>
          <w:szCs w:val="24"/>
          <w:lang w:eastAsia="x-none"/>
        </w:rPr>
        <w:t>,</w:t>
      </w:r>
      <w:r w:rsidRPr="00E67099">
        <w:rPr>
          <w:rFonts w:asciiTheme="majorHAnsi" w:eastAsia="Times New Roman" w:hAnsiTheme="majorHAnsi" w:cstheme="majorHAnsi"/>
          <w:bCs/>
          <w:color w:val="000000" w:themeColor="text1"/>
          <w:sz w:val="24"/>
          <w:szCs w:val="24"/>
          <w:lang w:val="x-none" w:eastAsia="x-none"/>
        </w:rPr>
        <w:t>4</w:t>
      </w:r>
      <w:r w:rsidRPr="00E67099">
        <w:rPr>
          <w:rFonts w:asciiTheme="majorHAnsi" w:eastAsia="Times New Roman" w:hAnsiTheme="majorHAnsi" w:cstheme="majorHAnsi"/>
          <w:bCs/>
          <w:color w:val="000000" w:themeColor="text1"/>
          <w:sz w:val="24"/>
          <w:szCs w:val="24"/>
          <w:lang w:eastAsia="x-none"/>
        </w:rPr>
        <w:t xml:space="preserve"> mil lei, înregistrate </w:t>
      </w:r>
      <w:r w:rsidRPr="00E67099">
        <w:rPr>
          <w:rFonts w:asciiTheme="majorHAnsi" w:eastAsia="Times New Roman" w:hAnsiTheme="majorHAnsi" w:cstheme="majorHAnsi"/>
          <w:color w:val="000000" w:themeColor="text1"/>
          <w:sz w:val="24"/>
          <w:szCs w:val="24"/>
          <w:lang w:val="ro-MD" w:eastAsia="x-none"/>
        </w:rPr>
        <w:t xml:space="preserve">la codul economic </w:t>
      </w:r>
      <w:r w:rsidRPr="00E67099">
        <w:rPr>
          <w:rFonts w:asciiTheme="majorHAnsi" w:eastAsia="Times New Roman" w:hAnsiTheme="majorHAnsi" w:cstheme="majorHAnsi"/>
          <w:color w:val="000000" w:themeColor="text1"/>
          <w:sz w:val="24"/>
          <w:szCs w:val="24"/>
          <w:shd w:val="clear" w:color="auto" w:fill="FFFFFF"/>
          <w:lang w:val="ro-MD" w:eastAsia="x-none"/>
        </w:rPr>
        <w:t xml:space="preserve">114261 </w:t>
      </w:r>
      <w:r w:rsidRPr="00E67099">
        <w:rPr>
          <w:rFonts w:asciiTheme="majorHAnsi" w:eastAsia="Times New Roman" w:hAnsiTheme="majorHAnsi" w:cstheme="majorHAnsi"/>
          <w:color w:val="000000" w:themeColor="text1"/>
          <w:sz w:val="24"/>
          <w:szCs w:val="24"/>
          <w:shd w:val="clear" w:color="auto" w:fill="FFFFFF"/>
          <w:lang w:val="en-US" w:eastAsia="x-none"/>
        </w:rPr>
        <w:t>„</w:t>
      </w:r>
      <w:r w:rsidRPr="00E67099">
        <w:rPr>
          <w:rFonts w:asciiTheme="majorHAnsi" w:eastAsia="Times New Roman" w:hAnsiTheme="majorHAnsi" w:cstheme="majorHAnsi"/>
          <w:color w:val="000000" w:themeColor="text1"/>
          <w:sz w:val="24"/>
          <w:szCs w:val="24"/>
          <w:shd w:val="clear" w:color="auto" w:fill="FFFFFF"/>
          <w:lang w:val="ro-MD" w:eastAsia="x-none"/>
        </w:rPr>
        <w:t xml:space="preserve">Accize la bijuterii (inclusiv bijuterii cu briliante) produse pe teritoriul RM”, </w:t>
      </w:r>
      <w:r w:rsidRPr="00E67099">
        <w:rPr>
          <w:rFonts w:asciiTheme="majorHAnsi" w:eastAsia="Times New Roman" w:hAnsiTheme="majorHAnsi" w:cstheme="majorHAnsi"/>
          <w:color w:val="000000" w:themeColor="text1"/>
          <w:sz w:val="24"/>
          <w:szCs w:val="24"/>
          <w:lang w:val="ro-MD" w:eastAsia="x-none"/>
        </w:rPr>
        <w:t xml:space="preserve">cu toate că contribuabilii nu le-au achitat și nu au fost scăzute din datorii prin alte metode legale. Deși, pe parcursul auditului, SFS a restabilit suma respectivă în evidență la codul  economic </w:t>
      </w:r>
      <w:r w:rsidRPr="00E67099">
        <w:rPr>
          <w:rFonts w:asciiTheme="majorHAnsi" w:eastAsia="Times New Roman" w:hAnsiTheme="majorHAnsi" w:cstheme="majorHAnsi"/>
          <w:color w:val="000000" w:themeColor="text1"/>
          <w:sz w:val="24"/>
          <w:szCs w:val="24"/>
          <w:shd w:val="clear" w:color="auto" w:fill="FFFFFF"/>
          <w:lang w:val="en-US" w:eastAsia="x-none"/>
        </w:rPr>
        <w:t>114271 „A</w:t>
      </w:r>
      <w:r w:rsidRPr="00E67099">
        <w:rPr>
          <w:rFonts w:asciiTheme="majorHAnsi" w:eastAsia="Times New Roman" w:hAnsiTheme="majorHAnsi" w:cstheme="majorHAnsi"/>
          <w:color w:val="000000" w:themeColor="text1"/>
          <w:sz w:val="24"/>
          <w:szCs w:val="24"/>
          <w:shd w:val="clear" w:color="auto" w:fill="FFFFFF"/>
          <w:lang w:val="ro-MD" w:eastAsia="x-none"/>
        </w:rPr>
        <w:t>ccize la alte mărfuri produse pe teritoriul RM”</w:t>
      </w:r>
      <w:r w:rsidRPr="00E67099">
        <w:rPr>
          <w:rFonts w:asciiTheme="majorHAnsi" w:eastAsia="Times New Roman" w:hAnsiTheme="majorHAnsi" w:cstheme="majorHAnsi"/>
          <w:color w:val="000000" w:themeColor="text1"/>
          <w:sz w:val="24"/>
          <w:szCs w:val="24"/>
          <w:lang w:val="ro-MD" w:eastAsia="x-none"/>
        </w:rPr>
        <w:t xml:space="preserve">, această restanță nu a fost reflectată în rapoartele SFS prezentate MF la situația din 31.12.2019. </w:t>
      </w:r>
      <w:r w:rsidRPr="00E67099">
        <w:rPr>
          <w:rFonts w:asciiTheme="majorHAnsi" w:eastAsia="Times New Roman" w:hAnsiTheme="majorHAnsi" w:cstheme="majorHAnsi"/>
          <w:color w:val="000000" w:themeColor="text1"/>
          <w:sz w:val="24"/>
          <w:szCs w:val="24"/>
          <w:lang w:eastAsia="x-none"/>
        </w:rPr>
        <w:t>Astfel, potrivit dărilor de seamă, la codul  economic 114271 a  fost raportată  restanța  în valoare de  1,9 mil. lei, însă în realitate aceasta  constituia - 10,7 mil. lei</w:t>
      </w:r>
      <w:r w:rsidRPr="00E67099">
        <w:rPr>
          <w:rFonts w:asciiTheme="majorHAnsi" w:eastAsia="Times New Roman" w:hAnsiTheme="majorHAnsi" w:cstheme="majorHAnsi"/>
          <w:color w:val="000000" w:themeColor="text1"/>
          <w:sz w:val="24"/>
          <w:szCs w:val="24"/>
          <w:vertAlign w:val="superscript"/>
          <w:lang w:eastAsia="x-none"/>
        </w:rPr>
        <w:footnoteReference w:id="77"/>
      </w:r>
      <w:r w:rsidRPr="00E67099">
        <w:rPr>
          <w:rFonts w:asciiTheme="majorHAnsi" w:eastAsia="Times New Roman" w:hAnsiTheme="majorHAnsi" w:cstheme="majorHAnsi"/>
          <w:color w:val="000000" w:themeColor="text1"/>
          <w:sz w:val="24"/>
          <w:szCs w:val="24"/>
          <w:lang w:eastAsia="x-none"/>
        </w:rPr>
        <w:t>;</w:t>
      </w:r>
    </w:p>
    <w:p w:rsidR="00E67099" w:rsidRPr="00E67099" w:rsidRDefault="00E67099" w:rsidP="00E67099">
      <w:pPr>
        <w:numPr>
          <w:ilvl w:val="0"/>
          <w:numId w:val="7"/>
        </w:numPr>
        <w:tabs>
          <w:tab w:val="left" w:pos="142"/>
        </w:tabs>
        <w:spacing w:after="0" w:line="276" w:lineRule="auto"/>
        <w:ind w:left="0" w:firstLine="0"/>
        <w:contextualSpacing/>
        <w:jc w:val="both"/>
        <w:rPr>
          <w:rFonts w:asciiTheme="majorHAnsi" w:eastAsia="Times New Roman" w:hAnsiTheme="majorHAnsi" w:cstheme="majorHAnsi"/>
          <w:color w:val="000000" w:themeColor="text1"/>
          <w:sz w:val="24"/>
          <w:szCs w:val="24"/>
          <w:lang w:val="ro-MD" w:eastAsia="ru-RU"/>
        </w:rPr>
      </w:pPr>
      <w:r w:rsidRPr="00E67099">
        <w:rPr>
          <w:rFonts w:asciiTheme="majorHAnsi" w:eastAsia="Times New Roman" w:hAnsiTheme="majorHAnsi" w:cstheme="majorHAnsi"/>
          <w:sz w:val="24"/>
          <w:szCs w:val="24"/>
          <w:lang w:val="ro-MD" w:eastAsia="ru-RU"/>
        </w:rPr>
        <w:t>prezența unor devieri în sumă de 0,3 mil. lei între datele raportate la MF privind suma restanței și datele din SI al SFS, situație cauzată de</w:t>
      </w:r>
      <w:r w:rsidRPr="00E67099">
        <w:rPr>
          <w:rFonts w:asciiTheme="majorHAnsi" w:eastAsia="Calibri" w:hAnsiTheme="majorHAnsi" w:cstheme="majorHAnsi"/>
          <w:color w:val="000000" w:themeColor="text1"/>
          <w:sz w:val="24"/>
          <w:szCs w:val="24"/>
          <w:lang w:val="ro-MD" w:eastAsia="ru-RU"/>
        </w:rPr>
        <w:t xml:space="preserve"> ajustarea datelor perioadei la sfârșit de an.</w:t>
      </w:r>
    </w:p>
    <w:p w:rsidR="00E67099" w:rsidRPr="00E67099" w:rsidRDefault="00E67099" w:rsidP="00E67099">
      <w:pPr>
        <w:tabs>
          <w:tab w:val="left" w:pos="851"/>
        </w:tabs>
        <w:spacing w:after="0" w:line="276" w:lineRule="auto"/>
        <w:jc w:val="both"/>
        <w:rPr>
          <w:rFonts w:asciiTheme="majorHAnsi" w:hAnsiTheme="majorHAnsi" w:cstheme="majorHAnsi"/>
          <w:i/>
          <w:sz w:val="24"/>
          <w:szCs w:val="24"/>
          <w:lang w:val="ro-MD"/>
        </w:rPr>
      </w:pPr>
      <w:r w:rsidRPr="00E67099">
        <w:rPr>
          <w:rFonts w:asciiTheme="majorHAnsi" w:hAnsiTheme="majorHAnsi" w:cstheme="majorHAnsi"/>
          <w:i/>
          <w:sz w:val="24"/>
          <w:szCs w:val="24"/>
          <w:lang w:val="ro-MD"/>
        </w:rPr>
        <w:t>În cadrul misiunii de audit la SV, echipa de audit a constatat:</w:t>
      </w:r>
    </w:p>
    <w:p w:rsidR="00E67099" w:rsidRPr="00E67099" w:rsidRDefault="00E67099" w:rsidP="00E67099">
      <w:pPr>
        <w:numPr>
          <w:ilvl w:val="0"/>
          <w:numId w:val="7"/>
        </w:numPr>
        <w:tabs>
          <w:tab w:val="left" w:pos="142"/>
          <w:tab w:val="left" w:pos="851"/>
        </w:tabs>
        <w:spacing w:after="0" w:line="276" w:lineRule="auto"/>
        <w:ind w:left="0" w:firstLine="0"/>
        <w:contextualSpacing/>
        <w:jc w:val="both"/>
        <w:rPr>
          <w:rFonts w:asciiTheme="majorHAnsi" w:hAnsiTheme="majorHAnsi" w:cstheme="majorHAnsi"/>
          <w:sz w:val="24"/>
          <w:szCs w:val="24"/>
          <w:lang w:val="ro-MD"/>
        </w:rPr>
      </w:pPr>
      <w:r w:rsidRPr="00E67099">
        <w:rPr>
          <w:rFonts w:asciiTheme="majorHAnsi" w:hAnsiTheme="majorHAnsi" w:cstheme="majorHAnsi"/>
          <w:sz w:val="24"/>
          <w:szCs w:val="24"/>
          <w:lang w:val="ro-MD"/>
        </w:rPr>
        <w:t>nefuncționalitatea modulului din SI</w:t>
      </w:r>
      <w:r w:rsidRPr="00E67099">
        <w:rPr>
          <w:rFonts w:asciiTheme="majorHAnsi" w:hAnsiTheme="majorHAnsi" w:cstheme="majorHAnsi"/>
          <w:sz w:val="24"/>
          <w:szCs w:val="24"/>
          <w:vertAlign w:val="superscript"/>
          <w:lang w:val="ro-MD"/>
        </w:rPr>
        <w:footnoteReference w:id="78"/>
      </w:r>
      <w:r w:rsidRPr="00E67099">
        <w:rPr>
          <w:rFonts w:asciiTheme="majorHAnsi" w:hAnsiTheme="majorHAnsi" w:cstheme="majorHAnsi"/>
          <w:sz w:val="24"/>
          <w:szCs w:val="24"/>
          <w:lang w:val="ro-MD"/>
        </w:rPr>
        <w:t xml:space="preserve"> al SV pentru calcularea majorărilor de întârziere la plățile de bază a condus la prezentarea eronată la MF a </w:t>
      </w:r>
      <w:r w:rsidRPr="00E67099">
        <w:rPr>
          <w:rFonts w:asciiTheme="majorHAnsi" w:eastAsia="Calibri" w:hAnsiTheme="majorHAnsi" w:cstheme="majorHAnsi"/>
          <w:color w:val="000000" w:themeColor="text1"/>
          <w:sz w:val="24"/>
          <w:szCs w:val="24"/>
          <w:lang w:val="ro-MD"/>
        </w:rPr>
        <w:t>„Raportului privind datoriile agenților economici și ale persoanelor  fizice la data de 31.12.2019”</w:t>
      </w:r>
      <w:r w:rsidRPr="00E67099">
        <w:rPr>
          <w:rFonts w:asciiTheme="majorHAnsi" w:hAnsiTheme="majorHAnsi" w:cstheme="majorHAnsi"/>
          <w:sz w:val="24"/>
          <w:szCs w:val="24"/>
          <w:lang w:val="ro-MD"/>
        </w:rPr>
        <w:t xml:space="preserve">. </w:t>
      </w:r>
      <w:r w:rsidRPr="00E67099">
        <w:rPr>
          <w:rFonts w:asciiTheme="majorHAnsi" w:eastAsia="Calibri" w:hAnsiTheme="majorHAnsi" w:cstheme="majorHAnsi"/>
          <w:color w:val="000000" w:themeColor="text1"/>
          <w:sz w:val="24"/>
          <w:szCs w:val="24"/>
          <w:lang w:val="ro-MD"/>
        </w:rPr>
        <w:t>Auditul a solicitat să se efectueze manual recalcularea pe un eșantion format din 20 de plătitori vamali restanțieri din 943 de înregistrați, stabilind o deviere în sumă de 31,7 mil. lei față de suma restanței raportate;</w:t>
      </w:r>
    </w:p>
    <w:p w:rsidR="00E67099" w:rsidRPr="00E67099" w:rsidRDefault="00E67099" w:rsidP="00E67099">
      <w:pPr>
        <w:numPr>
          <w:ilvl w:val="0"/>
          <w:numId w:val="7"/>
        </w:numPr>
        <w:tabs>
          <w:tab w:val="left" w:pos="142"/>
          <w:tab w:val="left" w:pos="851"/>
        </w:tabs>
        <w:spacing w:after="0" w:line="276" w:lineRule="auto"/>
        <w:ind w:left="0" w:firstLine="0"/>
        <w:contextualSpacing/>
        <w:jc w:val="both"/>
        <w:rPr>
          <w:rFonts w:asciiTheme="majorHAnsi" w:hAnsiTheme="majorHAnsi" w:cstheme="majorHAnsi"/>
          <w:sz w:val="24"/>
          <w:szCs w:val="24"/>
          <w:lang w:val="ro-MD"/>
        </w:rPr>
      </w:pPr>
      <w:r w:rsidRPr="00E67099">
        <w:rPr>
          <w:rFonts w:asciiTheme="majorHAnsi" w:eastAsia="Calibri" w:hAnsiTheme="majorHAnsi" w:cstheme="majorHAnsi"/>
          <w:color w:val="000000" w:themeColor="text1"/>
          <w:sz w:val="24"/>
          <w:szCs w:val="24"/>
          <w:lang w:val="ro-MD"/>
        </w:rPr>
        <w:t>SV nu a întreprins măsuri ce țin de diminuarea restanței/obligațiilor vamale prin stingerea obligațiilor vamale în sumă de 30,5 mil. lei admise de 21 de plătitori vamali lichidați prin hotărârile instanțelor de judecată și radiați din registrul de stat;</w:t>
      </w:r>
    </w:p>
    <w:p w:rsidR="00E67099" w:rsidRPr="00E67099" w:rsidRDefault="00E67099" w:rsidP="00E67099">
      <w:pPr>
        <w:numPr>
          <w:ilvl w:val="0"/>
          <w:numId w:val="7"/>
        </w:numPr>
        <w:tabs>
          <w:tab w:val="left" w:pos="142"/>
          <w:tab w:val="left" w:pos="851"/>
        </w:tabs>
        <w:spacing w:after="0" w:line="276" w:lineRule="auto"/>
        <w:ind w:left="0" w:firstLine="0"/>
        <w:contextualSpacing/>
        <w:jc w:val="both"/>
        <w:rPr>
          <w:rFonts w:asciiTheme="majorHAnsi" w:hAnsiTheme="majorHAnsi" w:cstheme="majorHAnsi"/>
          <w:sz w:val="24"/>
          <w:szCs w:val="24"/>
          <w:lang w:val="ro-MD"/>
        </w:rPr>
      </w:pPr>
      <w:r w:rsidRPr="00E67099">
        <w:rPr>
          <w:rFonts w:asciiTheme="majorHAnsi" w:eastAsia="Calibri" w:hAnsiTheme="majorHAnsi" w:cstheme="majorHAnsi"/>
          <w:color w:val="000000" w:themeColor="text1"/>
          <w:sz w:val="24"/>
          <w:szCs w:val="24"/>
          <w:lang w:val="ro-MD"/>
        </w:rPr>
        <w:t>SV înregistrează restanțe cu termen mai mare de 6 ani, în sumă totală de 169,2  mil. lei, nefiind stinse restanțele;</w:t>
      </w:r>
    </w:p>
    <w:p w:rsidR="00E67099" w:rsidRPr="00E67099" w:rsidRDefault="00E67099" w:rsidP="00E67099">
      <w:pPr>
        <w:numPr>
          <w:ilvl w:val="0"/>
          <w:numId w:val="7"/>
        </w:numPr>
        <w:tabs>
          <w:tab w:val="left" w:pos="142"/>
          <w:tab w:val="left" w:pos="851"/>
        </w:tabs>
        <w:spacing w:after="0" w:line="276" w:lineRule="auto"/>
        <w:ind w:left="0" w:firstLine="0"/>
        <w:contextualSpacing/>
        <w:jc w:val="both"/>
        <w:rPr>
          <w:rFonts w:asciiTheme="majorHAnsi" w:hAnsiTheme="majorHAnsi" w:cstheme="majorHAnsi"/>
          <w:sz w:val="24"/>
          <w:szCs w:val="24"/>
          <w:lang w:val="ro-MD"/>
        </w:rPr>
      </w:pPr>
      <w:r w:rsidRPr="00E67099">
        <w:rPr>
          <w:rFonts w:asciiTheme="majorHAnsi" w:eastAsia="Calibri" w:hAnsiTheme="majorHAnsi" w:cstheme="majorHAnsi"/>
          <w:color w:val="000000" w:themeColor="text1"/>
          <w:sz w:val="24"/>
          <w:szCs w:val="24"/>
        </w:rPr>
        <w:t>o divergență de 11,0 mil. lei între „Informația privind sumele calculate și achitate ale drepturilor de import/export pe anul 2019” prezentată MF și „Registrul veniturilor BS pe anul 2019”, întocmit de Trezoreria de Stat. SV motivează această situație prin ținerea evidenței în metode diferite (SV – metoda de calcul, Trezoreria de Stat – metoda de casă).</w:t>
      </w:r>
    </w:p>
    <w:p w:rsidR="00E67099" w:rsidRPr="00E67099" w:rsidRDefault="00E67099" w:rsidP="00C62868">
      <w:pPr>
        <w:numPr>
          <w:ilvl w:val="1"/>
          <w:numId w:val="4"/>
        </w:numPr>
        <w:tabs>
          <w:tab w:val="left" w:pos="426"/>
        </w:tabs>
        <w:spacing w:after="0" w:line="276" w:lineRule="auto"/>
        <w:ind w:left="0" w:firstLine="0"/>
        <w:contextualSpacing/>
        <w:jc w:val="both"/>
        <w:rPr>
          <w:rFonts w:asciiTheme="majorHAnsi" w:eastAsia="Times New Roman" w:hAnsiTheme="majorHAnsi" w:cstheme="majorHAnsi"/>
          <w:b/>
          <w:color w:val="000000"/>
          <w:sz w:val="24"/>
          <w:szCs w:val="24"/>
          <w:lang w:val="ro-MD" w:eastAsia="ru-RU"/>
        </w:rPr>
      </w:pPr>
      <w:r w:rsidRPr="00E67099">
        <w:rPr>
          <w:rFonts w:asciiTheme="majorHAnsi" w:eastAsia="Times New Roman" w:hAnsiTheme="majorHAnsi" w:cstheme="majorHAnsi"/>
          <w:b/>
          <w:color w:val="000000"/>
          <w:sz w:val="24"/>
          <w:szCs w:val="24"/>
          <w:lang w:eastAsia="ru-RU"/>
        </w:rPr>
        <w:t>I</w:t>
      </w:r>
      <w:r w:rsidRPr="00E67099">
        <w:rPr>
          <w:rFonts w:asciiTheme="majorHAnsi" w:eastAsia="Times New Roman" w:hAnsiTheme="majorHAnsi" w:cstheme="majorHAnsi"/>
          <w:b/>
          <w:sz w:val="24"/>
          <w:szCs w:val="24"/>
          <w:lang w:val="ro-MD"/>
        </w:rPr>
        <w:t>nstituțiile/autoritățile bugetare responsabile de calcularea amenzilor și sancțiunilor nu monitorizează încasarea acestora și a sumelor restante la BS</w:t>
      </w:r>
    </w:p>
    <w:p w:rsidR="00E67099" w:rsidRPr="00E67099" w:rsidRDefault="00E67099" w:rsidP="00E67099">
      <w:pPr>
        <w:tabs>
          <w:tab w:val="left" w:pos="426"/>
        </w:tabs>
        <w:spacing w:after="0" w:line="276" w:lineRule="auto"/>
        <w:contextualSpacing/>
        <w:jc w:val="both"/>
        <w:rPr>
          <w:rFonts w:asciiTheme="majorHAnsi" w:eastAsia="Times New Roman" w:hAnsiTheme="majorHAnsi" w:cstheme="majorHAnsi"/>
          <w:iCs/>
          <w:sz w:val="24"/>
          <w:szCs w:val="24"/>
        </w:rPr>
      </w:pPr>
      <w:r w:rsidRPr="00E67099">
        <w:rPr>
          <w:rFonts w:asciiTheme="majorHAnsi" w:eastAsia="Times New Roman" w:hAnsiTheme="majorHAnsi" w:cstheme="majorHAnsi"/>
          <w:iCs/>
          <w:sz w:val="24"/>
          <w:szCs w:val="24"/>
        </w:rPr>
        <w:t>Conform Legii bugetului de stat pentru anul 2019, au fost aprobate venituri din amenzi și sancțiuni în sumă de 463,8 mil. lei, ulterior fiind precizate în sumă de 386,5 mil. lei, fiind executate în sumă de 365,3 mil. lei, sau la nivel de 94,5% față de suma precizată și la nivel de 78,8% față de suma aprobată.</w:t>
      </w:r>
    </w:p>
    <w:p w:rsidR="00E67099" w:rsidRPr="00E67099" w:rsidRDefault="00E67099" w:rsidP="00E67099">
      <w:pPr>
        <w:tabs>
          <w:tab w:val="left" w:pos="851"/>
        </w:tabs>
        <w:spacing w:after="0" w:line="276" w:lineRule="auto"/>
        <w:jc w:val="both"/>
        <w:rPr>
          <w:rFonts w:asciiTheme="majorHAnsi" w:eastAsia="Times New Roman" w:hAnsiTheme="majorHAnsi" w:cstheme="majorHAnsi"/>
          <w:sz w:val="24"/>
          <w:szCs w:val="24"/>
          <w:lang w:val="ro-MD"/>
        </w:rPr>
      </w:pPr>
      <w:r w:rsidRPr="00E67099">
        <w:rPr>
          <w:rFonts w:asciiTheme="majorHAnsi" w:hAnsiTheme="majorHAnsi" w:cstheme="majorHAnsi"/>
          <w:sz w:val="24"/>
          <w:szCs w:val="24"/>
          <w:lang w:val="ro-MD"/>
        </w:rPr>
        <w:t>Conform art.34 alin.(2</w:t>
      </w:r>
      <w:r w:rsidRPr="00E67099">
        <w:rPr>
          <w:rFonts w:asciiTheme="majorHAnsi" w:hAnsiTheme="majorHAnsi" w:cstheme="majorHAnsi"/>
          <w:sz w:val="24"/>
          <w:szCs w:val="24"/>
          <w:vertAlign w:val="superscript"/>
          <w:lang w:val="ro-MD"/>
        </w:rPr>
        <w:t>5</w:t>
      </w:r>
      <w:r w:rsidRPr="00E67099">
        <w:rPr>
          <w:rFonts w:asciiTheme="majorHAnsi" w:hAnsiTheme="majorHAnsi" w:cstheme="majorHAnsi"/>
          <w:sz w:val="24"/>
          <w:szCs w:val="24"/>
          <w:lang w:val="ro-MD"/>
        </w:rPr>
        <w:t>) și alin.(3</w:t>
      </w:r>
      <w:r w:rsidRPr="00E67099">
        <w:rPr>
          <w:rFonts w:asciiTheme="majorHAnsi" w:hAnsiTheme="majorHAnsi" w:cstheme="majorHAnsi"/>
          <w:sz w:val="24"/>
          <w:szCs w:val="24"/>
          <w:vertAlign w:val="superscript"/>
          <w:lang w:val="ro-MD"/>
        </w:rPr>
        <w:t>1</w:t>
      </w:r>
      <w:r w:rsidRPr="00E67099">
        <w:rPr>
          <w:rFonts w:asciiTheme="majorHAnsi" w:hAnsiTheme="majorHAnsi" w:cstheme="majorHAnsi"/>
          <w:sz w:val="24"/>
          <w:szCs w:val="24"/>
          <w:lang w:val="ro-MD"/>
        </w:rPr>
        <w:t>) din Codul contravențional, a</w:t>
      </w:r>
      <w:r w:rsidRPr="00E67099">
        <w:rPr>
          <w:rFonts w:asciiTheme="majorHAnsi" w:eastAsia="Times New Roman" w:hAnsiTheme="majorHAnsi" w:cstheme="majorHAnsi"/>
          <w:sz w:val="24"/>
          <w:szCs w:val="24"/>
          <w:lang w:val="ro-MD"/>
        </w:rPr>
        <w:t xml:space="preserve">menzile aplicate pentru săvârșirea contravențiilor se virează în BS, iar evidența executării sancțiunilor și amenzilor se ține în Registrul debitorilor. Conținutul Registrului debitorilor, modul de ținere a acestuia și modul de evidență a executării sancțiunilor și amenzilor se reglementează de către Guvern. </w:t>
      </w:r>
      <w:r w:rsidRPr="00E67099">
        <w:rPr>
          <w:rFonts w:asciiTheme="majorHAnsi" w:hAnsiTheme="majorHAnsi" w:cstheme="majorHAnsi"/>
          <w:sz w:val="24"/>
          <w:szCs w:val="24"/>
          <w:lang w:val="ro-MD"/>
        </w:rPr>
        <w:t>Auditul a constatat că HG nu a fost elaborată și aprobată în termenul specificat în Legea nr.208 din 17.11.2016</w:t>
      </w:r>
      <w:r w:rsidRPr="00E67099">
        <w:rPr>
          <w:rFonts w:asciiTheme="majorHAnsi" w:hAnsiTheme="majorHAnsi" w:cstheme="majorHAnsi"/>
          <w:sz w:val="24"/>
          <w:szCs w:val="24"/>
          <w:vertAlign w:val="superscript"/>
          <w:lang w:val="ro-MD"/>
        </w:rPr>
        <w:footnoteReference w:id="79"/>
      </w:r>
      <w:r w:rsidRPr="00E67099">
        <w:rPr>
          <w:rFonts w:asciiTheme="majorHAnsi" w:hAnsiTheme="majorHAnsi" w:cstheme="majorHAnsi"/>
          <w:sz w:val="24"/>
          <w:szCs w:val="24"/>
          <w:lang w:val="ro-MD"/>
        </w:rPr>
        <w:t xml:space="preserve"> (3 luni), deși Codul contravențional al RM a fost completat din anul 2016.</w:t>
      </w:r>
    </w:p>
    <w:p w:rsidR="00E67099" w:rsidRPr="00E67099" w:rsidRDefault="00E67099" w:rsidP="00E67099">
      <w:pPr>
        <w:spacing w:after="0" w:line="276" w:lineRule="auto"/>
        <w:jc w:val="both"/>
        <w:rPr>
          <w:rFonts w:asciiTheme="majorHAnsi" w:eastAsia="Times New Roman" w:hAnsiTheme="majorHAnsi" w:cstheme="majorHAnsi"/>
          <w:sz w:val="24"/>
          <w:szCs w:val="24"/>
          <w:lang w:val="ro-MD"/>
        </w:rPr>
      </w:pPr>
      <w:r w:rsidRPr="00E67099">
        <w:rPr>
          <w:rFonts w:asciiTheme="majorHAnsi" w:eastAsia="Times New Roman" w:hAnsiTheme="majorHAnsi" w:cstheme="majorHAnsi"/>
          <w:sz w:val="24"/>
          <w:szCs w:val="24"/>
          <w:lang w:val="ro-MD"/>
        </w:rPr>
        <w:t>SFS a elaborat proiectul HG cu privire la procedura de raportare a informației privind amenzile contravenționale aplicate</w:t>
      </w:r>
      <w:r w:rsidRPr="00E67099">
        <w:rPr>
          <w:rFonts w:asciiTheme="majorHAnsi" w:hAnsiTheme="majorHAnsi" w:cstheme="majorHAnsi"/>
          <w:sz w:val="24"/>
          <w:szCs w:val="24"/>
          <w:lang w:val="ro-MD"/>
        </w:rPr>
        <w:t xml:space="preserve"> și Registrul amenzilor contravenționale (SIA „RAC”)</w:t>
      </w:r>
      <w:r w:rsidRPr="00E67099">
        <w:rPr>
          <w:rFonts w:asciiTheme="majorHAnsi" w:eastAsia="Times New Roman" w:hAnsiTheme="majorHAnsi" w:cstheme="majorHAnsi"/>
          <w:sz w:val="24"/>
          <w:szCs w:val="24"/>
          <w:lang w:val="ro-MD"/>
        </w:rPr>
        <w:t>, care sunt la etapa de inițiere a consultațiilor publice</w:t>
      </w:r>
      <w:r w:rsidRPr="00E67099">
        <w:rPr>
          <w:rFonts w:asciiTheme="majorHAnsi" w:hAnsiTheme="majorHAnsi" w:cstheme="majorHAnsi"/>
          <w:sz w:val="24"/>
          <w:szCs w:val="24"/>
          <w:vertAlign w:val="superscript"/>
          <w:lang w:val="ro-MD"/>
        </w:rPr>
        <w:footnoteReference w:id="80"/>
      </w:r>
      <w:r w:rsidRPr="00E67099">
        <w:rPr>
          <w:rFonts w:asciiTheme="majorHAnsi" w:hAnsiTheme="majorHAnsi" w:cstheme="majorHAnsi"/>
          <w:sz w:val="24"/>
          <w:szCs w:val="24"/>
          <w:lang w:val="ro-MD"/>
        </w:rPr>
        <w:t>.</w:t>
      </w:r>
    </w:p>
    <w:p w:rsidR="00E67099" w:rsidRPr="00E67099" w:rsidRDefault="00E67099" w:rsidP="00E67099">
      <w:pPr>
        <w:tabs>
          <w:tab w:val="left" w:pos="851"/>
        </w:tabs>
        <w:spacing w:after="0" w:line="276" w:lineRule="auto"/>
        <w:jc w:val="both"/>
        <w:rPr>
          <w:rFonts w:asciiTheme="majorHAnsi" w:eastAsia="Times New Roman" w:hAnsiTheme="majorHAnsi" w:cstheme="majorHAnsi"/>
          <w:sz w:val="24"/>
          <w:szCs w:val="24"/>
          <w:lang w:val="ro-MD"/>
        </w:rPr>
      </w:pPr>
      <w:r w:rsidRPr="00E67099">
        <w:rPr>
          <w:rFonts w:asciiTheme="majorHAnsi" w:eastAsia="Times New Roman" w:hAnsiTheme="majorHAnsi" w:cstheme="majorHAnsi"/>
          <w:sz w:val="24"/>
          <w:szCs w:val="24"/>
          <w:lang w:val="ro-MD"/>
        </w:rPr>
        <w:t>Conform Ordinului MF nr.205 din 21.12.2018, amenzile și sancțiunile aplicate de către autoritățile/instituțiile bugetare sunt administrate de către MF și SFS. Verificările auditului au constatat că instituțiile/autoritățile bugetare responsabile de calcularea amenzilor și sancțiunilor nu monitorizează încasarea sumelor calculate la BS și a sumelor restante.</w:t>
      </w:r>
    </w:p>
    <w:p w:rsidR="00E67099" w:rsidRPr="002B0000" w:rsidRDefault="00E67099" w:rsidP="00E67099">
      <w:pPr>
        <w:tabs>
          <w:tab w:val="left" w:pos="851"/>
        </w:tabs>
        <w:spacing w:after="0" w:line="276" w:lineRule="auto"/>
        <w:jc w:val="both"/>
        <w:rPr>
          <w:rFonts w:asciiTheme="majorHAnsi" w:eastAsia="Times New Roman" w:hAnsiTheme="majorHAnsi" w:cstheme="majorHAnsi"/>
          <w:sz w:val="24"/>
          <w:szCs w:val="24"/>
          <w:lang w:val="ro-MD"/>
        </w:rPr>
      </w:pPr>
      <w:r w:rsidRPr="00E67099">
        <w:rPr>
          <w:rFonts w:asciiTheme="majorHAnsi" w:eastAsia="Times New Roman" w:hAnsiTheme="majorHAnsi" w:cstheme="majorHAnsi"/>
          <w:sz w:val="24"/>
          <w:szCs w:val="24"/>
          <w:lang w:val="ro-MD"/>
        </w:rPr>
        <w:t xml:space="preserve">La solicitarea echipei de audit, 12 instituții/autorități bugetare (cu excepția SFS și SV) au prezentat estimativ informația cu privire la sumele calculate (319,3 mil. lei), încasate (137,5 mil. lei) și restante la amenzi (394,5 mil. lei), fiind stabilite de audit divergențe între suma executată conform datelor MF </w:t>
      </w:r>
      <w:r w:rsidRPr="002B0000">
        <w:rPr>
          <w:rFonts w:asciiTheme="majorHAnsi" w:eastAsia="Times New Roman" w:hAnsiTheme="majorHAnsi" w:cstheme="majorHAnsi"/>
          <w:sz w:val="24"/>
          <w:szCs w:val="24"/>
          <w:lang w:val="ro-MD"/>
        </w:rPr>
        <w:t xml:space="preserve">și suma executată și prezentată de către instituții în valoare de 51,8 mil. lei. </w:t>
      </w:r>
    </w:p>
    <w:p w:rsidR="00E67099" w:rsidRPr="00E67099" w:rsidRDefault="00E67099" w:rsidP="00E67099">
      <w:pPr>
        <w:tabs>
          <w:tab w:val="left" w:pos="851"/>
        </w:tabs>
        <w:spacing w:after="0" w:line="276" w:lineRule="auto"/>
        <w:jc w:val="both"/>
        <w:rPr>
          <w:rFonts w:asciiTheme="majorHAnsi" w:eastAsia="Times New Roman" w:hAnsiTheme="majorHAnsi" w:cstheme="majorHAnsi"/>
          <w:sz w:val="24"/>
          <w:szCs w:val="24"/>
          <w:lang w:val="ro-MD"/>
        </w:rPr>
      </w:pPr>
      <w:r w:rsidRPr="002B0000">
        <w:rPr>
          <w:rFonts w:asciiTheme="majorHAnsi" w:eastAsia="Times New Roman" w:hAnsiTheme="majorHAnsi" w:cstheme="majorHAnsi"/>
          <w:sz w:val="24"/>
          <w:szCs w:val="24"/>
          <w:lang w:val="ro-MD"/>
        </w:rPr>
        <w:t xml:space="preserve">Totodată, restanța formată în anul 2019 constituie 66,1 mil. lei, iar restanța cumulativă formată la situația din 31.12.2019 în sumă de 394,5 mil. lei, calculate cu aproximație și din data de când dețin informația </w:t>
      </w:r>
      <w:r w:rsidRPr="002B0000">
        <w:rPr>
          <w:rFonts w:asciiTheme="majorHAnsi" w:eastAsia="Times New Roman" w:hAnsiTheme="majorHAnsi" w:cstheme="majorHAnsi"/>
          <w:i/>
          <w:sz w:val="24"/>
          <w:szCs w:val="24"/>
          <w:lang w:val="ro-MD"/>
        </w:rPr>
        <w:t>(unele instituții dețin programe informaționale)</w:t>
      </w:r>
      <w:r w:rsidRPr="002B0000">
        <w:rPr>
          <w:rFonts w:asciiTheme="majorHAnsi" w:eastAsia="Times New Roman" w:hAnsiTheme="majorHAnsi" w:cstheme="majorHAnsi"/>
          <w:sz w:val="24"/>
          <w:szCs w:val="24"/>
          <w:lang w:val="ro-MD"/>
        </w:rPr>
        <w:t>. Persoanele</w:t>
      </w:r>
      <w:r w:rsidRPr="00E67099">
        <w:rPr>
          <w:rFonts w:asciiTheme="majorHAnsi" w:eastAsia="Times New Roman" w:hAnsiTheme="majorHAnsi" w:cstheme="majorHAnsi"/>
          <w:sz w:val="24"/>
          <w:szCs w:val="24"/>
          <w:lang w:val="ro-MD"/>
        </w:rPr>
        <w:t xml:space="preserve"> responsabile au motivat prin faptul că MF și SFS sunt administratori de venituri și nu dețin aceste date.</w:t>
      </w:r>
    </w:p>
    <w:p w:rsidR="00E67099" w:rsidRPr="00E67099" w:rsidRDefault="00E67099" w:rsidP="00E67099">
      <w:pPr>
        <w:spacing w:after="0" w:line="276" w:lineRule="auto"/>
        <w:contextualSpacing/>
        <w:jc w:val="both"/>
        <w:rPr>
          <w:rFonts w:asciiTheme="majorHAnsi" w:eastAsia="Times New Roman" w:hAnsiTheme="majorHAnsi" w:cstheme="majorHAnsi"/>
          <w:sz w:val="24"/>
          <w:szCs w:val="24"/>
          <w:lang w:val="ro-MD"/>
        </w:rPr>
      </w:pPr>
      <w:r w:rsidRPr="00E67099">
        <w:rPr>
          <w:rFonts w:asciiTheme="majorHAnsi" w:eastAsia="Times New Roman" w:hAnsiTheme="majorHAnsi" w:cstheme="majorHAnsi"/>
          <w:color w:val="000000"/>
          <w:sz w:val="24"/>
          <w:szCs w:val="24"/>
          <w:lang w:val="ro-MD" w:eastAsia="ru-RU"/>
        </w:rPr>
        <w:t>Auditul denotă că ne</w:t>
      </w:r>
      <w:r w:rsidRPr="00E67099">
        <w:rPr>
          <w:rFonts w:asciiTheme="majorHAnsi" w:eastAsia="Times New Roman" w:hAnsiTheme="majorHAnsi" w:cstheme="majorHAnsi"/>
          <w:sz w:val="24"/>
          <w:szCs w:val="24"/>
          <w:lang w:val="ro-MD"/>
        </w:rPr>
        <w:t>monitorizarea de către instituțiile responsabile a încasării sumelor calculate din amenzi și sancțiuni conduce la neîncasarea tuturor veniturilor în BS. Acest fapt este confirmat și la amnistia fiscală aplicată în baza Legii nr.180 din 26.07.2018</w:t>
      </w:r>
      <w:r w:rsidRPr="00E67099">
        <w:rPr>
          <w:rFonts w:asciiTheme="majorHAnsi" w:hAnsiTheme="majorHAnsi" w:cstheme="majorHAnsi"/>
          <w:sz w:val="24"/>
          <w:szCs w:val="24"/>
          <w:vertAlign w:val="superscript"/>
          <w:lang w:val="ro-MD"/>
        </w:rPr>
        <w:footnoteReference w:id="81"/>
      </w:r>
      <w:r w:rsidRPr="00E67099">
        <w:rPr>
          <w:rFonts w:asciiTheme="majorHAnsi" w:eastAsia="Times New Roman" w:hAnsiTheme="majorHAnsi" w:cstheme="majorHAnsi"/>
          <w:sz w:val="24"/>
          <w:szCs w:val="24"/>
          <w:lang w:val="ro-MD"/>
        </w:rPr>
        <w:t>, în temeiul căreia au fost amnistiate restanțe, în majoritate la amenzi, în sumă totală de 185,6 mil. lei, sau 79,1% din totalul restanțelor amnistiate (SFS – 150,6 mil. lei, și SV – 35,0 mil. lei).</w:t>
      </w:r>
    </w:p>
    <w:p w:rsidR="00E67099" w:rsidRPr="00E67099" w:rsidRDefault="00E67099" w:rsidP="0027101D">
      <w:pPr>
        <w:numPr>
          <w:ilvl w:val="1"/>
          <w:numId w:val="4"/>
        </w:numPr>
        <w:tabs>
          <w:tab w:val="left" w:pos="426"/>
        </w:tabs>
        <w:spacing w:after="0" w:line="276" w:lineRule="auto"/>
        <w:ind w:left="0" w:firstLine="0"/>
        <w:contextualSpacing/>
        <w:jc w:val="both"/>
        <w:outlineLvl w:val="0"/>
        <w:rPr>
          <w:rFonts w:asciiTheme="majorHAnsi" w:eastAsia="Times New Roman" w:hAnsiTheme="majorHAnsi" w:cs="Times New Roman"/>
          <w:b/>
          <w:sz w:val="24"/>
          <w:szCs w:val="24"/>
          <w:lang w:val="ro-MD"/>
        </w:rPr>
      </w:pPr>
      <w:r w:rsidRPr="00E67099">
        <w:rPr>
          <w:rFonts w:asciiTheme="majorHAnsi" w:eastAsia="Times New Roman" w:hAnsiTheme="majorHAnsi" w:cs="Times New Roman"/>
          <w:b/>
          <w:sz w:val="24"/>
          <w:szCs w:val="24"/>
          <w:lang w:val="ro-MD"/>
        </w:rPr>
        <w:t xml:space="preserve">Mijloacele fondurilor de urgență ale Guvernului </w:t>
      </w:r>
      <w:r w:rsidRPr="00E67099">
        <w:rPr>
          <w:rFonts w:asciiTheme="majorHAnsi" w:eastAsia="Times New Roman" w:hAnsiTheme="majorHAnsi" w:cs="Times New Roman"/>
          <w:b/>
          <w:sz w:val="24"/>
          <w:szCs w:val="24"/>
        </w:rPr>
        <w:t>au fost executate cu unele rezerve</w:t>
      </w:r>
    </w:p>
    <w:p w:rsidR="00E67099" w:rsidRPr="00E67099" w:rsidRDefault="00E67099" w:rsidP="00E67099">
      <w:pPr>
        <w:tabs>
          <w:tab w:val="left" w:pos="993"/>
        </w:tabs>
        <w:spacing w:after="0" w:line="276" w:lineRule="auto"/>
        <w:contextualSpacing/>
        <w:jc w:val="both"/>
        <w:rPr>
          <w:rFonts w:asciiTheme="majorHAnsi" w:eastAsia="Times New Roman" w:hAnsiTheme="majorHAnsi" w:cstheme="majorHAnsi"/>
          <w:sz w:val="24"/>
          <w:szCs w:val="24"/>
          <w:lang w:val="ro-MD"/>
        </w:rPr>
      </w:pPr>
      <w:r w:rsidRPr="00E67099">
        <w:rPr>
          <w:rFonts w:asciiTheme="majorHAnsi" w:eastAsia="Times New Roman" w:hAnsiTheme="majorHAnsi" w:cstheme="majorHAnsi"/>
          <w:sz w:val="24"/>
          <w:szCs w:val="24"/>
          <w:lang w:val="ro-MD"/>
        </w:rPr>
        <w:t>Prin Legea bugetului de stat pentru anul 2019</w:t>
      </w:r>
      <w:r w:rsidRPr="00E67099">
        <w:rPr>
          <w:rFonts w:asciiTheme="majorHAnsi" w:eastAsia="Times New Roman" w:hAnsiTheme="majorHAnsi" w:cstheme="majorHAnsi"/>
          <w:sz w:val="24"/>
          <w:szCs w:val="24"/>
          <w:vertAlign w:val="superscript"/>
          <w:lang w:val="ro-MD"/>
        </w:rPr>
        <w:footnoteReference w:id="82"/>
      </w:r>
      <w:r w:rsidRPr="00E67099">
        <w:rPr>
          <w:rFonts w:asciiTheme="majorHAnsi" w:eastAsia="Times New Roman" w:hAnsiTheme="majorHAnsi" w:cstheme="majorHAnsi"/>
          <w:sz w:val="24"/>
          <w:szCs w:val="24"/>
          <w:lang w:val="ro-MD"/>
        </w:rPr>
        <w:t>, fondurile de urgență ale Guvernului (constituite din fondul de rezervă și fondul de intervenție), inițial au fost aprobate în sumă de 70,0 mil. lei, inclusiv 50,0 mil. lei – fondul de rezervă al Guvernului, și 20,0 mil. lei – fondul de intervenție al Guvernului. Urmare a modificărilor operate pe parcursul anului, alocațiile pentru fondul de rezervă au fost diminuate cu 10,0 mil. lei, iar pentru fondul de intervenție au fost majorate cu 62,4 mil. lei. Potrivit motivației persoanelor responsabile, majorarea s-a efectuat ca urmare a multiplelor solicitări din partea APC și APL de alocare a mijloacelor pentru lichidarea consecințelor calamităților naturale, majoritatea fiind pentru compensarea pierderilor producătorilor agricoli (pentru culturile agricole, livezi etc.).</w:t>
      </w:r>
    </w:p>
    <w:p w:rsidR="00E67099" w:rsidRPr="00E67099" w:rsidRDefault="00E67099" w:rsidP="00E67099">
      <w:pPr>
        <w:tabs>
          <w:tab w:val="left" w:pos="993"/>
        </w:tabs>
        <w:spacing w:after="0" w:line="276" w:lineRule="auto"/>
        <w:contextualSpacing/>
        <w:jc w:val="both"/>
        <w:rPr>
          <w:rFonts w:asciiTheme="majorHAnsi" w:hAnsiTheme="majorHAnsi" w:cstheme="majorHAnsi"/>
          <w:b/>
          <w:i/>
          <w:sz w:val="24"/>
          <w:szCs w:val="24"/>
          <w:lang w:val="ro-MD"/>
        </w:rPr>
      </w:pPr>
      <w:r w:rsidRPr="00E67099">
        <w:rPr>
          <w:rFonts w:asciiTheme="majorHAnsi" w:eastAsia="Times New Roman" w:hAnsiTheme="majorHAnsi" w:cstheme="majorHAnsi"/>
          <w:sz w:val="24"/>
          <w:szCs w:val="24"/>
          <w:lang w:val="ro-MD"/>
        </w:rPr>
        <w:t>Pentru alocarea și repartizarea mijloacelor din fondul de rezervă, pe parcursul anului 2019 au fost aprobate 9 hotărâri de Guvern, în valoare de 25,8 mil. lei, și din fondul de intervenție – 9 hotărâri de Guvern, în sumă de 23,7 mil. lei. Totodată, executarea cheltuielilor în scopurile menționate au fost la nivel de 88,0 %, sau 22,7 mil. lei din fondul de rezervă și, respectiv, la nivel de 83,5%, sau 19,8 mil. lei din fondul de intervenție.</w:t>
      </w:r>
      <w:r w:rsidRPr="00E67099">
        <w:rPr>
          <w:rFonts w:asciiTheme="majorHAnsi" w:eastAsia="Calibri" w:hAnsiTheme="majorHAnsi" w:cstheme="majorHAnsi"/>
          <w:color w:val="000000"/>
          <w:sz w:val="24"/>
          <w:szCs w:val="24"/>
          <w:lang w:val="ro-MD"/>
        </w:rPr>
        <w:t xml:space="preserve"> </w:t>
      </w:r>
      <w:r w:rsidRPr="00E67099">
        <w:rPr>
          <w:rFonts w:asciiTheme="majorHAnsi" w:eastAsia="Times New Roman" w:hAnsiTheme="majorHAnsi" w:cstheme="majorHAnsi"/>
          <w:i/>
          <w:sz w:val="24"/>
          <w:szCs w:val="24"/>
          <w:lang w:val="ro-MD"/>
        </w:rPr>
        <w:t>Sinteza executării mijloacelor financiare din fondurile de rezervă și de intervenție ale Guvernului se prezintă în Anexa nr.23 la prezentul Raport de audit.</w:t>
      </w:r>
      <w:r w:rsidRPr="00E67099">
        <w:rPr>
          <w:rFonts w:asciiTheme="majorHAnsi" w:eastAsia="Calibri" w:hAnsiTheme="majorHAnsi" w:cstheme="majorHAnsi"/>
          <w:color w:val="000000"/>
          <w:sz w:val="28"/>
          <w:szCs w:val="28"/>
          <w:lang w:val="ro-MD"/>
        </w:rPr>
        <w:t xml:space="preserve">                                                        </w:t>
      </w:r>
    </w:p>
    <w:p w:rsidR="00E67099" w:rsidRPr="00E67099" w:rsidRDefault="00E67099" w:rsidP="00E67099">
      <w:pPr>
        <w:spacing w:after="0" w:line="276" w:lineRule="auto"/>
        <w:jc w:val="both"/>
        <w:rPr>
          <w:rFonts w:asciiTheme="majorHAnsi" w:eastAsia="Times New Roman" w:hAnsiTheme="majorHAnsi" w:cstheme="majorHAnsi"/>
          <w:i/>
          <w:sz w:val="24"/>
          <w:szCs w:val="24"/>
          <w:lang w:val="ro-MD"/>
        </w:rPr>
      </w:pPr>
      <w:r w:rsidRPr="00E67099">
        <w:rPr>
          <w:rFonts w:asciiTheme="majorHAnsi" w:eastAsia="Times New Roman" w:hAnsiTheme="majorHAnsi" w:cstheme="majorHAnsi"/>
          <w:sz w:val="24"/>
          <w:szCs w:val="24"/>
          <w:lang w:val="ro-MD"/>
        </w:rPr>
        <w:t>Verificările auditului denotă că, în perioada auditată, o pondere semnificativă de 60,9% din totalul deciziilor Guvernului de repartizare și, respectiv, executare a mijloacelor fondului de rezervă revine alocării mijloacelor financiare pentru despăgubirea sinistraților din orașul Otaci, iar 15,2% au fost alocate APP pentru acoperirea cheltuielilor aferente procurării și expunerii la vânzare a acțiunilor nou-emise de banca de importanță sistemică B.C. „Moldinconbank” S.A.  Auditul relevă că aceste cheltuieli (3,4 mil. lei) nu se încadrează în criteriile de eligibilitate pentru alocarea din fondul de rezervă stabilite în HG nr.862 din 18.12.2015</w:t>
      </w:r>
      <w:r w:rsidRPr="00E67099">
        <w:rPr>
          <w:rFonts w:asciiTheme="majorHAnsi" w:eastAsia="Times New Roman" w:hAnsiTheme="majorHAnsi" w:cstheme="majorHAnsi"/>
          <w:sz w:val="24"/>
          <w:szCs w:val="24"/>
          <w:vertAlign w:val="superscript"/>
          <w:lang w:val="ro-MD"/>
        </w:rPr>
        <w:footnoteReference w:id="83"/>
      </w:r>
      <w:r w:rsidRPr="00E67099">
        <w:rPr>
          <w:rFonts w:asciiTheme="majorHAnsi" w:eastAsia="Times New Roman" w:hAnsiTheme="majorHAnsi" w:cstheme="majorHAnsi"/>
          <w:sz w:val="24"/>
          <w:szCs w:val="24"/>
          <w:lang w:val="ro-MD"/>
        </w:rPr>
        <w:t xml:space="preserve">. </w:t>
      </w:r>
      <w:r w:rsidRPr="00E67099">
        <w:rPr>
          <w:rFonts w:asciiTheme="majorHAnsi" w:eastAsia="Times New Roman" w:hAnsiTheme="majorHAnsi" w:cstheme="majorHAnsi"/>
          <w:i/>
          <w:sz w:val="24"/>
          <w:szCs w:val="24"/>
          <w:lang w:val="ro-MD"/>
        </w:rPr>
        <w:t>Direcțiile principale de utilizare a mijloacelor fondului de rezervă al Guvernului în anul 2019 se prezintă în Anexa nr.24 la prezentul Raport de audit.</w:t>
      </w:r>
    </w:p>
    <w:p w:rsidR="00E67099" w:rsidRPr="00E67099" w:rsidRDefault="00E67099" w:rsidP="00E67099">
      <w:pPr>
        <w:spacing w:after="0" w:line="276" w:lineRule="auto"/>
        <w:jc w:val="both"/>
        <w:rPr>
          <w:rFonts w:asciiTheme="majorHAnsi" w:eastAsia="Times New Roman" w:hAnsiTheme="majorHAnsi" w:cstheme="majorHAnsi"/>
          <w:sz w:val="24"/>
          <w:szCs w:val="24"/>
          <w:lang w:val="ro-MD"/>
        </w:rPr>
      </w:pPr>
      <w:r w:rsidRPr="00E67099">
        <w:rPr>
          <w:rFonts w:asciiTheme="majorHAnsi" w:eastAsia="Times New Roman" w:hAnsiTheme="majorHAnsi" w:cstheme="majorHAnsi"/>
          <w:sz w:val="24"/>
          <w:szCs w:val="24"/>
          <w:lang w:val="ro-MD"/>
        </w:rPr>
        <w:t>În anul 2019, cheltuielile din fondul de intervenție al Guvernului au fost executate în volum de 19,8 mil. lei, dintre care 69,2% revin transferurilor către bugetele locale. Mijloacele repartizate au fost utilizate pentru finanțarea cheltuielilor urgente legate de lichidarea consecințelor calamităților naturale și de alte situații excepționale (explozii, avarii etc.). </w:t>
      </w:r>
    </w:p>
    <w:p w:rsidR="00E67099" w:rsidRPr="00E67099" w:rsidRDefault="00E67099" w:rsidP="00E67099">
      <w:pPr>
        <w:keepNext/>
        <w:keepLines/>
        <w:spacing w:after="0"/>
        <w:jc w:val="both"/>
        <w:outlineLvl w:val="2"/>
        <w:rPr>
          <w:rFonts w:ascii="Times New Roman" w:eastAsia="Times New Roman" w:hAnsi="Times New Roman" w:cs="Times New Roman"/>
          <w:color w:val="000000" w:themeColor="text1"/>
          <w:sz w:val="28"/>
          <w:szCs w:val="24"/>
          <w:lang w:val="en-US"/>
        </w:rPr>
      </w:pPr>
      <w:r w:rsidRPr="00E67099">
        <w:rPr>
          <w:rFonts w:asciiTheme="majorHAnsi" w:eastAsia="Times New Roman" w:hAnsiTheme="majorHAnsi" w:cstheme="majorHAnsi"/>
          <w:b/>
          <w:color w:val="000000" w:themeColor="text1"/>
          <w:sz w:val="24"/>
          <w:szCs w:val="24"/>
          <w:lang w:val="ro-MD"/>
        </w:rPr>
        <w:t>6.8. Se atestă o diminuare a cheltuielilor privind plățile aferente documentelor executorii, în comparație cu anul 2018</w:t>
      </w:r>
    </w:p>
    <w:p w:rsidR="00E67099" w:rsidRPr="00E67099" w:rsidRDefault="00E67099" w:rsidP="00E67099">
      <w:pPr>
        <w:spacing w:after="0" w:line="276" w:lineRule="auto"/>
        <w:jc w:val="both"/>
        <w:rPr>
          <w:rFonts w:asciiTheme="majorHAnsi" w:eastAsia="Times New Roman" w:hAnsiTheme="majorHAnsi" w:cstheme="majorHAnsi"/>
          <w:sz w:val="24"/>
          <w:szCs w:val="24"/>
          <w:lang w:val="ro-MD"/>
        </w:rPr>
      </w:pPr>
      <w:r w:rsidRPr="00E67099">
        <w:rPr>
          <w:rFonts w:asciiTheme="majorHAnsi" w:eastAsia="Times New Roman" w:hAnsiTheme="majorHAnsi" w:cstheme="majorHAnsi"/>
          <w:sz w:val="24"/>
          <w:szCs w:val="24"/>
          <w:lang w:val="ro-MD"/>
        </w:rPr>
        <w:t>Documentele executorii privind dezafectarea incontestabilă a mijloacelor bănești din contul BS, precum și din contul autorităților/instituțiilor bugetare se prezintă obligatoriu de către creditor direct MF și/sau, după caz, autorităților/instituțiilor bugetare respective, după rămânerea definitivă a hotărârii judecătorești</w:t>
      </w:r>
      <w:r w:rsidRPr="00E67099">
        <w:rPr>
          <w:rFonts w:asciiTheme="majorHAnsi" w:eastAsia="Times New Roman" w:hAnsiTheme="majorHAnsi" w:cstheme="majorHAnsi"/>
          <w:sz w:val="24"/>
          <w:szCs w:val="24"/>
          <w:vertAlign w:val="superscript"/>
          <w:lang w:val="ro-MD"/>
        </w:rPr>
        <w:footnoteReference w:id="84"/>
      </w:r>
      <w:r w:rsidRPr="00E67099">
        <w:rPr>
          <w:rFonts w:asciiTheme="majorHAnsi" w:eastAsia="Times New Roman" w:hAnsiTheme="majorHAnsi" w:cstheme="majorHAnsi"/>
          <w:sz w:val="24"/>
          <w:szCs w:val="24"/>
          <w:lang w:val="ro-MD"/>
        </w:rPr>
        <w:t>.</w:t>
      </w:r>
    </w:p>
    <w:p w:rsidR="00E67099" w:rsidRPr="00E67099" w:rsidRDefault="00E67099" w:rsidP="00E67099">
      <w:pPr>
        <w:spacing w:after="0" w:line="276" w:lineRule="auto"/>
        <w:jc w:val="both"/>
        <w:rPr>
          <w:rFonts w:asciiTheme="majorHAnsi" w:eastAsia="Times New Roman" w:hAnsiTheme="majorHAnsi" w:cs="Times New Roman"/>
          <w:sz w:val="24"/>
          <w:szCs w:val="24"/>
          <w:lang w:val="ro-MD"/>
        </w:rPr>
      </w:pPr>
      <w:r w:rsidRPr="00E67099">
        <w:rPr>
          <w:rFonts w:asciiTheme="majorHAnsi" w:eastAsia="Times New Roman" w:hAnsiTheme="majorHAnsi" w:cstheme="majorHAnsi"/>
          <w:sz w:val="24"/>
          <w:szCs w:val="24"/>
          <w:lang w:val="ro-MD"/>
        </w:rPr>
        <w:t xml:space="preserve">În Legea bugetului de stat pentru anul 2019 au fost aprobate 26,0 mil. lei alocații pentru plățile aferente documentelor executorii, ulterior volumul alocațiilor precizate a fost majorat până la 36,2 mil. lei, fiind executate 33,4 mil. lei, sau cu 2,7 mil. lei mai puțin față de suma precizată și cu 7,5 mil. lei mai mult față de suma aprobată. </w:t>
      </w:r>
      <w:r w:rsidRPr="00E67099">
        <w:rPr>
          <w:rFonts w:asciiTheme="majorHAnsi" w:eastAsia="Times New Roman" w:hAnsiTheme="majorHAnsi" w:cs="Times New Roman"/>
          <w:sz w:val="24"/>
          <w:szCs w:val="24"/>
          <w:lang w:val="ro-MD"/>
        </w:rPr>
        <w:t xml:space="preserve">Analiza auditului atestă o </w:t>
      </w:r>
      <w:r w:rsidRPr="00E67099">
        <w:rPr>
          <w:rFonts w:asciiTheme="majorHAnsi" w:eastAsia="Times New Roman" w:hAnsiTheme="majorHAnsi" w:cs="Times New Roman"/>
          <w:color w:val="000000" w:themeColor="text1"/>
          <w:sz w:val="24"/>
          <w:szCs w:val="24"/>
          <w:lang w:val="ro-MD"/>
        </w:rPr>
        <w:t>diminuare</w:t>
      </w:r>
      <w:r w:rsidRPr="00E67099">
        <w:rPr>
          <w:rFonts w:asciiTheme="majorHAnsi" w:eastAsia="Times New Roman" w:hAnsiTheme="majorHAnsi" w:cs="Times New Roman"/>
          <w:sz w:val="24"/>
          <w:szCs w:val="24"/>
          <w:lang w:val="ro-MD"/>
        </w:rPr>
        <w:t xml:space="preserve"> cu 28,7 mil. lei</w:t>
      </w:r>
      <w:r w:rsidRPr="00E67099">
        <w:rPr>
          <w:rFonts w:asciiTheme="majorHAnsi" w:eastAsia="Times New Roman" w:hAnsiTheme="majorHAnsi" w:cs="Times New Roman"/>
          <w:color w:val="000000" w:themeColor="text1"/>
          <w:sz w:val="24"/>
          <w:szCs w:val="24"/>
          <w:lang w:val="ro-MD"/>
        </w:rPr>
        <w:t xml:space="preserve"> </w:t>
      </w:r>
      <w:r w:rsidRPr="00E67099">
        <w:rPr>
          <w:rFonts w:asciiTheme="majorHAnsi" w:eastAsia="Times New Roman" w:hAnsiTheme="majorHAnsi" w:cs="Times New Roman"/>
          <w:sz w:val="24"/>
          <w:szCs w:val="24"/>
          <w:lang w:val="ro-MD"/>
        </w:rPr>
        <w:t>a cheltuielilor privind plățile aferente documentelor executorii, în comparație cu anul 2018, iar față de cheltuielile înregistrate în anul 2017 – cu 6,9 mil. lei mai mult.</w:t>
      </w:r>
    </w:p>
    <w:p w:rsidR="00E67099" w:rsidRPr="00E67099" w:rsidRDefault="00E67099" w:rsidP="00E67099">
      <w:pPr>
        <w:spacing w:after="0" w:line="276" w:lineRule="auto"/>
        <w:jc w:val="both"/>
        <w:rPr>
          <w:rFonts w:asciiTheme="majorHAnsi" w:eastAsia="Times New Roman" w:hAnsiTheme="majorHAnsi" w:cs="Times New Roman"/>
          <w:i/>
          <w:sz w:val="24"/>
          <w:szCs w:val="24"/>
          <w:lang w:val="ro-MD"/>
        </w:rPr>
      </w:pPr>
      <w:r w:rsidRPr="00E67099">
        <w:rPr>
          <w:rFonts w:asciiTheme="majorHAnsi" w:eastAsia="Times New Roman" w:hAnsiTheme="majorHAnsi" w:cs="Times New Roman"/>
          <w:sz w:val="24"/>
          <w:szCs w:val="24"/>
          <w:lang w:val="ro-MD"/>
        </w:rPr>
        <w:t xml:space="preserve">Pe parcursul anului 2019, MF i-au fost prezentate 203 documente executorii în sumă de 18,6 mil. lei, din care: 154 de titluri executorii emise de instanțele judecătorești din RM (7,9 mil. lei) și 49 hotărâri emise de Curtea Europeană a Drepturilor Omului (10,7 mil. lei). </w:t>
      </w:r>
      <w:r w:rsidRPr="00E67099">
        <w:rPr>
          <w:rFonts w:asciiTheme="majorHAnsi" w:eastAsia="Times New Roman" w:hAnsiTheme="majorHAnsi" w:cs="Times New Roman"/>
          <w:i/>
          <w:sz w:val="24"/>
          <w:szCs w:val="24"/>
          <w:lang w:val="ro-MD"/>
        </w:rPr>
        <w:t xml:space="preserve">Informația privind executarea documentelor executorii în anul </w:t>
      </w:r>
      <w:r w:rsidR="00DB599F">
        <w:rPr>
          <w:rFonts w:asciiTheme="majorHAnsi" w:eastAsia="Times New Roman" w:hAnsiTheme="majorHAnsi" w:cs="Times New Roman"/>
          <w:i/>
          <w:sz w:val="24"/>
          <w:szCs w:val="24"/>
          <w:lang w:val="ro-MD"/>
        </w:rPr>
        <w:t>2019 se prezintă în Tabelul nr.2</w:t>
      </w:r>
      <w:r w:rsidRPr="00E67099">
        <w:rPr>
          <w:rFonts w:asciiTheme="majorHAnsi" w:eastAsia="Times New Roman" w:hAnsiTheme="majorHAnsi" w:cs="Times New Roman"/>
          <w:i/>
          <w:sz w:val="24"/>
          <w:szCs w:val="24"/>
          <w:lang w:val="ro-MD"/>
        </w:rPr>
        <w:t>.</w:t>
      </w:r>
    </w:p>
    <w:p w:rsidR="00E67099" w:rsidRPr="00E67099" w:rsidRDefault="00DB599F" w:rsidP="00E67099">
      <w:pPr>
        <w:spacing w:after="0" w:line="276" w:lineRule="auto"/>
        <w:jc w:val="right"/>
        <w:rPr>
          <w:rFonts w:asciiTheme="majorHAnsi" w:eastAsia="Times New Roman" w:hAnsiTheme="majorHAnsi" w:cs="Times New Roman"/>
          <w:i/>
          <w:sz w:val="24"/>
          <w:szCs w:val="24"/>
          <w:lang w:val="ro-MD"/>
        </w:rPr>
      </w:pPr>
      <w:r>
        <w:rPr>
          <w:rFonts w:asciiTheme="majorHAnsi" w:eastAsia="Times New Roman" w:hAnsiTheme="majorHAnsi" w:cs="Times New Roman"/>
          <w:i/>
          <w:sz w:val="24"/>
          <w:szCs w:val="24"/>
          <w:lang w:val="ro-MD"/>
        </w:rPr>
        <w:t>Tabelul nr.2</w:t>
      </w:r>
    </w:p>
    <w:p w:rsidR="00E67099" w:rsidRPr="00E67099" w:rsidRDefault="00E67099" w:rsidP="00E67099">
      <w:pPr>
        <w:spacing w:after="0" w:line="276" w:lineRule="auto"/>
        <w:jc w:val="center"/>
        <w:rPr>
          <w:rFonts w:asciiTheme="majorHAnsi" w:eastAsia="Times New Roman" w:hAnsiTheme="majorHAnsi" w:cs="Times New Roman"/>
          <w:b/>
          <w:sz w:val="24"/>
          <w:szCs w:val="24"/>
          <w:lang w:val="ro-MD"/>
        </w:rPr>
      </w:pPr>
      <w:r w:rsidRPr="00E67099">
        <w:rPr>
          <w:rFonts w:asciiTheme="majorHAnsi" w:eastAsia="Times New Roman" w:hAnsiTheme="majorHAnsi" w:cs="Times New Roman"/>
          <w:b/>
          <w:sz w:val="24"/>
          <w:szCs w:val="24"/>
          <w:lang w:val="ro-MD"/>
        </w:rPr>
        <w:t>Informația privind executarea documentelor executorii în anul 2019</w:t>
      </w:r>
    </w:p>
    <w:p w:rsidR="00E67099" w:rsidRPr="00E67099" w:rsidRDefault="00E67099" w:rsidP="00E67099">
      <w:pPr>
        <w:spacing w:after="0" w:line="276" w:lineRule="auto"/>
        <w:jc w:val="right"/>
        <w:rPr>
          <w:rFonts w:asciiTheme="majorHAnsi" w:eastAsia="Times New Roman" w:hAnsiTheme="majorHAnsi" w:cs="Times New Roman"/>
          <w:b/>
          <w:sz w:val="24"/>
          <w:szCs w:val="24"/>
          <w:lang w:val="ro-MD"/>
        </w:rPr>
      </w:pPr>
      <w:r w:rsidRPr="00E67099">
        <w:rPr>
          <w:rFonts w:asciiTheme="majorHAnsi" w:eastAsia="Times New Roman" w:hAnsiTheme="majorHAnsi" w:cs="Times New Roman"/>
          <w:b/>
          <w:sz w:val="24"/>
          <w:szCs w:val="24"/>
          <w:lang w:val="ro-MD"/>
        </w:rPr>
        <w:t>(mil. lei)</w:t>
      </w:r>
    </w:p>
    <w:tbl>
      <w:tblPr>
        <w:tblStyle w:val="GridTable1Light1"/>
        <w:tblW w:w="0" w:type="auto"/>
        <w:jc w:val="center"/>
        <w:tblLayout w:type="fixed"/>
        <w:tblLook w:val="04A0" w:firstRow="1" w:lastRow="0" w:firstColumn="1" w:lastColumn="0" w:noHBand="0" w:noVBand="1"/>
      </w:tblPr>
      <w:tblGrid>
        <w:gridCol w:w="605"/>
        <w:gridCol w:w="1942"/>
        <w:gridCol w:w="1275"/>
        <w:gridCol w:w="1135"/>
        <w:gridCol w:w="1125"/>
        <w:gridCol w:w="1130"/>
        <w:gridCol w:w="1111"/>
        <w:gridCol w:w="1111"/>
      </w:tblGrid>
      <w:tr w:rsidR="00E67099" w:rsidRPr="00E67099" w:rsidTr="00A3673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5" w:type="dxa"/>
            <w:vMerge w:val="restart"/>
            <w:vAlign w:val="center"/>
          </w:tcPr>
          <w:p w:rsidR="00E67099" w:rsidRPr="00E67099" w:rsidRDefault="00E67099" w:rsidP="00E67099">
            <w:pPr>
              <w:jc w:val="center"/>
              <w:rPr>
                <w:rFonts w:asciiTheme="majorHAnsi" w:eastAsia="Times New Roman" w:hAnsiTheme="majorHAnsi" w:cs="Times New Roman"/>
                <w:sz w:val="20"/>
                <w:szCs w:val="20"/>
                <w:lang w:val="ro-MD"/>
              </w:rPr>
            </w:pPr>
          </w:p>
          <w:p w:rsidR="00E67099" w:rsidRPr="00E67099" w:rsidRDefault="00E67099" w:rsidP="00E67099">
            <w:pPr>
              <w:jc w:val="center"/>
              <w:rPr>
                <w:rFonts w:asciiTheme="majorHAnsi" w:eastAsia="Times New Roman" w:hAnsiTheme="majorHAnsi" w:cs="Times New Roman"/>
                <w:sz w:val="20"/>
                <w:szCs w:val="20"/>
                <w:lang w:val="ro-MD"/>
              </w:rPr>
            </w:pPr>
            <w:r w:rsidRPr="00E67099">
              <w:rPr>
                <w:rFonts w:asciiTheme="majorHAnsi" w:eastAsia="Times New Roman" w:hAnsiTheme="majorHAnsi" w:cs="Times New Roman"/>
                <w:sz w:val="20"/>
                <w:szCs w:val="20"/>
                <w:lang w:val="ro-MD"/>
              </w:rPr>
              <w:t>Nr.</w:t>
            </w:r>
          </w:p>
          <w:p w:rsidR="00E67099" w:rsidRPr="00E67099" w:rsidRDefault="00E67099" w:rsidP="00E67099">
            <w:pPr>
              <w:jc w:val="center"/>
              <w:rPr>
                <w:rFonts w:asciiTheme="majorHAnsi" w:eastAsia="Times New Roman" w:hAnsiTheme="majorHAnsi" w:cs="Times New Roman"/>
                <w:sz w:val="20"/>
                <w:szCs w:val="20"/>
                <w:lang w:val="ro-MD"/>
              </w:rPr>
            </w:pPr>
            <w:r w:rsidRPr="00E67099">
              <w:rPr>
                <w:rFonts w:asciiTheme="majorHAnsi" w:eastAsia="Times New Roman" w:hAnsiTheme="majorHAnsi" w:cs="Times New Roman"/>
                <w:sz w:val="20"/>
                <w:szCs w:val="20"/>
                <w:lang w:val="ro-MD"/>
              </w:rPr>
              <w:t>d/o</w:t>
            </w:r>
          </w:p>
        </w:tc>
        <w:tc>
          <w:tcPr>
            <w:tcW w:w="1942" w:type="dxa"/>
            <w:vMerge w:val="restart"/>
            <w:vAlign w:val="center"/>
          </w:tcPr>
          <w:p w:rsidR="00E67099" w:rsidRPr="00E67099" w:rsidRDefault="00E67099" w:rsidP="00E67099">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ro-MD"/>
              </w:rPr>
            </w:pPr>
          </w:p>
          <w:p w:rsidR="00E67099" w:rsidRPr="00E67099" w:rsidRDefault="00E67099" w:rsidP="00E67099">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ro-MD"/>
              </w:rPr>
            </w:pPr>
            <w:r w:rsidRPr="00E67099">
              <w:rPr>
                <w:rFonts w:asciiTheme="majorHAnsi" w:eastAsia="Times New Roman" w:hAnsiTheme="majorHAnsi" w:cs="Times New Roman"/>
                <w:sz w:val="20"/>
                <w:szCs w:val="20"/>
                <w:lang w:val="ro-MD"/>
              </w:rPr>
              <w:t>Beneficiari</w:t>
            </w:r>
          </w:p>
        </w:tc>
        <w:tc>
          <w:tcPr>
            <w:tcW w:w="4665" w:type="dxa"/>
            <w:gridSpan w:val="4"/>
            <w:vAlign w:val="center"/>
          </w:tcPr>
          <w:p w:rsidR="00E67099" w:rsidRPr="00E67099" w:rsidRDefault="00E67099" w:rsidP="00E67099">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ro-MD"/>
              </w:rPr>
            </w:pPr>
            <w:r w:rsidRPr="00E67099">
              <w:rPr>
                <w:rFonts w:asciiTheme="majorHAnsi" w:eastAsia="Times New Roman" w:hAnsiTheme="majorHAnsi" w:cs="Times New Roman"/>
                <w:sz w:val="20"/>
                <w:szCs w:val="20"/>
                <w:lang w:val="ro-MD"/>
              </w:rPr>
              <w:t>Documente executorii emise de:</w:t>
            </w:r>
          </w:p>
        </w:tc>
        <w:tc>
          <w:tcPr>
            <w:tcW w:w="2222" w:type="dxa"/>
            <w:gridSpan w:val="2"/>
            <w:vMerge w:val="restart"/>
            <w:vAlign w:val="center"/>
          </w:tcPr>
          <w:p w:rsidR="00E67099" w:rsidRPr="00E67099" w:rsidRDefault="00E67099" w:rsidP="00E67099">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ro-MD"/>
              </w:rPr>
            </w:pPr>
          </w:p>
          <w:p w:rsidR="00E67099" w:rsidRPr="00E67099" w:rsidRDefault="00E67099" w:rsidP="00E67099">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ro-MD"/>
              </w:rPr>
            </w:pPr>
            <w:r w:rsidRPr="00E67099">
              <w:rPr>
                <w:rFonts w:asciiTheme="majorHAnsi" w:eastAsia="Times New Roman" w:hAnsiTheme="majorHAnsi" w:cs="Times New Roman"/>
                <w:sz w:val="20"/>
                <w:szCs w:val="20"/>
                <w:lang w:val="ro-MD"/>
              </w:rPr>
              <w:t>Total</w:t>
            </w:r>
          </w:p>
        </w:tc>
      </w:tr>
      <w:tr w:rsidR="00E67099" w:rsidRPr="00E67099" w:rsidTr="00A36731">
        <w:trPr>
          <w:jc w:val="center"/>
        </w:trPr>
        <w:tc>
          <w:tcPr>
            <w:cnfStyle w:val="001000000000" w:firstRow="0" w:lastRow="0" w:firstColumn="1" w:lastColumn="0" w:oddVBand="0" w:evenVBand="0" w:oddHBand="0" w:evenHBand="0" w:firstRowFirstColumn="0" w:firstRowLastColumn="0" w:lastRowFirstColumn="0" w:lastRowLastColumn="0"/>
            <w:tcW w:w="605" w:type="dxa"/>
            <w:vMerge/>
            <w:vAlign w:val="center"/>
          </w:tcPr>
          <w:p w:rsidR="00E67099" w:rsidRPr="00E67099" w:rsidRDefault="00E67099" w:rsidP="00E67099">
            <w:pPr>
              <w:jc w:val="center"/>
              <w:rPr>
                <w:rFonts w:asciiTheme="majorHAnsi" w:eastAsia="Times New Roman" w:hAnsiTheme="majorHAnsi" w:cs="Times New Roman"/>
                <w:sz w:val="20"/>
                <w:szCs w:val="20"/>
                <w:lang w:val="ro-MD"/>
              </w:rPr>
            </w:pPr>
          </w:p>
        </w:tc>
        <w:tc>
          <w:tcPr>
            <w:tcW w:w="1942" w:type="dxa"/>
            <w:vMerge/>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lang w:val="ro-MD"/>
              </w:rPr>
            </w:pPr>
          </w:p>
        </w:tc>
        <w:tc>
          <w:tcPr>
            <w:tcW w:w="2410" w:type="dxa"/>
            <w:gridSpan w:val="2"/>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lang w:val="ro-MD"/>
              </w:rPr>
            </w:pPr>
            <w:r w:rsidRPr="00E67099">
              <w:rPr>
                <w:rFonts w:asciiTheme="majorHAnsi" w:eastAsia="Times New Roman" w:hAnsiTheme="majorHAnsi" w:cs="Times New Roman"/>
                <w:b/>
                <w:sz w:val="20"/>
                <w:szCs w:val="20"/>
                <w:lang w:val="ro-MD"/>
              </w:rPr>
              <w:t>Instanțele judecătorești din RM</w:t>
            </w:r>
          </w:p>
        </w:tc>
        <w:tc>
          <w:tcPr>
            <w:tcW w:w="2253" w:type="dxa"/>
            <w:gridSpan w:val="2"/>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lang w:val="ro-MD"/>
              </w:rPr>
            </w:pPr>
            <w:r w:rsidRPr="00E67099">
              <w:rPr>
                <w:rFonts w:asciiTheme="majorHAnsi" w:eastAsia="Times New Roman" w:hAnsiTheme="majorHAnsi" w:cs="Times New Roman"/>
                <w:b/>
                <w:sz w:val="20"/>
                <w:szCs w:val="20"/>
                <w:lang w:val="ro-MD"/>
              </w:rPr>
              <w:t>CEDO</w:t>
            </w:r>
          </w:p>
        </w:tc>
        <w:tc>
          <w:tcPr>
            <w:tcW w:w="2222" w:type="dxa"/>
            <w:gridSpan w:val="2"/>
            <w:vMerge/>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lang w:val="ro-MD"/>
              </w:rPr>
            </w:pPr>
          </w:p>
        </w:tc>
      </w:tr>
      <w:tr w:rsidR="00E67099" w:rsidRPr="00E67099" w:rsidTr="00A36731">
        <w:trPr>
          <w:jc w:val="center"/>
        </w:trPr>
        <w:tc>
          <w:tcPr>
            <w:cnfStyle w:val="001000000000" w:firstRow="0" w:lastRow="0" w:firstColumn="1" w:lastColumn="0" w:oddVBand="0" w:evenVBand="0" w:oddHBand="0" w:evenHBand="0" w:firstRowFirstColumn="0" w:firstRowLastColumn="0" w:lastRowFirstColumn="0" w:lastRowLastColumn="0"/>
            <w:tcW w:w="605" w:type="dxa"/>
            <w:vMerge/>
            <w:vAlign w:val="center"/>
          </w:tcPr>
          <w:p w:rsidR="00E67099" w:rsidRPr="00E67099" w:rsidRDefault="00E67099" w:rsidP="00E67099">
            <w:pPr>
              <w:jc w:val="center"/>
              <w:rPr>
                <w:rFonts w:asciiTheme="majorHAnsi" w:eastAsia="Times New Roman" w:hAnsiTheme="majorHAnsi" w:cs="Times New Roman"/>
                <w:sz w:val="20"/>
                <w:szCs w:val="20"/>
                <w:lang w:val="ro-MD"/>
              </w:rPr>
            </w:pPr>
          </w:p>
        </w:tc>
        <w:tc>
          <w:tcPr>
            <w:tcW w:w="1942" w:type="dxa"/>
            <w:vMerge/>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ro-MD"/>
              </w:rPr>
            </w:pPr>
          </w:p>
        </w:tc>
        <w:tc>
          <w:tcPr>
            <w:tcW w:w="1275"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lang w:val="ro-MD"/>
              </w:rPr>
            </w:pPr>
            <w:r w:rsidRPr="00E67099">
              <w:rPr>
                <w:rFonts w:asciiTheme="majorHAnsi" w:eastAsia="Times New Roman" w:hAnsiTheme="majorHAnsi" w:cs="Times New Roman"/>
                <w:b/>
                <w:sz w:val="20"/>
                <w:szCs w:val="20"/>
                <w:lang w:val="ro-MD"/>
              </w:rPr>
              <w:t>Numărul</w:t>
            </w:r>
          </w:p>
        </w:tc>
        <w:tc>
          <w:tcPr>
            <w:tcW w:w="1135"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lang w:val="ro-MD"/>
              </w:rPr>
            </w:pPr>
            <w:r w:rsidRPr="00E67099">
              <w:rPr>
                <w:rFonts w:asciiTheme="majorHAnsi" w:eastAsia="Times New Roman" w:hAnsiTheme="majorHAnsi" w:cs="Times New Roman"/>
                <w:b/>
                <w:sz w:val="20"/>
                <w:szCs w:val="20"/>
                <w:lang w:val="ro-MD"/>
              </w:rPr>
              <w:t>Suma</w:t>
            </w:r>
          </w:p>
        </w:tc>
        <w:tc>
          <w:tcPr>
            <w:tcW w:w="1125"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lang w:val="ro-MD"/>
              </w:rPr>
            </w:pPr>
            <w:r w:rsidRPr="00E67099">
              <w:rPr>
                <w:rFonts w:asciiTheme="majorHAnsi" w:eastAsia="Times New Roman" w:hAnsiTheme="majorHAnsi" w:cs="Times New Roman"/>
                <w:b/>
                <w:sz w:val="20"/>
                <w:szCs w:val="20"/>
                <w:lang w:val="ro-MD"/>
              </w:rPr>
              <w:t>Numărul</w:t>
            </w:r>
          </w:p>
        </w:tc>
        <w:tc>
          <w:tcPr>
            <w:tcW w:w="1128"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lang w:val="ro-MD"/>
              </w:rPr>
            </w:pPr>
            <w:r w:rsidRPr="00E67099">
              <w:rPr>
                <w:rFonts w:asciiTheme="majorHAnsi" w:eastAsia="Times New Roman" w:hAnsiTheme="majorHAnsi" w:cs="Times New Roman"/>
                <w:b/>
                <w:sz w:val="20"/>
                <w:szCs w:val="20"/>
                <w:lang w:val="ro-MD"/>
              </w:rPr>
              <w:t>Suma</w:t>
            </w:r>
          </w:p>
        </w:tc>
        <w:tc>
          <w:tcPr>
            <w:tcW w:w="1111"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lang w:val="ro-MD"/>
              </w:rPr>
            </w:pPr>
            <w:r w:rsidRPr="00E67099">
              <w:rPr>
                <w:rFonts w:asciiTheme="majorHAnsi" w:eastAsia="Times New Roman" w:hAnsiTheme="majorHAnsi" w:cs="Times New Roman"/>
                <w:b/>
                <w:sz w:val="20"/>
                <w:szCs w:val="20"/>
                <w:lang w:val="ro-MD"/>
              </w:rPr>
              <w:t>Numărul</w:t>
            </w:r>
          </w:p>
        </w:tc>
        <w:tc>
          <w:tcPr>
            <w:tcW w:w="1111"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lang w:val="ro-MD"/>
              </w:rPr>
            </w:pPr>
            <w:r w:rsidRPr="00E67099">
              <w:rPr>
                <w:rFonts w:asciiTheme="majorHAnsi" w:eastAsia="Times New Roman" w:hAnsiTheme="majorHAnsi" w:cs="Times New Roman"/>
                <w:b/>
                <w:sz w:val="20"/>
                <w:szCs w:val="20"/>
                <w:lang w:val="ro-MD"/>
              </w:rPr>
              <w:t>Suma</w:t>
            </w:r>
          </w:p>
        </w:tc>
      </w:tr>
      <w:tr w:rsidR="00E67099" w:rsidRPr="00E67099" w:rsidTr="00A36731">
        <w:trPr>
          <w:jc w:val="center"/>
        </w:trPr>
        <w:tc>
          <w:tcPr>
            <w:cnfStyle w:val="001000000000" w:firstRow="0" w:lastRow="0" w:firstColumn="1" w:lastColumn="0" w:oddVBand="0" w:evenVBand="0" w:oddHBand="0" w:evenHBand="0" w:firstRowFirstColumn="0" w:firstRowLastColumn="0" w:lastRowFirstColumn="0" w:lastRowLastColumn="0"/>
            <w:tcW w:w="605" w:type="dxa"/>
          </w:tcPr>
          <w:p w:rsidR="00E67099" w:rsidRPr="00E67099" w:rsidRDefault="00E67099" w:rsidP="00E67099">
            <w:pPr>
              <w:jc w:val="center"/>
              <w:rPr>
                <w:rFonts w:asciiTheme="majorHAnsi" w:eastAsia="Times New Roman" w:hAnsiTheme="majorHAnsi" w:cs="Times New Roman"/>
                <w:sz w:val="20"/>
                <w:szCs w:val="20"/>
                <w:lang w:val="ro-MD"/>
              </w:rPr>
            </w:pPr>
            <w:r w:rsidRPr="00E67099">
              <w:rPr>
                <w:rFonts w:asciiTheme="majorHAnsi" w:eastAsia="Times New Roman" w:hAnsiTheme="majorHAnsi" w:cs="Times New Roman"/>
                <w:sz w:val="20"/>
                <w:szCs w:val="20"/>
                <w:lang w:val="ro-MD"/>
              </w:rPr>
              <w:t>1</w:t>
            </w:r>
          </w:p>
        </w:tc>
        <w:tc>
          <w:tcPr>
            <w:tcW w:w="1942" w:type="dxa"/>
          </w:tcPr>
          <w:p w:rsidR="00E67099" w:rsidRPr="00E67099" w:rsidRDefault="00E67099" w:rsidP="00E67099">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ro-MD"/>
              </w:rPr>
            </w:pPr>
            <w:r w:rsidRPr="00E67099">
              <w:rPr>
                <w:rFonts w:asciiTheme="majorHAnsi" w:eastAsia="Times New Roman" w:hAnsiTheme="majorHAnsi" w:cs="Times New Roman"/>
                <w:sz w:val="20"/>
                <w:szCs w:val="20"/>
                <w:lang w:val="ro-MD"/>
              </w:rPr>
              <w:t>Persoane fizice</w:t>
            </w:r>
          </w:p>
        </w:tc>
        <w:tc>
          <w:tcPr>
            <w:tcW w:w="1275"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ro-MD"/>
              </w:rPr>
            </w:pPr>
            <w:r w:rsidRPr="00E67099">
              <w:rPr>
                <w:rFonts w:asciiTheme="majorHAnsi" w:eastAsia="Times New Roman" w:hAnsiTheme="majorHAnsi" w:cs="Times New Roman"/>
                <w:sz w:val="20"/>
                <w:szCs w:val="20"/>
                <w:lang w:val="ro-MD"/>
              </w:rPr>
              <w:t>149</w:t>
            </w:r>
          </w:p>
        </w:tc>
        <w:tc>
          <w:tcPr>
            <w:tcW w:w="1135"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ro-MD"/>
              </w:rPr>
            </w:pPr>
            <w:r w:rsidRPr="00E67099">
              <w:rPr>
                <w:rFonts w:asciiTheme="majorHAnsi" w:eastAsia="Times New Roman" w:hAnsiTheme="majorHAnsi" w:cs="Times New Roman"/>
                <w:sz w:val="20"/>
                <w:szCs w:val="20"/>
                <w:lang w:val="ro-MD"/>
              </w:rPr>
              <w:t>7,9</w:t>
            </w:r>
          </w:p>
        </w:tc>
        <w:tc>
          <w:tcPr>
            <w:tcW w:w="1125"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ro-MD"/>
              </w:rPr>
            </w:pPr>
            <w:r w:rsidRPr="00E67099">
              <w:rPr>
                <w:rFonts w:asciiTheme="majorHAnsi" w:eastAsia="Times New Roman" w:hAnsiTheme="majorHAnsi" w:cs="Times New Roman"/>
                <w:sz w:val="20"/>
                <w:szCs w:val="20"/>
                <w:lang w:val="ro-MD"/>
              </w:rPr>
              <w:t>39</w:t>
            </w:r>
          </w:p>
        </w:tc>
        <w:tc>
          <w:tcPr>
            <w:tcW w:w="1128"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ro-MD"/>
              </w:rPr>
            </w:pPr>
            <w:r w:rsidRPr="00E67099">
              <w:rPr>
                <w:rFonts w:asciiTheme="majorHAnsi" w:eastAsia="Times New Roman" w:hAnsiTheme="majorHAnsi" w:cs="Times New Roman"/>
                <w:sz w:val="20"/>
                <w:szCs w:val="20"/>
                <w:lang w:val="ro-MD"/>
              </w:rPr>
              <w:t>8,9</w:t>
            </w:r>
          </w:p>
        </w:tc>
        <w:tc>
          <w:tcPr>
            <w:tcW w:w="1111"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ro-MD"/>
              </w:rPr>
            </w:pPr>
            <w:r w:rsidRPr="00E67099">
              <w:rPr>
                <w:rFonts w:asciiTheme="majorHAnsi" w:eastAsia="Times New Roman" w:hAnsiTheme="majorHAnsi" w:cs="Times New Roman"/>
                <w:sz w:val="20"/>
                <w:szCs w:val="20"/>
                <w:lang w:val="ro-MD"/>
              </w:rPr>
              <w:t>188</w:t>
            </w:r>
          </w:p>
        </w:tc>
        <w:tc>
          <w:tcPr>
            <w:tcW w:w="1111"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ro-MD"/>
              </w:rPr>
            </w:pPr>
            <w:r w:rsidRPr="00E67099">
              <w:rPr>
                <w:rFonts w:asciiTheme="majorHAnsi" w:eastAsia="Times New Roman" w:hAnsiTheme="majorHAnsi" w:cs="Times New Roman"/>
                <w:sz w:val="20"/>
                <w:szCs w:val="20"/>
                <w:lang w:val="ro-MD"/>
              </w:rPr>
              <w:t>16,8</w:t>
            </w:r>
          </w:p>
        </w:tc>
      </w:tr>
      <w:tr w:rsidR="00E67099" w:rsidRPr="00E67099" w:rsidTr="00A36731">
        <w:trPr>
          <w:jc w:val="center"/>
        </w:trPr>
        <w:tc>
          <w:tcPr>
            <w:cnfStyle w:val="001000000000" w:firstRow="0" w:lastRow="0" w:firstColumn="1" w:lastColumn="0" w:oddVBand="0" w:evenVBand="0" w:oddHBand="0" w:evenHBand="0" w:firstRowFirstColumn="0" w:firstRowLastColumn="0" w:lastRowFirstColumn="0" w:lastRowLastColumn="0"/>
            <w:tcW w:w="605" w:type="dxa"/>
          </w:tcPr>
          <w:p w:rsidR="00E67099" w:rsidRPr="00E67099" w:rsidRDefault="00E67099" w:rsidP="00E67099">
            <w:pPr>
              <w:jc w:val="center"/>
              <w:rPr>
                <w:rFonts w:asciiTheme="majorHAnsi" w:eastAsia="Times New Roman" w:hAnsiTheme="majorHAnsi" w:cs="Times New Roman"/>
                <w:sz w:val="20"/>
                <w:szCs w:val="20"/>
                <w:lang w:val="ro-MD"/>
              </w:rPr>
            </w:pPr>
            <w:r w:rsidRPr="00E67099">
              <w:rPr>
                <w:rFonts w:asciiTheme="majorHAnsi" w:eastAsia="Times New Roman" w:hAnsiTheme="majorHAnsi" w:cs="Times New Roman"/>
                <w:sz w:val="20"/>
                <w:szCs w:val="20"/>
                <w:lang w:val="ro-MD"/>
              </w:rPr>
              <w:t>2</w:t>
            </w:r>
          </w:p>
        </w:tc>
        <w:tc>
          <w:tcPr>
            <w:tcW w:w="1942" w:type="dxa"/>
          </w:tcPr>
          <w:p w:rsidR="00E67099" w:rsidRPr="00E67099" w:rsidRDefault="00E67099" w:rsidP="00E67099">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ro-MD"/>
              </w:rPr>
            </w:pPr>
            <w:r w:rsidRPr="00E67099">
              <w:rPr>
                <w:rFonts w:asciiTheme="majorHAnsi" w:eastAsia="Times New Roman" w:hAnsiTheme="majorHAnsi" w:cs="Times New Roman"/>
                <w:sz w:val="20"/>
                <w:szCs w:val="20"/>
                <w:lang w:val="ro-MD"/>
              </w:rPr>
              <w:t>Persoane juridice</w:t>
            </w:r>
          </w:p>
        </w:tc>
        <w:tc>
          <w:tcPr>
            <w:tcW w:w="1275"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ro-MD"/>
              </w:rPr>
            </w:pPr>
            <w:r w:rsidRPr="00E67099">
              <w:rPr>
                <w:rFonts w:asciiTheme="majorHAnsi" w:eastAsia="Times New Roman" w:hAnsiTheme="majorHAnsi" w:cs="Times New Roman"/>
                <w:sz w:val="20"/>
                <w:szCs w:val="20"/>
                <w:lang w:val="ro-MD"/>
              </w:rPr>
              <w:t>5</w:t>
            </w:r>
          </w:p>
        </w:tc>
        <w:tc>
          <w:tcPr>
            <w:tcW w:w="1135"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ro-MD"/>
              </w:rPr>
            </w:pPr>
            <w:r w:rsidRPr="00E67099">
              <w:rPr>
                <w:rFonts w:asciiTheme="majorHAnsi" w:eastAsia="Times New Roman" w:hAnsiTheme="majorHAnsi" w:cs="Times New Roman"/>
                <w:sz w:val="20"/>
                <w:szCs w:val="20"/>
                <w:lang w:val="ro-MD"/>
              </w:rPr>
              <w:t>0,1</w:t>
            </w:r>
          </w:p>
        </w:tc>
        <w:tc>
          <w:tcPr>
            <w:tcW w:w="1125"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ro-MD"/>
              </w:rPr>
            </w:pPr>
            <w:r w:rsidRPr="00E67099">
              <w:rPr>
                <w:rFonts w:asciiTheme="majorHAnsi" w:eastAsia="Times New Roman" w:hAnsiTheme="majorHAnsi" w:cs="Times New Roman"/>
                <w:sz w:val="20"/>
                <w:szCs w:val="20"/>
                <w:lang w:val="ro-MD"/>
              </w:rPr>
              <w:t>10</w:t>
            </w:r>
          </w:p>
        </w:tc>
        <w:tc>
          <w:tcPr>
            <w:tcW w:w="1128"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ro-MD"/>
              </w:rPr>
            </w:pPr>
            <w:r w:rsidRPr="00E67099">
              <w:rPr>
                <w:rFonts w:asciiTheme="majorHAnsi" w:eastAsia="Times New Roman" w:hAnsiTheme="majorHAnsi" w:cs="Times New Roman"/>
                <w:sz w:val="20"/>
                <w:szCs w:val="20"/>
                <w:lang w:val="ro-MD"/>
              </w:rPr>
              <w:t>1,8</w:t>
            </w:r>
          </w:p>
        </w:tc>
        <w:tc>
          <w:tcPr>
            <w:tcW w:w="1111"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ro-MD"/>
              </w:rPr>
            </w:pPr>
            <w:r w:rsidRPr="00E67099">
              <w:rPr>
                <w:rFonts w:asciiTheme="majorHAnsi" w:eastAsia="Times New Roman" w:hAnsiTheme="majorHAnsi" w:cs="Times New Roman"/>
                <w:sz w:val="20"/>
                <w:szCs w:val="20"/>
                <w:lang w:val="ro-MD"/>
              </w:rPr>
              <w:t>15</w:t>
            </w:r>
          </w:p>
        </w:tc>
        <w:tc>
          <w:tcPr>
            <w:tcW w:w="1111"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ro-MD"/>
              </w:rPr>
            </w:pPr>
            <w:r w:rsidRPr="00E67099">
              <w:rPr>
                <w:rFonts w:asciiTheme="majorHAnsi" w:eastAsia="Times New Roman" w:hAnsiTheme="majorHAnsi" w:cs="Times New Roman"/>
                <w:sz w:val="20"/>
                <w:szCs w:val="20"/>
                <w:lang w:val="ro-MD"/>
              </w:rPr>
              <w:t>1,8</w:t>
            </w:r>
          </w:p>
        </w:tc>
      </w:tr>
      <w:tr w:rsidR="00E67099" w:rsidRPr="00E67099" w:rsidTr="00A36731">
        <w:trPr>
          <w:jc w:val="center"/>
        </w:trPr>
        <w:tc>
          <w:tcPr>
            <w:cnfStyle w:val="001000000000" w:firstRow="0" w:lastRow="0" w:firstColumn="1" w:lastColumn="0" w:oddVBand="0" w:evenVBand="0" w:oddHBand="0" w:evenHBand="0" w:firstRowFirstColumn="0" w:firstRowLastColumn="0" w:lastRowFirstColumn="0" w:lastRowLastColumn="0"/>
            <w:tcW w:w="2547" w:type="dxa"/>
            <w:gridSpan w:val="2"/>
          </w:tcPr>
          <w:p w:rsidR="00E67099" w:rsidRPr="00E67099" w:rsidRDefault="00E67099" w:rsidP="00E67099">
            <w:pPr>
              <w:jc w:val="both"/>
              <w:rPr>
                <w:rFonts w:asciiTheme="majorHAnsi" w:eastAsia="Times New Roman" w:hAnsiTheme="majorHAnsi" w:cs="Times New Roman"/>
                <w:sz w:val="20"/>
                <w:szCs w:val="20"/>
                <w:lang w:val="ro-MD"/>
              </w:rPr>
            </w:pPr>
            <w:r w:rsidRPr="00E67099">
              <w:rPr>
                <w:rFonts w:asciiTheme="majorHAnsi" w:eastAsia="Times New Roman" w:hAnsiTheme="majorHAnsi" w:cs="Times New Roman"/>
                <w:sz w:val="20"/>
                <w:szCs w:val="20"/>
                <w:lang w:val="ro-MD"/>
              </w:rPr>
              <w:t>Total</w:t>
            </w:r>
          </w:p>
        </w:tc>
        <w:tc>
          <w:tcPr>
            <w:tcW w:w="1275"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lang w:val="ro-MD"/>
              </w:rPr>
            </w:pPr>
            <w:r w:rsidRPr="00E67099">
              <w:rPr>
                <w:rFonts w:asciiTheme="majorHAnsi" w:eastAsia="Times New Roman" w:hAnsiTheme="majorHAnsi" w:cs="Times New Roman"/>
                <w:b/>
                <w:sz w:val="20"/>
                <w:szCs w:val="20"/>
                <w:lang w:val="ro-MD"/>
              </w:rPr>
              <w:t>154</w:t>
            </w:r>
          </w:p>
        </w:tc>
        <w:tc>
          <w:tcPr>
            <w:tcW w:w="1135"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lang w:val="ro-MD"/>
              </w:rPr>
            </w:pPr>
            <w:r w:rsidRPr="00E67099">
              <w:rPr>
                <w:rFonts w:asciiTheme="majorHAnsi" w:eastAsia="Times New Roman" w:hAnsiTheme="majorHAnsi" w:cs="Times New Roman"/>
                <w:b/>
                <w:sz w:val="20"/>
                <w:szCs w:val="20"/>
                <w:lang w:val="ro-MD"/>
              </w:rPr>
              <w:t>8,0</w:t>
            </w:r>
          </w:p>
        </w:tc>
        <w:tc>
          <w:tcPr>
            <w:tcW w:w="1125"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lang w:val="ro-MD"/>
              </w:rPr>
            </w:pPr>
            <w:r w:rsidRPr="00E67099">
              <w:rPr>
                <w:rFonts w:asciiTheme="majorHAnsi" w:eastAsia="Times New Roman" w:hAnsiTheme="majorHAnsi" w:cs="Times New Roman"/>
                <w:b/>
                <w:sz w:val="20"/>
                <w:szCs w:val="20"/>
                <w:lang w:val="ro-MD"/>
              </w:rPr>
              <w:t>49</w:t>
            </w:r>
          </w:p>
        </w:tc>
        <w:tc>
          <w:tcPr>
            <w:tcW w:w="1128"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lang w:val="ro-MD"/>
              </w:rPr>
            </w:pPr>
            <w:r w:rsidRPr="00E67099">
              <w:rPr>
                <w:rFonts w:asciiTheme="majorHAnsi" w:eastAsia="Times New Roman" w:hAnsiTheme="majorHAnsi" w:cs="Times New Roman"/>
                <w:b/>
                <w:sz w:val="20"/>
                <w:szCs w:val="20"/>
                <w:lang w:val="ro-MD"/>
              </w:rPr>
              <w:t>10,7</w:t>
            </w:r>
          </w:p>
        </w:tc>
        <w:tc>
          <w:tcPr>
            <w:tcW w:w="1111"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lang w:val="ro-MD"/>
              </w:rPr>
            </w:pPr>
            <w:r w:rsidRPr="00E67099">
              <w:rPr>
                <w:rFonts w:asciiTheme="majorHAnsi" w:eastAsia="Times New Roman" w:hAnsiTheme="majorHAnsi" w:cs="Times New Roman"/>
                <w:b/>
                <w:sz w:val="20"/>
                <w:szCs w:val="20"/>
                <w:lang w:val="ro-MD"/>
              </w:rPr>
              <w:t>203</w:t>
            </w:r>
          </w:p>
        </w:tc>
        <w:tc>
          <w:tcPr>
            <w:tcW w:w="1111"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lang w:val="ro-MD"/>
              </w:rPr>
            </w:pPr>
            <w:r w:rsidRPr="00E67099">
              <w:rPr>
                <w:rFonts w:asciiTheme="majorHAnsi" w:eastAsia="Times New Roman" w:hAnsiTheme="majorHAnsi" w:cs="Times New Roman"/>
                <w:b/>
                <w:sz w:val="20"/>
                <w:szCs w:val="20"/>
                <w:lang w:val="ro-MD"/>
              </w:rPr>
              <w:t>18,6</w:t>
            </w:r>
          </w:p>
        </w:tc>
      </w:tr>
    </w:tbl>
    <w:p w:rsidR="00E67099" w:rsidRPr="00E67099" w:rsidRDefault="00E67099" w:rsidP="00E67099">
      <w:pPr>
        <w:spacing w:after="0" w:line="276" w:lineRule="auto"/>
        <w:jc w:val="both"/>
        <w:rPr>
          <w:rFonts w:asciiTheme="majorHAnsi" w:eastAsia="Times New Roman" w:hAnsiTheme="majorHAnsi" w:cs="Times New Roman"/>
          <w:i/>
          <w:sz w:val="20"/>
          <w:szCs w:val="20"/>
          <w:lang w:val="ro-MD"/>
        </w:rPr>
      </w:pPr>
      <w:r w:rsidRPr="00E67099">
        <w:rPr>
          <w:rFonts w:asciiTheme="majorHAnsi" w:eastAsia="Times New Roman" w:hAnsiTheme="majorHAnsi" w:cs="Times New Roman"/>
          <w:b/>
          <w:i/>
          <w:sz w:val="20"/>
          <w:szCs w:val="20"/>
          <w:lang w:val="ro-MD"/>
        </w:rPr>
        <w:t>Sursă:</w:t>
      </w:r>
      <w:r w:rsidRPr="00E67099">
        <w:rPr>
          <w:rFonts w:asciiTheme="majorHAnsi" w:eastAsia="Times New Roman" w:hAnsiTheme="majorHAnsi" w:cs="Times New Roman"/>
          <w:i/>
          <w:sz w:val="20"/>
          <w:szCs w:val="20"/>
          <w:lang w:val="ro-MD"/>
        </w:rPr>
        <w:t xml:space="preserve"> Informația privind achitarea documentelor executorii din contul bugetului de stat la situația din 30.12.2019.</w:t>
      </w:r>
    </w:p>
    <w:p w:rsidR="00E67099" w:rsidRPr="00E67099" w:rsidRDefault="00E67099" w:rsidP="00E67099">
      <w:pPr>
        <w:spacing w:after="0" w:line="276" w:lineRule="auto"/>
        <w:jc w:val="both"/>
        <w:rPr>
          <w:rFonts w:asciiTheme="majorHAnsi" w:eastAsia="Times New Roman" w:hAnsiTheme="majorHAnsi" w:cs="Times New Roman"/>
          <w:sz w:val="24"/>
          <w:szCs w:val="24"/>
          <w:lang w:val="ro-MD"/>
        </w:rPr>
      </w:pPr>
    </w:p>
    <w:p w:rsidR="00E67099" w:rsidRPr="00E67099" w:rsidRDefault="00E67099" w:rsidP="00E67099">
      <w:pPr>
        <w:spacing w:after="0" w:line="276" w:lineRule="auto"/>
        <w:jc w:val="both"/>
        <w:rPr>
          <w:rFonts w:asciiTheme="majorHAnsi" w:eastAsia="Times New Roman" w:hAnsiTheme="majorHAnsi" w:cs="Times New Roman"/>
          <w:sz w:val="24"/>
          <w:szCs w:val="24"/>
          <w:lang w:val="ro-MD"/>
        </w:rPr>
      </w:pPr>
      <w:r w:rsidRPr="00E67099">
        <w:rPr>
          <w:rFonts w:asciiTheme="majorHAnsi" w:eastAsia="Times New Roman" w:hAnsiTheme="majorHAnsi" w:cs="Times New Roman"/>
          <w:sz w:val="24"/>
          <w:szCs w:val="24"/>
          <w:lang w:val="ro-MD"/>
        </w:rPr>
        <w:t xml:space="preserve">Analiza achitării titlurilor executorii </w:t>
      </w:r>
      <w:r w:rsidRPr="00E67099">
        <w:rPr>
          <w:rFonts w:asciiTheme="majorHAnsi" w:eastAsia="Times New Roman" w:hAnsiTheme="majorHAnsi" w:cs="Times New Roman"/>
          <w:i/>
          <w:sz w:val="24"/>
          <w:szCs w:val="24"/>
          <w:lang w:val="ro-MD"/>
        </w:rPr>
        <w:t>emise de instanțele judecătorești din RM</w:t>
      </w:r>
      <w:r w:rsidRPr="00E67099">
        <w:rPr>
          <w:rFonts w:asciiTheme="majorHAnsi" w:eastAsia="Times New Roman" w:hAnsiTheme="majorHAnsi" w:cs="Times New Roman"/>
          <w:sz w:val="24"/>
          <w:szCs w:val="24"/>
          <w:lang w:val="ro-MD"/>
        </w:rPr>
        <w:t xml:space="preserve"> (8,0 mil. lei) denotă că ponderea majoră în totalul plăților o deține plata efectuată pentru achitarea titlului executoriu prin care s-a dispus încasarea din BS a sumei de 1,2 mil. lei pentru repararea prejudiciului moral și material cauzat prin acțiunile ilicite ale organelor de drept. Analiza achitării Hotărârilor </w:t>
      </w:r>
      <w:r w:rsidRPr="00E67099">
        <w:rPr>
          <w:rFonts w:asciiTheme="majorHAnsi" w:eastAsia="Times New Roman" w:hAnsiTheme="majorHAnsi" w:cs="Times New Roman"/>
          <w:i/>
          <w:sz w:val="24"/>
          <w:szCs w:val="24"/>
          <w:lang w:val="ro-MD"/>
        </w:rPr>
        <w:t>emise de CEDO</w:t>
      </w:r>
      <w:r w:rsidRPr="00E67099">
        <w:rPr>
          <w:rFonts w:asciiTheme="majorHAnsi" w:eastAsia="Times New Roman" w:hAnsiTheme="majorHAnsi" w:cs="Times New Roman"/>
          <w:sz w:val="24"/>
          <w:szCs w:val="24"/>
          <w:lang w:val="ro-MD"/>
        </w:rPr>
        <w:t xml:space="preserve"> (10,7 mil. lei) denotă că ponderea majoră în totalul plăților o deține plata efectuată în sumă de 2,8 mil. lei (142.000,0 EURO) pentru achitarea prejudiciului moral și material cauzat în urma anulării unei hotărâri irevocabile pronunțate în favoarea reclamanților, urmată de plata în sumă totală de 2,3 mil. lei (125.000,0 EURO) efectuată pentru achitarea prejudiciului moral cauzat drept urmare a unui proces de judecată neechitabil din partea RM în procedura privind extrădarea forțată și ilegală a unor cetățeni, cheltuielile fiind neeficiente deoarece nu au dat câștig de cauză pentru RM.</w:t>
      </w:r>
    </w:p>
    <w:p w:rsidR="00E67099" w:rsidRPr="00E67099" w:rsidRDefault="00E67099" w:rsidP="00E67099">
      <w:pPr>
        <w:spacing w:after="0" w:line="276" w:lineRule="auto"/>
        <w:jc w:val="both"/>
        <w:rPr>
          <w:rFonts w:asciiTheme="majorHAnsi" w:eastAsia="Times New Roman" w:hAnsiTheme="majorHAnsi" w:cs="Times New Roman"/>
          <w:sz w:val="24"/>
          <w:szCs w:val="24"/>
          <w:lang w:val="ro-MD"/>
        </w:rPr>
      </w:pPr>
      <w:r w:rsidRPr="00E67099">
        <w:rPr>
          <w:rFonts w:asciiTheme="majorHAnsi" w:eastAsia="Times New Roman" w:hAnsiTheme="majorHAnsi" w:cs="Times New Roman"/>
          <w:b/>
          <w:i/>
          <w:sz w:val="24"/>
          <w:szCs w:val="24"/>
          <w:lang w:val="ro-MD"/>
        </w:rPr>
        <w:t>Prin intermediul executorilor de buget</w:t>
      </w:r>
      <w:r w:rsidRPr="00E67099">
        <w:rPr>
          <w:rFonts w:asciiTheme="majorHAnsi" w:eastAsia="Times New Roman" w:hAnsiTheme="majorHAnsi" w:cs="Times New Roman"/>
          <w:sz w:val="24"/>
          <w:szCs w:val="24"/>
          <w:lang w:val="ro-MD"/>
        </w:rPr>
        <w:t xml:space="preserve">, în anul 2019 au fost achitate plăți aferente documentelor executorii în sumă de 14,8 mil. lei (sau 44,3 %), din care: </w:t>
      </w:r>
      <w:r w:rsidRPr="00E67099">
        <w:rPr>
          <w:rFonts w:asciiTheme="majorHAnsi" w:eastAsia="Times New Roman" w:hAnsiTheme="majorHAnsi" w:cs="Times New Roman"/>
          <w:b/>
          <w:sz w:val="24"/>
          <w:szCs w:val="24"/>
          <w:lang w:val="ro-MD"/>
        </w:rPr>
        <w:t>(i)</w:t>
      </w:r>
      <w:r w:rsidRPr="00E67099">
        <w:rPr>
          <w:rFonts w:asciiTheme="majorHAnsi" w:eastAsia="Times New Roman" w:hAnsiTheme="majorHAnsi" w:cs="Times New Roman"/>
          <w:sz w:val="24"/>
          <w:szCs w:val="24"/>
          <w:lang w:val="ro-MD"/>
        </w:rPr>
        <w:t xml:space="preserve"> 8,0 mil. lei sunt plăți aferente documentelor executorii cu executare benevolă (ECO 281361), ponderea cea mai mare deținând-o SFS, prin intermediul căruia au fost achitate 1,8 mil. lei, fiind urmat de Direcția de Poliție a mun. Chișinău – cu 636,5 mii lei, Inspectoratul Național de Patrulare – 558,3 mii lei, și Cancelaria de Stat – 444,3 mii lei. </w:t>
      </w:r>
      <w:r w:rsidRPr="00E67099">
        <w:rPr>
          <w:rFonts w:asciiTheme="majorHAnsi" w:eastAsia="Times New Roman" w:hAnsiTheme="majorHAnsi" w:cs="Times New Roman"/>
          <w:b/>
          <w:sz w:val="24"/>
          <w:szCs w:val="24"/>
          <w:lang w:val="ro-MD"/>
        </w:rPr>
        <w:t>(ii)</w:t>
      </w:r>
      <w:r w:rsidRPr="00E67099">
        <w:rPr>
          <w:rFonts w:asciiTheme="majorHAnsi" w:eastAsia="Times New Roman" w:hAnsiTheme="majorHAnsi" w:cs="Times New Roman"/>
          <w:sz w:val="24"/>
          <w:szCs w:val="24"/>
          <w:lang w:val="ro-MD"/>
        </w:rPr>
        <w:t xml:space="preserve"> 6,8 mil. lei – plăți aferente documentelor executorii cu executare silită (contul 281361), ponderea cea mai mare revenind sumei de 6,65 mil. lei achitată pentru Agenția „Apele Moldovei”, care reprezintă o datorie conform titlului executoriu nr.2c-1205/15 din 02.10.2017, devenit definitiv la data de 06.11.2018, emis de Judecătoria Chișinău, sediul Centru.</w:t>
      </w:r>
    </w:p>
    <w:p w:rsidR="00E67099" w:rsidRDefault="00E67099" w:rsidP="00E67099">
      <w:pPr>
        <w:spacing w:after="0" w:line="276" w:lineRule="auto"/>
        <w:jc w:val="both"/>
        <w:rPr>
          <w:rFonts w:asciiTheme="majorHAnsi" w:hAnsiTheme="majorHAnsi" w:cstheme="majorHAnsi"/>
          <w:sz w:val="24"/>
          <w:szCs w:val="24"/>
          <w:lang w:val="ro-MD"/>
        </w:rPr>
      </w:pPr>
      <w:r w:rsidRPr="00E67099">
        <w:rPr>
          <w:rFonts w:asciiTheme="majorHAnsi" w:hAnsiTheme="majorHAnsi" w:cstheme="majorHAnsi"/>
          <w:sz w:val="24"/>
          <w:szCs w:val="24"/>
          <w:lang w:val="ro-MD"/>
        </w:rPr>
        <w:t xml:space="preserve">La situația din 31.12.2019, creanțele față de BS pentru titlurile executorii achitate anterior de MF și care urmează a fi restituite la BS, în comparație cu anul precedent, sunt în descreștere cu 1,4 mil. lei, acestea însumând 22,8 mil. lei (sau 378,8 mii EURO), din care: „Glassis Enterprises” LLC – din anul 2000 (0,4 mil. lei), „Swan Laboratories” – din anul 2000 (3,4 mil. lei), S.A. „Aroma” – 11,7 mil. lei, Sandulachi Pantelei – din anul 2012 (7,3 mil. lei/378,8 mii euro). </w:t>
      </w:r>
    </w:p>
    <w:p w:rsidR="004407D1" w:rsidRPr="00B3011B" w:rsidRDefault="004407D1" w:rsidP="004407D1">
      <w:pPr>
        <w:shd w:val="clear" w:color="auto" w:fill="FFFFFF" w:themeFill="background1"/>
        <w:tabs>
          <w:tab w:val="left" w:pos="284"/>
          <w:tab w:val="left" w:pos="993"/>
        </w:tabs>
        <w:spacing w:after="0" w:line="276" w:lineRule="auto"/>
        <w:jc w:val="both"/>
        <w:rPr>
          <w:rFonts w:asciiTheme="majorHAnsi" w:eastAsia="Times New Roman" w:hAnsiTheme="majorHAnsi" w:cs="Times New Roman"/>
          <w:b/>
          <w:sz w:val="24"/>
          <w:szCs w:val="24"/>
          <w:lang w:val="ro-MD"/>
        </w:rPr>
      </w:pPr>
      <w:r>
        <w:rPr>
          <w:rFonts w:asciiTheme="majorHAnsi" w:eastAsia="Times New Roman" w:hAnsiTheme="majorHAnsi" w:cs="Times New Roman"/>
          <w:b/>
          <w:sz w:val="24"/>
          <w:szCs w:val="24"/>
          <w:lang w:val="ro-MD"/>
        </w:rPr>
        <w:t>6.9.</w:t>
      </w:r>
      <w:r w:rsidRPr="003778FC">
        <w:rPr>
          <w:rFonts w:asciiTheme="majorHAnsi" w:eastAsia="Times New Roman" w:hAnsiTheme="majorHAnsi" w:cs="Times New Roman"/>
          <w:b/>
          <w:sz w:val="24"/>
          <w:szCs w:val="24"/>
          <w:lang w:val="ro-MD"/>
        </w:rPr>
        <w:t xml:space="preserve"> </w:t>
      </w:r>
      <w:r>
        <w:rPr>
          <w:rFonts w:asciiTheme="majorHAnsi" w:eastAsia="Times New Roman" w:hAnsiTheme="majorHAnsi" w:cs="Times New Roman"/>
          <w:b/>
          <w:sz w:val="24"/>
          <w:szCs w:val="24"/>
          <w:lang w:val="ro-MD"/>
        </w:rPr>
        <w:t>Plățile</w:t>
      </w:r>
      <w:r w:rsidRPr="00B3011B">
        <w:rPr>
          <w:rFonts w:asciiTheme="majorHAnsi" w:eastAsia="Times New Roman" w:hAnsiTheme="majorHAnsi" w:cs="Times New Roman"/>
          <w:b/>
          <w:sz w:val="24"/>
          <w:szCs w:val="24"/>
          <w:lang w:val="ro-MD"/>
        </w:rPr>
        <w:t xml:space="preserve"> cotizațiilor în organizațiile internaționale al căror membru este RM</w:t>
      </w:r>
      <w:r>
        <w:rPr>
          <w:rFonts w:asciiTheme="majorHAnsi" w:eastAsia="Times New Roman" w:hAnsiTheme="majorHAnsi" w:cs="Times New Roman"/>
          <w:b/>
          <w:sz w:val="24"/>
          <w:szCs w:val="24"/>
          <w:lang w:val="ro-MD"/>
        </w:rPr>
        <w:t xml:space="preserve"> au fost efectuate în limitele aprobate în Legea bugetară anuală însă cu unele excepții față de limitele din HG</w:t>
      </w:r>
    </w:p>
    <w:p w:rsidR="004407D1" w:rsidRPr="00046677" w:rsidRDefault="004407D1" w:rsidP="004407D1">
      <w:pPr>
        <w:spacing w:after="0" w:line="276" w:lineRule="auto"/>
        <w:jc w:val="both"/>
        <w:rPr>
          <w:rFonts w:asciiTheme="majorHAnsi" w:hAnsiTheme="majorHAnsi" w:cstheme="majorHAnsi"/>
          <w:sz w:val="24"/>
          <w:szCs w:val="24"/>
          <w:lang w:val="ro-MD"/>
        </w:rPr>
      </w:pPr>
      <w:r w:rsidRPr="00046677">
        <w:rPr>
          <w:rFonts w:asciiTheme="majorHAnsi" w:hAnsiTheme="majorHAnsi" w:cstheme="majorHAnsi"/>
          <w:sz w:val="24"/>
          <w:szCs w:val="24"/>
          <w:lang w:val="ro-MD"/>
        </w:rPr>
        <w:t xml:space="preserve">Conform art.3 lit. c) din Legea BS pentru anul 2019, au fost aprobate alocații pentru plata cotizațiilor în organizațiile internaționale al căror membru este RM în sumă de 60,9 mil. </w:t>
      </w:r>
      <w:r>
        <w:rPr>
          <w:rFonts w:asciiTheme="majorHAnsi" w:hAnsiTheme="majorHAnsi" w:cstheme="majorHAnsi"/>
          <w:sz w:val="24"/>
          <w:szCs w:val="24"/>
          <w:lang w:val="ro-MD"/>
        </w:rPr>
        <w:t>lei</w:t>
      </w:r>
      <w:r w:rsidRPr="00046677">
        <w:rPr>
          <w:rFonts w:asciiTheme="majorHAnsi" w:hAnsiTheme="majorHAnsi" w:cstheme="majorHAnsi"/>
          <w:sz w:val="24"/>
          <w:szCs w:val="24"/>
          <w:lang w:val="ro-MD"/>
        </w:rPr>
        <w:t>, repartizarea acestor alocații s-a efectuat în baza HG nr.110 din 27.02.2019</w:t>
      </w:r>
      <w:r w:rsidRPr="00046677">
        <w:rPr>
          <w:rFonts w:asciiTheme="majorHAnsi" w:hAnsiTheme="majorHAnsi" w:cstheme="majorHAnsi"/>
          <w:sz w:val="24"/>
          <w:szCs w:val="24"/>
          <w:vertAlign w:val="superscript"/>
          <w:lang w:val="ro-MD"/>
        </w:rPr>
        <w:footnoteReference w:id="85"/>
      </w:r>
      <w:r w:rsidRPr="00046677">
        <w:rPr>
          <w:rFonts w:asciiTheme="majorHAnsi" w:hAnsiTheme="majorHAnsi" w:cstheme="majorHAnsi"/>
          <w:sz w:val="24"/>
          <w:szCs w:val="24"/>
          <w:lang w:val="ro-MD"/>
        </w:rPr>
        <w:t xml:space="preserve">,  care au fost executate în sumă de 55,2 mil. </w:t>
      </w:r>
      <w:r>
        <w:rPr>
          <w:rFonts w:asciiTheme="majorHAnsi" w:hAnsiTheme="majorHAnsi" w:cstheme="majorHAnsi"/>
          <w:sz w:val="24"/>
          <w:szCs w:val="24"/>
          <w:lang w:val="ro-MD"/>
        </w:rPr>
        <w:t>lei</w:t>
      </w:r>
      <w:r w:rsidRPr="00046677">
        <w:rPr>
          <w:rFonts w:asciiTheme="majorHAnsi" w:hAnsiTheme="majorHAnsi" w:cstheme="majorHAnsi"/>
          <w:sz w:val="24"/>
          <w:szCs w:val="24"/>
          <w:lang w:val="ro-MD"/>
        </w:rPr>
        <w:t xml:space="preserve"> sau la nivel de 90,6%. Totodată, în anul 2019 </w:t>
      </w:r>
      <w:r w:rsidRPr="00046677">
        <w:rPr>
          <w:rFonts w:asciiTheme="majorHAnsi" w:hAnsiTheme="majorHAnsi" w:cstheme="majorHAnsi"/>
          <w:bCs/>
          <w:sz w:val="24"/>
          <w:szCs w:val="24"/>
          <w:lang w:val="ro-MD"/>
        </w:rPr>
        <w:t xml:space="preserve">la unele organizații internaționale/regionale (inclusiv din cadrul CSI) achitarea cotizațiilor și datoriilor  a fost asigurată din bugetul organelor centrale de specialitate ale administrației publice  în sumă de 34,3 mil. </w:t>
      </w:r>
      <w:r>
        <w:rPr>
          <w:rFonts w:asciiTheme="majorHAnsi" w:hAnsiTheme="majorHAnsi" w:cstheme="majorHAnsi"/>
          <w:bCs/>
          <w:sz w:val="24"/>
          <w:szCs w:val="24"/>
          <w:lang w:val="ro-MD"/>
        </w:rPr>
        <w:t>lei</w:t>
      </w:r>
      <w:r w:rsidRPr="00046677">
        <w:rPr>
          <w:rFonts w:asciiTheme="majorHAnsi" w:hAnsiTheme="majorHAnsi" w:cstheme="majorHAnsi"/>
          <w:bCs/>
          <w:sz w:val="24"/>
          <w:szCs w:val="24"/>
          <w:lang w:val="ro-MD"/>
        </w:rPr>
        <w:t>.</w:t>
      </w:r>
    </w:p>
    <w:p w:rsidR="004407D1" w:rsidRPr="00E67099" w:rsidRDefault="004407D1" w:rsidP="00E67099">
      <w:pPr>
        <w:spacing w:after="0" w:line="276" w:lineRule="auto"/>
        <w:jc w:val="both"/>
        <w:rPr>
          <w:rFonts w:asciiTheme="majorHAnsi" w:hAnsiTheme="majorHAnsi" w:cstheme="majorHAnsi"/>
          <w:sz w:val="24"/>
          <w:szCs w:val="24"/>
          <w:lang w:val="ro-MD"/>
        </w:rPr>
      </w:pPr>
      <w:r>
        <w:rPr>
          <w:rFonts w:asciiTheme="majorHAnsi" w:hAnsiTheme="majorHAnsi" w:cstheme="majorHAnsi"/>
          <w:sz w:val="24"/>
          <w:szCs w:val="24"/>
          <w:lang w:val="ro-MD"/>
        </w:rPr>
        <w:t xml:space="preserve">Examinările auditului au constatat unele neconcordanțe la acest capitol, după cum urmează: </w:t>
      </w:r>
      <w:r w:rsidRPr="00092F33">
        <w:rPr>
          <w:rFonts w:asciiTheme="majorHAnsi" w:hAnsiTheme="majorHAnsi" w:cstheme="majorHAnsi"/>
          <w:i/>
          <w:sz w:val="24"/>
          <w:szCs w:val="24"/>
          <w:lang w:val="ro-MD"/>
        </w:rPr>
        <w:t>(i)</w:t>
      </w:r>
      <w:r>
        <w:rPr>
          <w:rFonts w:asciiTheme="majorHAnsi" w:hAnsiTheme="majorHAnsi" w:cstheme="majorHAnsi"/>
          <w:sz w:val="24"/>
          <w:szCs w:val="24"/>
          <w:lang w:val="ro-MD"/>
        </w:rPr>
        <w:t xml:space="preserve"> </w:t>
      </w:r>
      <w:r w:rsidRPr="00046677">
        <w:rPr>
          <w:rFonts w:asciiTheme="majorHAnsi" w:hAnsiTheme="majorHAnsi" w:cstheme="majorHAnsi"/>
          <w:sz w:val="24"/>
          <w:szCs w:val="24"/>
          <w:lang w:val="ro-MD"/>
        </w:rPr>
        <w:t>MF a finanțat la 3 organizații</w:t>
      </w:r>
      <w:r>
        <w:rPr>
          <w:rStyle w:val="a8"/>
          <w:rFonts w:asciiTheme="majorHAnsi" w:hAnsiTheme="majorHAnsi" w:cstheme="majorHAnsi"/>
          <w:sz w:val="24"/>
          <w:szCs w:val="24"/>
          <w:lang w:val="ro-MD"/>
        </w:rPr>
        <w:footnoteReference w:id="86"/>
      </w:r>
      <w:r w:rsidRPr="00046677">
        <w:rPr>
          <w:rFonts w:asciiTheme="majorHAnsi" w:hAnsiTheme="majorHAnsi" w:cstheme="majorHAnsi"/>
          <w:sz w:val="24"/>
          <w:szCs w:val="24"/>
          <w:lang w:val="ro-MD"/>
        </w:rPr>
        <w:t xml:space="preserve"> mai mult decât a fost repartizat prin HG cu 124,3 mii </w:t>
      </w:r>
      <w:r>
        <w:rPr>
          <w:rFonts w:asciiTheme="majorHAnsi" w:hAnsiTheme="majorHAnsi" w:cstheme="majorHAnsi"/>
          <w:sz w:val="24"/>
          <w:szCs w:val="24"/>
          <w:lang w:val="ro-MD"/>
        </w:rPr>
        <w:t>lei</w:t>
      </w:r>
      <w:r w:rsidRPr="00046677">
        <w:rPr>
          <w:rFonts w:asciiTheme="majorHAnsi" w:hAnsiTheme="majorHAnsi" w:cstheme="majorHAnsi"/>
          <w:sz w:val="24"/>
          <w:szCs w:val="24"/>
          <w:lang w:val="ro-MD"/>
        </w:rPr>
        <w:t xml:space="preserve">, astfel prin HG s-a repartizat 1,97 mil. </w:t>
      </w:r>
      <w:r>
        <w:rPr>
          <w:rFonts w:asciiTheme="majorHAnsi" w:hAnsiTheme="majorHAnsi" w:cstheme="majorHAnsi"/>
          <w:sz w:val="24"/>
          <w:szCs w:val="24"/>
          <w:lang w:val="ro-MD"/>
        </w:rPr>
        <w:t>lei</w:t>
      </w:r>
      <w:r w:rsidRPr="00046677">
        <w:rPr>
          <w:rFonts w:asciiTheme="majorHAnsi" w:hAnsiTheme="majorHAnsi" w:cstheme="majorHAnsi"/>
          <w:sz w:val="24"/>
          <w:szCs w:val="24"/>
          <w:lang w:val="ro-MD"/>
        </w:rPr>
        <w:t xml:space="preserve"> iar MF a finanțat 2,1 mil. </w:t>
      </w:r>
      <w:r>
        <w:rPr>
          <w:rFonts w:asciiTheme="majorHAnsi" w:hAnsiTheme="majorHAnsi" w:cstheme="majorHAnsi"/>
          <w:sz w:val="24"/>
          <w:szCs w:val="24"/>
          <w:lang w:val="ro-MD"/>
        </w:rPr>
        <w:t>lei</w:t>
      </w:r>
      <w:r w:rsidRPr="00046677">
        <w:rPr>
          <w:rFonts w:asciiTheme="majorHAnsi" w:hAnsiTheme="majorHAnsi" w:cstheme="majorHAnsi"/>
          <w:sz w:val="24"/>
          <w:szCs w:val="24"/>
          <w:lang w:val="ro-MD"/>
        </w:rPr>
        <w:t>;</w:t>
      </w:r>
      <w:r>
        <w:rPr>
          <w:rFonts w:asciiTheme="majorHAnsi" w:hAnsiTheme="majorHAnsi" w:cstheme="majorHAnsi"/>
          <w:sz w:val="24"/>
          <w:szCs w:val="24"/>
          <w:lang w:val="ro-MD"/>
        </w:rPr>
        <w:t xml:space="preserve"> </w:t>
      </w:r>
      <w:r w:rsidRPr="00092F33">
        <w:rPr>
          <w:rFonts w:asciiTheme="majorHAnsi" w:hAnsiTheme="majorHAnsi" w:cstheme="majorHAnsi"/>
          <w:i/>
          <w:sz w:val="24"/>
          <w:szCs w:val="24"/>
          <w:lang w:val="ro-MD"/>
        </w:rPr>
        <w:t xml:space="preserve">(ii) </w:t>
      </w:r>
      <w:r w:rsidRPr="0040793F">
        <w:rPr>
          <w:rFonts w:asciiTheme="majorHAnsi" w:hAnsiTheme="majorHAnsi" w:cstheme="majorHAnsi"/>
          <w:sz w:val="24"/>
          <w:szCs w:val="24"/>
          <w:lang w:val="ro-MD"/>
        </w:rPr>
        <w:t xml:space="preserve">Pentru o organizație nu au fost repartizate mijloace prin HG, deși a fost prezentată MF propunerea de buget și a fost achitată de către MF în sumă de 39,7 mii </w:t>
      </w:r>
      <w:r>
        <w:rPr>
          <w:rFonts w:asciiTheme="majorHAnsi" w:hAnsiTheme="majorHAnsi" w:cstheme="majorHAnsi"/>
          <w:sz w:val="24"/>
          <w:szCs w:val="24"/>
          <w:lang w:val="ro-MD"/>
        </w:rPr>
        <w:t>lei</w:t>
      </w:r>
      <w:r w:rsidRPr="0040793F">
        <w:rPr>
          <w:rFonts w:asciiTheme="majorHAnsi" w:hAnsiTheme="majorHAnsi" w:cstheme="majorHAnsi"/>
          <w:sz w:val="24"/>
          <w:szCs w:val="24"/>
          <w:lang w:val="ro-MD"/>
        </w:rPr>
        <w:t>;</w:t>
      </w:r>
      <w:r>
        <w:rPr>
          <w:rFonts w:asciiTheme="majorHAnsi" w:hAnsiTheme="majorHAnsi" w:cstheme="majorHAnsi"/>
          <w:sz w:val="24"/>
          <w:szCs w:val="24"/>
          <w:lang w:val="ro-MD"/>
        </w:rPr>
        <w:t xml:space="preserve"> </w:t>
      </w:r>
      <w:r w:rsidRPr="00092F33">
        <w:rPr>
          <w:rFonts w:asciiTheme="majorHAnsi" w:hAnsiTheme="majorHAnsi" w:cstheme="majorHAnsi"/>
          <w:i/>
          <w:sz w:val="24"/>
          <w:szCs w:val="24"/>
          <w:lang w:val="ro-MD"/>
        </w:rPr>
        <w:t>(iii)</w:t>
      </w:r>
      <w:r>
        <w:rPr>
          <w:rFonts w:asciiTheme="majorHAnsi" w:hAnsiTheme="majorHAnsi" w:cstheme="majorHAnsi"/>
          <w:sz w:val="24"/>
          <w:szCs w:val="24"/>
          <w:lang w:val="ro-MD"/>
        </w:rPr>
        <w:t xml:space="preserve"> </w:t>
      </w:r>
      <w:r w:rsidRPr="0040793F">
        <w:rPr>
          <w:rFonts w:asciiTheme="majorHAnsi" w:hAnsiTheme="majorHAnsi" w:cstheme="majorHAnsi"/>
          <w:sz w:val="24"/>
          <w:szCs w:val="24"/>
          <w:lang w:val="ro-MD"/>
        </w:rPr>
        <w:t xml:space="preserve">La 25 de organizații au fost repartizate mijloace în sumă de 31,1 mil. </w:t>
      </w:r>
      <w:r>
        <w:rPr>
          <w:rFonts w:asciiTheme="majorHAnsi" w:hAnsiTheme="majorHAnsi" w:cstheme="majorHAnsi"/>
          <w:sz w:val="24"/>
          <w:szCs w:val="24"/>
          <w:lang w:val="ro-MD"/>
        </w:rPr>
        <w:t>lei</w:t>
      </w:r>
      <w:r w:rsidRPr="0040793F">
        <w:rPr>
          <w:rFonts w:asciiTheme="majorHAnsi" w:hAnsiTheme="majorHAnsi" w:cstheme="majorHAnsi"/>
          <w:sz w:val="24"/>
          <w:szCs w:val="24"/>
          <w:lang w:val="ro-MD"/>
        </w:rPr>
        <w:t xml:space="preserve"> dar MF a finanțat 25,6 mil. </w:t>
      </w:r>
      <w:r>
        <w:rPr>
          <w:rFonts w:asciiTheme="majorHAnsi" w:hAnsiTheme="majorHAnsi" w:cstheme="majorHAnsi"/>
          <w:sz w:val="24"/>
          <w:szCs w:val="24"/>
          <w:lang w:val="ro-MD"/>
        </w:rPr>
        <w:t>lei</w:t>
      </w:r>
      <w:r w:rsidRPr="0040793F">
        <w:rPr>
          <w:rFonts w:asciiTheme="majorHAnsi" w:hAnsiTheme="majorHAnsi" w:cstheme="majorHAnsi"/>
          <w:sz w:val="24"/>
          <w:szCs w:val="24"/>
          <w:lang w:val="ro-MD"/>
        </w:rPr>
        <w:t xml:space="preserve"> sau cu 5,5 mil. </w:t>
      </w:r>
      <w:r>
        <w:rPr>
          <w:rFonts w:asciiTheme="majorHAnsi" w:hAnsiTheme="majorHAnsi" w:cstheme="majorHAnsi"/>
          <w:sz w:val="24"/>
          <w:szCs w:val="24"/>
          <w:lang w:val="ro-MD"/>
        </w:rPr>
        <w:t>lei</w:t>
      </w:r>
      <w:r w:rsidRPr="0040793F">
        <w:rPr>
          <w:rFonts w:asciiTheme="majorHAnsi" w:hAnsiTheme="majorHAnsi" w:cstheme="majorHAnsi"/>
          <w:sz w:val="24"/>
          <w:szCs w:val="24"/>
          <w:lang w:val="ro-MD"/>
        </w:rPr>
        <w:t xml:space="preserve"> mai puțin.</w:t>
      </w:r>
      <w:r w:rsidRPr="0040793F">
        <w:rPr>
          <w:rFonts w:asciiTheme="majorHAnsi" w:hAnsiTheme="majorHAnsi" w:cstheme="majorHAnsi"/>
          <w:sz w:val="24"/>
          <w:szCs w:val="24"/>
        </w:rPr>
        <w:t xml:space="preserve"> Din care la 2 organizații (</w:t>
      </w:r>
      <w:r w:rsidRPr="0040793F">
        <w:rPr>
          <w:rFonts w:asciiTheme="majorHAnsi" w:hAnsiTheme="majorHAnsi" w:cstheme="majorHAnsi"/>
          <w:sz w:val="24"/>
          <w:szCs w:val="24"/>
          <w:lang w:val="ro-MD"/>
        </w:rPr>
        <w:t>Uniunea Internațională a Telecomunicațiilor (UIT),</w:t>
      </w:r>
      <w:r w:rsidRPr="0040793F">
        <w:rPr>
          <w:rFonts w:asciiTheme="majorHAnsi" w:hAnsiTheme="majorHAnsi" w:cstheme="majorHAnsi"/>
          <w:sz w:val="24"/>
          <w:szCs w:val="24"/>
        </w:rPr>
        <w:t xml:space="preserve"> </w:t>
      </w:r>
      <w:r w:rsidRPr="0040793F">
        <w:rPr>
          <w:rFonts w:asciiTheme="majorHAnsi" w:hAnsiTheme="majorHAnsi" w:cstheme="majorHAnsi"/>
          <w:sz w:val="24"/>
          <w:szCs w:val="24"/>
          <w:lang w:val="ro-MD"/>
        </w:rPr>
        <w:t>OECD pr</w:t>
      </w:r>
      <w:r w:rsidR="00BA00BA">
        <w:rPr>
          <w:rFonts w:asciiTheme="majorHAnsi" w:hAnsiTheme="majorHAnsi" w:cstheme="majorHAnsi"/>
          <w:sz w:val="24"/>
          <w:szCs w:val="24"/>
          <w:lang w:val="ro-MD"/>
        </w:rPr>
        <w:t>ivind asistenta administrativă în materie fiscală</w:t>
      </w:r>
      <w:r w:rsidRPr="0040793F">
        <w:rPr>
          <w:rFonts w:asciiTheme="majorHAnsi" w:hAnsiTheme="majorHAnsi" w:cstheme="majorHAnsi"/>
          <w:sz w:val="24"/>
          <w:szCs w:val="24"/>
          <w:lang w:val="ro-MD"/>
        </w:rPr>
        <w:t>) nu au fost finanțate mijloace.</w:t>
      </w:r>
      <w:r>
        <w:rPr>
          <w:rFonts w:asciiTheme="majorHAnsi" w:hAnsiTheme="majorHAnsi" w:cstheme="majorHAnsi"/>
          <w:sz w:val="24"/>
          <w:szCs w:val="24"/>
          <w:lang w:val="ro-MD"/>
        </w:rPr>
        <w:t xml:space="preserve"> </w:t>
      </w:r>
      <w:r w:rsidRPr="00092F33">
        <w:rPr>
          <w:rFonts w:asciiTheme="majorHAnsi" w:hAnsiTheme="majorHAnsi" w:cstheme="majorHAnsi"/>
          <w:i/>
          <w:sz w:val="24"/>
          <w:szCs w:val="24"/>
          <w:lang w:val="ro-MD"/>
        </w:rPr>
        <w:t>(iv)</w:t>
      </w:r>
      <w:r>
        <w:rPr>
          <w:rFonts w:asciiTheme="majorHAnsi" w:hAnsiTheme="majorHAnsi" w:cstheme="majorHAnsi"/>
          <w:sz w:val="24"/>
          <w:szCs w:val="24"/>
          <w:lang w:val="ro-MD"/>
        </w:rPr>
        <w:t xml:space="preserve"> </w:t>
      </w:r>
      <w:r w:rsidRPr="0040793F">
        <w:rPr>
          <w:rFonts w:asciiTheme="majorHAnsi" w:hAnsiTheme="majorHAnsi" w:cstheme="majorHAnsi"/>
          <w:sz w:val="24"/>
          <w:szCs w:val="24"/>
          <w:lang w:val="ro-MD"/>
        </w:rPr>
        <w:t xml:space="preserve">La 2 organizații (Organizația Internațională a Muncii, Organizația Mondială a Sănătății) au fost formate datorii din anii precedenți, care se achită conform unui plan multianual de reeșalonare a datoriilor restante, în anul 2019 fiind calculate datorii spre achitare în sumă de 5,5 mil. </w:t>
      </w:r>
      <w:r>
        <w:rPr>
          <w:rFonts w:asciiTheme="majorHAnsi" w:hAnsiTheme="majorHAnsi" w:cstheme="majorHAnsi"/>
          <w:sz w:val="24"/>
          <w:szCs w:val="24"/>
          <w:lang w:val="ro-MD"/>
        </w:rPr>
        <w:t>lei</w:t>
      </w:r>
      <w:r w:rsidRPr="0040793F">
        <w:rPr>
          <w:rFonts w:asciiTheme="majorHAnsi" w:hAnsiTheme="majorHAnsi" w:cstheme="majorHAnsi"/>
          <w:sz w:val="24"/>
          <w:szCs w:val="24"/>
          <w:lang w:val="ro-MD"/>
        </w:rPr>
        <w:t xml:space="preserve">. Totodată, au fost repartizate 7,6 mil. </w:t>
      </w:r>
      <w:r>
        <w:rPr>
          <w:rFonts w:asciiTheme="majorHAnsi" w:hAnsiTheme="majorHAnsi" w:cstheme="majorHAnsi"/>
          <w:sz w:val="24"/>
          <w:szCs w:val="24"/>
          <w:lang w:val="ro-MD"/>
        </w:rPr>
        <w:t>lei</w:t>
      </w:r>
      <w:r w:rsidRPr="0040793F">
        <w:rPr>
          <w:rFonts w:asciiTheme="majorHAnsi" w:hAnsiTheme="majorHAnsi" w:cstheme="majorHAnsi"/>
          <w:sz w:val="24"/>
          <w:szCs w:val="24"/>
          <w:lang w:val="ro-MD"/>
        </w:rPr>
        <w:t xml:space="preserve"> dar au fost achitate cotizații în sumă de 5,7 mil. </w:t>
      </w:r>
      <w:r>
        <w:rPr>
          <w:rFonts w:asciiTheme="majorHAnsi" w:hAnsiTheme="majorHAnsi" w:cstheme="majorHAnsi"/>
          <w:sz w:val="24"/>
          <w:szCs w:val="24"/>
          <w:lang w:val="ro-MD"/>
        </w:rPr>
        <w:t>lei</w:t>
      </w:r>
      <w:r w:rsidRPr="0040793F">
        <w:rPr>
          <w:rFonts w:asciiTheme="majorHAnsi" w:hAnsiTheme="majorHAnsi" w:cstheme="majorHAnsi"/>
          <w:sz w:val="24"/>
          <w:szCs w:val="24"/>
          <w:lang w:val="ro-MD"/>
        </w:rPr>
        <w:t xml:space="preserve"> sau cu 1,9 mil. </w:t>
      </w:r>
      <w:r>
        <w:rPr>
          <w:rFonts w:asciiTheme="majorHAnsi" w:hAnsiTheme="majorHAnsi" w:cstheme="majorHAnsi"/>
          <w:sz w:val="24"/>
          <w:szCs w:val="24"/>
          <w:lang w:val="ro-MD"/>
        </w:rPr>
        <w:t>lei</w:t>
      </w:r>
      <w:r w:rsidRPr="0040793F">
        <w:rPr>
          <w:rFonts w:asciiTheme="majorHAnsi" w:hAnsiTheme="majorHAnsi" w:cstheme="majorHAnsi"/>
          <w:sz w:val="24"/>
          <w:szCs w:val="24"/>
          <w:lang w:val="ro-MD"/>
        </w:rPr>
        <w:t xml:space="preserve"> mai puțin.</w:t>
      </w:r>
    </w:p>
    <w:p w:rsidR="00E67099" w:rsidRPr="00E67099" w:rsidRDefault="00E67099" w:rsidP="00E67099">
      <w:pPr>
        <w:tabs>
          <w:tab w:val="left" w:pos="0"/>
          <w:tab w:val="left" w:pos="426"/>
        </w:tabs>
        <w:spacing w:after="0" w:line="276" w:lineRule="auto"/>
        <w:contextualSpacing/>
        <w:outlineLvl w:val="0"/>
        <w:rPr>
          <w:rFonts w:asciiTheme="majorHAnsi" w:eastAsia="Times New Roman" w:hAnsiTheme="majorHAnsi" w:cs="Times New Roman"/>
          <w:b/>
          <w:bCs/>
          <w:sz w:val="24"/>
          <w:szCs w:val="24"/>
          <w:lang w:val="ro-MD"/>
        </w:rPr>
      </w:pPr>
    </w:p>
    <w:p w:rsidR="00E67099" w:rsidRPr="00E67099" w:rsidRDefault="00E67099" w:rsidP="00515CCA">
      <w:pPr>
        <w:numPr>
          <w:ilvl w:val="0"/>
          <w:numId w:val="4"/>
        </w:numPr>
        <w:tabs>
          <w:tab w:val="left" w:pos="0"/>
          <w:tab w:val="left" w:pos="426"/>
        </w:tabs>
        <w:spacing w:after="0" w:line="276" w:lineRule="auto"/>
        <w:ind w:left="0" w:firstLine="0"/>
        <w:contextualSpacing/>
        <w:outlineLvl w:val="0"/>
        <w:rPr>
          <w:rFonts w:asciiTheme="majorHAnsi" w:eastAsia="Times New Roman" w:hAnsiTheme="majorHAnsi" w:cs="Times New Roman"/>
          <w:b/>
          <w:bCs/>
          <w:sz w:val="28"/>
          <w:szCs w:val="28"/>
          <w:lang w:val="ro-MD"/>
        </w:rPr>
      </w:pPr>
      <w:r w:rsidRPr="00E67099">
        <w:rPr>
          <w:rFonts w:asciiTheme="majorHAnsi" w:eastAsia="Times New Roman" w:hAnsiTheme="majorHAnsi" w:cs="Times New Roman"/>
          <w:b/>
          <w:bCs/>
          <w:sz w:val="28"/>
          <w:szCs w:val="28"/>
          <w:lang w:val="ro-MD"/>
        </w:rPr>
        <w:t xml:space="preserve">PREZENTAREA BUGETULUI DE STAT </w:t>
      </w:r>
    </w:p>
    <w:p w:rsidR="00E67099" w:rsidRPr="00E67099" w:rsidRDefault="00E67099" w:rsidP="00E67099">
      <w:pPr>
        <w:tabs>
          <w:tab w:val="left" w:pos="0"/>
        </w:tabs>
        <w:spacing w:after="0" w:line="276" w:lineRule="auto"/>
        <w:jc w:val="both"/>
        <w:outlineLvl w:val="0"/>
        <w:rPr>
          <w:rFonts w:asciiTheme="majorHAnsi" w:eastAsia="Times New Roman" w:hAnsiTheme="majorHAnsi" w:cstheme="majorHAnsi"/>
          <w:sz w:val="24"/>
          <w:szCs w:val="24"/>
          <w:lang w:eastAsia="ru-RU"/>
        </w:rPr>
      </w:pPr>
      <w:r w:rsidRPr="00E67099">
        <w:rPr>
          <w:rFonts w:asciiTheme="majorHAnsi" w:eastAsia="Times New Roman" w:hAnsiTheme="majorHAnsi" w:cstheme="majorHAnsi"/>
          <w:sz w:val="24"/>
          <w:szCs w:val="24"/>
          <w:lang w:eastAsia="ru-RU"/>
        </w:rPr>
        <w:t>MF este organul central de specialitate al administrației publice care asigură realizarea politicii guvernamentale în domeniile de competență, are misiunea de realizare a managementului finanțelor publice</w:t>
      </w:r>
      <w:r w:rsidRPr="00E67099">
        <w:rPr>
          <w:rFonts w:asciiTheme="majorHAnsi" w:eastAsia="Times New Roman" w:hAnsiTheme="majorHAnsi" w:cstheme="majorHAnsi"/>
          <w:sz w:val="24"/>
          <w:szCs w:val="24"/>
          <w:vertAlign w:val="superscript"/>
          <w:lang w:eastAsia="ru-RU"/>
        </w:rPr>
        <w:footnoteReference w:id="87"/>
      </w:r>
      <w:r w:rsidRPr="00E67099">
        <w:rPr>
          <w:rFonts w:asciiTheme="majorHAnsi" w:eastAsia="Times New Roman" w:hAnsiTheme="majorHAnsi" w:cstheme="majorHAnsi"/>
          <w:sz w:val="24"/>
          <w:szCs w:val="24"/>
          <w:lang w:eastAsia="ru-RU"/>
        </w:rPr>
        <w:t xml:space="preserve"> și administrează bugetul de stat. </w:t>
      </w:r>
      <w:r w:rsidRPr="00E67099">
        <w:rPr>
          <w:rFonts w:asciiTheme="majorHAnsi" w:hAnsiTheme="majorHAnsi" w:cstheme="majorHAnsi"/>
          <w:sz w:val="24"/>
          <w:szCs w:val="24"/>
          <w:lang w:val="ro-MD"/>
        </w:rPr>
        <w:t>Componentele BPN cuprind BS</w:t>
      </w:r>
      <w:r w:rsidRPr="00E67099">
        <w:rPr>
          <w:rFonts w:asciiTheme="majorHAnsi" w:hAnsiTheme="majorHAnsi" w:cstheme="majorHAnsi"/>
          <w:sz w:val="24"/>
          <w:szCs w:val="24"/>
          <w:vertAlign w:val="superscript"/>
          <w:lang w:val="ro-MD"/>
        </w:rPr>
        <w:footnoteReference w:id="88"/>
      </w:r>
      <w:r w:rsidRPr="00E67099">
        <w:rPr>
          <w:rFonts w:asciiTheme="majorHAnsi" w:hAnsiTheme="majorHAnsi" w:cstheme="majorHAnsi"/>
          <w:sz w:val="24"/>
          <w:szCs w:val="24"/>
          <w:lang w:val="ro-MD"/>
        </w:rPr>
        <w:t>, BASS, FAOAM și BL, din care bugetul consolidat central se formează din BS, BASS și FAOAM, iar bugetele locale de nivelul întâi și de nivelul al doilea formează în ansamblu bugetul consolidat local</w:t>
      </w:r>
      <w:r w:rsidRPr="00E67099">
        <w:rPr>
          <w:rFonts w:asciiTheme="majorHAnsi" w:hAnsiTheme="majorHAnsi" w:cstheme="majorHAnsi"/>
          <w:sz w:val="24"/>
          <w:szCs w:val="24"/>
          <w:vertAlign w:val="superscript"/>
          <w:lang w:val="ro-MD"/>
        </w:rPr>
        <w:footnoteReference w:id="89"/>
      </w:r>
      <w:r w:rsidRPr="00E67099">
        <w:rPr>
          <w:rFonts w:asciiTheme="majorHAnsi" w:hAnsiTheme="majorHAnsi" w:cstheme="majorHAnsi"/>
          <w:sz w:val="24"/>
          <w:szCs w:val="24"/>
          <w:lang w:val="ro-MD"/>
        </w:rPr>
        <w:t>. Resursele și cheltuielile bugetelor formate în cadrul sistemului bugetar se consolidează în BPN, g</w:t>
      </w:r>
      <w:r w:rsidRPr="00E67099">
        <w:rPr>
          <w:rFonts w:asciiTheme="majorHAnsi" w:hAnsiTheme="majorHAnsi" w:cstheme="majorHAnsi"/>
          <w:sz w:val="24"/>
          <w:szCs w:val="24"/>
          <w:lang w:val="ro-MD" w:eastAsia="ru-RU"/>
        </w:rPr>
        <w:t>estionarea mijloacelor BS se efectuează prin contul unic trezorerial, deschis în sistemul de evidență contabilă al BNM.</w:t>
      </w:r>
    </w:p>
    <w:p w:rsidR="00E67099" w:rsidRPr="00E67099" w:rsidRDefault="00E67099" w:rsidP="00E67099">
      <w:pPr>
        <w:shd w:val="clear" w:color="auto" w:fill="FFFFFF"/>
        <w:tabs>
          <w:tab w:val="left" w:pos="9355"/>
        </w:tabs>
        <w:spacing w:after="0" w:line="276" w:lineRule="auto"/>
        <w:ind w:left="34" w:right="-5"/>
        <w:jc w:val="both"/>
        <w:rPr>
          <w:rFonts w:asciiTheme="majorHAnsi" w:hAnsiTheme="majorHAnsi" w:cstheme="majorHAnsi"/>
          <w:sz w:val="24"/>
          <w:szCs w:val="24"/>
        </w:rPr>
      </w:pPr>
      <w:r w:rsidRPr="00E67099">
        <w:rPr>
          <w:rFonts w:asciiTheme="majorHAnsi" w:hAnsiTheme="majorHAnsi" w:cstheme="majorHAnsi"/>
          <w:sz w:val="24"/>
          <w:szCs w:val="24"/>
        </w:rPr>
        <w:t>Potrivit Raportului privind executarea bugetului public național pe anul 2019</w:t>
      </w:r>
      <w:r w:rsidRPr="00E67099">
        <w:rPr>
          <w:rFonts w:asciiTheme="majorHAnsi" w:hAnsiTheme="majorHAnsi" w:cstheme="majorHAnsi"/>
          <w:sz w:val="24"/>
          <w:szCs w:val="24"/>
          <w:vertAlign w:val="superscript"/>
        </w:rPr>
        <w:footnoteReference w:id="90"/>
      </w:r>
      <w:r w:rsidRPr="00E67099">
        <w:rPr>
          <w:rFonts w:asciiTheme="majorHAnsi" w:hAnsiTheme="majorHAnsi" w:cstheme="majorHAnsi"/>
          <w:sz w:val="24"/>
          <w:szCs w:val="24"/>
        </w:rPr>
        <w:t>, au fost încasate venituri în sumă totală de 62 949,2 mil. lei, ceea ce reprezintă 29,9% din PIB. Veniturile BPN, în comparație cu indicatorii precizați, au înregistrat o descreștere cu 0,9%, echivalentă cu (-565,0 mil. lei). Totodată, comparativ cu anul 2018, veniturile încasate în BPN au fost în creștere cu 8,5%, sau cu 4 953,3 mil. lei.</w:t>
      </w:r>
      <w:r w:rsidRPr="00E67099">
        <w:rPr>
          <w:rFonts w:asciiTheme="majorHAnsi" w:eastAsia="Times New Roman" w:hAnsiTheme="majorHAnsi" w:cstheme="majorHAnsi"/>
          <w:color w:val="000000"/>
          <w:spacing w:val="-1"/>
          <w:sz w:val="24"/>
          <w:szCs w:val="24"/>
          <w:lang w:eastAsia="ru-RU"/>
        </w:rPr>
        <w:t xml:space="preserve"> </w:t>
      </w:r>
      <w:r w:rsidRPr="00E67099">
        <w:rPr>
          <w:rFonts w:asciiTheme="majorHAnsi" w:eastAsia="Times New Roman" w:hAnsiTheme="majorHAnsi" w:cstheme="majorHAnsi"/>
          <w:i/>
          <w:color w:val="000000"/>
          <w:spacing w:val="-1"/>
          <w:sz w:val="24"/>
          <w:szCs w:val="24"/>
          <w:lang w:eastAsia="ru-RU"/>
        </w:rPr>
        <w:t>Executarea principalilor indicatori ai BPN pe anul 2019 se prezintă în Anexa nr.25 la prezentul Raport de audit.</w:t>
      </w:r>
    </w:p>
    <w:p w:rsidR="00E67099" w:rsidRPr="00E67099" w:rsidRDefault="00E67099" w:rsidP="00E67099">
      <w:pPr>
        <w:spacing w:after="0" w:line="276" w:lineRule="auto"/>
        <w:jc w:val="both"/>
        <w:rPr>
          <w:rFonts w:asciiTheme="majorHAnsi" w:eastAsia="Times New Roman" w:hAnsiTheme="majorHAnsi" w:cstheme="majorHAnsi"/>
          <w:sz w:val="24"/>
          <w:szCs w:val="24"/>
          <w:lang w:val="ro-MD"/>
        </w:rPr>
      </w:pPr>
      <w:r w:rsidRPr="00E67099">
        <w:rPr>
          <w:rFonts w:asciiTheme="majorHAnsi" w:eastAsia="Times New Roman" w:hAnsiTheme="majorHAnsi" w:cstheme="majorHAnsi"/>
          <w:sz w:val="24"/>
          <w:szCs w:val="24"/>
          <w:lang w:val="ro-MD"/>
        </w:rPr>
        <w:t>BS în anul 2019 poartă un caracter deficitar. Astfel, inițial, prin Legea bugetului de stat pe anul 2019</w:t>
      </w:r>
      <w:r w:rsidRPr="00E67099">
        <w:rPr>
          <w:rFonts w:asciiTheme="majorHAnsi" w:eastAsia="Times New Roman" w:hAnsiTheme="majorHAnsi" w:cstheme="majorHAnsi"/>
          <w:sz w:val="24"/>
          <w:szCs w:val="24"/>
          <w:vertAlign w:val="superscript"/>
          <w:lang w:val="ro-MD"/>
        </w:rPr>
        <w:footnoteReference w:id="91"/>
      </w:r>
      <w:r w:rsidRPr="00E67099">
        <w:rPr>
          <w:rFonts w:asciiTheme="majorHAnsi" w:eastAsia="Times New Roman" w:hAnsiTheme="majorHAnsi" w:cstheme="majorHAnsi"/>
          <w:sz w:val="24"/>
          <w:szCs w:val="24"/>
          <w:lang w:val="ro-MD"/>
        </w:rPr>
        <w:t xml:space="preserve">, parametrii bugetului de stat au fost aprobați la venituri în sumă de 42 125,5 mil. lei, la cheltuieli – de 47 664,2 mil. lei, cu o depășire a cheltuielilor asupra veniturilor de 5 538,7 mil. lei. </w:t>
      </w:r>
    </w:p>
    <w:p w:rsidR="00E67099" w:rsidRPr="00E67099" w:rsidRDefault="00E67099" w:rsidP="00E67099">
      <w:pPr>
        <w:spacing w:after="0" w:line="276" w:lineRule="auto"/>
        <w:jc w:val="both"/>
        <w:rPr>
          <w:rFonts w:asciiTheme="majorHAnsi" w:eastAsia="Times New Roman" w:hAnsiTheme="majorHAnsi" w:cstheme="majorHAnsi"/>
          <w:i/>
          <w:sz w:val="24"/>
          <w:szCs w:val="24"/>
          <w:lang w:val="ro-MD"/>
        </w:rPr>
      </w:pPr>
      <w:r w:rsidRPr="00E67099">
        <w:rPr>
          <w:rFonts w:asciiTheme="majorHAnsi" w:eastAsia="Times New Roman" w:hAnsiTheme="majorHAnsi" w:cstheme="majorHAnsi"/>
          <w:sz w:val="24"/>
          <w:szCs w:val="24"/>
          <w:lang w:val="ro-MD"/>
        </w:rPr>
        <w:t>În urma rectificării Legii bugetare anuale</w:t>
      </w:r>
      <w:r w:rsidRPr="00E67099">
        <w:rPr>
          <w:rFonts w:asciiTheme="majorHAnsi" w:eastAsia="Times New Roman" w:hAnsiTheme="majorHAnsi" w:cstheme="majorHAnsi"/>
          <w:sz w:val="24"/>
          <w:szCs w:val="24"/>
          <w:vertAlign w:val="superscript"/>
          <w:lang w:val="ro-MD"/>
        </w:rPr>
        <w:footnoteReference w:id="92"/>
      </w:r>
      <w:r w:rsidRPr="00E67099">
        <w:rPr>
          <w:rFonts w:asciiTheme="majorHAnsi" w:eastAsia="Times New Roman" w:hAnsiTheme="majorHAnsi" w:cstheme="majorHAnsi"/>
          <w:sz w:val="24"/>
          <w:szCs w:val="24"/>
          <w:lang w:val="ro-MD"/>
        </w:rPr>
        <w:t xml:space="preserve">, veniturile au scăzut cu 3,5%, sau cu 1 492,0 mil. lei, constituind 40 633,5 mil. lei, cheltuielile – cu 2,8%, sau cu (-1 327,4 mil. lei), constituind 46 336,8 mil. lei, iar deficitul – cu (-164,6 mil. lei). La baza rectificării bugetului a fost revizuirea indicatorilor macroeconomici, necesitățile pentru implementarea legii privind sistemul unitar de salarizare în sectorul bugetar etc. </w:t>
      </w:r>
      <w:r w:rsidRPr="00E67099">
        <w:rPr>
          <w:rFonts w:asciiTheme="majorHAnsi" w:eastAsia="Times New Roman" w:hAnsiTheme="majorHAnsi" w:cstheme="majorHAnsi"/>
          <w:i/>
          <w:sz w:val="24"/>
          <w:szCs w:val="24"/>
          <w:lang w:val="ro-MD"/>
        </w:rPr>
        <w:t xml:space="preserve">Sinteza modificărilor operate la principalii indicatori ai BS pe anul 2019 este prezentată în </w:t>
      </w:r>
      <w:r w:rsidRPr="00E67099">
        <w:rPr>
          <w:rFonts w:asciiTheme="majorHAnsi" w:eastAsia="Times New Roman" w:hAnsiTheme="majorHAnsi" w:cstheme="majorHAnsi"/>
          <w:i/>
          <w:iCs/>
          <w:sz w:val="24"/>
          <w:szCs w:val="24"/>
          <w:lang w:val="ro-MD"/>
        </w:rPr>
        <w:t>Anexa nr.26 la prezentul Raport de audit.</w:t>
      </w:r>
    </w:p>
    <w:p w:rsidR="00E67099" w:rsidRPr="00E67099" w:rsidRDefault="00E67099" w:rsidP="00E67099">
      <w:pPr>
        <w:spacing w:after="0" w:line="276" w:lineRule="auto"/>
        <w:jc w:val="both"/>
        <w:rPr>
          <w:rFonts w:asciiTheme="majorHAnsi" w:eastAsia="Times New Roman" w:hAnsiTheme="majorHAnsi" w:cstheme="majorHAnsi"/>
          <w:sz w:val="24"/>
          <w:szCs w:val="24"/>
          <w:lang w:val="ro-MD"/>
        </w:rPr>
      </w:pPr>
      <w:r w:rsidRPr="00E67099">
        <w:rPr>
          <w:rFonts w:asciiTheme="majorHAnsi" w:eastAsia="Times New Roman" w:hAnsiTheme="majorHAnsi" w:cstheme="majorHAnsi"/>
          <w:sz w:val="24"/>
          <w:szCs w:val="24"/>
          <w:lang w:val="ro-MD"/>
        </w:rPr>
        <w:t xml:space="preserve">Analiza auditului denotă că, în temeiul art.18 din Legea bugetară anuală și în baza propunerilor prezentate de executorii de buget, indicatorii aprobați de Parlament au fost modificați de către MF spre majorare cu 9,4 mil. lei, decât nivelul modificat de Parlament la venituri și la cheltuieli. </w:t>
      </w:r>
      <w:r w:rsidRPr="00E67099">
        <w:rPr>
          <w:rFonts w:asciiTheme="majorHAnsi" w:eastAsia="Times New Roman" w:hAnsiTheme="majorHAnsi" w:cstheme="majorHAnsi"/>
          <w:i/>
          <w:sz w:val="24"/>
          <w:szCs w:val="24"/>
          <w:lang w:val="ro-MD"/>
        </w:rPr>
        <w:t xml:space="preserve">Analiza </w:t>
      </w:r>
      <w:r w:rsidRPr="00E67099">
        <w:rPr>
          <w:rFonts w:asciiTheme="majorHAnsi" w:eastAsia="Times New Roman" w:hAnsiTheme="majorHAnsi" w:cstheme="majorHAnsi"/>
          <w:sz w:val="24"/>
          <w:szCs w:val="24"/>
          <w:lang w:val="ro-MD"/>
        </w:rPr>
        <w:t>e</w:t>
      </w:r>
      <w:r w:rsidRPr="00E67099">
        <w:rPr>
          <w:rFonts w:asciiTheme="majorHAnsi" w:eastAsia="Times New Roman" w:hAnsiTheme="majorHAnsi" w:cstheme="majorHAnsi"/>
          <w:i/>
          <w:iCs/>
          <w:sz w:val="24"/>
          <w:szCs w:val="24"/>
          <w:lang w:val="ro-MD"/>
        </w:rPr>
        <w:t xml:space="preserve">xecuției de ansamblu a bugetului de stat pe anul </w:t>
      </w:r>
      <w:r w:rsidR="00460D62">
        <w:rPr>
          <w:rFonts w:asciiTheme="majorHAnsi" w:eastAsia="Times New Roman" w:hAnsiTheme="majorHAnsi" w:cstheme="majorHAnsi"/>
          <w:i/>
          <w:iCs/>
          <w:sz w:val="24"/>
          <w:szCs w:val="24"/>
          <w:lang w:val="ro-MD"/>
        </w:rPr>
        <w:t>2019 se prezintă în Tabelul nr.3</w:t>
      </w:r>
      <w:r w:rsidRPr="00E67099">
        <w:rPr>
          <w:rFonts w:asciiTheme="majorHAnsi" w:eastAsia="Times New Roman" w:hAnsiTheme="majorHAnsi" w:cstheme="majorHAnsi"/>
          <w:i/>
          <w:iCs/>
          <w:sz w:val="24"/>
          <w:szCs w:val="24"/>
          <w:lang w:val="ro-MD"/>
        </w:rPr>
        <w:t>.</w:t>
      </w:r>
    </w:p>
    <w:p w:rsidR="00E67099" w:rsidRPr="00E67099" w:rsidRDefault="00460D62" w:rsidP="00E67099">
      <w:pPr>
        <w:spacing w:after="0" w:line="240" w:lineRule="auto"/>
        <w:jc w:val="right"/>
        <w:rPr>
          <w:rFonts w:asciiTheme="majorHAnsi" w:eastAsia="Times New Roman" w:hAnsiTheme="majorHAnsi" w:cstheme="majorHAnsi"/>
          <w:i/>
          <w:sz w:val="24"/>
          <w:szCs w:val="24"/>
          <w:lang w:val="ro-MD"/>
        </w:rPr>
      </w:pPr>
      <w:r>
        <w:rPr>
          <w:rFonts w:asciiTheme="majorHAnsi" w:eastAsia="Times New Roman" w:hAnsiTheme="majorHAnsi" w:cstheme="majorHAnsi"/>
          <w:i/>
          <w:sz w:val="24"/>
          <w:szCs w:val="24"/>
          <w:lang w:val="ro-MD"/>
        </w:rPr>
        <w:t>Tabelul nr.3</w:t>
      </w:r>
    </w:p>
    <w:p w:rsidR="00E67099" w:rsidRPr="00E67099" w:rsidRDefault="00E67099" w:rsidP="00E67099">
      <w:pPr>
        <w:spacing w:after="0" w:line="240" w:lineRule="auto"/>
        <w:jc w:val="center"/>
        <w:rPr>
          <w:rFonts w:asciiTheme="majorHAnsi" w:eastAsia="Times New Roman" w:hAnsiTheme="majorHAnsi" w:cstheme="majorHAnsi"/>
          <w:sz w:val="24"/>
          <w:szCs w:val="24"/>
          <w:lang w:val="ro-MD"/>
        </w:rPr>
      </w:pPr>
      <w:r w:rsidRPr="00E67099">
        <w:rPr>
          <w:rFonts w:asciiTheme="majorHAnsi" w:eastAsia="Times New Roman" w:hAnsiTheme="majorHAnsi" w:cstheme="majorHAnsi"/>
          <w:b/>
          <w:bCs/>
          <w:sz w:val="24"/>
          <w:szCs w:val="24"/>
          <w:lang w:val="ro-MD"/>
        </w:rPr>
        <w:t>Executarea Bugetului de stat față de sumele aprobate și precizate pe anul 2019</w:t>
      </w:r>
    </w:p>
    <w:tbl>
      <w:tblPr>
        <w:tblStyle w:val="GridTable1Light1"/>
        <w:tblW w:w="5131" w:type="pct"/>
        <w:tblLook w:val="04A0" w:firstRow="1" w:lastRow="0" w:firstColumn="1" w:lastColumn="0" w:noHBand="0" w:noVBand="1"/>
      </w:tblPr>
      <w:tblGrid>
        <w:gridCol w:w="1095"/>
        <w:gridCol w:w="1132"/>
        <w:gridCol w:w="1204"/>
        <w:gridCol w:w="1104"/>
        <w:gridCol w:w="1029"/>
        <w:gridCol w:w="1037"/>
        <w:gridCol w:w="1118"/>
        <w:gridCol w:w="1083"/>
        <w:gridCol w:w="1118"/>
        <w:gridCol w:w="6"/>
        <w:gridCol w:w="6"/>
      </w:tblGrid>
      <w:tr w:rsidR="00E67099" w:rsidRPr="00E67099" w:rsidTr="00A367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1"/>
          </w:tcPr>
          <w:p w:rsidR="00E67099" w:rsidRPr="00E67099" w:rsidRDefault="00E67099" w:rsidP="00E67099">
            <w:pPr>
              <w:jc w:val="right"/>
              <w:rPr>
                <w:rFonts w:asciiTheme="majorHAnsi" w:eastAsia="Times New Roman" w:hAnsiTheme="majorHAnsi" w:cstheme="majorHAnsi"/>
                <w:sz w:val="24"/>
                <w:szCs w:val="24"/>
                <w:lang w:val="ro-MD"/>
              </w:rPr>
            </w:pPr>
            <w:r w:rsidRPr="00E67099">
              <w:rPr>
                <w:rFonts w:asciiTheme="majorHAnsi" w:eastAsia="Times New Roman" w:hAnsiTheme="majorHAnsi" w:cstheme="majorHAnsi"/>
                <w:iCs/>
                <w:sz w:val="24"/>
                <w:szCs w:val="24"/>
                <w:lang w:val="ro-MD"/>
              </w:rPr>
              <w:t xml:space="preserve"> (mil. lei) </w:t>
            </w:r>
          </w:p>
        </w:tc>
      </w:tr>
      <w:tr w:rsidR="00E67099" w:rsidRPr="00E67099" w:rsidTr="00A36731">
        <w:trPr>
          <w:gridAfter w:val="1"/>
          <w:wAfter w:w="3" w:type="pct"/>
        </w:trPr>
        <w:tc>
          <w:tcPr>
            <w:cnfStyle w:val="001000000000" w:firstRow="0" w:lastRow="0" w:firstColumn="1" w:lastColumn="0" w:oddVBand="0" w:evenVBand="0" w:oddHBand="0" w:evenHBand="0" w:firstRowFirstColumn="0" w:firstRowLastColumn="0" w:lastRowFirstColumn="0" w:lastRowLastColumn="0"/>
            <w:tcW w:w="551" w:type="pct"/>
            <w:vMerge w:val="restart"/>
            <w:vAlign w:val="center"/>
            <w:hideMark/>
          </w:tcPr>
          <w:p w:rsidR="00E67099" w:rsidRPr="00E67099" w:rsidRDefault="00E67099" w:rsidP="00E67099">
            <w:pPr>
              <w:jc w:val="center"/>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Indicatori sintetici</w:t>
            </w:r>
          </w:p>
        </w:tc>
        <w:tc>
          <w:tcPr>
            <w:tcW w:w="570" w:type="pct"/>
            <w:vMerge w:val="restart"/>
            <w:vAlign w:val="center"/>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E67099">
              <w:rPr>
                <w:rFonts w:asciiTheme="majorHAnsi" w:eastAsia="Times New Roman" w:hAnsiTheme="majorHAnsi" w:cstheme="majorHAnsi"/>
                <w:b/>
                <w:bCs/>
                <w:sz w:val="20"/>
                <w:szCs w:val="20"/>
                <w:lang w:val="ro-MD"/>
              </w:rPr>
              <w:t>Prevederi bugetare aprobate</w:t>
            </w:r>
            <w:r w:rsidRPr="00E67099">
              <w:rPr>
                <w:rFonts w:asciiTheme="majorHAnsi" w:eastAsia="Times New Roman" w:hAnsiTheme="majorHAnsi" w:cstheme="majorHAnsi"/>
                <w:b/>
                <w:bCs/>
                <w:sz w:val="20"/>
                <w:szCs w:val="20"/>
                <w:vertAlign w:val="superscript"/>
                <w:lang w:val="ro-MD"/>
              </w:rPr>
              <w:t>*</w:t>
            </w:r>
            <w:r w:rsidRPr="00E67099">
              <w:rPr>
                <w:rFonts w:asciiTheme="majorHAnsi" w:eastAsia="Times New Roman" w:hAnsiTheme="majorHAnsi" w:cstheme="majorHAnsi"/>
                <w:b/>
                <w:bCs/>
                <w:sz w:val="20"/>
                <w:szCs w:val="20"/>
                <w:lang w:val="ro-MD"/>
              </w:rPr>
              <w:t xml:space="preserve"> </w:t>
            </w:r>
          </w:p>
        </w:tc>
        <w:tc>
          <w:tcPr>
            <w:tcW w:w="606" w:type="pct"/>
            <w:vMerge w:val="restart"/>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E67099">
              <w:rPr>
                <w:rFonts w:asciiTheme="majorHAnsi" w:eastAsia="Times New Roman" w:hAnsiTheme="majorHAnsi" w:cstheme="majorHAnsi"/>
                <w:b/>
                <w:bCs/>
                <w:sz w:val="20"/>
                <w:szCs w:val="20"/>
                <w:lang w:val="ro-MD"/>
              </w:rPr>
              <w:t>Prevederi modificate prin Lege</w:t>
            </w:r>
          </w:p>
        </w:tc>
        <w:tc>
          <w:tcPr>
            <w:tcW w:w="556" w:type="pct"/>
            <w:vMerge w:val="restart"/>
            <w:vAlign w:val="center"/>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E67099">
              <w:rPr>
                <w:rFonts w:asciiTheme="majorHAnsi" w:eastAsia="Times New Roman" w:hAnsiTheme="majorHAnsi" w:cstheme="majorHAnsi"/>
                <w:b/>
                <w:bCs/>
                <w:sz w:val="20"/>
                <w:szCs w:val="20"/>
                <w:lang w:val="ro-MD"/>
              </w:rPr>
              <w:t>Prevederi bugetare</w:t>
            </w:r>
            <w:r w:rsidRPr="00E67099">
              <w:rPr>
                <w:rFonts w:asciiTheme="majorHAnsi" w:eastAsia="Times New Roman" w:hAnsiTheme="majorHAnsi" w:cstheme="majorHAnsi"/>
                <w:b/>
                <w:bCs/>
                <w:sz w:val="20"/>
                <w:szCs w:val="20"/>
                <w:lang w:val="ro-MD"/>
              </w:rPr>
              <w:br/>
              <w:t>precizate</w:t>
            </w:r>
          </w:p>
        </w:tc>
        <w:tc>
          <w:tcPr>
            <w:tcW w:w="518" w:type="pct"/>
            <w:vMerge w:val="restart"/>
            <w:vAlign w:val="center"/>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E67099">
              <w:rPr>
                <w:rFonts w:asciiTheme="majorHAnsi" w:eastAsia="Times New Roman" w:hAnsiTheme="majorHAnsi" w:cstheme="majorHAnsi"/>
                <w:b/>
                <w:bCs/>
                <w:sz w:val="20"/>
                <w:szCs w:val="20"/>
                <w:lang w:val="ro-MD"/>
              </w:rPr>
              <w:t>Executat</w:t>
            </w:r>
          </w:p>
        </w:tc>
        <w:tc>
          <w:tcPr>
            <w:tcW w:w="1085" w:type="pct"/>
            <w:gridSpan w:val="2"/>
            <w:vAlign w:val="center"/>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E67099">
              <w:rPr>
                <w:rFonts w:asciiTheme="majorHAnsi" w:eastAsia="Times New Roman" w:hAnsiTheme="majorHAnsi" w:cstheme="majorHAnsi"/>
                <w:b/>
                <w:bCs/>
                <w:sz w:val="20"/>
                <w:szCs w:val="20"/>
                <w:lang w:val="ro-MD"/>
              </w:rPr>
              <w:t>Executat față</w:t>
            </w:r>
            <w:r w:rsidRPr="00E67099">
              <w:rPr>
                <w:rFonts w:asciiTheme="majorHAnsi" w:eastAsia="Times New Roman" w:hAnsiTheme="majorHAnsi" w:cstheme="majorHAnsi"/>
                <w:b/>
                <w:bCs/>
                <w:sz w:val="20"/>
                <w:szCs w:val="20"/>
                <w:lang w:val="ro-MD"/>
              </w:rPr>
              <w:br/>
              <w:t>de aprobat</w:t>
            </w:r>
          </w:p>
        </w:tc>
        <w:tc>
          <w:tcPr>
            <w:tcW w:w="1111" w:type="pct"/>
            <w:gridSpan w:val="3"/>
            <w:vAlign w:val="center"/>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E67099">
              <w:rPr>
                <w:rFonts w:asciiTheme="majorHAnsi" w:eastAsia="Times New Roman" w:hAnsiTheme="majorHAnsi" w:cstheme="majorHAnsi"/>
                <w:b/>
                <w:bCs/>
                <w:sz w:val="20"/>
                <w:szCs w:val="20"/>
                <w:lang w:val="ro-MD"/>
              </w:rPr>
              <w:t>Executat față</w:t>
            </w:r>
            <w:r w:rsidRPr="00E67099">
              <w:rPr>
                <w:rFonts w:asciiTheme="majorHAnsi" w:eastAsia="Times New Roman" w:hAnsiTheme="majorHAnsi" w:cstheme="majorHAnsi"/>
                <w:b/>
                <w:bCs/>
                <w:sz w:val="20"/>
                <w:szCs w:val="20"/>
                <w:lang w:val="ro-MD"/>
              </w:rPr>
              <w:br/>
              <w:t>de precizat</w:t>
            </w:r>
          </w:p>
        </w:tc>
      </w:tr>
      <w:tr w:rsidR="00E67099" w:rsidRPr="00E67099" w:rsidTr="00A36731">
        <w:trPr>
          <w:gridAfter w:val="2"/>
          <w:wAfter w:w="6" w:type="pct"/>
        </w:trPr>
        <w:tc>
          <w:tcPr>
            <w:cnfStyle w:val="001000000000" w:firstRow="0" w:lastRow="0" w:firstColumn="1" w:lastColumn="0" w:oddVBand="0" w:evenVBand="0" w:oddHBand="0" w:evenHBand="0" w:firstRowFirstColumn="0" w:firstRowLastColumn="0" w:lastRowFirstColumn="0" w:lastRowLastColumn="0"/>
            <w:tcW w:w="551" w:type="pct"/>
            <w:vMerge/>
            <w:vAlign w:val="center"/>
            <w:hideMark/>
          </w:tcPr>
          <w:p w:rsidR="00E67099" w:rsidRPr="00E67099" w:rsidRDefault="00E67099" w:rsidP="00E67099">
            <w:pPr>
              <w:rPr>
                <w:rFonts w:asciiTheme="majorHAnsi" w:eastAsia="Times New Roman" w:hAnsiTheme="majorHAnsi" w:cstheme="majorHAnsi"/>
                <w:sz w:val="20"/>
                <w:szCs w:val="20"/>
                <w:lang w:val="ro-MD"/>
              </w:rPr>
            </w:pPr>
          </w:p>
        </w:tc>
        <w:tc>
          <w:tcPr>
            <w:tcW w:w="570" w:type="pct"/>
            <w:vMerge/>
            <w:vAlign w:val="center"/>
            <w:hideMark/>
          </w:tcPr>
          <w:p w:rsidR="00E67099" w:rsidRPr="00E67099" w:rsidRDefault="00E67099" w:rsidP="00E6709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p>
        </w:tc>
        <w:tc>
          <w:tcPr>
            <w:tcW w:w="606" w:type="pct"/>
            <w:vMerge/>
            <w:vAlign w:val="center"/>
          </w:tcPr>
          <w:p w:rsidR="00E67099" w:rsidRPr="00E67099" w:rsidRDefault="00E67099" w:rsidP="00E6709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p>
        </w:tc>
        <w:tc>
          <w:tcPr>
            <w:tcW w:w="556" w:type="pct"/>
            <w:vMerge/>
            <w:vAlign w:val="center"/>
            <w:hideMark/>
          </w:tcPr>
          <w:p w:rsidR="00E67099" w:rsidRPr="00E67099" w:rsidRDefault="00E67099" w:rsidP="00E6709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p>
        </w:tc>
        <w:tc>
          <w:tcPr>
            <w:tcW w:w="518" w:type="pct"/>
            <w:vMerge/>
            <w:vAlign w:val="center"/>
            <w:hideMark/>
          </w:tcPr>
          <w:p w:rsidR="00E67099" w:rsidRPr="00E67099" w:rsidRDefault="00E67099" w:rsidP="00E6709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p>
        </w:tc>
        <w:tc>
          <w:tcPr>
            <w:tcW w:w="522" w:type="pct"/>
            <w:vAlign w:val="center"/>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20"/>
                <w:szCs w:val="20"/>
                <w:lang w:val="ro-MD"/>
              </w:rPr>
            </w:pPr>
            <w:r w:rsidRPr="00E67099">
              <w:rPr>
                <w:rFonts w:asciiTheme="majorHAnsi" w:eastAsia="Times New Roman" w:hAnsiTheme="majorHAnsi" w:cstheme="majorHAnsi"/>
                <w:bCs/>
                <w:i/>
                <w:sz w:val="20"/>
                <w:szCs w:val="20"/>
                <w:lang w:val="ro-MD"/>
              </w:rPr>
              <w:t xml:space="preserve">suma </w:t>
            </w:r>
            <w:r w:rsidRPr="00E67099">
              <w:rPr>
                <w:rFonts w:asciiTheme="majorHAnsi" w:eastAsia="Times New Roman" w:hAnsiTheme="majorHAnsi" w:cstheme="majorHAnsi"/>
                <w:bCs/>
                <w:i/>
                <w:sz w:val="20"/>
                <w:szCs w:val="20"/>
                <w:lang w:val="ro-MD"/>
              </w:rPr>
              <w:br/>
              <w:t>(+/-)</w:t>
            </w:r>
          </w:p>
        </w:tc>
        <w:tc>
          <w:tcPr>
            <w:tcW w:w="563" w:type="pct"/>
            <w:vAlign w:val="center"/>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20"/>
                <w:szCs w:val="20"/>
                <w:lang w:val="ro-MD"/>
              </w:rPr>
            </w:pPr>
            <w:r w:rsidRPr="00E67099">
              <w:rPr>
                <w:rFonts w:asciiTheme="majorHAnsi" w:eastAsia="Times New Roman" w:hAnsiTheme="majorHAnsi" w:cstheme="majorHAnsi"/>
                <w:bCs/>
                <w:i/>
                <w:sz w:val="20"/>
                <w:szCs w:val="20"/>
                <w:lang w:val="ro-MD"/>
              </w:rPr>
              <w:t xml:space="preserve">nivelul de </w:t>
            </w:r>
            <w:r w:rsidRPr="00E67099">
              <w:rPr>
                <w:rFonts w:asciiTheme="majorHAnsi" w:eastAsia="Times New Roman" w:hAnsiTheme="majorHAnsi" w:cstheme="majorHAnsi"/>
                <w:bCs/>
                <w:i/>
                <w:sz w:val="20"/>
                <w:szCs w:val="20"/>
                <w:lang w:val="ro-MD"/>
              </w:rPr>
              <w:br/>
              <w:t>executare</w:t>
            </w:r>
            <w:r w:rsidRPr="00E67099">
              <w:rPr>
                <w:rFonts w:asciiTheme="majorHAnsi" w:eastAsia="Times New Roman" w:hAnsiTheme="majorHAnsi" w:cstheme="majorHAnsi"/>
                <w:bCs/>
                <w:i/>
                <w:sz w:val="20"/>
                <w:szCs w:val="20"/>
                <w:lang w:val="ro-MD"/>
              </w:rPr>
              <w:br/>
              <w:t>(%)</w:t>
            </w:r>
          </w:p>
        </w:tc>
        <w:tc>
          <w:tcPr>
            <w:tcW w:w="545" w:type="pct"/>
            <w:vAlign w:val="center"/>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20"/>
                <w:szCs w:val="20"/>
                <w:lang w:val="ro-MD"/>
              </w:rPr>
            </w:pPr>
            <w:r w:rsidRPr="00E67099">
              <w:rPr>
                <w:rFonts w:asciiTheme="majorHAnsi" w:eastAsia="Times New Roman" w:hAnsiTheme="majorHAnsi" w:cstheme="majorHAnsi"/>
                <w:bCs/>
                <w:i/>
                <w:sz w:val="20"/>
                <w:szCs w:val="20"/>
                <w:lang w:val="ro-MD"/>
              </w:rPr>
              <w:t>suma</w:t>
            </w:r>
            <w:r w:rsidRPr="00E67099">
              <w:rPr>
                <w:rFonts w:asciiTheme="majorHAnsi" w:eastAsia="Times New Roman" w:hAnsiTheme="majorHAnsi" w:cstheme="majorHAnsi"/>
                <w:bCs/>
                <w:i/>
                <w:sz w:val="20"/>
                <w:szCs w:val="20"/>
                <w:lang w:val="ro-MD"/>
              </w:rPr>
              <w:br/>
              <w:t>(+/-)</w:t>
            </w:r>
          </w:p>
        </w:tc>
        <w:tc>
          <w:tcPr>
            <w:tcW w:w="563" w:type="pct"/>
            <w:vAlign w:val="center"/>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20"/>
                <w:szCs w:val="20"/>
                <w:lang w:val="ro-MD"/>
              </w:rPr>
            </w:pPr>
            <w:r w:rsidRPr="00E67099">
              <w:rPr>
                <w:rFonts w:asciiTheme="majorHAnsi" w:eastAsia="Times New Roman" w:hAnsiTheme="majorHAnsi" w:cstheme="majorHAnsi"/>
                <w:bCs/>
                <w:i/>
                <w:sz w:val="20"/>
                <w:szCs w:val="20"/>
                <w:lang w:val="ro-MD"/>
              </w:rPr>
              <w:t>nivelul de</w:t>
            </w:r>
            <w:r w:rsidRPr="00E67099">
              <w:rPr>
                <w:rFonts w:asciiTheme="majorHAnsi" w:eastAsia="Times New Roman" w:hAnsiTheme="majorHAnsi" w:cstheme="majorHAnsi"/>
                <w:bCs/>
                <w:i/>
                <w:sz w:val="20"/>
                <w:szCs w:val="20"/>
                <w:lang w:val="ro-MD"/>
              </w:rPr>
              <w:br/>
              <w:t>executare</w:t>
            </w:r>
            <w:r w:rsidRPr="00E67099">
              <w:rPr>
                <w:rFonts w:asciiTheme="majorHAnsi" w:eastAsia="Times New Roman" w:hAnsiTheme="majorHAnsi" w:cstheme="majorHAnsi"/>
                <w:bCs/>
                <w:i/>
                <w:sz w:val="20"/>
                <w:szCs w:val="20"/>
                <w:lang w:val="ro-MD"/>
              </w:rPr>
              <w:br/>
              <w:t>(%)</w:t>
            </w:r>
          </w:p>
        </w:tc>
      </w:tr>
      <w:tr w:rsidR="00E67099" w:rsidRPr="00E67099" w:rsidTr="00A36731">
        <w:trPr>
          <w:gridAfter w:val="2"/>
          <w:wAfter w:w="6" w:type="pct"/>
        </w:trPr>
        <w:tc>
          <w:tcPr>
            <w:cnfStyle w:val="001000000000" w:firstRow="0" w:lastRow="0" w:firstColumn="1" w:lastColumn="0" w:oddVBand="0" w:evenVBand="0" w:oddHBand="0" w:evenHBand="0" w:firstRowFirstColumn="0" w:firstRowLastColumn="0" w:lastRowFirstColumn="0" w:lastRowLastColumn="0"/>
            <w:tcW w:w="551" w:type="pct"/>
            <w:hideMark/>
          </w:tcPr>
          <w:p w:rsidR="00E67099" w:rsidRPr="00E67099" w:rsidRDefault="00E67099" w:rsidP="00E67099">
            <w:pPr>
              <w:jc w:val="center"/>
              <w:rPr>
                <w:rFonts w:asciiTheme="majorHAnsi" w:eastAsia="Times New Roman" w:hAnsiTheme="majorHAnsi" w:cstheme="majorHAnsi"/>
                <w:i/>
                <w:sz w:val="16"/>
                <w:szCs w:val="16"/>
                <w:lang w:val="ro-MD"/>
              </w:rPr>
            </w:pPr>
            <w:r w:rsidRPr="00E67099">
              <w:rPr>
                <w:rFonts w:asciiTheme="majorHAnsi" w:eastAsia="Times New Roman" w:hAnsiTheme="majorHAnsi" w:cstheme="majorHAnsi"/>
                <w:i/>
                <w:sz w:val="16"/>
                <w:szCs w:val="16"/>
                <w:lang w:val="ro-MD"/>
              </w:rPr>
              <w:t>1</w:t>
            </w:r>
          </w:p>
        </w:tc>
        <w:tc>
          <w:tcPr>
            <w:tcW w:w="570" w:type="pct"/>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6"/>
                <w:szCs w:val="16"/>
                <w:lang w:val="ro-MD"/>
              </w:rPr>
            </w:pPr>
            <w:r w:rsidRPr="00E67099">
              <w:rPr>
                <w:rFonts w:asciiTheme="majorHAnsi" w:eastAsia="Times New Roman" w:hAnsiTheme="majorHAnsi" w:cstheme="majorHAnsi"/>
                <w:bCs/>
                <w:i/>
                <w:sz w:val="16"/>
                <w:szCs w:val="16"/>
                <w:lang w:val="ro-MD"/>
              </w:rPr>
              <w:t>2</w:t>
            </w:r>
          </w:p>
        </w:tc>
        <w:tc>
          <w:tcPr>
            <w:tcW w:w="606" w:type="pct"/>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6"/>
                <w:szCs w:val="16"/>
                <w:lang w:val="ro-MD"/>
              </w:rPr>
            </w:pPr>
            <w:r w:rsidRPr="00E67099">
              <w:rPr>
                <w:rFonts w:asciiTheme="majorHAnsi" w:eastAsia="Times New Roman" w:hAnsiTheme="majorHAnsi" w:cstheme="majorHAnsi"/>
                <w:bCs/>
                <w:i/>
                <w:sz w:val="16"/>
                <w:szCs w:val="16"/>
                <w:lang w:val="ro-MD"/>
              </w:rPr>
              <w:t>3</w:t>
            </w:r>
          </w:p>
        </w:tc>
        <w:tc>
          <w:tcPr>
            <w:tcW w:w="556" w:type="pct"/>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6"/>
                <w:szCs w:val="16"/>
                <w:lang w:val="ro-MD"/>
              </w:rPr>
            </w:pPr>
            <w:r w:rsidRPr="00E67099">
              <w:rPr>
                <w:rFonts w:asciiTheme="majorHAnsi" w:eastAsia="Times New Roman" w:hAnsiTheme="majorHAnsi" w:cstheme="majorHAnsi"/>
                <w:bCs/>
                <w:i/>
                <w:sz w:val="16"/>
                <w:szCs w:val="16"/>
                <w:lang w:val="ro-MD"/>
              </w:rPr>
              <w:t>4</w:t>
            </w:r>
          </w:p>
        </w:tc>
        <w:tc>
          <w:tcPr>
            <w:tcW w:w="518" w:type="pct"/>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6"/>
                <w:szCs w:val="16"/>
                <w:lang w:val="ro-MD"/>
              </w:rPr>
            </w:pPr>
            <w:r w:rsidRPr="00E67099">
              <w:rPr>
                <w:rFonts w:asciiTheme="majorHAnsi" w:eastAsia="Times New Roman" w:hAnsiTheme="majorHAnsi" w:cstheme="majorHAnsi"/>
                <w:bCs/>
                <w:i/>
                <w:sz w:val="16"/>
                <w:szCs w:val="16"/>
                <w:lang w:val="ro-MD"/>
              </w:rPr>
              <w:t>5</w:t>
            </w:r>
          </w:p>
        </w:tc>
        <w:tc>
          <w:tcPr>
            <w:tcW w:w="522" w:type="pct"/>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6"/>
                <w:szCs w:val="16"/>
                <w:lang w:val="ro-MD"/>
              </w:rPr>
            </w:pPr>
            <w:r w:rsidRPr="00E67099">
              <w:rPr>
                <w:rFonts w:asciiTheme="majorHAnsi" w:eastAsia="Times New Roman" w:hAnsiTheme="majorHAnsi" w:cstheme="majorHAnsi"/>
                <w:bCs/>
                <w:i/>
                <w:sz w:val="16"/>
                <w:szCs w:val="16"/>
                <w:lang w:val="ro-MD"/>
              </w:rPr>
              <w:t>6=5-2</w:t>
            </w:r>
          </w:p>
        </w:tc>
        <w:tc>
          <w:tcPr>
            <w:tcW w:w="563" w:type="pct"/>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6"/>
                <w:szCs w:val="16"/>
                <w:lang w:val="ro-MD"/>
              </w:rPr>
            </w:pPr>
            <w:r w:rsidRPr="00E67099">
              <w:rPr>
                <w:rFonts w:asciiTheme="majorHAnsi" w:eastAsia="Times New Roman" w:hAnsiTheme="majorHAnsi" w:cstheme="majorHAnsi"/>
                <w:bCs/>
                <w:i/>
                <w:sz w:val="16"/>
                <w:szCs w:val="16"/>
                <w:lang w:val="ro-MD"/>
              </w:rPr>
              <w:t>7=5/2*100</w:t>
            </w:r>
          </w:p>
        </w:tc>
        <w:tc>
          <w:tcPr>
            <w:tcW w:w="545" w:type="pct"/>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6"/>
                <w:szCs w:val="16"/>
                <w:lang w:val="ro-MD"/>
              </w:rPr>
            </w:pPr>
            <w:r w:rsidRPr="00E67099">
              <w:rPr>
                <w:rFonts w:asciiTheme="majorHAnsi" w:eastAsia="Times New Roman" w:hAnsiTheme="majorHAnsi" w:cstheme="majorHAnsi"/>
                <w:bCs/>
                <w:i/>
                <w:sz w:val="16"/>
                <w:szCs w:val="16"/>
                <w:lang w:val="ro-MD"/>
              </w:rPr>
              <w:t>8=5-4</w:t>
            </w:r>
          </w:p>
        </w:tc>
        <w:tc>
          <w:tcPr>
            <w:tcW w:w="563" w:type="pct"/>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6"/>
                <w:szCs w:val="16"/>
                <w:lang w:val="ro-MD"/>
              </w:rPr>
            </w:pPr>
            <w:r w:rsidRPr="00E67099">
              <w:rPr>
                <w:rFonts w:asciiTheme="majorHAnsi" w:eastAsia="Times New Roman" w:hAnsiTheme="majorHAnsi" w:cstheme="majorHAnsi"/>
                <w:bCs/>
                <w:i/>
                <w:sz w:val="16"/>
                <w:szCs w:val="16"/>
                <w:lang w:val="ro-MD"/>
              </w:rPr>
              <w:t>9=5/4*100</w:t>
            </w:r>
          </w:p>
        </w:tc>
      </w:tr>
      <w:tr w:rsidR="00E67099" w:rsidRPr="00E67099" w:rsidTr="00A36731">
        <w:trPr>
          <w:gridAfter w:val="2"/>
          <w:wAfter w:w="6" w:type="pct"/>
        </w:trPr>
        <w:tc>
          <w:tcPr>
            <w:cnfStyle w:val="001000000000" w:firstRow="0" w:lastRow="0" w:firstColumn="1" w:lastColumn="0" w:oddVBand="0" w:evenVBand="0" w:oddHBand="0" w:evenHBand="0" w:firstRowFirstColumn="0" w:firstRowLastColumn="0" w:lastRowFirstColumn="0" w:lastRowLastColumn="0"/>
            <w:tcW w:w="551" w:type="pct"/>
            <w:hideMark/>
          </w:tcPr>
          <w:p w:rsidR="00E67099" w:rsidRPr="00E67099" w:rsidRDefault="00E67099" w:rsidP="00E67099">
            <w:pPr>
              <w:rPr>
                <w:rFonts w:asciiTheme="majorHAnsi" w:eastAsia="Times New Roman" w:hAnsiTheme="majorHAnsi" w:cstheme="majorHAnsi"/>
                <w:sz w:val="20"/>
                <w:szCs w:val="20"/>
                <w:lang w:val="ro-MD"/>
              </w:rPr>
            </w:pPr>
            <w:r w:rsidRPr="00E67099">
              <w:rPr>
                <w:rFonts w:asciiTheme="majorHAnsi" w:eastAsia="Times New Roman" w:hAnsiTheme="majorHAnsi" w:cstheme="majorHAnsi"/>
                <w:iCs/>
                <w:sz w:val="20"/>
                <w:szCs w:val="20"/>
                <w:lang w:val="ro-MD"/>
              </w:rPr>
              <w:t>Venituri</w:t>
            </w:r>
          </w:p>
        </w:tc>
        <w:tc>
          <w:tcPr>
            <w:tcW w:w="570" w:type="pct"/>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42.125,5</w:t>
            </w:r>
          </w:p>
        </w:tc>
        <w:tc>
          <w:tcPr>
            <w:tcW w:w="606" w:type="pct"/>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40.633,5</w:t>
            </w:r>
          </w:p>
        </w:tc>
        <w:tc>
          <w:tcPr>
            <w:tcW w:w="556" w:type="pct"/>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40.642,9</w:t>
            </w:r>
          </w:p>
        </w:tc>
        <w:tc>
          <w:tcPr>
            <w:tcW w:w="518" w:type="pct"/>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39.967,9</w:t>
            </w:r>
          </w:p>
        </w:tc>
        <w:tc>
          <w:tcPr>
            <w:tcW w:w="522" w:type="pct"/>
            <w:tcBorders>
              <w:top w:val="nil"/>
              <w:left w:val="nil"/>
              <w:bottom w:val="single" w:sz="8" w:space="0" w:color="999999"/>
              <w:right w:val="single" w:sz="8" w:space="0" w:color="999999"/>
            </w:tcBorders>
            <w:shd w:val="clear" w:color="auto" w:fill="auto"/>
            <w:vAlign w:val="center"/>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en-US"/>
              </w:rPr>
            </w:pPr>
            <w:r w:rsidRPr="00E67099">
              <w:rPr>
                <w:rFonts w:ascii="Calibri Light" w:hAnsi="Calibri Light" w:cs="Calibri Light"/>
                <w:color w:val="000000"/>
                <w:sz w:val="20"/>
                <w:szCs w:val="20"/>
              </w:rPr>
              <w:t>-2.157,6</w:t>
            </w:r>
          </w:p>
        </w:tc>
        <w:tc>
          <w:tcPr>
            <w:tcW w:w="563" w:type="pct"/>
            <w:tcBorders>
              <w:top w:val="nil"/>
              <w:left w:val="nil"/>
              <w:bottom w:val="single" w:sz="8" w:space="0" w:color="999999"/>
              <w:right w:val="single" w:sz="8" w:space="0" w:color="999999"/>
            </w:tcBorders>
            <w:shd w:val="clear" w:color="auto" w:fill="auto"/>
            <w:vAlign w:val="center"/>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rPr>
            </w:pPr>
            <w:r w:rsidRPr="00E67099">
              <w:rPr>
                <w:rFonts w:ascii="Calibri Light" w:hAnsi="Calibri Light" w:cs="Calibri Light"/>
                <w:color w:val="000000"/>
                <w:sz w:val="20"/>
                <w:szCs w:val="20"/>
              </w:rPr>
              <w:t>94,9</w:t>
            </w:r>
          </w:p>
        </w:tc>
        <w:tc>
          <w:tcPr>
            <w:tcW w:w="545" w:type="pct"/>
            <w:tcBorders>
              <w:top w:val="nil"/>
              <w:left w:val="nil"/>
              <w:bottom w:val="single" w:sz="8" w:space="0" w:color="999999"/>
              <w:right w:val="single" w:sz="8" w:space="0" w:color="999999"/>
            </w:tcBorders>
            <w:shd w:val="clear" w:color="auto" w:fill="auto"/>
            <w:vAlign w:val="center"/>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rPr>
            </w:pPr>
            <w:r w:rsidRPr="00E67099">
              <w:rPr>
                <w:rFonts w:ascii="Calibri Light" w:hAnsi="Calibri Light" w:cs="Calibri Light"/>
                <w:color w:val="000000"/>
                <w:sz w:val="20"/>
                <w:szCs w:val="20"/>
                <w:lang w:val="ro-MD"/>
              </w:rPr>
              <w:t>-675,0</w:t>
            </w:r>
          </w:p>
        </w:tc>
        <w:tc>
          <w:tcPr>
            <w:tcW w:w="563" w:type="pct"/>
            <w:tcBorders>
              <w:top w:val="nil"/>
              <w:left w:val="nil"/>
              <w:bottom w:val="single" w:sz="8" w:space="0" w:color="999999"/>
              <w:right w:val="single" w:sz="8" w:space="0" w:color="999999"/>
            </w:tcBorders>
            <w:shd w:val="clear" w:color="auto" w:fill="auto"/>
            <w:vAlign w:val="center"/>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rPr>
            </w:pPr>
            <w:r w:rsidRPr="00E67099">
              <w:rPr>
                <w:rFonts w:ascii="Calibri Light" w:hAnsi="Calibri Light" w:cs="Calibri Light"/>
                <w:color w:val="000000"/>
                <w:sz w:val="20"/>
                <w:szCs w:val="20"/>
                <w:lang w:val="ro-MD"/>
              </w:rPr>
              <w:t>98,3</w:t>
            </w:r>
          </w:p>
        </w:tc>
      </w:tr>
      <w:tr w:rsidR="00E67099" w:rsidRPr="00E67099" w:rsidTr="00A36731">
        <w:trPr>
          <w:gridAfter w:val="2"/>
          <w:wAfter w:w="6" w:type="pct"/>
        </w:trPr>
        <w:tc>
          <w:tcPr>
            <w:cnfStyle w:val="001000000000" w:firstRow="0" w:lastRow="0" w:firstColumn="1" w:lastColumn="0" w:oddVBand="0" w:evenVBand="0" w:oddHBand="0" w:evenHBand="0" w:firstRowFirstColumn="0" w:firstRowLastColumn="0" w:lastRowFirstColumn="0" w:lastRowLastColumn="0"/>
            <w:tcW w:w="551" w:type="pct"/>
            <w:hideMark/>
          </w:tcPr>
          <w:p w:rsidR="00E67099" w:rsidRPr="00E67099" w:rsidRDefault="00E67099" w:rsidP="00E67099">
            <w:pPr>
              <w:rPr>
                <w:rFonts w:asciiTheme="majorHAnsi" w:eastAsia="Times New Roman" w:hAnsiTheme="majorHAnsi" w:cstheme="majorHAnsi"/>
                <w:sz w:val="20"/>
                <w:szCs w:val="20"/>
                <w:lang w:val="ro-MD"/>
              </w:rPr>
            </w:pPr>
            <w:r w:rsidRPr="00E67099">
              <w:rPr>
                <w:rFonts w:asciiTheme="majorHAnsi" w:eastAsia="Times New Roman" w:hAnsiTheme="majorHAnsi" w:cstheme="majorHAnsi"/>
                <w:iCs/>
                <w:sz w:val="20"/>
                <w:szCs w:val="20"/>
                <w:lang w:val="ro-MD"/>
              </w:rPr>
              <w:t>Cheltuieli</w:t>
            </w:r>
          </w:p>
        </w:tc>
        <w:tc>
          <w:tcPr>
            <w:tcW w:w="570" w:type="pct"/>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47.664,2</w:t>
            </w:r>
          </w:p>
        </w:tc>
        <w:tc>
          <w:tcPr>
            <w:tcW w:w="606" w:type="pct"/>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46.336,8</w:t>
            </w:r>
          </w:p>
        </w:tc>
        <w:tc>
          <w:tcPr>
            <w:tcW w:w="556" w:type="pct"/>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46.346,2</w:t>
            </w:r>
          </w:p>
        </w:tc>
        <w:tc>
          <w:tcPr>
            <w:tcW w:w="518" w:type="pct"/>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43.073,9</w:t>
            </w:r>
          </w:p>
        </w:tc>
        <w:tc>
          <w:tcPr>
            <w:tcW w:w="522" w:type="pct"/>
            <w:tcBorders>
              <w:top w:val="nil"/>
              <w:left w:val="nil"/>
              <w:bottom w:val="single" w:sz="8" w:space="0" w:color="999999"/>
              <w:right w:val="single" w:sz="8" w:space="0" w:color="999999"/>
            </w:tcBorders>
            <w:shd w:val="clear" w:color="auto" w:fill="auto"/>
            <w:vAlign w:val="center"/>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rPr>
            </w:pPr>
            <w:r w:rsidRPr="00E67099">
              <w:rPr>
                <w:rFonts w:ascii="Calibri Light" w:hAnsi="Calibri Light" w:cs="Calibri Light"/>
                <w:color w:val="000000"/>
                <w:sz w:val="20"/>
                <w:szCs w:val="20"/>
              </w:rPr>
              <w:t>-4.590,3</w:t>
            </w:r>
          </w:p>
        </w:tc>
        <w:tc>
          <w:tcPr>
            <w:tcW w:w="563" w:type="pct"/>
            <w:tcBorders>
              <w:top w:val="nil"/>
              <w:left w:val="nil"/>
              <w:bottom w:val="single" w:sz="8" w:space="0" w:color="999999"/>
              <w:right w:val="single" w:sz="8" w:space="0" w:color="999999"/>
            </w:tcBorders>
            <w:shd w:val="clear" w:color="auto" w:fill="auto"/>
            <w:vAlign w:val="center"/>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rPr>
            </w:pPr>
            <w:r w:rsidRPr="00E67099">
              <w:rPr>
                <w:rFonts w:ascii="Calibri Light" w:hAnsi="Calibri Light" w:cs="Calibri Light"/>
                <w:color w:val="000000"/>
                <w:sz w:val="20"/>
                <w:szCs w:val="20"/>
              </w:rPr>
              <w:t>90,4</w:t>
            </w:r>
          </w:p>
        </w:tc>
        <w:tc>
          <w:tcPr>
            <w:tcW w:w="545" w:type="pct"/>
            <w:tcBorders>
              <w:top w:val="nil"/>
              <w:left w:val="nil"/>
              <w:bottom w:val="single" w:sz="8" w:space="0" w:color="999999"/>
              <w:right w:val="single" w:sz="8" w:space="0" w:color="999999"/>
            </w:tcBorders>
            <w:shd w:val="clear" w:color="auto" w:fill="auto"/>
            <w:vAlign w:val="center"/>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rPr>
            </w:pPr>
            <w:r w:rsidRPr="00E67099">
              <w:rPr>
                <w:rFonts w:ascii="Calibri Light" w:hAnsi="Calibri Light" w:cs="Calibri Light"/>
                <w:color w:val="000000"/>
                <w:sz w:val="20"/>
                <w:szCs w:val="20"/>
                <w:lang w:val="ro-MD"/>
              </w:rPr>
              <w:t>-3.272,3</w:t>
            </w:r>
          </w:p>
        </w:tc>
        <w:tc>
          <w:tcPr>
            <w:tcW w:w="563" w:type="pct"/>
            <w:tcBorders>
              <w:top w:val="nil"/>
              <w:left w:val="nil"/>
              <w:bottom w:val="single" w:sz="8" w:space="0" w:color="999999"/>
              <w:right w:val="single" w:sz="8" w:space="0" w:color="999999"/>
            </w:tcBorders>
            <w:shd w:val="clear" w:color="auto" w:fill="auto"/>
            <w:vAlign w:val="center"/>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rPr>
            </w:pPr>
            <w:r w:rsidRPr="00E67099">
              <w:rPr>
                <w:rFonts w:ascii="Calibri Light" w:hAnsi="Calibri Light" w:cs="Calibri Light"/>
                <w:color w:val="000000"/>
                <w:sz w:val="20"/>
                <w:szCs w:val="20"/>
                <w:lang w:val="ro-MD"/>
              </w:rPr>
              <w:t>92,9</w:t>
            </w:r>
          </w:p>
        </w:tc>
      </w:tr>
      <w:tr w:rsidR="00E67099" w:rsidRPr="00E67099" w:rsidTr="00A36731">
        <w:trPr>
          <w:gridAfter w:val="2"/>
          <w:wAfter w:w="6" w:type="pct"/>
        </w:trPr>
        <w:tc>
          <w:tcPr>
            <w:cnfStyle w:val="001000000000" w:firstRow="0" w:lastRow="0" w:firstColumn="1" w:lastColumn="0" w:oddVBand="0" w:evenVBand="0" w:oddHBand="0" w:evenHBand="0" w:firstRowFirstColumn="0" w:firstRowLastColumn="0" w:lastRowFirstColumn="0" w:lastRowLastColumn="0"/>
            <w:tcW w:w="551" w:type="pct"/>
            <w:hideMark/>
          </w:tcPr>
          <w:p w:rsidR="00E67099" w:rsidRPr="00E67099" w:rsidRDefault="00E67099" w:rsidP="00E67099">
            <w:pPr>
              <w:rPr>
                <w:rFonts w:asciiTheme="majorHAnsi" w:eastAsia="Times New Roman" w:hAnsiTheme="majorHAnsi" w:cstheme="majorHAnsi"/>
                <w:sz w:val="20"/>
                <w:szCs w:val="20"/>
                <w:lang w:val="ro-MD"/>
              </w:rPr>
            </w:pPr>
            <w:r w:rsidRPr="00E67099">
              <w:rPr>
                <w:rFonts w:asciiTheme="majorHAnsi" w:eastAsia="Times New Roman" w:hAnsiTheme="majorHAnsi" w:cstheme="majorHAnsi"/>
                <w:iCs/>
                <w:sz w:val="20"/>
                <w:szCs w:val="20"/>
                <w:lang w:val="ro-MD"/>
              </w:rPr>
              <w:t>Deficit</w:t>
            </w:r>
          </w:p>
        </w:tc>
        <w:tc>
          <w:tcPr>
            <w:tcW w:w="570" w:type="pct"/>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-5.538,7</w:t>
            </w:r>
          </w:p>
        </w:tc>
        <w:tc>
          <w:tcPr>
            <w:tcW w:w="606" w:type="pct"/>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-5.703,3</w:t>
            </w:r>
          </w:p>
        </w:tc>
        <w:tc>
          <w:tcPr>
            <w:tcW w:w="556" w:type="pct"/>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-5.703,3</w:t>
            </w:r>
          </w:p>
        </w:tc>
        <w:tc>
          <w:tcPr>
            <w:tcW w:w="518" w:type="pct"/>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-3.106,0</w:t>
            </w:r>
          </w:p>
        </w:tc>
        <w:tc>
          <w:tcPr>
            <w:tcW w:w="522" w:type="pct"/>
            <w:tcBorders>
              <w:top w:val="nil"/>
              <w:left w:val="nil"/>
              <w:bottom w:val="single" w:sz="8" w:space="0" w:color="999999"/>
              <w:right w:val="single" w:sz="8" w:space="0" w:color="999999"/>
            </w:tcBorders>
            <w:shd w:val="clear" w:color="auto" w:fill="auto"/>
            <w:vAlign w:val="center"/>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rPr>
            </w:pPr>
            <w:r w:rsidRPr="00E67099">
              <w:rPr>
                <w:rFonts w:ascii="Calibri Light" w:hAnsi="Calibri Light" w:cs="Calibri Light"/>
                <w:color w:val="000000"/>
                <w:sz w:val="20"/>
                <w:szCs w:val="20"/>
              </w:rPr>
              <w:t>-2.432,7</w:t>
            </w:r>
          </w:p>
        </w:tc>
        <w:tc>
          <w:tcPr>
            <w:tcW w:w="563" w:type="pct"/>
            <w:tcBorders>
              <w:top w:val="nil"/>
              <w:left w:val="nil"/>
              <w:bottom w:val="single" w:sz="8" w:space="0" w:color="999999"/>
              <w:right w:val="single" w:sz="8" w:space="0" w:color="999999"/>
            </w:tcBorders>
            <w:shd w:val="clear" w:color="auto" w:fill="auto"/>
            <w:vAlign w:val="center"/>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rPr>
            </w:pPr>
            <w:r w:rsidRPr="00E67099">
              <w:rPr>
                <w:rFonts w:ascii="Calibri Light" w:hAnsi="Calibri Light" w:cs="Calibri Light"/>
                <w:color w:val="000000"/>
                <w:sz w:val="20"/>
                <w:szCs w:val="20"/>
              </w:rPr>
              <w:t>56,1</w:t>
            </w:r>
          </w:p>
        </w:tc>
        <w:tc>
          <w:tcPr>
            <w:tcW w:w="545" w:type="pct"/>
            <w:tcBorders>
              <w:top w:val="nil"/>
              <w:left w:val="nil"/>
              <w:bottom w:val="single" w:sz="8" w:space="0" w:color="999999"/>
              <w:right w:val="single" w:sz="8" w:space="0" w:color="999999"/>
            </w:tcBorders>
            <w:shd w:val="clear" w:color="auto" w:fill="auto"/>
            <w:vAlign w:val="center"/>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rPr>
            </w:pPr>
            <w:r w:rsidRPr="00E67099">
              <w:rPr>
                <w:rFonts w:ascii="Calibri Light" w:hAnsi="Calibri Light" w:cs="Calibri Light"/>
                <w:color w:val="000000"/>
                <w:sz w:val="20"/>
                <w:szCs w:val="20"/>
                <w:lang w:val="ro-MD"/>
              </w:rPr>
              <w:t>-2.597,3</w:t>
            </w:r>
          </w:p>
        </w:tc>
        <w:tc>
          <w:tcPr>
            <w:tcW w:w="563" w:type="pct"/>
            <w:tcBorders>
              <w:top w:val="nil"/>
              <w:left w:val="nil"/>
              <w:bottom w:val="single" w:sz="8" w:space="0" w:color="999999"/>
              <w:right w:val="single" w:sz="8" w:space="0" w:color="999999"/>
            </w:tcBorders>
            <w:shd w:val="clear" w:color="auto" w:fill="auto"/>
            <w:vAlign w:val="center"/>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rPr>
            </w:pPr>
            <w:r w:rsidRPr="00E67099">
              <w:rPr>
                <w:rFonts w:ascii="Calibri Light" w:hAnsi="Calibri Light" w:cs="Calibri Light"/>
                <w:color w:val="000000"/>
                <w:sz w:val="20"/>
                <w:szCs w:val="20"/>
                <w:lang w:val="ro-MD"/>
              </w:rPr>
              <w:t>54,5</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5000" w:type="pct"/>
            <w:gridSpan w:val="11"/>
          </w:tcPr>
          <w:p w:rsidR="00E67099" w:rsidRPr="00E67099" w:rsidRDefault="00E67099" w:rsidP="00E67099">
            <w:pPr>
              <w:jc w:val="both"/>
              <w:rPr>
                <w:rFonts w:asciiTheme="majorHAnsi" w:eastAsia="Times New Roman" w:hAnsiTheme="majorHAnsi" w:cstheme="majorHAnsi"/>
                <w:i/>
                <w:iCs/>
                <w:sz w:val="20"/>
                <w:szCs w:val="20"/>
                <w:lang w:val="ro-MD"/>
              </w:rPr>
            </w:pPr>
            <w:r w:rsidRPr="00E67099">
              <w:rPr>
                <w:rFonts w:asciiTheme="majorHAnsi" w:eastAsia="Times New Roman" w:hAnsiTheme="majorHAnsi" w:cstheme="majorHAnsi"/>
                <w:sz w:val="20"/>
                <w:szCs w:val="20"/>
                <w:lang w:val="ro-MD"/>
              </w:rPr>
              <w:t> </w:t>
            </w:r>
            <w:r w:rsidRPr="00E67099">
              <w:rPr>
                <w:rFonts w:asciiTheme="majorHAnsi" w:eastAsia="Times New Roman" w:hAnsiTheme="majorHAnsi" w:cstheme="majorHAnsi"/>
                <w:i/>
                <w:iCs/>
                <w:sz w:val="20"/>
                <w:szCs w:val="20"/>
                <w:lang w:val="ro-MD"/>
              </w:rPr>
              <w:t>Sursă: Datele generalizate de echipa de audit din Raportul privind executarea bugetului de stat pe anul 2019.</w:t>
            </w:r>
          </w:p>
          <w:p w:rsidR="00E67099" w:rsidRPr="00E67099" w:rsidRDefault="00E67099" w:rsidP="00E67099">
            <w:pPr>
              <w:jc w:val="both"/>
              <w:rPr>
                <w:rFonts w:asciiTheme="majorHAnsi" w:eastAsia="Times New Roman" w:hAnsiTheme="majorHAnsi" w:cstheme="majorHAnsi"/>
                <w:i/>
                <w:iCs/>
                <w:sz w:val="24"/>
                <w:szCs w:val="24"/>
                <w:lang w:val="ro-MD"/>
              </w:rPr>
            </w:pPr>
            <w:r w:rsidRPr="00E67099">
              <w:rPr>
                <w:rFonts w:asciiTheme="majorHAnsi" w:eastAsia="Times New Roman" w:hAnsiTheme="majorHAnsi" w:cstheme="majorHAnsi"/>
                <w:i/>
                <w:iCs/>
                <w:sz w:val="20"/>
                <w:szCs w:val="20"/>
                <w:lang w:val="ro-MD"/>
              </w:rPr>
              <w:t>*</w:t>
            </w:r>
            <w:r w:rsidRPr="00E67099">
              <w:rPr>
                <w:sz w:val="20"/>
                <w:szCs w:val="20"/>
              </w:rPr>
              <w:t xml:space="preserve"> </w:t>
            </w:r>
            <w:r w:rsidRPr="00E67099">
              <w:rPr>
                <w:rFonts w:asciiTheme="majorHAnsi" w:hAnsiTheme="majorHAnsi" w:cstheme="majorHAnsi"/>
                <w:i/>
                <w:sz w:val="20"/>
                <w:szCs w:val="20"/>
              </w:rPr>
              <w:t xml:space="preserve">Prevederi bugetare aprobate </w:t>
            </w:r>
            <w:r w:rsidRPr="00E67099">
              <w:rPr>
                <w:rFonts w:asciiTheme="majorHAnsi" w:eastAsia="Times New Roman" w:hAnsiTheme="majorHAnsi" w:cstheme="majorHAnsi"/>
                <w:i/>
                <w:iCs/>
                <w:sz w:val="20"/>
                <w:szCs w:val="20"/>
                <w:lang w:val="ro-MD"/>
              </w:rPr>
              <w:t>prin Legea bugetului de stat pe anul 2019.</w:t>
            </w:r>
          </w:p>
        </w:tc>
      </w:tr>
    </w:tbl>
    <w:p w:rsidR="00E67099" w:rsidRPr="00E67099" w:rsidRDefault="00E67099" w:rsidP="00E67099">
      <w:pPr>
        <w:spacing w:after="0" w:line="276" w:lineRule="auto"/>
        <w:ind w:firstLine="567"/>
        <w:jc w:val="both"/>
        <w:rPr>
          <w:rFonts w:asciiTheme="majorHAnsi" w:eastAsia="Times New Roman" w:hAnsiTheme="majorHAnsi" w:cstheme="majorHAnsi"/>
          <w:sz w:val="24"/>
          <w:szCs w:val="24"/>
        </w:rPr>
      </w:pPr>
    </w:p>
    <w:p w:rsidR="00E67099" w:rsidRPr="00E67099" w:rsidRDefault="00E67099" w:rsidP="00E67099">
      <w:pPr>
        <w:spacing w:after="0" w:line="276" w:lineRule="auto"/>
        <w:jc w:val="both"/>
        <w:rPr>
          <w:rFonts w:asciiTheme="majorHAnsi" w:eastAsia="Times New Roman" w:hAnsiTheme="majorHAnsi" w:cstheme="majorHAnsi"/>
          <w:sz w:val="24"/>
          <w:szCs w:val="24"/>
          <w:lang w:val="ro-MD"/>
        </w:rPr>
      </w:pPr>
      <w:r w:rsidRPr="00E67099">
        <w:rPr>
          <w:rFonts w:asciiTheme="majorHAnsi" w:eastAsia="Times New Roman" w:hAnsiTheme="majorHAnsi" w:cstheme="majorHAnsi"/>
          <w:sz w:val="24"/>
          <w:szCs w:val="24"/>
          <w:lang w:val="ro-MD"/>
        </w:rPr>
        <w:t>Analizând datele privind executarea bugetului de stat pe anul 2019, față de indicatorii precizați, prin prisma responsabilităților MF de a menține în permanență un echilibru bugetar corespunzător, auditul relevă:</w:t>
      </w:r>
    </w:p>
    <w:p w:rsidR="00E67099" w:rsidRPr="00E67099" w:rsidRDefault="00E67099" w:rsidP="00EA6B58">
      <w:pPr>
        <w:numPr>
          <w:ilvl w:val="0"/>
          <w:numId w:val="1"/>
        </w:numPr>
        <w:tabs>
          <w:tab w:val="left" w:pos="142"/>
          <w:tab w:val="left" w:pos="851"/>
        </w:tabs>
        <w:spacing w:after="0" w:line="276" w:lineRule="auto"/>
        <w:ind w:left="0" w:firstLine="0"/>
        <w:contextualSpacing/>
        <w:jc w:val="both"/>
        <w:rPr>
          <w:rFonts w:asciiTheme="majorHAnsi" w:eastAsia="Times New Roman" w:hAnsiTheme="majorHAnsi" w:cstheme="majorHAnsi"/>
          <w:sz w:val="24"/>
          <w:szCs w:val="24"/>
          <w:lang w:val="ro-MD"/>
        </w:rPr>
      </w:pPr>
      <w:r w:rsidRPr="00E67099">
        <w:rPr>
          <w:rFonts w:asciiTheme="majorHAnsi" w:eastAsia="Times New Roman" w:hAnsiTheme="majorHAnsi" w:cstheme="majorHAnsi"/>
          <w:sz w:val="24"/>
          <w:szCs w:val="24"/>
          <w:lang w:val="ro-MD"/>
        </w:rPr>
        <w:t>încasările realizate în sumă de 39 967,9 mil. lei sunt cu (-675,0) mil. lei (1,7%) sub nivelul prevederilor bugetare precizate;</w:t>
      </w:r>
      <w:r w:rsidRPr="00E67099">
        <w:rPr>
          <w:rFonts w:asciiTheme="majorHAnsi" w:hAnsiTheme="majorHAnsi" w:cstheme="majorHAnsi"/>
          <w:sz w:val="24"/>
          <w:szCs w:val="24"/>
        </w:rPr>
        <w:t xml:space="preserve"> </w:t>
      </w:r>
    </w:p>
    <w:p w:rsidR="00E67099" w:rsidRPr="00E67099" w:rsidRDefault="00E67099" w:rsidP="00EA6B58">
      <w:pPr>
        <w:numPr>
          <w:ilvl w:val="0"/>
          <w:numId w:val="1"/>
        </w:numPr>
        <w:tabs>
          <w:tab w:val="left" w:pos="142"/>
          <w:tab w:val="left" w:pos="851"/>
        </w:tabs>
        <w:spacing w:after="0" w:line="276" w:lineRule="auto"/>
        <w:ind w:left="0" w:firstLine="0"/>
        <w:contextualSpacing/>
        <w:jc w:val="both"/>
        <w:rPr>
          <w:rFonts w:asciiTheme="majorHAnsi" w:eastAsia="Times New Roman" w:hAnsiTheme="majorHAnsi" w:cstheme="majorHAnsi"/>
          <w:sz w:val="24"/>
          <w:szCs w:val="24"/>
          <w:lang w:val="ro-MD"/>
        </w:rPr>
      </w:pPr>
      <w:r w:rsidRPr="00E67099">
        <w:rPr>
          <w:rFonts w:asciiTheme="majorHAnsi" w:eastAsia="Times New Roman" w:hAnsiTheme="majorHAnsi" w:cstheme="majorHAnsi"/>
          <w:sz w:val="24"/>
          <w:szCs w:val="24"/>
          <w:lang w:val="ro-MD"/>
        </w:rPr>
        <w:t>cheltuielile de casă în sumă de 43 073,9 mil. lei sunt cu (-3 272,3) mil. lei (7,1%) sub nivelul cheltuielilor bugetare precizate;</w:t>
      </w:r>
    </w:p>
    <w:p w:rsidR="00E67099" w:rsidRPr="00E67099" w:rsidRDefault="00E67099" w:rsidP="00EA6B58">
      <w:pPr>
        <w:numPr>
          <w:ilvl w:val="0"/>
          <w:numId w:val="1"/>
        </w:numPr>
        <w:tabs>
          <w:tab w:val="left" w:pos="142"/>
          <w:tab w:val="left" w:pos="851"/>
        </w:tabs>
        <w:spacing w:after="0" w:line="276" w:lineRule="auto"/>
        <w:ind w:left="0" w:firstLine="0"/>
        <w:contextualSpacing/>
        <w:jc w:val="both"/>
        <w:rPr>
          <w:rFonts w:asciiTheme="majorHAnsi" w:eastAsia="Times New Roman" w:hAnsiTheme="majorHAnsi" w:cstheme="majorHAnsi"/>
          <w:sz w:val="24"/>
          <w:szCs w:val="24"/>
          <w:lang w:val="ro-MD"/>
        </w:rPr>
      </w:pPr>
      <w:r w:rsidRPr="00E67099">
        <w:rPr>
          <w:rFonts w:asciiTheme="majorHAnsi" w:eastAsia="Times New Roman" w:hAnsiTheme="majorHAnsi" w:cstheme="majorHAnsi"/>
          <w:sz w:val="24"/>
          <w:szCs w:val="24"/>
          <w:lang w:val="ro-MD"/>
        </w:rPr>
        <w:t>deficitul bugetar în sumă de (-3 106,0) mil. lei este cu (-2 597,3) mil. lei (45,5%) sub nivelul prevederilor bugetare definitive, ca urmare a neexecutării cheltuielilor cu 3 272,3 mil. lei  și neîncasării veniturilor cu 675,0 mil. lei. Finanțarea pentru acoperirea deficitului bugetar nu a atins suma precizată cu 2 597,3 mil. lei.</w:t>
      </w:r>
    </w:p>
    <w:p w:rsidR="00E67099" w:rsidRPr="00E67099" w:rsidRDefault="00E67099" w:rsidP="00E67099">
      <w:pPr>
        <w:spacing w:after="0" w:line="276" w:lineRule="auto"/>
        <w:jc w:val="both"/>
        <w:rPr>
          <w:rFonts w:asciiTheme="majorHAnsi" w:eastAsia="Times New Roman" w:hAnsiTheme="majorHAnsi" w:cstheme="majorHAnsi"/>
          <w:sz w:val="24"/>
          <w:szCs w:val="24"/>
          <w:lang w:val="ro-MD"/>
        </w:rPr>
      </w:pPr>
      <w:r w:rsidRPr="00E67099">
        <w:rPr>
          <w:rFonts w:asciiTheme="majorHAnsi" w:eastAsia="Times New Roman" w:hAnsiTheme="majorHAnsi" w:cstheme="majorHAnsi"/>
          <w:sz w:val="24"/>
          <w:szCs w:val="24"/>
          <w:lang w:val="ro-MD"/>
        </w:rPr>
        <w:t xml:space="preserve">Drept urmare, exercițiul bugetar 2019 a înregistrat la venituri un nivel de executare a indicilor precizați de 98,3% și la cheltuieli – de 92,9%. </w:t>
      </w:r>
      <w:r w:rsidRPr="00E67099">
        <w:rPr>
          <w:rFonts w:asciiTheme="majorHAnsi" w:hAnsiTheme="majorHAnsi" w:cstheme="majorHAnsi"/>
          <w:sz w:val="24"/>
          <w:szCs w:val="24"/>
          <w:lang w:val="ro-MD"/>
        </w:rPr>
        <w:t>Totodată, comparând</w:t>
      </w:r>
      <w:r w:rsidRPr="00E67099">
        <w:rPr>
          <w:rFonts w:asciiTheme="majorHAnsi" w:hAnsiTheme="majorHAnsi" w:cstheme="majorHAnsi"/>
          <w:sz w:val="24"/>
          <w:szCs w:val="24"/>
        </w:rPr>
        <w:t xml:space="preserve"> încasările realizate, plățile efectuate până la finele anului 2019 și deficitul înregistrat cu sumele veniturilor, cheltuielilor și deficitului, aprobate prin Legea bugetului de stat pentru anul 2019, rezultă o nerealizare a veniturilor estimate inițial de 5,1% și o diminuare a cheltuielilor cu 9,6%. </w:t>
      </w:r>
    </w:p>
    <w:p w:rsidR="00E67099" w:rsidRPr="00E67099" w:rsidRDefault="00E67099" w:rsidP="00E67099">
      <w:pPr>
        <w:spacing w:after="0" w:line="276" w:lineRule="auto"/>
        <w:jc w:val="both"/>
        <w:rPr>
          <w:rFonts w:asciiTheme="majorHAnsi" w:eastAsia="Times New Roman" w:hAnsiTheme="majorHAnsi" w:cstheme="majorHAnsi"/>
          <w:sz w:val="24"/>
          <w:szCs w:val="24"/>
          <w:lang w:eastAsia="ru-RU"/>
        </w:rPr>
      </w:pPr>
      <w:r w:rsidRPr="00E67099">
        <w:rPr>
          <w:rFonts w:asciiTheme="majorHAnsi" w:eastAsia="Times New Roman" w:hAnsiTheme="majorHAnsi" w:cstheme="majorHAnsi"/>
          <w:sz w:val="24"/>
          <w:szCs w:val="24"/>
          <w:lang w:eastAsia="ru-RU"/>
        </w:rPr>
        <w:t>Raportul anual privind executarea bugetului de stat pe anul bugetar încheiat, potrivit prevederilor legale</w:t>
      </w:r>
      <w:r w:rsidRPr="00E67099">
        <w:rPr>
          <w:rFonts w:asciiTheme="majorHAnsi" w:eastAsia="Times New Roman" w:hAnsiTheme="majorHAnsi" w:cstheme="majorHAnsi"/>
          <w:sz w:val="24"/>
          <w:szCs w:val="24"/>
          <w:vertAlign w:val="superscript"/>
          <w:lang w:eastAsia="ru-RU"/>
        </w:rPr>
        <w:footnoteReference w:id="93"/>
      </w:r>
      <w:r w:rsidRPr="00E67099">
        <w:rPr>
          <w:rFonts w:asciiTheme="majorHAnsi" w:eastAsia="Times New Roman" w:hAnsiTheme="majorHAnsi" w:cstheme="majorHAnsi"/>
          <w:sz w:val="24"/>
          <w:szCs w:val="24"/>
          <w:lang w:eastAsia="ru-RU"/>
        </w:rPr>
        <w:t>, se  întocmește și se prezintă spre examinare și aprobare Guvernului de către  MF, iar Guvernul îl prezintă spre aprobare Parlamentului până la data de 01 iunie 2020.</w:t>
      </w:r>
    </w:p>
    <w:p w:rsidR="00E67099" w:rsidRPr="00E67099" w:rsidRDefault="00E67099" w:rsidP="00E67099">
      <w:pPr>
        <w:spacing w:after="0" w:line="276" w:lineRule="auto"/>
        <w:jc w:val="both"/>
        <w:rPr>
          <w:rFonts w:asciiTheme="majorHAnsi" w:eastAsia="Times New Roman" w:hAnsiTheme="majorHAnsi" w:cstheme="majorHAnsi"/>
          <w:sz w:val="24"/>
          <w:szCs w:val="24"/>
          <w:lang w:eastAsia="ru-RU"/>
        </w:rPr>
      </w:pPr>
      <w:r w:rsidRPr="00E67099">
        <w:rPr>
          <w:rFonts w:asciiTheme="majorHAnsi" w:eastAsia="Times New Roman" w:hAnsiTheme="majorHAnsi" w:cstheme="majorHAnsi"/>
          <w:sz w:val="24"/>
          <w:szCs w:val="24"/>
          <w:lang w:eastAsia="ru-RU"/>
        </w:rPr>
        <w:t>Datele privind indicii bugetari aprobați și precizați la venituri și cheltuieli, executarea de casă a veniturilor și cheltuielilor sunt date agregate din sistemul de evidență trezorerială al MF, iar ceilalți indici se includ ca rezultat al consolidării datelor rapoartelor financiare prezentate de către autoritățile/instituțiile bugetare, responsabilitatea pentru corectitudinea și veridicitatea datelor revenindu-le acestora.</w:t>
      </w:r>
    </w:p>
    <w:p w:rsidR="00E67099" w:rsidRPr="00E67099" w:rsidRDefault="00E67099" w:rsidP="00E67099">
      <w:pPr>
        <w:tabs>
          <w:tab w:val="left" w:pos="284"/>
          <w:tab w:val="left" w:pos="993"/>
        </w:tabs>
        <w:spacing w:after="0"/>
        <w:contextualSpacing/>
        <w:jc w:val="both"/>
        <w:rPr>
          <w:rFonts w:asciiTheme="majorHAnsi" w:eastAsia="Times New Roman" w:hAnsiTheme="majorHAnsi" w:cstheme="majorHAnsi"/>
          <w:sz w:val="24"/>
          <w:szCs w:val="24"/>
          <w:lang w:val="ro-MD"/>
        </w:rPr>
      </w:pPr>
      <w:r w:rsidRPr="00E67099">
        <w:rPr>
          <w:rFonts w:asciiTheme="majorHAnsi" w:eastAsia="Times New Roman" w:hAnsiTheme="majorHAnsi" w:cstheme="majorHAnsi"/>
          <w:sz w:val="24"/>
          <w:szCs w:val="24"/>
          <w:lang w:val="ro-MD"/>
        </w:rPr>
        <w:t>Datele privind indicatorii bugetari aprobați și precizați la venituri și cheltuieli, soldul bugetar, sursele de finanțare, precum și executarea de casă a acestora sunt date agregate din sistemul de evidență trezorerială al MF, iar ceilalți indicatori se includ ca rezultat al consolidării datelor din rapoartele financiare prezentate de către autoritățile/instituțiile bugetare, responsabilitatea pentru corectitudinea și veridicitatea datelor revenindu-le acestora.</w:t>
      </w:r>
    </w:p>
    <w:p w:rsidR="00E67099" w:rsidRPr="00E67099" w:rsidRDefault="00E67099" w:rsidP="00E67099">
      <w:pPr>
        <w:shd w:val="clear" w:color="auto" w:fill="FFFFFF"/>
        <w:spacing w:after="0" w:line="276" w:lineRule="auto"/>
        <w:ind w:right="45"/>
        <w:jc w:val="both"/>
        <w:rPr>
          <w:rFonts w:asciiTheme="majorHAnsi" w:hAnsiTheme="majorHAnsi" w:cstheme="majorHAnsi"/>
          <w:sz w:val="24"/>
          <w:szCs w:val="24"/>
        </w:rPr>
      </w:pPr>
      <w:r w:rsidRPr="00E67099">
        <w:rPr>
          <w:rFonts w:asciiTheme="majorHAnsi" w:eastAsia="Times New Roman" w:hAnsiTheme="majorHAnsi" w:cstheme="majorHAnsi"/>
          <w:bCs/>
          <w:iCs/>
          <w:sz w:val="24"/>
          <w:szCs w:val="24"/>
          <w:lang w:eastAsia="ru-RU"/>
        </w:rPr>
        <w:t>Auditul financiar exercitat a avut drept scop obținerea unei asigurări rezonabile referitor la faptul că Raportul Guvernului privind executarea bugetului de stat pe anul 2019, întocmit de MF și prezentat Guvernului spre aprobare, este elaborat, în toate aspectele semnificative, în conformitate cu prevederile legale și prezintă veridic informația financiară, bazată pe datele evidenței sistemului trezorerial și datele consolidate ale rapoartelor autorităților/instituțiilor bugetare, iar operațiunile sunt corecte și conforme prevederilor legale.</w:t>
      </w:r>
    </w:p>
    <w:p w:rsidR="00E67099" w:rsidRPr="00E67099" w:rsidRDefault="00E67099" w:rsidP="00E67099">
      <w:pPr>
        <w:spacing w:after="0" w:line="276" w:lineRule="auto"/>
        <w:jc w:val="both"/>
        <w:rPr>
          <w:rFonts w:asciiTheme="majorHAnsi" w:eastAsia="Times New Roman" w:hAnsiTheme="majorHAnsi" w:cstheme="majorHAnsi"/>
          <w:sz w:val="24"/>
          <w:szCs w:val="24"/>
          <w:lang w:val="en-US"/>
        </w:rPr>
      </w:pPr>
    </w:p>
    <w:p w:rsidR="00E67099" w:rsidRPr="00E67099" w:rsidRDefault="00E67099" w:rsidP="001C1349">
      <w:pPr>
        <w:numPr>
          <w:ilvl w:val="0"/>
          <w:numId w:val="4"/>
        </w:numPr>
        <w:tabs>
          <w:tab w:val="left" w:pos="284"/>
        </w:tabs>
        <w:spacing w:after="0" w:line="276" w:lineRule="auto"/>
        <w:ind w:left="0" w:firstLine="0"/>
        <w:contextualSpacing/>
        <w:jc w:val="both"/>
        <w:outlineLvl w:val="0"/>
        <w:rPr>
          <w:rFonts w:asciiTheme="majorHAnsi" w:hAnsiTheme="majorHAnsi" w:cstheme="majorHAnsi"/>
          <w:b/>
          <w:sz w:val="28"/>
          <w:szCs w:val="28"/>
          <w:lang w:val="ro-MD"/>
        </w:rPr>
      </w:pPr>
      <w:r w:rsidRPr="00E67099">
        <w:rPr>
          <w:rFonts w:asciiTheme="majorHAnsi" w:hAnsiTheme="majorHAnsi" w:cstheme="majorHAnsi"/>
          <w:b/>
          <w:sz w:val="28"/>
          <w:szCs w:val="28"/>
          <w:lang w:val="ro-MD"/>
        </w:rPr>
        <w:t>RECOMANDĂRI</w:t>
      </w:r>
    </w:p>
    <w:p w:rsidR="00E67099" w:rsidRPr="00E67099" w:rsidRDefault="00E67099" w:rsidP="00B05AEB">
      <w:pPr>
        <w:numPr>
          <w:ilvl w:val="0"/>
          <w:numId w:val="13"/>
        </w:numPr>
        <w:tabs>
          <w:tab w:val="left" w:pos="284"/>
        </w:tabs>
        <w:spacing w:after="0" w:line="276" w:lineRule="auto"/>
        <w:ind w:left="0" w:firstLine="0"/>
        <w:contextualSpacing/>
        <w:jc w:val="both"/>
        <w:rPr>
          <w:rFonts w:asciiTheme="majorHAnsi" w:eastAsia="Times New Roman" w:hAnsiTheme="majorHAnsi" w:cstheme="majorHAnsi"/>
          <w:sz w:val="24"/>
          <w:szCs w:val="24"/>
          <w:lang w:val="ro-MD"/>
        </w:rPr>
      </w:pPr>
      <w:r w:rsidRPr="00E67099">
        <w:rPr>
          <w:rFonts w:asciiTheme="majorHAnsi" w:eastAsia="Times New Roman" w:hAnsiTheme="majorHAnsi" w:cstheme="majorHAnsi"/>
          <w:sz w:val="24"/>
          <w:szCs w:val="24"/>
          <w:lang w:val="ro-MD"/>
        </w:rPr>
        <w:t>Definitivarea cadrului normativ în vigoare și aducerea în concordanță cu prevederile Legii nr.181/2014 referitor la noțiunea de „subsidii/subvenții”.</w:t>
      </w:r>
      <w:r w:rsidRPr="00E67099">
        <w:rPr>
          <w:rFonts w:asciiTheme="majorHAnsi" w:eastAsia="Times New Roman" w:hAnsiTheme="majorHAnsi" w:cstheme="majorHAnsi"/>
          <w:i/>
          <w:sz w:val="24"/>
          <w:szCs w:val="24"/>
          <w:lang w:val="ro-MD"/>
        </w:rPr>
        <w:t xml:space="preserve"> </w:t>
      </w:r>
      <w:r w:rsidRPr="00E67099">
        <w:rPr>
          <w:rFonts w:asciiTheme="majorHAnsi" w:eastAsia="Times New Roman" w:hAnsiTheme="majorHAnsi" w:cstheme="majorHAnsi"/>
          <w:b/>
          <w:sz w:val="24"/>
          <w:szCs w:val="24"/>
          <w:lang w:val="ro-MD"/>
        </w:rPr>
        <w:t>(Secțiunea III)</w:t>
      </w:r>
    </w:p>
    <w:p w:rsidR="00E67099" w:rsidRPr="00E67099" w:rsidRDefault="00E67099" w:rsidP="00B05AEB">
      <w:pPr>
        <w:numPr>
          <w:ilvl w:val="0"/>
          <w:numId w:val="13"/>
        </w:numPr>
        <w:tabs>
          <w:tab w:val="left" w:pos="284"/>
        </w:tabs>
        <w:spacing w:after="0" w:line="276" w:lineRule="auto"/>
        <w:ind w:left="0" w:firstLine="0"/>
        <w:contextualSpacing/>
        <w:jc w:val="both"/>
        <w:rPr>
          <w:rFonts w:asciiTheme="majorHAnsi" w:eastAsia="Times New Roman" w:hAnsiTheme="majorHAnsi" w:cstheme="majorHAnsi"/>
          <w:sz w:val="24"/>
          <w:szCs w:val="24"/>
          <w:lang w:val="ro-MD"/>
        </w:rPr>
      </w:pPr>
      <w:r w:rsidRPr="00E67099">
        <w:rPr>
          <w:rFonts w:asciiTheme="majorHAnsi" w:hAnsiTheme="majorHAnsi" w:cstheme="majorHAnsi"/>
          <w:bCs/>
          <w:iCs/>
          <w:sz w:val="24"/>
          <w:szCs w:val="24"/>
          <w:lang w:val="ro-MD"/>
        </w:rPr>
        <w:t>Modificarea cadrului normativ privind f</w:t>
      </w:r>
      <w:r w:rsidRPr="00E67099">
        <w:rPr>
          <w:rFonts w:asciiTheme="majorHAnsi" w:hAnsiTheme="majorHAnsi" w:cstheme="majorHAnsi"/>
          <w:bCs/>
          <w:iCs/>
          <w:sz w:val="24"/>
          <w:szCs w:val="24"/>
        </w:rPr>
        <w:t>inanțarea de la bugetul de stat a instituțiilor publice, fondurilor și proiectelor investiționale prin intermediul subsidiilor, cu conformarea la prevederile Legii nr.181 din 25.07.2014</w:t>
      </w:r>
      <w:r w:rsidRPr="00E67099">
        <w:rPr>
          <w:rFonts w:asciiTheme="majorHAnsi" w:hAnsiTheme="majorHAnsi" w:cstheme="majorHAnsi"/>
          <w:bCs/>
          <w:iCs/>
          <w:sz w:val="24"/>
          <w:szCs w:val="24"/>
          <w:vertAlign w:val="superscript"/>
        </w:rPr>
        <w:footnoteReference w:id="94"/>
      </w:r>
      <w:r w:rsidRPr="00E67099">
        <w:rPr>
          <w:rFonts w:asciiTheme="majorHAnsi" w:hAnsiTheme="majorHAnsi" w:cstheme="majorHAnsi"/>
          <w:bCs/>
          <w:iCs/>
          <w:sz w:val="24"/>
          <w:szCs w:val="24"/>
        </w:rPr>
        <w:t xml:space="preserve">. </w:t>
      </w:r>
      <w:r w:rsidRPr="00E67099">
        <w:rPr>
          <w:rFonts w:asciiTheme="majorHAnsi" w:eastAsia="Times New Roman" w:hAnsiTheme="majorHAnsi" w:cstheme="majorHAnsi"/>
          <w:b/>
          <w:sz w:val="24"/>
          <w:szCs w:val="24"/>
          <w:lang w:val="ro-MD"/>
        </w:rPr>
        <w:t>(Secțiunea III)</w:t>
      </w:r>
    </w:p>
    <w:p w:rsidR="00E67099" w:rsidRPr="00E67099" w:rsidRDefault="00E67099" w:rsidP="00B05AEB">
      <w:pPr>
        <w:numPr>
          <w:ilvl w:val="0"/>
          <w:numId w:val="13"/>
        </w:numPr>
        <w:tabs>
          <w:tab w:val="left" w:pos="284"/>
        </w:tabs>
        <w:spacing w:after="0" w:line="276" w:lineRule="auto"/>
        <w:ind w:left="0" w:firstLine="0"/>
        <w:contextualSpacing/>
        <w:jc w:val="both"/>
        <w:rPr>
          <w:rFonts w:asciiTheme="majorHAnsi" w:eastAsia="Times New Roman" w:hAnsiTheme="majorHAnsi" w:cstheme="majorHAnsi"/>
          <w:sz w:val="24"/>
          <w:szCs w:val="24"/>
          <w:lang w:val="ro-MD"/>
        </w:rPr>
      </w:pPr>
      <w:r w:rsidRPr="00E67099">
        <w:rPr>
          <w:rFonts w:asciiTheme="majorHAnsi" w:hAnsiTheme="majorHAnsi" w:cstheme="majorHAnsi"/>
          <w:sz w:val="24"/>
          <w:szCs w:val="24"/>
          <w:lang w:val="ro-MD"/>
        </w:rPr>
        <w:t>C</w:t>
      </w:r>
      <w:r w:rsidRPr="00E67099">
        <w:rPr>
          <w:rFonts w:asciiTheme="majorHAnsi" w:hAnsiTheme="majorHAnsi" w:cstheme="majorHAnsi"/>
          <w:sz w:val="24"/>
          <w:szCs w:val="24"/>
        </w:rPr>
        <w:t xml:space="preserve">ompletarea/dezvoltarea cadrului legal cu prevederi exhaustive privind utilizarea mijloacelor financiare aferente proiectelor finanțate din surse externe. </w:t>
      </w:r>
      <w:r w:rsidRPr="00E67099">
        <w:rPr>
          <w:rFonts w:asciiTheme="majorHAnsi" w:hAnsiTheme="majorHAnsi" w:cstheme="majorHAnsi"/>
          <w:b/>
          <w:sz w:val="24"/>
          <w:szCs w:val="24"/>
        </w:rPr>
        <w:t>(Secțiunea IV - 4.2.1)</w:t>
      </w:r>
    </w:p>
    <w:p w:rsidR="00E67099" w:rsidRPr="00E67099" w:rsidRDefault="00E67099" w:rsidP="00B05AEB">
      <w:pPr>
        <w:numPr>
          <w:ilvl w:val="0"/>
          <w:numId w:val="13"/>
        </w:numPr>
        <w:tabs>
          <w:tab w:val="left" w:pos="284"/>
        </w:tabs>
        <w:spacing w:after="0" w:line="276" w:lineRule="auto"/>
        <w:ind w:left="0" w:firstLine="0"/>
        <w:contextualSpacing/>
        <w:jc w:val="both"/>
        <w:rPr>
          <w:rFonts w:asciiTheme="majorHAnsi" w:eastAsia="Times New Roman" w:hAnsiTheme="majorHAnsi" w:cstheme="majorHAnsi"/>
          <w:sz w:val="24"/>
          <w:szCs w:val="24"/>
          <w:lang w:val="ro-MD"/>
        </w:rPr>
      </w:pPr>
      <w:r w:rsidRPr="00E67099">
        <w:rPr>
          <w:rFonts w:asciiTheme="majorHAnsi" w:hAnsiTheme="majorHAnsi" w:cstheme="majorHAnsi"/>
          <w:sz w:val="24"/>
          <w:szCs w:val="24"/>
        </w:rPr>
        <w:t xml:space="preserve">Asigurarea ajustării cadrului regulator cu privire la planificarea resurselor și cheltuielilor bugetare în concordanță cu cadrul legal. </w:t>
      </w:r>
      <w:r w:rsidRPr="00E67099">
        <w:rPr>
          <w:rFonts w:asciiTheme="majorHAnsi" w:hAnsiTheme="majorHAnsi" w:cstheme="majorHAnsi"/>
          <w:b/>
          <w:sz w:val="24"/>
          <w:szCs w:val="24"/>
        </w:rPr>
        <w:t>(Secțiunea VI - 6.4)</w:t>
      </w:r>
    </w:p>
    <w:p w:rsidR="00E67099" w:rsidRPr="00E67099" w:rsidRDefault="00E67099" w:rsidP="00B05AEB">
      <w:pPr>
        <w:numPr>
          <w:ilvl w:val="0"/>
          <w:numId w:val="13"/>
        </w:numPr>
        <w:tabs>
          <w:tab w:val="left" w:pos="284"/>
        </w:tabs>
        <w:spacing w:after="0" w:line="276" w:lineRule="auto"/>
        <w:ind w:left="0" w:firstLine="0"/>
        <w:contextualSpacing/>
        <w:jc w:val="both"/>
        <w:rPr>
          <w:rFonts w:asciiTheme="majorHAnsi" w:eastAsia="Times New Roman" w:hAnsiTheme="majorHAnsi" w:cstheme="majorHAnsi"/>
          <w:sz w:val="24"/>
          <w:szCs w:val="24"/>
          <w:lang w:val="ro-MD"/>
        </w:rPr>
      </w:pPr>
      <w:r w:rsidRPr="00E67099">
        <w:rPr>
          <w:rFonts w:asciiTheme="majorHAnsi" w:eastAsia="Times New Roman" w:hAnsiTheme="majorHAnsi" w:cstheme="majorHAnsi"/>
          <w:sz w:val="24"/>
          <w:szCs w:val="24"/>
          <w:lang w:val="ro-MD"/>
        </w:rPr>
        <w:t xml:space="preserve">Reglementarea, în comun cu alte organe cu atribuții de administrare a veniturilor bugetului de stat, a normelor regulatorii cu privire la obligativitatea, modul și periodicitatea raportării restanțelor către Ministerul Finanțelor, pentru includerea informației respective în Raportul Guvernului privind executarea bugetului de stat. </w:t>
      </w:r>
      <w:r w:rsidRPr="00E67099">
        <w:rPr>
          <w:rFonts w:asciiTheme="majorHAnsi" w:eastAsia="Times New Roman" w:hAnsiTheme="majorHAnsi" w:cstheme="majorHAnsi"/>
          <w:b/>
          <w:sz w:val="24"/>
          <w:szCs w:val="24"/>
          <w:lang w:val="ro-MD"/>
        </w:rPr>
        <w:t>(Secțiunea VI - 6.5)</w:t>
      </w:r>
    </w:p>
    <w:p w:rsidR="00E67099" w:rsidRPr="00E67099" w:rsidRDefault="00E67099" w:rsidP="00B05AEB">
      <w:pPr>
        <w:numPr>
          <w:ilvl w:val="0"/>
          <w:numId w:val="13"/>
        </w:numPr>
        <w:tabs>
          <w:tab w:val="left" w:pos="284"/>
        </w:tabs>
        <w:spacing w:after="0" w:line="276" w:lineRule="auto"/>
        <w:ind w:left="0" w:firstLine="0"/>
        <w:contextualSpacing/>
        <w:jc w:val="both"/>
        <w:rPr>
          <w:rFonts w:asciiTheme="majorHAnsi" w:eastAsia="Times New Roman" w:hAnsiTheme="majorHAnsi" w:cstheme="majorHAnsi"/>
          <w:sz w:val="24"/>
          <w:szCs w:val="24"/>
          <w:lang w:val="ro-MD"/>
        </w:rPr>
      </w:pPr>
      <w:r w:rsidRPr="00E67099">
        <w:rPr>
          <w:rFonts w:asciiTheme="majorHAnsi" w:eastAsia="Times New Roman" w:hAnsiTheme="majorHAnsi" w:cstheme="majorHAnsi"/>
          <w:sz w:val="24"/>
          <w:szCs w:val="24"/>
          <w:lang w:val="ro-MD"/>
        </w:rPr>
        <w:t xml:space="preserve">Reglementarea modului de ținere a Registrului debitorilor și modul de evidență a executării sancțiunilor și amenzilor. </w:t>
      </w:r>
      <w:r w:rsidRPr="00E67099">
        <w:rPr>
          <w:rFonts w:asciiTheme="majorHAnsi" w:eastAsia="Times New Roman" w:hAnsiTheme="majorHAnsi" w:cstheme="majorHAnsi"/>
          <w:b/>
          <w:sz w:val="24"/>
          <w:szCs w:val="24"/>
          <w:lang w:val="ro-MD"/>
        </w:rPr>
        <w:t>(Secțiunea VI – 6.6)</w:t>
      </w:r>
    </w:p>
    <w:p w:rsidR="00E67099" w:rsidRPr="00E67099" w:rsidRDefault="00E67099" w:rsidP="00E67099">
      <w:pPr>
        <w:tabs>
          <w:tab w:val="left" w:pos="284"/>
        </w:tabs>
        <w:spacing w:after="0" w:line="276" w:lineRule="auto"/>
        <w:jc w:val="both"/>
        <w:rPr>
          <w:rFonts w:asciiTheme="majorHAnsi" w:eastAsia="Times New Roman" w:hAnsiTheme="majorHAnsi" w:cstheme="majorHAnsi"/>
          <w:sz w:val="24"/>
          <w:szCs w:val="24"/>
          <w:lang w:val="ro-MD"/>
        </w:rPr>
      </w:pPr>
    </w:p>
    <w:p w:rsidR="00E67099" w:rsidRPr="00E67099" w:rsidRDefault="00E67099" w:rsidP="00B05AEB">
      <w:pPr>
        <w:numPr>
          <w:ilvl w:val="0"/>
          <w:numId w:val="4"/>
        </w:numPr>
        <w:tabs>
          <w:tab w:val="left" w:pos="426"/>
        </w:tabs>
        <w:spacing w:after="0" w:line="276" w:lineRule="auto"/>
        <w:ind w:left="0" w:firstLine="0"/>
        <w:contextualSpacing/>
        <w:jc w:val="both"/>
        <w:outlineLvl w:val="0"/>
        <w:rPr>
          <w:rFonts w:asciiTheme="majorHAnsi" w:hAnsiTheme="majorHAnsi" w:cstheme="majorHAnsi"/>
          <w:b/>
          <w:sz w:val="28"/>
          <w:szCs w:val="28"/>
          <w:lang w:val="ro-MD"/>
        </w:rPr>
      </w:pPr>
      <w:r w:rsidRPr="00E67099">
        <w:rPr>
          <w:rFonts w:asciiTheme="majorHAnsi" w:hAnsiTheme="majorHAnsi" w:cstheme="majorHAnsi"/>
          <w:b/>
          <w:sz w:val="28"/>
          <w:szCs w:val="28"/>
          <w:lang w:val="ro-MD"/>
        </w:rPr>
        <w:t>RESPONSABILITĂȚILE CELOR ÎNSĂRCINAȚI CU GUVERNANȚA PENTRU RAPOARTELE GUVERNULUI</w:t>
      </w:r>
    </w:p>
    <w:p w:rsidR="00E67099" w:rsidRPr="00E67099" w:rsidRDefault="00E67099" w:rsidP="00E67099">
      <w:pPr>
        <w:spacing w:after="0" w:line="276" w:lineRule="auto"/>
        <w:jc w:val="both"/>
        <w:rPr>
          <w:rFonts w:asciiTheme="majorHAnsi" w:eastAsia="Times New Roman" w:hAnsiTheme="majorHAnsi" w:cstheme="majorHAnsi"/>
          <w:sz w:val="24"/>
          <w:szCs w:val="24"/>
        </w:rPr>
      </w:pPr>
      <w:r w:rsidRPr="00E67099">
        <w:rPr>
          <w:rFonts w:asciiTheme="majorHAnsi" w:eastAsia="Times New Roman" w:hAnsiTheme="majorHAnsi" w:cstheme="majorHAnsi"/>
          <w:b/>
          <w:sz w:val="24"/>
          <w:szCs w:val="24"/>
        </w:rPr>
        <w:t>Responsabilitatea Guvernului</w:t>
      </w:r>
      <w:r w:rsidRPr="00E67099">
        <w:rPr>
          <w:rFonts w:asciiTheme="majorHAnsi" w:eastAsia="Times New Roman" w:hAnsiTheme="majorHAnsi" w:cstheme="majorHAnsi"/>
          <w:sz w:val="24"/>
          <w:szCs w:val="24"/>
        </w:rPr>
        <w:t>, în domeniul finanțelor publice, constă în conducerea generală a activității executive în domeniul gestionării finanțelor publice, în conformitate cu principiile și regulile stabilite și prezentarea Raportului privind executarea BS Parlamentului</w:t>
      </w:r>
      <w:r w:rsidRPr="00E67099">
        <w:rPr>
          <w:rFonts w:asciiTheme="majorHAnsi" w:eastAsia="Times New Roman" w:hAnsiTheme="majorHAnsi" w:cstheme="majorHAnsi"/>
          <w:sz w:val="24"/>
          <w:szCs w:val="24"/>
          <w:vertAlign w:val="superscript"/>
        </w:rPr>
        <w:footnoteReference w:id="95"/>
      </w:r>
      <w:r w:rsidRPr="00E67099">
        <w:rPr>
          <w:rFonts w:asciiTheme="majorHAnsi" w:eastAsia="Times New Roman" w:hAnsiTheme="majorHAnsi" w:cstheme="majorHAnsi"/>
          <w:sz w:val="24"/>
          <w:szCs w:val="24"/>
        </w:rPr>
        <w:t>.</w:t>
      </w:r>
    </w:p>
    <w:p w:rsidR="00E67099" w:rsidRPr="00E67099" w:rsidRDefault="00E67099" w:rsidP="00E67099">
      <w:pPr>
        <w:spacing w:after="0" w:line="276" w:lineRule="auto"/>
        <w:jc w:val="both"/>
        <w:rPr>
          <w:rFonts w:asciiTheme="majorHAnsi" w:eastAsia="Calibri" w:hAnsiTheme="majorHAnsi" w:cstheme="majorHAnsi"/>
          <w:sz w:val="24"/>
          <w:szCs w:val="24"/>
          <w:lang w:val="ro-MD" w:eastAsia="ru-RU"/>
        </w:rPr>
      </w:pPr>
      <w:r w:rsidRPr="00E67099">
        <w:rPr>
          <w:rFonts w:asciiTheme="majorHAnsi" w:eastAsia="Calibri" w:hAnsiTheme="majorHAnsi" w:cstheme="majorHAnsi"/>
          <w:b/>
          <w:sz w:val="24"/>
          <w:szCs w:val="24"/>
          <w:lang w:val="ro-MD" w:eastAsia="ru-RU"/>
        </w:rPr>
        <w:t>Responsabilitatea Ministerului Finanțelor</w:t>
      </w:r>
      <w:r w:rsidRPr="00E67099">
        <w:rPr>
          <w:rFonts w:asciiTheme="majorHAnsi" w:eastAsia="Calibri" w:hAnsiTheme="majorHAnsi" w:cstheme="majorHAnsi"/>
          <w:b/>
          <w:sz w:val="24"/>
          <w:szCs w:val="24"/>
          <w:vertAlign w:val="superscript"/>
          <w:lang w:val="ro-MD" w:eastAsia="ru-RU"/>
        </w:rPr>
        <w:footnoteReference w:id="96"/>
      </w:r>
      <w:r w:rsidRPr="00E67099">
        <w:rPr>
          <w:rFonts w:asciiTheme="majorHAnsi" w:eastAsia="Calibri" w:hAnsiTheme="majorHAnsi" w:cstheme="majorHAnsi"/>
          <w:sz w:val="24"/>
          <w:szCs w:val="24"/>
          <w:lang w:val="ro-MD" w:eastAsia="ru-RU"/>
        </w:rPr>
        <w:t xml:space="preserve"> </w:t>
      </w:r>
      <w:r w:rsidRPr="00E67099">
        <w:rPr>
          <w:rFonts w:asciiTheme="majorHAnsi" w:eastAsia="Times New Roman" w:hAnsiTheme="majorHAnsi" w:cstheme="majorHAnsi"/>
          <w:sz w:val="24"/>
          <w:szCs w:val="24"/>
        </w:rPr>
        <w:t xml:space="preserve">a constat în pregătirea și prezentarea fidelă către Guvern a </w:t>
      </w:r>
      <w:r w:rsidRPr="00E67099">
        <w:rPr>
          <w:rFonts w:asciiTheme="majorHAnsi" w:eastAsia="SimSun" w:hAnsiTheme="majorHAnsi" w:cstheme="majorHAnsi"/>
          <w:sz w:val="24"/>
          <w:szCs w:val="24"/>
        </w:rPr>
        <w:t>Raportului privind executarea BS în termenul prevăzut de calendarul bugetar, în conformitate cu cadrul de raportare aplicabil și asigurarea publicării acestuia</w:t>
      </w:r>
      <w:r w:rsidRPr="00E67099">
        <w:rPr>
          <w:rFonts w:asciiTheme="majorHAnsi" w:eastAsia="Times New Roman" w:hAnsiTheme="majorHAnsi" w:cstheme="majorHAnsi"/>
          <w:sz w:val="24"/>
          <w:szCs w:val="24"/>
          <w:vertAlign w:val="superscript"/>
          <w:lang w:eastAsia="ro-RO"/>
        </w:rPr>
        <w:footnoteReference w:id="97"/>
      </w:r>
      <w:r w:rsidRPr="00E67099">
        <w:rPr>
          <w:rFonts w:asciiTheme="majorHAnsi" w:eastAsia="Times New Roman" w:hAnsiTheme="majorHAnsi" w:cstheme="majorHAnsi"/>
          <w:sz w:val="24"/>
          <w:szCs w:val="24"/>
        </w:rPr>
        <w:t>.</w:t>
      </w:r>
      <w:r w:rsidRPr="00E67099">
        <w:rPr>
          <w:rFonts w:asciiTheme="majorHAnsi" w:eastAsia="Calibri" w:hAnsiTheme="majorHAnsi" w:cstheme="majorHAnsi"/>
          <w:sz w:val="24"/>
          <w:szCs w:val="24"/>
          <w:lang w:val="ro-MD" w:eastAsia="ru-RU"/>
        </w:rPr>
        <w:t xml:space="preserve"> Totodată, în calitate de autoritate publică centrală în domeniul finanțelor publice, MF este responsabil de: </w:t>
      </w:r>
      <w:r w:rsidRPr="00E67099">
        <w:rPr>
          <w:rFonts w:asciiTheme="majorHAnsi" w:eastAsia="Calibri" w:hAnsiTheme="majorHAnsi" w:cstheme="majorHAnsi"/>
          <w:b/>
          <w:sz w:val="24"/>
          <w:szCs w:val="24"/>
          <w:lang w:val="ro-MD" w:eastAsia="ru-RU"/>
        </w:rPr>
        <w:t>(i)</w:t>
      </w:r>
      <w:r w:rsidRPr="00E67099">
        <w:rPr>
          <w:rFonts w:asciiTheme="majorHAnsi" w:eastAsia="Calibri" w:hAnsiTheme="majorHAnsi" w:cstheme="majorHAnsi"/>
          <w:sz w:val="24"/>
          <w:szCs w:val="24"/>
          <w:lang w:val="ro-MD" w:eastAsia="ru-RU"/>
        </w:rPr>
        <w:t xml:space="preserve"> </w:t>
      </w:r>
      <w:r w:rsidRPr="00E67099">
        <w:rPr>
          <w:rFonts w:asciiTheme="majorHAnsi" w:eastAsia="Times New Roman" w:hAnsiTheme="majorHAnsi" w:cstheme="majorHAnsi"/>
          <w:sz w:val="24"/>
          <w:szCs w:val="24"/>
          <w:lang w:val="ro-MD"/>
        </w:rPr>
        <w:t xml:space="preserve">stabilirea activităților intermediare ale calendarului bugetar și monitorizarea implementării acestuia, precum și asigurarea coordonării generale a procesului bugetar; </w:t>
      </w:r>
      <w:r w:rsidRPr="00E67099">
        <w:rPr>
          <w:rFonts w:asciiTheme="majorHAnsi" w:eastAsia="Times New Roman" w:hAnsiTheme="majorHAnsi" w:cstheme="majorHAnsi"/>
          <w:b/>
          <w:sz w:val="24"/>
          <w:szCs w:val="24"/>
          <w:lang w:val="ro-MD"/>
        </w:rPr>
        <w:t>(ii)</w:t>
      </w:r>
      <w:r w:rsidRPr="00E67099">
        <w:rPr>
          <w:rFonts w:asciiTheme="majorHAnsi" w:eastAsia="Times New Roman" w:hAnsiTheme="majorHAnsi" w:cstheme="majorHAnsi"/>
          <w:sz w:val="24"/>
          <w:szCs w:val="24"/>
          <w:lang w:val="ro-MD"/>
        </w:rPr>
        <w:t xml:space="preserve"> elaborarea și asigurarea implementării politicii bugetar-fiscale în conformitate cu principiile și regulile bugetar-fiscale stabilite; </w:t>
      </w:r>
      <w:r w:rsidRPr="00E67099">
        <w:rPr>
          <w:rFonts w:asciiTheme="majorHAnsi" w:eastAsia="Times New Roman" w:hAnsiTheme="majorHAnsi" w:cstheme="majorHAnsi"/>
          <w:b/>
          <w:sz w:val="24"/>
          <w:szCs w:val="24"/>
          <w:lang w:val="ro-MD"/>
        </w:rPr>
        <w:t>(iii)</w:t>
      </w:r>
      <w:r w:rsidRPr="00E67099">
        <w:rPr>
          <w:rFonts w:asciiTheme="majorHAnsi" w:eastAsia="Times New Roman" w:hAnsiTheme="majorHAnsi" w:cstheme="majorHAnsi"/>
          <w:sz w:val="24"/>
          <w:szCs w:val="24"/>
          <w:lang w:val="ro-MD"/>
        </w:rPr>
        <w:t xml:space="preserve"> elaborarea și prezentarea Guvernului spre aprobare a CBTM; </w:t>
      </w:r>
      <w:r w:rsidRPr="00E67099">
        <w:rPr>
          <w:rFonts w:asciiTheme="majorHAnsi" w:eastAsia="Times New Roman" w:hAnsiTheme="majorHAnsi" w:cstheme="majorHAnsi"/>
          <w:b/>
          <w:sz w:val="24"/>
          <w:szCs w:val="24"/>
          <w:lang w:val="ro-MD"/>
        </w:rPr>
        <w:t>(iv)</w:t>
      </w:r>
      <w:r w:rsidRPr="00E67099">
        <w:rPr>
          <w:rFonts w:asciiTheme="majorHAnsi" w:eastAsia="Times New Roman" w:hAnsiTheme="majorHAnsi" w:cstheme="majorHAnsi"/>
          <w:sz w:val="24"/>
          <w:szCs w:val="24"/>
          <w:lang w:val="ro-MD"/>
        </w:rPr>
        <w:t xml:space="preserve"> examinarea propunerilor de buget ale APC, elaborarea și prezentarea Guvernului a proiectului legii bugetului de stat pe anul respectiv și, în caz de necesitate, a proiectelor de legi privind modificarea acestuia; </w:t>
      </w:r>
      <w:r w:rsidRPr="00E67099">
        <w:rPr>
          <w:rFonts w:asciiTheme="majorHAnsi" w:eastAsia="Times New Roman" w:hAnsiTheme="majorHAnsi" w:cstheme="majorHAnsi"/>
          <w:b/>
          <w:sz w:val="24"/>
          <w:szCs w:val="24"/>
          <w:lang w:val="ro-MD"/>
        </w:rPr>
        <w:t>(v)</w:t>
      </w:r>
      <w:r w:rsidRPr="00E67099">
        <w:rPr>
          <w:rFonts w:asciiTheme="majorHAnsi" w:eastAsia="Times New Roman" w:hAnsiTheme="majorHAnsi" w:cstheme="majorHAnsi"/>
          <w:sz w:val="24"/>
          <w:szCs w:val="24"/>
          <w:lang w:val="ro-MD"/>
        </w:rPr>
        <w:t xml:space="preserve"> examinarea proiectelor legilor anuale ale BASS, FAOAM și a sintezelor consolidate ale proiectelor bugetelor locale de nivelul întâi și nivelul al doilea, precum și determinarea transferurilor interbugetare în conformitate cu legislația; </w:t>
      </w:r>
      <w:r w:rsidRPr="00E67099">
        <w:rPr>
          <w:rFonts w:asciiTheme="majorHAnsi" w:eastAsia="Times New Roman" w:hAnsiTheme="majorHAnsi" w:cstheme="majorHAnsi"/>
          <w:b/>
          <w:sz w:val="24"/>
          <w:szCs w:val="24"/>
          <w:lang w:val="ro-MD"/>
        </w:rPr>
        <w:t>(vi)</w:t>
      </w:r>
      <w:r w:rsidRPr="00E67099">
        <w:rPr>
          <w:rFonts w:asciiTheme="majorHAnsi" w:eastAsia="Times New Roman" w:hAnsiTheme="majorHAnsi" w:cstheme="majorHAnsi"/>
          <w:sz w:val="24"/>
          <w:szCs w:val="24"/>
          <w:lang w:val="ro-MD"/>
        </w:rPr>
        <w:t xml:space="preserve"> asigurarea gestionării mijloacelor financiare ale bugetelor componente ale BPN prin contul unic trezorerial și prin alte conturi deschise în BNM și în instituțiile financiare, administrarea BS și monitorizarea executării celorlalte bugete componente ale BPN; </w:t>
      </w:r>
      <w:r w:rsidRPr="00E67099">
        <w:rPr>
          <w:rFonts w:asciiTheme="majorHAnsi" w:eastAsia="Times New Roman" w:hAnsiTheme="majorHAnsi" w:cstheme="majorHAnsi"/>
          <w:b/>
          <w:sz w:val="24"/>
          <w:szCs w:val="24"/>
          <w:lang w:val="ro-MD"/>
        </w:rPr>
        <w:t>(vii)</w:t>
      </w:r>
      <w:r w:rsidRPr="00E67099">
        <w:rPr>
          <w:rFonts w:asciiTheme="majorHAnsi" w:eastAsia="Times New Roman" w:hAnsiTheme="majorHAnsi" w:cstheme="majorHAnsi"/>
          <w:sz w:val="24"/>
          <w:szCs w:val="24"/>
          <w:lang w:val="ro-MD"/>
        </w:rPr>
        <w:t xml:space="preserve"> organizarea și asigurarea funcționării sistemului trezorerial; </w:t>
      </w:r>
      <w:r w:rsidRPr="00E67099">
        <w:rPr>
          <w:rFonts w:asciiTheme="majorHAnsi" w:eastAsia="Times New Roman" w:hAnsiTheme="majorHAnsi" w:cstheme="majorHAnsi"/>
          <w:b/>
          <w:sz w:val="24"/>
          <w:szCs w:val="24"/>
          <w:lang w:val="ro-MD"/>
        </w:rPr>
        <w:t>(viii)</w:t>
      </w:r>
      <w:r w:rsidRPr="00E67099">
        <w:rPr>
          <w:rFonts w:asciiTheme="majorHAnsi" w:eastAsia="Times New Roman" w:hAnsiTheme="majorHAnsi" w:cstheme="majorHAnsi"/>
          <w:sz w:val="24"/>
          <w:szCs w:val="24"/>
          <w:lang w:val="ro-MD"/>
        </w:rPr>
        <w:t xml:space="preserve"> întocmirea și publicarea rapoartelor periodice și anuale privind executarea BS, precum și privind executarea BPN; </w:t>
      </w:r>
      <w:r w:rsidRPr="00E67099">
        <w:rPr>
          <w:rFonts w:asciiTheme="majorHAnsi" w:eastAsia="Times New Roman" w:hAnsiTheme="majorHAnsi" w:cstheme="majorHAnsi"/>
          <w:b/>
          <w:sz w:val="24"/>
          <w:szCs w:val="24"/>
          <w:lang w:val="ro-MD"/>
        </w:rPr>
        <w:t>(ix)</w:t>
      </w:r>
      <w:r w:rsidRPr="00E67099">
        <w:rPr>
          <w:rFonts w:asciiTheme="majorHAnsi" w:eastAsia="Times New Roman" w:hAnsiTheme="majorHAnsi" w:cstheme="majorHAnsi"/>
          <w:sz w:val="24"/>
          <w:szCs w:val="24"/>
          <w:lang w:val="ro-MD"/>
        </w:rPr>
        <w:t xml:space="preserve"> elaborarea și aprobarea cadrului metodologic necesar pentru implementarea Legii nr.181 din 25.07.2014 și a altor acte normative în domeniul finanțelor publice, precum și acordarea asistenței metodologice APC și locale în procesul bugetar etc.</w:t>
      </w:r>
    </w:p>
    <w:p w:rsidR="00E67099" w:rsidRPr="00E67099" w:rsidRDefault="00E67099" w:rsidP="00E67099">
      <w:pPr>
        <w:spacing w:after="0" w:line="276" w:lineRule="auto"/>
        <w:jc w:val="both"/>
        <w:rPr>
          <w:rFonts w:asciiTheme="majorHAnsi" w:eastAsia="Times New Roman" w:hAnsiTheme="majorHAnsi" w:cstheme="majorHAnsi"/>
          <w:sz w:val="24"/>
          <w:szCs w:val="24"/>
          <w:lang w:val="ro-MD"/>
        </w:rPr>
      </w:pPr>
      <w:r w:rsidRPr="00E67099">
        <w:rPr>
          <w:rFonts w:asciiTheme="majorHAnsi" w:eastAsia="Times New Roman" w:hAnsiTheme="majorHAnsi" w:cstheme="majorHAnsi"/>
          <w:b/>
          <w:sz w:val="24"/>
          <w:szCs w:val="24"/>
          <w:lang w:val="ro-MD"/>
        </w:rPr>
        <w:t>Responsabilitatea Direcției Trezoreria de Stat</w:t>
      </w:r>
      <w:r w:rsidRPr="00E67099">
        <w:rPr>
          <w:rFonts w:asciiTheme="majorHAnsi" w:eastAsia="Times New Roman" w:hAnsiTheme="majorHAnsi" w:cstheme="majorHAnsi"/>
          <w:b/>
          <w:sz w:val="24"/>
          <w:szCs w:val="24"/>
          <w:vertAlign w:val="superscript"/>
          <w:lang w:val="ro-MD"/>
        </w:rPr>
        <w:footnoteReference w:id="98"/>
      </w:r>
      <w:r w:rsidRPr="00E67099">
        <w:rPr>
          <w:rFonts w:asciiTheme="majorHAnsi" w:eastAsia="Times New Roman" w:hAnsiTheme="majorHAnsi" w:cstheme="majorHAnsi"/>
          <w:b/>
          <w:sz w:val="24"/>
          <w:szCs w:val="24"/>
          <w:lang w:val="ro-MD"/>
        </w:rPr>
        <w:t xml:space="preserve"> </w:t>
      </w:r>
      <w:r w:rsidRPr="00E67099">
        <w:rPr>
          <w:rFonts w:asciiTheme="majorHAnsi" w:eastAsia="Times New Roman" w:hAnsiTheme="majorHAnsi" w:cstheme="majorHAnsi"/>
          <w:sz w:val="24"/>
          <w:szCs w:val="24"/>
          <w:lang w:val="ro-MD"/>
        </w:rPr>
        <w:t>ține de:</w:t>
      </w:r>
      <w:r w:rsidRPr="00E67099">
        <w:rPr>
          <w:rFonts w:asciiTheme="majorHAnsi" w:eastAsia="Times New Roman" w:hAnsiTheme="majorHAnsi" w:cstheme="majorHAnsi"/>
          <w:b/>
          <w:sz w:val="24"/>
          <w:szCs w:val="24"/>
          <w:lang w:val="ro-MD"/>
        </w:rPr>
        <w:t xml:space="preserve"> (i)</w:t>
      </w:r>
      <w:r w:rsidRPr="00E67099">
        <w:rPr>
          <w:rFonts w:asciiTheme="majorHAnsi" w:eastAsia="Times New Roman" w:hAnsiTheme="majorHAnsi" w:cstheme="majorHAnsi"/>
          <w:sz w:val="24"/>
          <w:szCs w:val="24"/>
          <w:lang w:val="ro-MD"/>
        </w:rPr>
        <w:t xml:space="preserve"> evidența contabilă a executării de casă a BS, încasărilor la BASS și la FAOAM prin sistemul trezorerial al MF;</w:t>
      </w:r>
      <w:r w:rsidRPr="00E67099">
        <w:rPr>
          <w:rFonts w:asciiTheme="majorHAnsi" w:eastAsia="Times New Roman" w:hAnsiTheme="majorHAnsi" w:cstheme="majorHAnsi"/>
          <w:b/>
          <w:sz w:val="24"/>
          <w:szCs w:val="24"/>
          <w:lang w:val="ro-MD"/>
        </w:rPr>
        <w:t xml:space="preserve"> (ii)</w:t>
      </w:r>
      <w:r w:rsidRPr="00E67099">
        <w:rPr>
          <w:rFonts w:asciiTheme="majorHAnsi" w:eastAsia="Times New Roman" w:hAnsiTheme="majorHAnsi" w:cstheme="majorHAnsi"/>
          <w:sz w:val="24"/>
          <w:szCs w:val="24"/>
          <w:lang w:val="ro-MD"/>
        </w:rPr>
        <w:t xml:space="preserve"> asigurarea procesului privind raportarea bugetară;</w:t>
      </w:r>
      <w:r w:rsidRPr="00E67099">
        <w:rPr>
          <w:rFonts w:asciiTheme="majorHAnsi" w:eastAsia="Times New Roman" w:hAnsiTheme="majorHAnsi" w:cstheme="majorHAnsi"/>
          <w:b/>
          <w:sz w:val="24"/>
          <w:szCs w:val="24"/>
          <w:lang w:val="ro-MD"/>
        </w:rPr>
        <w:t xml:space="preserve"> (iii) </w:t>
      </w:r>
      <w:r w:rsidR="00302AC8">
        <w:rPr>
          <w:rFonts w:asciiTheme="majorHAnsi" w:eastAsia="Times New Roman" w:hAnsiTheme="majorHAnsi" w:cstheme="majorHAnsi"/>
          <w:sz w:val="24"/>
          <w:szCs w:val="24"/>
          <w:lang w:val="ro-MD"/>
        </w:rPr>
        <w:t>colaborarea cu I</w:t>
      </w:r>
      <w:r w:rsidRPr="00E67099">
        <w:rPr>
          <w:rFonts w:asciiTheme="majorHAnsi" w:eastAsia="Times New Roman" w:hAnsiTheme="majorHAnsi" w:cstheme="majorHAnsi"/>
          <w:sz w:val="24"/>
          <w:szCs w:val="24"/>
          <w:lang w:val="ro-MD"/>
        </w:rPr>
        <w:t>P „Centru de Tehnologii Informaționale în Finanțe” privind administrarea, dezvoltarea şi menținerea sistemelor informaționale în scopul asigurării executării de casă a bugetelor și a mijloacelor extrabugetare prin CUT, a evidenței contabile și a raportării etc.</w:t>
      </w:r>
    </w:p>
    <w:p w:rsidR="00E67099" w:rsidRPr="00E67099" w:rsidRDefault="00E67099" w:rsidP="00E67099">
      <w:pPr>
        <w:spacing w:after="0" w:line="276" w:lineRule="auto"/>
        <w:jc w:val="both"/>
        <w:rPr>
          <w:rFonts w:asciiTheme="majorHAnsi" w:eastAsia="Times New Roman" w:hAnsiTheme="majorHAnsi" w:cstheme="majorHAnsi"/>
          <w:sz w:val="24"/>
          <w:szCs w:val="24"/>
          <w:lang w:val="ro-MD"/>
        </w:rPr>
      </w:pPr>
      <w:r w:rsidRPr="00E67099">
        <w:rPr>
          <w:rFonts w:asciiTheme="majorHAnsi" w:eastAsia="Times New Roman" w:hAnsiTheme="majorHAnsi" w:cstheme="majorHAnsi"/>
          <w:sz w:val="24"/>
          <w:szCs w:val="24"/>
          <w:lang w:val="ro-MD"/>
        </w:rPr>
        <w:t>Direcția Trezoreria de Stat și Trezoreriile Regionale ale Ministerului Finanțelor efectuează executarea de casă a încasărilor bugetelor componente ale BPN, a plăților BS și ale bugetelor locale, în baza clasificației bugetare</w:t>
      </w:r>
      <w:r w:rsidRPr="00E67099">
        <w:rPr>
          <w:rFonts w:asciiTheme="majorHAnsi" w:eastAsia="Calibri" w:hAnsiTheme="majorHAnsi" w:cstheme="majorHAnsi"/>
          <w:sz w:val="24"/>
          <w:szCs w:val="24"/>
          <w:vertAlign w:val="superscript"/>
          <w:lang w:val="en-US" w:eastAsia="ru-RU"/>
        </w:rPr>
        <w:footnoteReference w:id="99"/>
      </w:r>
      <w:r w:rsidRPr="00E67099">
        <w:rPr>
          <w:rFonts w:asciiTheme="majorHAnsi" w:eastAsia="Times New Roman" w:hAnsiTheme="majorHAnsi" w:cstheme="majorHAnsi"/>
          <w:sz w:val="24"/>
          <w:szCs w:val="24"/>
          <w:lang w:val="ro-MD"/>
        </w:rPr>
        <w:t xml:space="preserve"> și a planului de conturi contabile</w:t>
      </w:r>
      <w:r w:rsidRPr="00E67099">
        <w:rPr>
          <w:rFonts w:asciiTheme="majorHAnsi" w:eastAsia="Times New Roman" w:hAnsiTheme="majorHAnsi" w:cstheme="majorHAnsi"/>
          <w:sz w:val="24"/>
          <w:szCs w:val="24"/>
          <w:vertAlign w:val="superscript"/>
          <w:lang w:val="ro-MD"/>
        </w:rPr>
        <w:footnoteReference w:id="100"/>
      </w:r>
      <w:r w:rsidRPr="00E67099">
        <w:rPr>
          <w:rFonts w:asciiTheme="majorHAnsi" w:eastAsia="Times New Roman" w:hAnsiTheme="majorHAnsi" w:cstheme="majorHAnsi"/>
          <w:sz w:val="24"/>
          <w:szCs w:val="24"/>
          <w:lang w:val="ro-MD"/>
        </w:rPr>
        <w:t>.</w:t>
      </w:r>
    </w:p>
    <w:p w:rsidR="00E67099" w:rsidRPr="00E67099" w:rsidRDefault="00E67099" w:rsidP="00E67099">
      <w:pPr>
        <w:spacing w:after="0" w:line="276" w:lineRule="auto"/>
        <w:jc w:val="both"/>
        <w:rPr>
          <w:rFonts w:asciiTheme="majorHAnsi" w:eastAsia="Times New Roman" w:hAnsiTheme="majorHAnsi" w:cstheme="majorHAnsi"/>
          <w:sz w:val="24"/>
          <w:szCs w:val="24"/>
          <w:lang w:val="ro-MD"/>
        </w:rPr>
      </w:pPr>
      <w:r w:rsidRPr="00E67099">
        <w:rPr>
          <w:rFonts w:asciiTheme="majorHAnsi" w:eastAsia="Times New Roman" w:hAnsiTheme="majorHAnsi" w:cstheme="majorHAnsi"/>
          <w:b/>
          <w:sz w:val="24"/>
          <w:szCs w:val="24"/>
          <w:lang w:val="ro-MD"/>
        </w:rPr>
        <w:t>Responsabilitatea autorităților/instituțiilor bugetare</w:t>
      </w:r>
      <w:r w:rsidRPr="00E67099">
        <w:rPr>
          <w:rFonts w:asciiTheme="majorHAnsi" w:eastAsia="Times New Roman" w:hAnsiTheme="majorHAnsi" w:cstheme="majorHAnsi"/>
          <w:sz w:val="24"/>
          <w:szCs w:val="24"/>
          <w:lang w:val="ro-MD"/>
        </w:rPr>
        <w:t xml:space="preserve"> constă în întocmirea și prezentarea rapoartelor financiare în baza Legii contabilității și în conformitate cu termenele și cerințele stabilite de Ministerul Finanțelor</w:t>
      </w:r>
      <w:r w:rsidRPr="00E67099">
        <w:rPr>
          <w:rFonts w:asciiTheme="majorHAnsi" w:eastAsia="Times New Roman" w:hAnsiTheme="majorHAnsi" w:cstheme="majorHAnsi"/>
          <w:sz w:val="24"/>
          <w:szCs w:val="24"/>
          <w:vertAlign w:val="superscript"/>
          <w:lang w:val="ro-MD"/>
        </w:rPr>
        <w:footnoteReference w:id="101"/>
      </w:r>
      <w:r w:rsidRPr="00E67099">
        <w:rPr>
          <w:rFonts w:asciiTheme="majorHAnsi" w:eastAsia="Times New Roman" w:hAnsiTheme="majorHAnsi" w:cstheme="majorHAnsi"/>
          <w:sz w:val="24"/>
          <w:szCs w:val="24"/>
          <w:lang w:val="ro-MD"/>
        </w:rPr>
        <w:t>.</w:t>
      </w:r>
    </w:p>
    <w:p w:rsidR="00E67099" w:rsidRPr="00E67099" w:rsidRDefault="00E67099" w:rsidP="00E67099">
      <w:pPr>
        <w:tabs>
          <w:tab w:val="left" w:pos="1134"/>
        </w:tabs>
        <w:spacing w:after="0" w:line="276" w:lineRule="auto"/>
        <w:jc w:val="both"/>
        <w:rPr>
          <w:rFonts w:asciiTheme="majorHAnsi" w:eastAsia="Calibri" w:hAnsiTheme="majorHAnsi" w:cstheme="majorHAnsi"/>
          <w:sz w:val="16"/>
          <w:szCs w:val="16"/>
          <w:lang w:val="ro-MD" w:eastAsia="ru-RU"/>
        </w:rPr>
      </w:pPr>
    </w:p>
    <w:p w:rsidR="00E67099" w:rsidRPr="00E67099" w:rsidRDefault="00E67099" w:rsidP="00B05AEB">
      <w:pPr>
        <w:numPr>
          <w:ilvl w:val="0"/>
          <w:numId w:val="4"/>
        </w:numPr>
        <w:tabs>
          <w:tab w:val="left" w:pos="0"/>
          <w:tab w:val="left" w:pos="426"/>
        </w:tabs>
        <w:spacing w:after="0" w:line="276" w:lineRule="auto"/>
        <w:ind w:left="0" w:firstLine="0"/>
        <w:contextualSpacing/>
        <w:jc w:val="both"/>
        <w:outlineLvl w:val="0"/>
        <w:rPr>
          <w:rFonts w:asciiTheme="majorHAnsi" w:hAnsiTheme="majorHAnsi" w:cstheme="majorHAnsi"/>
          <w:b/>
          <w:sz w:val="28"/>
          <w:szCs w:val="28"/>
        </w:rPr>
      </w:pPr>
      <w:bookmarkStart w:id="5" w:name="_Toc9324231"/>
      <w:r w:rsidRPr="00E67099">
        <w:rPr>
          <w:rFonts w:asciiTheme="majorHAnsi" w:hAnsiTheme="majorHAnsi" w:cstheme="majorHAnsi"/>
          <w:b/>
          <w:sz w:val="28"/>
          <w:szCs w:val="28"/>
        </w:rPr>
        <w:t>RESPONSABILITĂȚILE AUDITORULUI</w:t>
      </w:r>
      <w:bookmarkEnd w:id="5"/>
      <w:r w:rsidRPr="00E67099">
        <w:rPr>
          <w:rFonts w:asciiTheme="majorHAnsi" w:hAnsiTheme="majorHAnsi" w:cstheme="majorHAnsi"/>
          <w:b/>
          <w:sz w:val="28"/>
          <w:szCs w:val="28"/>
        </w:rPr>
        <w:t xml:space="preserve"> ÎNTR-UN AUDIT AL RAPOARTELOR GUVERNULUI</w:t>
      </w:r>
    </w:p>
    <w:p w:rsidR="00E67099" w:rsidRPr="00E67099" w:rsidRDefault="00E67099" w:rsidP="00E67099">
      <w:pPr>
        <w:tabs>
          <w:tab w:val="left" w:pos="720"/>
        </w:tabs>
        <w:spacing w:after="0" w:line="276" w:lineRule="auto"/>
        <w:contextualSpacing/>
        <w:jc w:val="both"/>
        <w:rPr>
          <w:rFonts w:asciiTheme="majorHAnsi" w:hAnsiTheme="majorHAnsi" w:cstheme="majorHAnsi"/>
          <w:sz w:val="24"/>
          <w:szCs w:val="24"/>
        </w:rPr>
      </w:pPr>
      <w:r w:rsidRPr="00E67099">
        <w:rPr>
          <w:rFonts w:asciiTheme="majorHAnsi" w:hAnsiTheme="majorHAnsi" w:cstheme="majorHAnsi"/>
          <w:sz w:val="24"/>
          <w:szCs w:val="24"/>
        </w:rPr>
        <w:t>Auditorul este responsabil de planificarea și realizarea misiunii de audit, cu obținerea probelor suficiente și adecvate în vederea susținerii bazei pentru opinia de audit.</w:t>
      </w:r>
    </w:p>
    <w:p w:rsidR="00E67099" w:rsidRPr="00E67099" w:rsidRDefault="00E67099" w:rsidP="00E67099">
      <w:pPr>
        <w:tabs>
          <w:tab w:val="left" w:pos="720"/>
        </w:tabs>
        <w:spacing w:after="0" w:line="276" w:lineRule="auto"/>
        <w:contextualSpacing/>
        <w:jc w:val="both"/>
        <w:rPr>
          <w:rFonts w:asciiTheme="majorHAnsi" w:hAnsiTheme="majorHAnsi" w:cstheme="majorHAnsi"/>
          <w:sz w:val="24"/>
          <w:szCs w:val="24"/>
        </w:rPr>
      </w:pPr>
      <w:r w:rsidRPr="00E67099">
        <w:rPr>
          <w:rFonts w:asciiTheme="majorHAnsi" w:hAnsiTheme="majorHAnsi" w:cstheme="majorHAnsi"/>
          <w:sz w:val="24"/>
          <w:szCs w:val="24"/>
        </w:rPr>
        <w:t xml:space="preserve">Obiectivele auditorului sunt: obținerea unei asigurări rezonabile că </w:t>
      </w:r>
      <w:r w:rsidRPr="00E67099">
        <w:rPr>
          <w:rFonts w:asciiTheme="majorHAnsi" w:hAnsiTheme="majorHAnsi" w:cstheme="majorHAnsi"/>
          <w:bCs/>
          <w:iCs/>
          <w:sz w:val="24"/>
          <w:szCs w:val="24"/>
          <w:lang w:val="ro-MD"/>
        </w:rPr>
        <w:t xml:space="preserve">Raportul Guvernului privind executarea bugetului de stat </w:t>
      </w:r>
      <w:r w:rsidRPr="00E67099">
        <w:rPr>
          <w:rFonts w:asciiTheme="majorHAnsi" w:hAnsiTheme="majorHAnsi" w:cstheme="majorHAnsi"/>
          <w:sz w:val="24"/>
          <w:szCs w:val="24"/>
        </w:rPr>
        <w:t>nu este afectat de denaturări semnificative, cauzate de fraude sau erori, precum și emiterea unei opinii.</w:t>
      </w:r>
    </w:p>
    <w:p w:rsidR="00E67099" w:rsidRPr="00E67099" w:rsidRDefault="00E67099" w:rsidP="00E67099">
      <w:pPr>
        <w:tabs>
          <w:tab w:val="left" w:pos="720"/>
        </w:tabs>
        <w:spacing w:after="0" w:line="276" w:lineRule="auto"/>
        <w:contextualSpacing/>
        <w:jc w:val="both"/>
        <w:rPr>
          <w:rFonts w:asciiTheme="majorHAnsi" w:hAnsiTheme="majorHAnsi" w:cstheme="majorHAnsi"/>
          <w:sz w:val="24"/>
          <w:szCs w:val="24"/>
        </w:rPr>
      </w:pPr>
      <w:r w:rsidRPr="00E67099">
        <w:rPr>
          <w:rFonts w:asciiTheme="majorHAnsi" w:hAnsiTheme="majorHAnsi" w:cstheme="majorHAnsi"/>
          <w:sz w:val="24"/>
          <w:szCs w:val="24"/>
        </w:rPr>
        <w:t xml:space="preserve">Asigurarea rezonabilă este un nivel ridicat de asigurare, dar nu este o garanție că un audit efectuat în conformitate cu SIA va detecta întotdeauna o denaturare semnificativă atunci când ea există. Denaturările pot fi urmare a fraudelor sau erorilor. Totodată, denaturările pot fi considerate semnificative dacă, în mod individual sau în ansamblu, pot influența deciziile economice ale utilizatorilor acestor situații financiare. </w:t>
      </w:r>
    </w:p>
    <w:p w:rsidR="00E67099" w:rsidRPr="00E67099" w:rsidRDefault="00E67099" w:rsidP="00E67099">
      <w:pPr>
        <w:tabs>
          <w:tab w:val="left" w:pos="720"/>
        </w:tabs>
        <w:spacing w:after="0" w:line="276" w:lineRule="auto"/>
        <w:contextualSpacing/>
        <w:jc w:val="both"/>
        <w:rPr>
          <w:rFonts w:asciiTheme="majorHAnsi" w:eastAsia="SimSun" w:hAnsiTheme="majorHAnsi" w:cstheme="majorHAnsi"/>
          <w:b/>
          <w:sz w:val="24"/>
          <w:szCs w:val="24"/>
        </w:rPr>
      </w:pPr>
      <w:r w:rsidRPr="00E67099">
        <w:rPr>
          <w:rFonts w:asciiTheme="majorHAnsi" w:eastAsia="SimSun" w:hAnsiTheme="majorHAnsi" w:cstheme="majorHAnsi"/>
          <w:i/>
          <w:sz w:val="24"/>
          <w:szCs w:val="24"/>
        </w:rPr>
        <w:t xml:space="preserve">O informație mai detaliată privind responsabilitățile auditorului este prezentată pe pagina web a Curții de Conturi, la adresa: </w:t>
      </w:r>
      <w:hyperlink r:id="rId13" w:history="1">
        <w:r w:rsidRPr="00E67099">
          <w:rPr>
            <w:rFonts w:asciiTheme="majorHAnsi" w:eastAsia="SimSun" w:hAnsiTheme="majorHAnsi" w:cstheme="majorHAnsi"/>
            <w:i/>
            <w:color w:val="0563C1" w:themeColor="hyperlink"/>
            <w:sz w:val="24"/>
            <w:szCs w:val="24"/>
            <w:u w:val="single"/>
          </w:rPr>
          <w:t>http://www.ccrm.md/activitatea-curtii-de-conturi-1-25</w:t>
        </w:r>
      </w:hyperlink>
      <w:r w:rsidRPr="00E67099">
        <w:rPr>
          <w:rFonts w:asciiTheme="majorHAnsi" w:eastAsia="SimSun" w:hAnsiTheme="majorHAnsi" w:cstheme="majorHAnsi"/>
          <w:i/>
          <w:sz w:val="24"/>
          <w:szCs w:val="24"/>
        </w:rPr>
        <w:t>.</w:t>
      </w:r>
      <w:r w:rsidRPr="00E67099">
        <w:rPr>
          <w:rFonts w:asciiTheme="majorHAnsi" w:eastAsia="SimSun" w:hAnsiTheme="majorHAnsi" w:cstheme="majorHAnsi"/>
          <w:sz w:val="24"/>
          <w:szCs w:val="24"/>
        </w:rPr>
        <w:t xml:space="preserve"> </w:t>
      </w:r>
    </w:p>
    <w:p w:rsidR="00E67099" w:rsidRPr="00E67099" w:rsidRDefault="00E67099" w:rsidP="00E67099">
      <w:pPr>
        <w:tabs>
          <w:tab w:val="left" w:pos="993"/>
        </w:tabs>
        <w:spacing w:after="0" w:line="276" w:lineRule="auto"/>
        <w:jc w:val="both"/>
        <w:rPr>
          <w:rFonts w:asciiTheme="majorHAnsi" w:hAnsiTheme="majorHAnsi" w:cstheme="majorHAnsi"/>
          <w:sz w:val="24"/>
          <w:szCs w:val="24"/>
        </w:rPr>
      </w:pPr>
    </w:p>
    <w:p w:rsidR="00E67099" w:rsidRPr="00E67099" w:rsidRDefault="00E67099" w:rsidP="00E67099">
      <w:pPr>
        <w:tabs>
          <w:tab w:val="left" w:pos="993"/>
        </w:tabs>
        <w:spacing w:after="0" w:line="276" w:lineRule="auto"/>
        <w:jc w:val="both"/>
        <w:rPr>
          <w:rFonts w:asciiTheme="majorHAnsi" w:hAnsiTheme="majorHAnsi" w:cstheme="majorHAnsi"/>
          <w:b/>
          <w:sz w:val="28"/>
          <w:szCs w:val="28"/>
        </w:rPr>
      </w:pPr>
      <w:r w:rsidRPr="00E67099">
        <w:rPr>
          <w:rFonts w:asciiTheme="majorHAnsi" w:hAnsiTheme="majorHAnsi" w:cstheme="majorHAnsi"/>
          <w:b/>
          <w:sz w:val="28"/>
          <w:szCs w:val="28"/>
        </w:rPr>
        <w:t>SEMNĂTURA AUDITORULUI</w:t>
      </w:r>
    </w:p>
    <w:p w:rsidR="00E67099" w:rsidRPr="00E67099" w:rsidRDefault="00E67099" w:rsidP="00E67099">
      <w:pPr>
        <w:tabs>
          <w:tab w:val="left" w:pos="993"/>
        </w:tabs>
        <w:spacing w:after="0" w:line="276" w:lineRule="auto"/>
        <w:jc w:val="both"/>
        <w:rPr>
          <w:rFonts w:asciiTheme="majorHAnsi" w:hAnsiTheme="majorHAnsi" w:cstheme="majorHAnsi"/>
          <w:sz w:val="24"/>
          <w:szCs w:val="24"/>
        </w:rPr>
      </w:pPr>
    </w:p>
    <w:p w:rsidR="00E67099" w:rsidRPr="00E67099" w:rsidRDefault="00E67099" w:rsidP="00E67099">
      <w:pPr>
        <w:spacing w:after="0" w:line="276" w:lineRule="auto"/>
        <w:rPr>
          <w:rFonts w:asciiTheme="majorHAnsi" w:eastAsia="Times New Roman" w:hAnsiTheme="majorHAnsi" w:cstheme="majorHAnsi"/>
          <w:bCs/>
          <w:sz w:val="24"/>
          <w:szCs w:val="24"/>
          <w:lang w:eastAsia="ru-RU"/>
        </w:rPr>
      </w:pPr>
      <w:r w:rsidRPr="00E67099">
        <w:rPr>
          <w:rFonts w:asciiTheme="majorHAnsi" w:eastAsia="Times New Roman" w:hAnsiTheme="majorHAnsi" w:cstheme="majorHAnsi"/>
          <w:iCs/>
          <w:sz w:val="24"/>
          <w:szCs w:val="24"/>
          <w:lang w:eastAsia="ru-RU"/>
        </w:rPr>
        <w:t>Șeful echipei de audit,</w:t>
      </w:r>
      <w:r w:rsidRPr="00E67099">
        <w:rPr>
          <w:rFonts w:asciiTheme="majorHAnsi" w:eastAsia="Times New Roman" w:hAnsiTheme="majorHAnsi" w:cstheme="majorHAnsi"/>
          <w:bCs/>
          <w:sz w:val="24"/>
          <w:szCs w:val="24"/>
          <w:lang w:eastAsia="ru-RU"/>
        </w:rPr>
        <w:t xml:space="preserve"> </w:t>
      </w:r>
    </w:p>
    <w:p w:rsidR="00E67099" w:rsidRPr="00E67099" w:rsidRDefault="00E67099" w:rsidP="00E67099">
      <w:pPr>
        <w:spacing w:after="0" w:line="276" w:lineRule="auto"/>
        <w:rPr>
          <w:rFonts w:asciiTheme="majorHAnsi" w:eastAsia="Times New Roman" w:hAnsiTheme="majorHAnsi" w:cstheme="majorHAnsi"/>
          <w:iCs/>
          <w:sz w:val="24"/>
          <w:szCs w:val="24"/>
          <w:lang w:eastAsia="ru-RU"/>
        </w:rPr>
      </w:pPr>
      <w:r w:rsidRPr="00E67099">
        <w:rPr>
          <w:rFonts w:asciiTheme="majorHAnsi" w:hAnsiTheme="majorHAnsi" w:cstheme="majorHAnsi"/>
          <w:sz w:val="24"/>
          <w:szCs w:val="24"/>
        </w:rPr>
        <w:t xml:space="preserve">auditor public principal,                                             </w:t>
      </w:r>
      <w:r w:rsidRPr="00E67099">
        <w:rPr>
          <w:rFonts w:asciiTheme="majorHAnsi" w:eastAsia="Times New Roman" w:hAnsiTheme="majorHAnsi" w:cstheme="majorHAnsi"/>
          <w:iCs/>
          <w:sz w:val="24"/>
          <w:szCs w:val="24"/>
          <w:lang w:eastAsia="ru-RU"/>
        </w:rPr>
        <w:t xml:space="preserve">                                                     </w:t>
      </w:r>
      <w:r w:rsidRPr="00E67099">
        <w:rPr>
          <w:rFonts w:asciiTheme="majorHAnsi" w:eastAsia="Times New Roman" w:hAnsiTheme="majorHAnsi" w:cstheme="majorHAnsi"/>
          <w:bCs/>
          <w:sz w:val="24"/>
          <w:szCs w:val="24"/>
          <w:lang w:eastAsia="ru-RU"/>
        </w:rPr>
        <w:t>Maia Savva</w:t>
      </w:r>
      <w:r w:rsidRPr="00E67099">
        <w:rPr>
          <w:rFonts w:asciiTheme="majorHAnsi" w:eastAsia="Times New Roman" w:hAnsiTheme="majorHAnsi" w:cstheme="majorHAnsi"/>
          <w:iCs/>
          <w:sz w:val="24"/>
          <w:szCs w:val="24"/>
          <w:lang w:eastAsia="ru-RU"/>
        </w:rPr>
        <w:t xml:space="preserve"> </w:t>
      </w:r>
    </w:p>
    <w:p w:rsidR="00E67099" w:rsidRPr="00E67099" w:rsidRDefault="00E67099" w:rsidP="00E67099">
      <w:pPr>
        <w:tabs>
          <w:tab w:val="left" w:pos="993"/>
        </w:tabs>
        <w:spacing w:after="0" w:line="276" w:lineRule="auto"/>
        <w:jc w:val="both"/>
        <w:rPr>
          <w:rFonts w:asciiTheme="majorHAnsi" w:hAnsiTheme="majorHAnsi" w:cstheme="majorHAnsi"/>
          <w:sz w:val="24"/>
          <w:szCs w:val="24"/>
        </w:rPr>
      </w:pPr>
    </w:p>
    <w:p w:rsidR="00E67099" w:rsidRPr="00E67099" w:rsidRDefault="00E67099" w:rsidP="00E67099">
      <w:pPr>
        <w:tabs>
          <w:tab w:val="left" w:pos="993"/>
        </w:tabs>
        <w:spacing w:after="0" w:line="276" w:lineRule="auto"/>
        <w:jc w:val="both"/>
        <w:rPr>
          <w:rFonts w:asciiTheme="majorHAnsi" w:hAnsiTheme="majorHAnsi" w:cstheme="majorHAnsi"/>
          <w:sz w:val="24"/>
          <w:szCs w:val="24"/>
        </w:rPr>
      </w:pPr>
      <w:r w:rsidRPr="00E67099">
        <w:rPr>
          <w:rFonts w:asciiTheme="majorHAnsi" w:hAnsiTheme="majorHAnsi" w:cstheme="majorHAnsi"/>
          <w:sz w:val="24"/>
          <w:szCs w:val="24"/>
        </w:rPr>
        <w:t>Auditor public principal,                                                                                                  Tatiana Ailoi</w:t>
      </w:r>
    </w:p>
    <w:p w:rsidR="00E67099" w:rsidRPr="00E67099" w:rsidRDefault="00E67099" w:rsidP="00E67099">
      <w:pPr>
        <w:tabs>
          <w:tab w:val="left" w:pos="993"/>
        </w:tabs>
        <w:spacing w:after="0" w:line="276" w:lineRule="auto"/>
        <w:jc w:val="both"/>
        <w:rPr>
          <w:rFonts w:asciiTheme="majorHAnsi" w:hAnsiTheme="majorHAnsi" w:cstheme="majorHAnsi"/>
          <w:sz w:val="24"/>
          <w:szCs w:val="24"/>
        </w:rPr>
      </w:pPr>
    </w:p>
    <w:p w:rsidR="00E67099" w:rsidRPr="00E67099" w:rsidRDefault="00E67099" w:rsidP="00E67099">
      <w:pPr>
        <w:tabs>
          <w:tab w:val="left" w:pos="993"/>
        </w:tabs>
        <w:spacing w:after="0" w:line="276" w:lineRule="auto"/>
        <w:jc w:val="both"/>
        <w:rPr>
          <w:rFonts w:asciiTheme="majorHAnsi" w:hAnsiTheme="majorHAnsi" w:cstheme="majorHAnsi"/>
          <w:sz w:val="24"/>
          <w:szCs w:val="24"/>
        </w:rPr>
      </w:pPr>
      <w:r w:rsidRPr="00E67099">
        <w:rPr>
          <w:rFonts w:asciiTheme="majorHAnsi" w:hAnsiTheme="majorHAnsi" w:cstheme="majorHAnsi"/>
          <w:sz w:val="24"/>
          <w:szCs w:val="24"/>
        </w:rPr>
        <w:t>Auditor public superior,                                                                                                   Diana Croitoru</w:t>
      </w:r>
    </w:p>
    <w:p w:rsidR="00E67099" w:rsidRPr="00E67099" w:rsidRDefault="00E67099" w:rsidP="00E67099">
      <w:pPr>
        <w:tabs>
          <w:tab w:val="left" w:pos="993"/>
        </w:tabs>
        <w:spacing w:after="0" w:line="276" w:lineRule="auto"/>
        <w:jc w:val="both"/>
        <w:rPr>
          <w:rFonts w:asciiTheme="majorHAnsi" w:hAnsiTheme="majorHAnsi" w:cstheme="majorHAnsi"/>
          <w:sz w:val="24"/>
          <w:szCs w:val="24"/>
        </w:rPr>
      </w:pPr>
    </w:p>
    <w:p w:rsidR="00E67099" w:rsidRPr="00E67099" w:rsidRDefault="00E67099" w:rsidP="00E67099">
      <w:pPr>
        <w:spacing w:after="0" w:line="276" w:lineRule="auto"/>
        <w:rPr>
          <w:rFonts w:asciiTheme="majorHAnsi" w:eastAsia="Times New Roman" w:hAnsiTheme="majorHAnsi" w:cstheme="majorHAnsi"/>
          <w:b/>
          <w:bCs/>
          <w:i/>
          <w:iCs/>
          <w:sz w:val="24"/>
          <w:szCs w:val="24"/>
          <w:lang w:val="ro-MD"/>
        </w:rPr>
      </w:pPr>
      <w:r w:rsidRPr="00E67099">
        <w:rPr>
          <w:rFonts w:asciiTheme="majorHAnsi" w:eastAsia="Times New Roman" w:hAnsiTheme="majorHAnsi" w:cstheme="majorHAnsi"/>
          <w:b/>
          <w:bCs/>
          <w:i/>
          <w:iCs/>
          <w:sz w:val="24"/>
          <w:szCs w:val="24"/>
          <w:lang w:val="ro-MD"/>
        </w:rPr>
        <w:t xml:space="preserve">Responsabil de audit: </w:t>
      </w:r>
    </w:p>
    <w:p w:rsidR="00E67099" w:rsidRPr="00E67099" w:rsidRDefault="00E67099" w:rsidP="00E67099">
      <w:pPr>
        <w:tabs>
          <w:tab w:val="left" w:pos="1080"/>
        </w:tabs>
        <w:spacing w:line="276" w:lineRule="auto"/>
        <w:contextualSpacing/>
        <w:jc w:val="both"/>
        <w:rPr>
          <w:rFonts w:asciiTheme="majorHAnsi" w:eastAsia="Times New Roman" w:hAnsiTheme="majorHAnsi" w:cstheme="majorHAnsi"/>
          <w:sz w:val="24"/>
          <w:szCs w:val="24"/>
          <w:lang w:val="ro-MD"/>
        </w:rPr>
        <w:sectPr w:rsidR="00E67099" w:rsidRPr="00E67099" w:rsidSect="00E67099">
          <w:footerReference w:type="default" r:id="rId14"/>
          <w:pgSz w:w="12240" w:h="15840"/>
          <w:pgMar w:top="851" w:right="851" w:bottom="851" w:left="1701" w:header="709" w:footer="709" w:gutter="0"/>
          <w:cols w:space="708"/>
          <w:docGrid w:linePitch="360"/>
        </w:sectPr>
      </w:pPr>
      <w:r w:rsidRPr="00E67099">
        <w:rPr>
          <w:rFonts w:asciiTheme="majorHAnsi" w:eastAsia="Times New Roman" w:hAnsiTheme="majorHAnsi" w:cstheme="majorHAnsi"/>
          <w:sz w:val="24"/>
          <w:szCs w:val="24"/>
          <w:lang w:val="ro-MD"/>
        </w:rPr>
        <w:t xml:space="preserve">Șeful Direcției generale audit I,                                                                                       </w:t>
      </w:r>
      <w:r>
        <w:rPr>
          <w:rFonts w:asciiTheme="majorHAnsi" w:eastAsia="Times New Roman" w:hAnsiTheme="majorHAnsi" w:cstheme="majorHAnsi"/>
          <w:sz w:val="24"/>
          <w:szCs w:val="24"/>
          <w:lang w:val="ro-MD"/>
        </w:rPr>
        <w:t>Natalia Trofim</w:t>
      </w:r>
    </w:p>
    <w:p w:rsidR="00E67099" w:rsidRPr="00E67099" w:rsidRDefault="00E67099" w:rsidP="00E67099">
      <w:pPr>
        <w:numPr>
          <w:ilvl w:val="0"/>
          <w:numId w:val="4"/>
        </w:numPr>
        <w:shd w:val="clear" w:color="auto" w:fill="FFFFFF" w:themeFill="background1"/>
        <w:tabs>
          <w:tab w:val="left" w:pos="284"/>
          <w:tab w:val="left" w:pos="567"/>
          <w:tab w:val="left" w:pos="6237"/>
          <w:tab w:val="left" w:pos="6379"/>
        </w:tabs>
        <w:spacing w:after="0" w:line="276" w:lineRule="auto"/>
        <w:ind w:left="0" w:firstLine="0"/>
        <w:contextualSpacing/>
        <w:rPr>
          <w:rFonts w:asciiTheme="majorHAnsi" w:eastAsia="Times New Roman" w:hAnsiTheme="majorHAnsi" w:cstheme="majorHAnsi"/>
          <w:b/>
          <w:sz w:val="28"/>
          <w:szCs w:val="28"/>
          <w:lang w:val="ro-MD"/>
        </w:rPr>
      </w:pPr>
      <w:r w:rsidRPr="00E67099">
        <w:rPr>
          <w:rFonts w:asciiTheme="majorHAnsi" w:eastAsia="Times New Roman" w:hAnsiTheme="majorHAnsi" w:cstheme="majorHAnsi"/>
          <w:b/>
          <w:sz w:val="28"/>
          <w:szCs w:val="28"/>
          <w:lang w:val="ro-MD"/>
        </w:rPr>
        <w:t>ANEXE</w:t>
      </w:r>
    </w:p>
    <w:p w:rsidR="00E67099" w:rsidRPr="00E67099" w:rsidRDefault="00E67099" w:rsidP="00E67099">
      <w:pPr>
        <w:shd w:val="clear" w:color="auto" w:fill="FFFFFF" w:themeFill="background1"/>
        <w:tabs>
          <w:tab w:val="left" w:pos="284"/>
          <w:tab w:val="left" w:pos="567"/>
          <w:tab w:val="left" w:pos="6237"/>
          <w:tab w:val="left" w:pos="6379"/>
        </w:tabs>
        <w:spacing w:after="0" w:line="276" w:lineRule="auto"/>
        <w:contextualSpacing/>
        <w:jc w:val="right"/>
        <w:rPr>
          <w:rFonts w:asciiTheme="majorHAnsi" w:eastAsia="Times New Roman" w:hAnsiTheme="majorHAnsi" w:cstheme="majorHAnsi"/>
          <w:b/>
          <w:i/>
          <w:sz w:val="24"/>
          <w:szCs w:val="24"/>
          <w:lang w:val="ro-MD"/>
        </w:rPr>
      </w:pPr>
      <w:r w:rsidRPr="00E67099">
        <w:rPr>
          <w:rFonts w:asciiTheme="majorHAnsi" w:eastAsia="Times New Roman" w:hAnsiTheme="majorHAnsi" w:cstheme="majorHAnsi"/>
          <w:b/>
          <w:i/>
          <w:sz w:val="24"/>
          <w:szCs w:val="24"/>
          <w:lang w:val="ro-MD"/>
        </w:rPr>
        <w:t>Anexa nr.1</w:t>
      </w:r>
    </w:p>
    <w:p w:rsidR="00E67099" w:rsidRPr="00E67099" w:rsidRDefault="00E67099" w:rsidP="00E67099">
      <w:pPr>
        <w:jc w:val="center"/>
        <w:rPr>
          <w:rFonts w:asciiTheme="majorHAnsi" w:hAnsiTheme="majorHAnsi" w:cstheme="majorHAnsi"/>
          <w:b/>
          <w:sz w:val="24"/>
          <w:szCs w:val="24"/>
        </w:rPr>
      </w:pPr>
      <w:r w:rsidRPr="00E67099">
        <w:rPr>
          <w:rFonts w:asciiTheme="majorHAnsi" w:hAnsiTheme="majorHAnsi" w:cstheme="majorHAnsi"/>
          <w:b/>
          <w:sz w:val="24"/>
          <w:szCs w:val="24"/>
        </w:rPr>
        <w:t>Componența și formatul formularelor la Raportul anual privind executarea bugetului de stat pe anul 2019, în comparație cu anul 2018</w:t>
      </w:r>
    </w:p>
    <w:tbl>
      <w:tblPr>
        <w:tblStyle w:val="TableGrid2"/>
        <w:tblW w:w="13603" w:type="dxa"/>
        <w:tblLook w:val="04A0" w:firstRow="1" w:lastRow="0" w:firstColumn="1" w:lastColumn="0" w:noHBand="0" w:noVBand="1"/>
      </w:tblPr>
      <w:tblGrid>
        <w:gridCol w:w="1216"/>
        <w:gridCol w:w="5583"/>
        <w:gridCol w:w="1216"/>
        <w:gridCol w:w="5588"/>
      </w:tblGrid>
      <w:tr w:rsidR="00E67099" w:rsidRPr="00E67099" w:rsidTr="00A36731">
        <w:tc>
          <w:tcPr>
            <w:tcW w:w="1216" w:type="dxa"/>
            <w:tcBorders>
              <w:right w:val="single" w:sz="12" w:space="0" w:color="auto"/>
            </w:tcBorders>
          </w:tcPr>
          <w:p w:rsidR="00E67099" w:rsidRPr="00E67099" w:rsidRDefault="00E67099" w:rsidP="00E67099">
            <w:pPr>
              <w:jc w:val="center"/>
              <w:rPr>
                <w:rFonts w:asciiTheme="majorHAnsi" w:eastAsia="Times New Roman" w:hAnsiTheme="majorHAnsi" w:cstheme="majorHAnsi"/>
                <w:b/>
                <w:bCs/>
                <w:iCs/>
                <w:sz w:val="20"/>
                <w:szCs w:val="20"/>
                <w:lang w:eastAsia="ru-RU"/>
              </w:rPr>
            </w:pPr>
          </w:p>
          <w:p w:rsidR="00E67099" w:rsidRPr="00E67099" w:rsidRDefault="00E67099" w:rsidP="00E67099">
            <w:pPr>
              <w:jc w:val="center"/>
              <w:rPr>
                <w:rFonts w:asciiTheme="majorHAnsi" w:eastAsia="Times New Roman" w:hAnsiTheme="majorHAnsi" w:cstheme="majorHAnsi"/>
                <w:b/>
                <w:bCs/>
                <w:iCs/>
                <w:sz w:val="20"/>
                <w:szCs w:val="20"/>
                <w:lang w:eastAsia="ru-RU"/>
              </w:rPr>
            </w:pPr>
            <w:r w:rsidRPr="00E67099">
              <w:rPr>
                <w:rFonts w:asciiTheme="majorHAnsi" w:eastAsia="Times New Roman" w:hAnsiTheme="majorHAnsi" w:cstheme="majorHAnsi"/>
                <w:b/>
                <w:bCs/>
                <w:iCs/>
                <w:sz w:val="20"/>
                <w:szCs w:val="20"/>
                <w:lang w:eastAsia="ru-RU"/>
              </w:rPr>
              <w:t>Nr. formularului</w:t>
            </w:r>
          </w:p>
        </w:tc>
        <w:tc>
          <w:tcPr>
            <w:tcW w:w="5583" w:type="dxa"/>
            <w:tcBorders>
              <w:left w:val="single" w:sz="12" w:space="0" w:color="auto"/>
              <w:right w:val="single" w:sz="12" w:space="0" w:color="auto"/>
            </w:tcBorders>
          </w:tcPr>
          <w:p w:rsidR="00E67099" w:rsidRPr="00E67099" w:rsidRDefault="00E67099" w:rsidP="00E67099">
            <w:pPr>
              <w:jc w:val="center"/>
              <w:rPr>
                <w:rFonts w:asciiTheme="majorHAnsi" w:eastAsia="Times New Roman" w:hAnsiTheme="majorHAnsi" w:cstheme="majorHAnsi"/>
                <w:b/>
                <w:bCs/>
                <w:iCs/>
                <w:sz w:val="20"/>
                <w:szCs w:val="20"/>
                <w:lang w:eastAsia="ru-RU"/>
              </w:rPr>
            </w:pPr>
          </w:p>
          <w:p w:rsidR="00E67099" w:rsidRPr="00E67099" w:rsidRDefault="00E67099" w:rsidP="00E67099">
            <w:pPr>
              <w:jc w:val="center"/>
              <w:rPr>
                <w:rFonts w:asciiTheme="majorHAnsi" w:eastAsia="Times New Roman" w:hAnsiTheme="majorHAnsi" w:cstheme="majorHAnsi"/>
                <w:b/>
                <w:bCs/>
                <w:iCs/>
                <w:sz w:val="20"/>
                <w:szCs w:val="20"/>
                <w:lang w:val="ro-MD" w:eastAsia="ru-RU"/>
              </w:rPr>
            </w:pPr>
            <w:r w:rsidRPr="00E67099">
              <w:rPr>
                <w:rFonts w:asciiTheme="majorHAnsi" w:eastAsia="Times New Roman" w:hAnsiTheme="majorHAnsi" w:cstheme="majorHAnsi"/>
                <w:b/>
                <w:bCs/>
                <w:iCs/>
                <w:sz w:val="20"/>
                <w:szCs w:val="20"/>
                <w:lang w:eastAsia="ru-RU"/>
              </w:rPr>
              <w:t>Denumirea conform Ordinului MF</w:t>
            </w:r>
            <w:r w:rsidRPr="00E67099">
              <w:rPr>
                <w:rFonts w:asciiTheme="majorHAnsi" w:eastAsia="Times New Roman" w:hAnsiTheme="majorHAnsi" w:cstheme="majorHAnsi"/>
                <w:b/>
                <w:bCs/>
                <w:iCs/>
                <w:sz w:val="20"/>
                <w:szCs w:val="20"/>
                <w:lang w:val="ro-MD" w:eastAsia="ru-RU"/>
              </w:rPr>
              <w:t xml:space="preserve"> nr.18 din 27.01.2020 </w:t>
            </w:r>
          </w:p>
        </w:tc>
        <w:tc>
          <w:tcPr>
            <w:tcW w:w="1216" w:type="dxa"/>
            <w:tcBorders>
              <w:left w:val="single" w:sz="12" w:space="0" w:color="auto"/>
              <w:right w:val="single" w:sz="12" w:space="0" w:color="auto"/>
            </w:tcBorders>
          </w:tcPr>
          <w:p w:rsidR="00E67099" w:rsidRPr="00E67099" w:rsidRDefault="00E67099" w:rsidP="00E67099">
            <w:pPr>
              <w:jc w:val="center"/>
              <w:rPr>
                <w:rFonts w:asciiTheme="majorHAnsi" w:eastAsia="Times New Roman" w:hAnsiTheme="majorHAnsi" w:cstheme="majorHAnsi"/>
                <w:b/>
                <w:bCs/>
                <w:iCs/>
                <w:sz w:val="20"/>
                <w:szCs w:val="20"/>
                <w:lang w:val="ro-MD" w:eastAsia="ru-RU"/>
              </w:rPr>
            </w:pPr>
          </w:p>
          <w:p w:rsidR="00E67099" w:rsidRPr="00E67099" w:rsidRDefault="00E67099" w:rsidP="00E67099">
            <w:pPr>
              <w:jc w:val="center"/>
              <w:rPr>
                <w:rFonts w:asciiTheme="majorHAnsi" w:eastAsia="Times New Roman" w:hAnsiTheme="majorHAnsi" w:cstheme="majorHAnsi"/>
                <w:b/>
                <w:bCs/>
                <w:iCs/>
                <w:sz w:val="20"/>
                <w:szCs w:val="20"/>
                <w:lang w:val="ro-MD" w:eastAsia="ru-RU"/>
              </w:rPr>
            </w:pPr>
            <w:r w:rsidRPr="00E67099">
              <w:rPr>
                <w:rFonts w:asciiTheme="majorHAnsi" w:eastAsia="Times New Roman" w:hAnsiTheme="majorHAnsi" w:cstheme="majorHAnsi"/>
                <w:b/>
                <w:bCs/>
                <w:iCs/>
                <w:sz w:val="20"/>
                <w:szCs w:val="20"/>
                <w:lang w:val="ro-MD" w:eastAsia="ru-RU"/>
              </w:rPr>
              <w:t>Nr. formularului</w:t>
            </w:r>
          </w:p>
        </w:tc>
        <w:tc>
          <w:tcPr>
            <w:tcW w:w="5588" w:type="dxa"/>
            <w:tcBorders>
              <w:left w:val="single" w:sz="12" w:space="0" w:color="auto"/>
              <w:right w:val="single" w:sz="12" w:space="0" w:color="auto"/>
            </w:tcBorders>
          </w:tcPr>
          <w:p w:rsidR="00E67099" w:rsidRPr="00E67099" w:rsidRDefault="00E67099" w:rsidP="00E67099">
            <w:pPr>
              <w:jc w:val="center"/>
              <w:rPr>
                <w:rFonts w:asciiTheme="majorHAnsi" w:eastAsia="Times New Roman" w:hAnsiTheme="majorHAnsi" w:cstheme="majorHAnsi"/>
                <w:b/>
                <w:bCs/>
                <w:iCs/>
                <w:sz w:val="20"/>
                <w:szCs w:val="20"/>
                <w:lang w:eastAsia="ru-RU"/>
              </w:rPr>
            </w:pPr>
          </w:p>
          <w:p w:rsidR="00E67099" w:rsidRPr="00E67099" w:rsidRDefault="00E67099" w:rsidP="00E67099">
            <w:pPr>
              <w:jc w:val="center"/>
              <w:rPr>
                <w:rFonts w:asciiTheme="majorHAnsi" w:eastAsia="Times New Roman" w:hAnsiTheme="majorHAnsi" w:cstheme="majorHAnsi"/>
                <w:b/>
                <w:bCs/>
                <w:iCs/>
                <w:sz w:val="20"/>
                <w:szCs w:val="20"/>
                <w:lang w:eastAsia="ru-RU"/>
              </w:rPr>
            </w:pPr>
            <w:r w:rsidRPr="00E67099">
              <w:rPr>
                <w:rFonts w:asciiTheme="majorHAnsi" w:eastAsia="Times New Roman" w:hAnsiTheme="majorHAnsi" w:cstheme="majorHAnsi"/>
                <w:b/>
                <w:bCs/>
                <w:iCs/>
                <w:sz w:val="20"/>
                <w:szCs w:val="20"/>
                <w:lang w:eastAsia="ru-RU"/>
              </w:rPr>
              <w:t>Denumirea conform Ordinului MF nr.32 din 19 februarie 2019</w:t>
            </w:r>
          </w:p>
        </w:tc>
      </w:tr>
      <w:tr w:rsidR="00E67099" w:rsidRPr="00E67099" w:rsidTr="00A36731">
        <w:tc>
          <w:tcPr>
            <w:tcW w:w="1216" w:type="dxa"/>
            <w:tcBorders>
              <w:right w:val="single" w:sz="12" w:space="0" w:color="auto"/>
            </w:tcBorders>
          </w:tcPr>
          <w:p w:rsidR="00E67099" w:rsidRPr="00E67099" w:rsidRDefault="00E67099" w:rsidP="00E67099">
            <w:pPr>
              <w:jc w:val="center"/>
              <w:rPr>
                <w:rFonts w:asciiTheme="majorHAnsi" w:eastAsia="Times New Roman" w:hAnsiTheme="majorHAnsi" w:cstheme="majorHAnsi"/>
                <w:bCs/>
                <w:i/>
                <w:iCs/>
                <w:sz w:val="20"/>
                <w:szCs w:val="20"/>
                <w:lang w:eastAsia="ru-RU"/>
              </w:rPr>
            </w:pPr>
            <w:r w:rsidRPr="00E67099">
              <w:rPr>
                <w:rFonts w:asciiTheme="majorHAnsi" w:eastAsia="Times New Roman" w:hAnsiTheme="majorHAnsi" w:cstheme="majorHAnsi"/>
                <w:bCs/>
                <w:i/>
                <w:iCs/>
                <w:sz w:val="20"/>
                <w:szCs w:val="20"/>
                <w:lang w:eastAsia="ru-RU"/>
              </w:rPr>
              <w:t>Formularul nr.1*</w:t>
            </w:r>
          </w:p>
        </w:tc>
        <w:tc>
          <w:tcPr>
            <w:tcW w:w="5583" w:type="dxa"/>
            <w:tcBorders>
              <w:left w:val="single" w:sz="12" w:space="0" w:color="auto"/>
              <w:right w:val="single" w:sz="12" w:space="0" w:color="auto"/>
            </w:tcBorders>
          </w:tcPr>
          <w:p w:rsidR="00E67099" w:rsidRPr="00E67099" w:rsidRDefault="00E67099" w:rsidP="00E67099">
            <w:pPr>
              <w:jc w:val="both"/>
              <w:rPr>
                <w:rFonts w:asciiTheme="majorHAnsi" w:eastAsia="Times New Roman" w:hAnsiTheme="majorHAnsi" w:cstheme="majorHAnsi"/>
                <w:bCs/>
                <w:iCs/>
                <w:sz w:val="20"/>
                <w:szCs w:val="20"/>
                <w:lang w:eastAsia="ru-RU"/>
              </w:rPr>
            </w:pPr>
            <w:r w:rsidRPr="00E67099">
              <w:rPr>
                <w:rFonts w:asciiTheme="majorHAnsi" w:eastAsia="Times New Roman" w:hAnsiTheme="majorHAnsi" w:cstheme="majorHAnsi"/>
                <w:bCs/>
                <w:iCs/>
                <w:sz w:val="20"/>
                <w:szCs w:val="20"/>
                <w:lang w:eastAsia="ru-RU"/>
              </w:rPr>
              <w:t>Raport privind executarea indicatorilor generali și surselor de finanțare ale bugetului de stat (conform Anexei nr.1 la</w:t>
            </w:r>
            <w:r w:rsidRPr="00E67099">
              <w:t xml:space="preserve"> </w:t>
            </w:r>
            <w:r w:rsidRPr="00E67099">
              <w:rPr>
                <w:rFonts w:asciiTheme="majorHAnsi" w:eastAsia="Times New Roman" w:hAnsiTheme="majorHAnsi" w:cstheme="majorHAnsi"/>
                <w:bCs/>
                <w:iCs/>
                <w:sz w:val="20"/>
                <w:szCs w:val="20"/>
                <w:lang w:eastAsia="ru-RU"/>
              </w:rPr>
              <w:t>Legea bugetului de stat pentru a. 2019)</w:t>
            </w:r>
          </w:p>
        </w:tc>
        <w:tc>
          <w:tcPr>
            <w:tcW w:w="1216" w:type="dxa"/>
            <w:tcBorders>
              <w:left w:val="single" w:sz="12" w:space="0" w:color="auto"/>
              <w:right w:val="single" w:sz="12" w:space="0" w:color="auto"/>
            </w:tcBorders>
          </w:tcPr>
          <w:p w:rsidR="00E67099" w:rsidRPr="00E67099" w:rsidRDefault="00E67099" w:rsidP="00E67099">
            <w:pPr>
              <w:jc w:val="center"/>
              <w:rPr>
                <w:rFonts w:asciiTheme="majorHAnsi" w:eastAsia="Times New Roman" w:hAnsiTheme="majorHAnsi" w:cstheme="majorHAnsi"/>
                <w:bCs/>
                <w:i/>
                <w:iCs/>
                <w:sz w:val="20"/>
                <w:szCs w:val="20"/>
                <w:lang w:eastAsia="ru-RU"/>
              </w:rPr>
            </w:pPr>
            <w:r w:rsidRPr="00E67099">
              <w:rPr>
                <w:rFonts w:asciiTheme="majorHAnsi" w:eastAsia="Times New Roman" w:hAnsiTheme="majorHAnsi" w:cstheme="majorHAnsi"/>
                <w:bCs/>
                <w:i/>
                <w:iCs/>
                <w:sz w:val="20"/>
                <w:szCs w:val="20"/>
                <w:lang w:eastAsia="ru-RU"/>
              </w:rPr>
              <w:t>Formularul nr.1*</w:t>
            </w:r>
          </w:p>
        </w:tc>
        <w:tc>
          <w:tcPr>
            <w:tcW w:w="5588" w:type="dxa"/>
            <w:tcBorders>
              <w:left w:val="single" w:sz="12" w:space="0" w:color="auto"/>
              <w:right w:val="single" w:sz="12" w:space="0" w:color="auto"/>
            </w:tcBorders>
          </w:tcPr>
          <w:p w:rsidR="00E67099" w:rsidRPr="00E67099" w:rsidRDefault="00E67099" w:rsidP="00E67099">
            <w:pPr>
              <w:jc w:val="both"/>
              <w:rPr>
                <w:rFonts w:asciiTheme="majorHAnsi" w:eastAsia="Times New Roman" w:hAnsiTheme="majorHAnsi" w:cstheme="majorHAnsi"/>
                <w:bCs/>
                <w:iCs/>
                <w:sz w:val="20"/>
                <w:szCs w:val="20"/>
                <w:lang w:eastAsia="ru-RU"/>
              </w:rPr>
            </w:pPr>
            <w:r w:rsidRPr="00E67099">
              <w:rPr>
                <w:rFonts w:asciiTheme="majorHAnsi" w:eastAsia="Times New Roman" w:hAnsiTheme="majorHAnsi" w:cstheme="majorHAnsi"/>
                <w:bCs/>
                <w:iCs/>
                <w:sz w:val="20"/>
                <w:szCs w:val="20"/>
                <w:lang w:eastAsia="ru-RU"/>
              </w:rPr>
              <w:t>Raport privind executarea indicatorilor generali și surselor de finanțare ale bugetului de stat (conform Anexei nr.1</w:t>
            </w:r>
            <w:r w:rsidRPr="00E67099">
              <w:rPr>
                <w:rFonts w:asciiTheme="majorHAnsi" w:hAnsiTheme="majorHAnsi" w:cstheme="majorHAnsi"/>
              </w:rPr>
              <w:t xml:space="preserve"> la</w:t>
            </w:r>
            <w:r w:rsidRPr="00E67099">
              <w:t xml:space="preserve"> </w:t>
            </w:r>
            <w:r w:rsidRPr="00E67099">
              <w:rPr>
                <w:rFonts w:asciiTheme="majorHAnsi" w:eastAsia="Times New Roman" w:hAnsiTheme="majorHAnsi" w:cstheme="majorHAnsi"/>
                <w:bCs/>
                <w:iCs/>
                <w:sz w:val="20"/>
                <w:szCs w:val="20"/>
                <w:lang w:eastAsia="ru-RU"/>
              </w:rPr>
              <w:t>Legea bugetului de stat pe a.2018)</w:t>
            </w:r>
          </w:p>
        </w:tc>
      </w:tr>
      <w:tr w:rsidR="00E67099" w:rsidRPr="00E67099" w:rsidTr="00A36731">
        <w:tc>
          <w:tcPr>
            <w:tcW w:w="1216" w:type="dxa"/>
            <w:tcBorders>
              <w:right w:val="single" w:sz="12" w:space="0" w:color="auto"/>
            </w:tcBorders>
          </w:tcPr>
          <w:p w:rsidR="00E67099" w:rsidRPr="00E67099" w:rsidRDefault="00E67099" w:rsidP="00E67099">
            <w:pPr>
              <w:jc w:val="center"/>
              <w:rPr>
                <w:rFonts w:asciiTheme="majorHAnsi" w:eastAsia="Times New Roman" w:hAnsiTheme="majorHAnsi" w:cstheme="majorHAnsi"/>
                <w:bCs/>
                <w:i/>
                <w:iCs/>
                <w:sz w:val="20"/>
                <w:szCs w:val="20"/>
                <w:lang w:eastAsia="ru-RU"/>
              </w:rPr>
            </w:pPr>
            <w:r w:rsidRPr="00E67099">
              <w:rPr>
                <w:rFonts w:asciiTheme="majorHAnsi" w:eastAsia="Times New Roman" w:hAnsiTheme="majorHAnsi" w:cstheme="majorHAnsi"/>
                <w:bCs/>
                <w:i/>
                <w:iCs/>
                <w:sz w:val="20"/>
                <w:szCs w:val="20"/>
                <w:lang w:eastAsia="ru-RU"/>
              </w:rPr>
              <w:t>Formularul nr.2*</w:t>
            </w:r>
          </w:p>
        </w:tc>
        <w:tc>
          <w:tcPr>
            <w:tcW w:w="5583" w:type="dxa"/>
            <w:tcBorders>
              <w:left w:val="single" w:sz="12" w:space="0" w:color="auto"/>
              <w:right w:val="single" w:sz="12" w:space="0" w:color="auto"/>
            </w:tcBorders>
          </w:tcPr>
          <w:p w:rsidR="00E67099" w:rsidRPr="00E67099" w:rsidRDefault="00E67099" w:rsidP="00E67099">
            <w:pPr>
              <w:jc w:val="both"/>
              <w:rPr>
                <w:rFonts w:asciiTheme="majorHAnsi" w:eastAsia="Times New Roman" w:hAnsiTheme="majorHAnsi" w:cstheme="majorHAnsi"/>
                <w:bCs/>
                <w:iCs/>
                <w:sz w:val="20"/>
                <w:szCs w:val="20"/>
                <w:lang w:eastAsia="ru-RU"/>
              </w:rPr>
            </w:pPr>
            <w:r w:rsidRPr="00E67099">
              <w:rPr>
                <w:rFonts w:asciiTheme="majorHAnsi" w:eastAsia="Times New Roman" w:hAnsiTheme="majorHAnsi" w:cstheme="majorHAnsi"/>
                <w:bCs/>
                <w:iCs/>
                <w:sz w:val="20"/>
                <w:szCs w:val="20"/>
                <w:lang w:eastAsia="ru-RU"/>
              </w:rPr>
              <w:t>Raport privind executarea veniturilor bugetului de stat și surselor de finanțare a soldului bugetar (conform Anexei nr.2</w:t>
            </w:r>
            <w:r w:rsidRPr="00E67099">
              <w:rPr>
                <w:rFonts w:asciiTheme="majorHAnsi" w:hAnsiTheme="majorHAnsi" w:cstheme="majorHAnsi"/>
              </w:rPr>
              <w:t xml:space="preserve"> la </w:t>
            </w:r>
            <w:r w:rsidRPr="00E67099">
              <w:rPr>
                <w:rFonts w:asciiTheme="majorHAnsi" w:eastAsia="Times New Roman" w:hAnsiTheme="majorHAnsi" w:cstheme="majorHAnsi"/>
                <w:bCs/>
                <w:iCs/>
                <w:sz w:val="20"/>
                <w:szCs w:val="20"/>
                <w:lang w:eastAsia="ru-RU"/>
              </w:rPr>
              <w:t>Legea bugetului de stat pentru a.2019)</w:t>
            </w:r>
          </w:p>
        </w:tc>
        <w:tc>
          <w:tcPr>
            <w:tcW w:w="1216" w:type="dxa"/>
            <w:tcBorders>
              <w:left w:val="single" w:sz="12" w:space="0" w:color="auto"/>
              <w:right w:val="single" w:sz="12" w:space="0" w:color="auto"/>
            </w:tcBorders>
          </w:tcPr>
          <w:p w:rsidR="00E67099" w:rsidRPr="00E67099" w:rsidRDefault="00E67099" w:rsidP="00E67099">
            <w:pPr>
              <w:jc w:val="center"/>
              <w:rPr>
                <w:rFonts w:asciiTheme="majorHAnsi" w:eastAsia="Times New Roman" w:hAnsiTheme="majorHAnsi" w:cstheme="majorHAnsi"/>
                <w:bCs/>
                <w:i/>
                <w:iCs/>
                <w:sz w:val="20"/>
                <w:szCs w:val="20"/>
                <w:lang w:eastAsia="ru-RU"/>
              </w:rPr>
            </w:pPr>
            <w:r w:rsidRPr="00E67099">
              <w:rPr>
                <w:rFonts w:asciiTheme="majorHAnsi" w:eastAsia="Times New Roman" w:hAnsiTheme="majorHAnsi" w:cstheme="majorHAnsi"/>
                <w:bCs/>
                <w:i/>
                <w:iCs/>
                <w:sz w:val="20"/>
                <w:szCs w:val="20"/>
                <w:lang w:eastAsia="ru-RU"/>
              </w:rPr>
              <w:t>Formularul nr.2*</w:t>
            </w:r>
          </w:p>
        </w:tc>
        <w:tc>
          <w:tcPr>
            <w:tcW w:w="5588" w:type="dxa"/>
            <w:tcBorders>
              <w:left w:val="single" w:sz="12" w:space="0" w:color="auto"/>
              <w:right w:val="single" w:sz="12" w:space="0" w:color="auto"/>
            </w:tcBorders>
          </w:tcPr>
          <w:p w:rsidR="00E67099" w:rsidRPr="00E67099" w:rsidRDefault="00E67099" w:rsidP="00E67099">
            <w:pPr>
              <w:jc w:val="both"/>
              <w:rPr>
                <w:rFonts w:asciiTheme="majorHAnsi" w:eastAsia="Times New Roman" w:hAnsiTheme="majorHAnsi" w:cstheme="majorHAnsi"/>
                <w:bCs/>
                <w:iCs/>
                <w:sz w:val="20"/>
                <w:szCs w:val="20"/>
                <w:lang w:eastAsia="ru-RU"/>
              </w:rPr>
            </w:pPr>
            <w:r w:rsidRPr="00E67099">
              <w:rPr>
                <w:rFonts w:asciiTheme="majorHAnsi" w:eastAsia="Times New Roman" w:hAnsiTheme="majorHAnsi" w:cstheme="majorHAnsi"/>
                <w:bCs/>
                <w:iCs/>
                <w:sz w:val="20"/>
                <w:szCs w:val="20"/>
                <w:lang w:eastAsia="ru-RU"/>
              </w:rPr>
              <w:t>Raport privind executarea veniturilor bugetului de stat (conform Anexei nr.2</w:t>
            </w:r>
            <w:r w:rsidRPr="00E67099">
              <w:t xml:space="preserve"> </w:t>
            </w:r>
            <w:r w:rsidRPr="00E67099">
              <w:rPr>
                <w:rFonts w:asciiTheme="majorHAnsi" w:hAnsiTheme="majorHAnsi" w:cstheme="majorHAnsi"/>
              </w:rPr>
              <w:t>la</w:t>
            </w:r>
            <w:r w:rsidRPr="00E67099">
              <w:t xml:space="preserve"> </w:t>
            </w:r>
            <w:r w:rsidRPr="00E67099">
              <w:rPr>
                <w:rFonts w:asciiTheme="majorHAnsi" w:eastAsia="Times New Roman" w:hAnsiTheme="majorHAnsi" w:cstheme="majorHAnsi"/>
                <w:bCs/>
                <w:iCs/>
                <w:sz w:val="20"/>
                <w:szCs w:val="20"/>
                <w:lang w:eastAsia="ru-RU"/>
              </w:rPr>
              <w:t>Legea bugetului de stat pe a.2018)</w:t>
            </w:r>
          </w:p>
        </w:tc>
      </w:tr>
      <w:tr w:rsidR="00E67099" w:rsidRPr="00E67099" w:rsidTr="00A36731">
        <w:tc>
          <w:tcPr>
            <w:tcW w:w="1216" w:type="dxa"/>
            <w:tcBorders>
              <w:right w:val="single" w:sz="12" w:space="0" w:color="auto"/>
            </w:tcBorders>
          </w:tcPr>
          <w:p w:rsidR="00E67099" w:rsidRPr="00E67099" w:rsidRDefault="00E67099" w:rsidP="00E67099">
            <w:pPr>
              <w:jc w:val="center"/>
              <w:rPr>
                <w:rFonts w:asciiTheme="majorHAnsi" w:eastAsia="Times New Roman" w:hAnsiTheme="majorHAnsi" w:cstheme="majorHAnsi"/>
                <w:bCs/>
                <w:i/>
                <w:iCs/>
                <w:sz w:val="20"/>
                <w:szCs w:val="20"/>
                <w:lang w:eastAsia="ru-RU"/>
              </w:rPr>
            </w:pPr>
            <w:r w:rsidRPr="00E67099">
              <w:rPr>
                <w:rFonts w:asciiTheme="majorHAnsi" w:eastAsia="Times New Roman" w:hAnsiTheme="majorHAnsi" w:cstheme="majorHAnsi"/>
                <w:bCs/>
                <w:i/>
                <w:iCs/>
                <w:sz w:val="20"/>
                <w:szCs w:val="20"/>
                <w:lang w:eastAsia="ru-RU"/>
              </w:rPr>
              <w:t>Formularul nr.3*</w:t>
            </w:r>
          </w:p>
        </w:tc>
        <w:tc>
          <w:tcPr>
            <w:tcW w:w="5583" w:type="dxa"/>
            <w:tcBorders>
              <w:left w:val="single" w:sz="12" w:space="0" w:color="auto"/>
              <w:right w:val="single" w:sz="12" w:space="0" w:color="auto"/>
            </w:tcBorders>
          </w:tcPr>
          <w:p w:rsidR="00E67099" w:rsidRPr="00E67099" w:rsidRDefault="00E67099" w:rsidP="00E67099">
            <w:pPr>
              <w:jc w:val="both"/>
              <w:rPr>
                <w:rFonts w:asciiTheme="majorHAnsi" w:eastAsia="Times New Roman" w:hAnsiTheme="majorHAnsi" w:cstheme="majorHAnsi"/>
                <w:bCs/>
                <w:iCs/>
                <w:sz w:val="20"/>
                <w:szCs w:val="20"/>
                <w:lang w:eastAsia="ru-RU"/>
              </w:rPr>
            </w:pPr>
            <w:r w:rsidRPr="00E67099">
              <w:rPr>
                <w:rFonts w:asciiTheme="majorHAnsi" w:eastAsia="Times New Roman" w:hAnsiTheme="majorHAnsi" w:cstheme="majorHAnsi"/>
                <w:bCs/>
                <w:iCs/>
                <w:sz w:val="20"/>
                <w:szCs w:val="20"/>
                <w:lang w:eastAsia="ru-RU"/>
              </w:rPr>
              <w:t>Raport privind executarea bugetelor autorităților finanțate de la bugetul de stat la partea de cheltuieli (conform Anexei nr.3</w:t>
            </w:r>
            <w:r w:rsidRPr="00E67099">
              <w:t xml:space="preserve"> </w:t>
            </w:r>
            <w:r w:rsidRPr="00E67099">
              <w:rPr>
                <w:rFonts w:asciiTheme="majorHAnsi" w:hAnsiTheme="majorHAnsi" w:cstheme="majorHAnsi"/>
              </w:rPr>
              <w:t>la</w:t>
            </w:r>
            <w:r w:rsidRPr="00E67099">
              <w:t xml:space="preserve"> </w:t>
            </w:r>
            <w:r w:rsidRPr="00E67099">
              <w:rPr>
                <w:rFonts w:asciiTheme="majorHAnsi" w:eastAsia="Times New Roman" w:hAnsiTheme="majorHAnsi" w:cstheme="majorHAnsi"/>
                <w:bCs/>
                <w:iCs/>
                <w:sz w:val="20"/>
                <w:szCs w:val="20"/>
                <w:lang w:eastAsia="ru-RU"/>
              </w:rPr>
              <w:t>Legea bugetului de stat pe a.2019)</w:t>
            </w:r>
          </w:p>
        </w:tc>
        <w:tc>
          <w:tcPr>
            <w:tcW w:w="1216" w:type="dxa"/>
            <w:tcBorders>
              <w:left w:val="single" w:sz="12" w:space="0" w:color="auto"/>
              <w:right w:val="single" w:sz="12" w:space="0" w:color="auto"/>
            </w:tcBorders>
          </w:tcPr>
          <w:p w:rsidR="00E67099" w:rsidRPr="00E67099" w:rsidRDefault="00E67099" w:rsidP="00E67099">
            <w:pPr>
              <w:jc w:val="center"/>
              <w:rPr>
                <w:rFonts w:asciiTheme="majorHAnsi" w:eastAsia="Times New Roman" w:hAnsiTheme="majorHAnsi" w:cstheme="majorHAnsi"/>
                <w:bCs/>
                <w:i/>
                <w:iCs/>
                <w:sz w:val="20"/>
                <w:szCs w:val="20"/>
                <w:lang w:eastAsia="ru-RU"/>
              </w:rPr>
            </w:pPr>
            <w:r w:rsidRPr="00E67099">
              <w:rPr>
                <w:rFonts w:asciiTheme="majorHAnsi" w:eastAsia="Times New Roman" w:hAnsiTheme="majorHAnsi" w:cstheme="majorHAnsi"/>
                <w:bCs/>
                <w:i/>
                <w:iCs/>
                <w:sz w:val="20"/>
                <w:szCs w:val="20"/>
                <w:lang w:eastAsia="ru-RU"/>
              </w:rPr>
              <w:t>Formularul nr.3*</w:t>
            </w:r>
          </w:p>
        </w:tc>
        <w:tc>
          <w:tcPr>
            <w:tcW w:w="5588" w:type="dxa"/>
            <w:tcBorders>
              <w:left w:val="single" w:sz="12" w:space="0" w:color="auto"/>
              <w:right w:val="single" w:sz="12" w:space="0" w:color="auto"/>
            </w:tcBorders>
          </w:tcPr>
          <w:p w:rsidR="00E67099" w:rsidRPr="00E67099" w:rsidRDefault="00E67099" w:rsidP="00E67099">
            <w:pPr>
              <w:jc w:val="both"/>
              <w:rPr>
                <w:rFonts w:asciiTheme="majorHAnsi" w:eastAsia="Times New Roman" w:hAnsiTheme="majorHAnsi" w:cstheme="majorHAnsi"/>
                <w:bCs/>
                <w:iCs/>
                <w:sz w:val="20"/>
                <w:szCs w:val="20"/>
                <w:lang w:eastAsia="ru-RU"/>
              </w:rPr>
            </w:pPr>
            <w:r w:rsidRPr="00E67099">
              <w:rPr>
                <w:rFonts w:asciiTheme="majorHAnsi" w:eastAsia="Times New Roman" w:hAnsiTheme="majorHAnsi" w:cstheme="majorHAnsi"/>
                <w:bCs/>
                <w:iCs/>
                <w:sz w:val="20"/>
                <w:szCs w:val="20"/>
                <w:lang w:eastAsia="ru-RU"/>
              </w:rPr>
              <w:t>Raport privind executarea bugetelor autorităților publice centrale (conform Anexei nr.3 la Legea bugetului de stat pe a.2018)</w:t>
            </w:r>
          </w:p>
        </w:tc>
      </w:tr>
      <w:tr w:rsidR="00E67099" w:rsidRPr="00E67099" w:rsidTr="00A36731">
        <w:tc>
          <w:tcPr>
            <w:tcW w:w="1216" w:type="dxa"/>
            <w:tcBorders>
              <w:right w:val="single" w:sz="12" w:space="0" w:color="auto"/>
            </w:tcBorders>
          </w:tcPr>
          <w:p w:rsidR="00E67099" w:rsidRPr="00E67099" w:rsidRDefault="00E67099" w:rsidP="00E67099">
            <w:pPr>
              <w:jc w:val="center"/>
              <w:rPr>
                <w:rFonts w:asciiTheme="majorHAnsi" w:eastAsia="Times New Roman" w:hAnsiTheme="majorHAnsi" w:cstheme="majorHAnsi"/>
                <w:bCs/>
                <w:i/>
                <w:iCs/>
                <w:sz w:val="20"/>
                <w:szCs w:val="20"/>
                <w:lang w:eastAsia="ru-RU"/>
              </w:rPr>
            </w:pPr>
            <w:r w:rsidRPr="00E67099">
              <w:rPr>
                <w:rFonts w:asciiTheme="majorHAnsi" w:eastAsia="Times New Roman" w:hAnsiTheme="majorHAnsi" w:cstheme="majorHAnsi"/>
                <w:bCs/>
                <w:i/>
                <w:iCs/>
                <w:sz w:val="20"/>
                <w:szCs w:val="20"/>
                <w:lang w:eastAsia="ru-RU"/>
              </w:rPr>
              <w:t>Formularul nr.3.1</w:t>
            </w:r>
          </w:p>
        </w:tc>
        <w:tc>
          <w:tcPr>
            <w:tcW w:w="5583" w:type="dxa"/>
            <w:tcBorders>
              <w:left w:val="single" w:sz="12" w:space="0" w:color="auto"/>
              <w:right w:val="single" w:sz="12" w:space="0" w:color="auto"/>
            </w:tcBorders>
          </w:tcPr>
          <w:p w:rsidR="00E67099" w:rsidRPr="00E67099" w:rsidRDefault="00E67099" w:rsidP="00E67099">
            <w:pPr>
              <w:jc w:val="both"/>
              <w:rPr>
                <w:rFonts w:asciiTheme="majorHAnsi" w:eastAsia="Times New Roman" w:hAnsiTheme="majorHAnsi" w:cstheme="majorHAnsi"/>
                <w:bCs/>
                <w:iCs/>
                <w:sz w:val="20"/>
                <w:szCs w:val="20"/>
                <w:lang w:eastAsia="ru-RU"/>
              </w:rPr>
            </w:pPr>
            <w:r w:rsidRPr="00E67099">
              <w:rPr>
                <w:rFonts w:asciiTheme="majorHAnsi" w:eastAsia="Times New Roman" w:hAnsiTheme="majorHAnsi" w:cstheme="majorHAnsi"/>
                <w:bCs/>
                <w:iCs/>
                <w:sz w:val="20"/>
                <w:szCs w:val="20"/>
                <w:lang w:eastAsia="ru-RU"/>
              </w:rPr>
              <w:t>Raport privind executarea bugetelor autorităților finanțate de la bugetul de stat la partea de resurse totale (conform Anexei nr.3</w:t>
            </w:r>
            <w:r w:rsidRPr="00E67099">
              <w:rPr>
                <w:rFonts w:asciiTheme="majorHAnsi" w:hAnsiTheme="majorHAnsi" w:cstheme="majorHAnsi"/>
              </w:rPr>
              <w:t xml:space="preserve"> la </w:t>
            </w:r>
            <w:r w:rsidRPr="00E67099">
              <w:rPr>
                <w:rFonts w:asciiTheme="majorHAnsi" w:eastAsia="Times New Roman" w:hAnsiTheme="majorHAnsi" w:cstheme="majorHAnsi"/>
                <w:bCs/>
                <w:iCs/>
                <w:sz w:val="20"/>
                <w:szCs w:val="20"/>
                <w:lang w:eastAsia="ru-RU"/>
              </w:rPr>
              <w:t>Legea bugetului de stat pe a.2019)</w:t>
            </w:r>
          </w:p>
        </w:tc>
        <w:tc>
          <w:tcPr>
            <w:tcW w:w="1216" w:type="dxa"/>
            <w:tcBorders>
              <w:left w:val="single" w:sz="12" w:space="0" w:color="auto"/>
              <w:right w:val="single" w:sz="12" w:space="0" w:color="auto"/>
            </w:tcBorders>
          </w:tcPr>
          <w:p w:rsidR="00E67099" w:rsidRPr="00E67099" w:rsidRDefault="00E67099" w:rsidP="00E67099">
            <w:pPr>
              <w:jc w:val="center"/>
              <w:rPr>
                <w:rFonts w:asciiTheme="majorHAnsi" w:eastAsia="Times New Roman" w:hAnsiTheme="majorHAnsi" w:cstheme="majorHAnsi"/>
                <w:bCs/>
                <w:i/>
                <w:iCs/>
                <w:sz w:val="20"/>
                <w:szCs w:val="20"/>
                <w:lang w:eastAsia="ru-RU"/>
              </w:rPr>
            </w:pPr>
            <w:r w:rsidRPr="00E67099">
              <w:rPr>
                <w:rFonts w:asciiTheme="majorHAnsi" w:eastAsia="Times New Roman" w:hAnsiTheme="majorHAnsi" w:cstheme="majorHAnsi"/>
                <w:bCs/>
                <w:i/>
                <w:iCs/>
                <w:sz w:val="20"/>
                <w:szCs w:val="20"/>
                <w:lang w:eastAsia="ru-RU"/>
              </w:rPr>
              <w:t>-</w:t>
            </w:r>
          </w:p>
        </w:tc>
        <w:tc>
          <w:tcPr>
            <w:tcW w:w="5588" w:type="dxa"/>
            <w:tcBorders>
              <w:left w:val="single" w:sz="12" w:space="0" w:color="auto"/>
              <w:right w:val="single" w:sz="12" w:space="0" w:color="auto"/>
            </w:tcBorders>
          </w:tcPr>
          <w:p w:rsidR="00E67099" w:rsidRPr="00E67099" w:rsidRDefault="00E67099" w:rsidP="00E67099">
            <w:pPr>
              <w:jc w:val="center"/>
              <w:rPr>
                <w:rFonts w:asciiTheme="majorHAnsi" w:eastAsia="Times New Roman" w:hAnsiTheme="majorHAnsi" w:cstheme="majorHAnsi"/>
                <w:bCs/>
                <w:iCs/>
                <w:sz w:val="20"/>
                <w:szCs w:val="20"/>
                <w:lang w:eastAsia="ru-RU"/>
              </w:rPr>
            </w:pPr>
            <w:r w:rsidRPr="00E67099">
              <w:rPr>
                <w:rFonts w:asciiTheme="majorHAnsi" w:eastAsia="Times New Roman" w:hAnsiTheme="majorHAnsi" w:cstheme="majorHAnsi"/>
                <w:bCs/>
                <w:iCs/>
                <w:sz w:val="20"/>
                <w:szCs w:val="20"/>
                <w:lang w:eastAsia="ru-RU"/>
              </w:rPr>
              <w:t>-</w:t>
            </w:r>
          </w:p>
        </w:tc>
      </w:tr>
      <w:tr w:rsidR="00E67099" w:rsidRPr="00E67099" w:rsidTr="00A36731">
        <w:tc>
          <w:tcPr>
            <w:tcW w:w="1216" w:type="dxa"/>
            <w:tcBorders>
              <w:right w:val="single" w:sz="12" w:space="0" w:color="auto"/>
            </w:tcBorders>
          </w:tcPr>
          <w:p w:rsidR="00E67099" w:rsidRPr="00E67099" w:rsidRDefault="00E67099" w:rsidP="00E67099">
            <w:pPr>
              <w:jc w:val="center"/>
              <w:rPr>
                <w:rFonts w:asciiTheme="majorHAnsi" w:eastAsia="Times New Roman" w:hAnsiTheme="majorHAnsi" w:cstheme="majorHAnsi"/>
                <w:bCs/>
                <w:i/>
                <w:iCs/>
                <w:sz w:val="20"/>
                <w:szCs w:val="20"/>
                <w:lang w:eastAsia="ru-RU"/>
              </w:rPr>
            </w:pPr>
            <w:r w:rsidRPr="00E67099">
              <w:rPr>
                <w:rFonts w:asciiTheme="majorHAnsi" w:eastAsia="Times New Roman" w:hAnsiTheme="majorHAnsi" w:cstheme="majorHAnsi"/>
                <w:bCs/>
                <w:i/>
                <w:iCs/>
                <w:sz w:val="20"/>
                <w:szCs w:val="20"/>
                <w:lang w:eastAsia="ru-RU"/>
              </w:rPr>
              <w:t>Formularul nr.3.2</w:t>
            </w:r>
          </w:p>
        </w:tc>
        <w:tc>
          <w:tcPr>
            <w:tcW w:w="5583" w:type="dxa"/>
            <w:tcBorders>
              <w:left w:val="single" w:sz="12" w:space="0" w:color="auto"/>
              <w:right w:val="single" w:sz="12" w:space="0" w:color="auto"/>
            </w:tcBorders>
          </w:tcPr>
          <w:p w:rsidR="00E67099" w:rsidRPr="00E67099" w:rsidRDefault="00E67099" w:rsidP="00E67099">
            <w:pPr>
              <w:jc w:val="both"/>
              <w:rPr>
                <w:rFonts w:asciiTheme="majorHAnsi" w:eastAsia="Times New Roman" w:hAnsiTheme="majorHAnsi" w:cstheme="majorHAnsi"/>
                <w:bCs/>
                <w:iCs/>
                <w:sz w:val="20"/>
                <w:szCs w:val="20"/>
                <w:lang w:eastAsia="ru-RU"/>
              </w:rPr>
            </w:pPr>
            <w:r w:rsidRPr="00E67099">
              <w:rPr>
                <w:rFonts w:asciiTheme="majorHAnsi" w:eastAsia="Times New Roman" w:hAnsiTheme="majorHAnsi" w:cstheme="majorHAnsi"/>
                <w:bCs/>
                <w:iCs/>
                <w:sz w:val="20"/>
                <w:szCs w:val="20"/>
                <w:lang w:eastAsia="ru-RU"/>
              </w:rPr>
              <w:t>Raport privind executarea bugetelor autorităților finanțate de la bugetul de stat la partea de resurse generale (conform Anexei nr.3 la</w:t>
            </w:r>
            <w:r w:rsidRPr="00E67099">
              <w:t xml:space="preserve"> </w:t>
            </w:r>
            <w:r w:rsidRPr="00E67099">
              <w:rPr>
                <w:rFonts w:asciiTheme="majorHAnsi" w:eastAsia="Times New Roman" w:hAnsiTheme="majorHAnsi" w:cstheme="majorHAnsi"/>
                <w:bCs/>
                <w:iCs/>
                <w:sz w:val="20"/>
                <w:szCs w:val="20"/>
                <w:lang w:eastAsia="ru-RU"/>
              </w:rPr>
              <w:t>Legea bugetului de stat pe a.2019)</w:t>
            </w:r>
          </w:p>
        </w:tc>
        <w:tc>
          <w:tcPr>
            <w:tcW w:w="1216" w:type="dxa"/>
            <w:tcBorders>
              <w:left w:val="single" w:sz="12" w:space="0" w:color="auto"/>
              <w:right w:val="single" w:sz="12" w:space="0" w:color="auto"/>
            </w:tcBorders>
          </w:tcPr>
          <w:p w:rsidR="00E67099" w:rsidRPr="00E67099" w:rsidRDefault="00E67099" w:rsidP="00E67099">
            <w:pPr>
              <w:jc w:val="center"/>
              <w:rPr>
                <w:rFonts w:asciiTheme="majorHAnsi" w:eastAsia="Times New Roman" w:hAnsiTheme="majorHAnsi" w:cstheme="majorHAnsi"/>
                <w:bCs/>
                <w:i/>
                <w:iCs/>
                <w:sz w:val="20"/>
                <w:szCs w:val="20"/>
                <w:lang w:eastAsia="ru-RU"/>
              </w:rPr>
            </w:pPr>
            <w:r w:rsidRPr="00E67099">
              <w:rPr>
                <w:rFonts w:asciiTheme="majorHAnsi" w:eastAsia="Times New Roman" w:hAnsiTheme="majorHAnsi" w:cstheme="majorHAnsi"/>
                <w:bCs/>
                <w:i/>
                <w:iCs/>
                <w:sz w:val="20"/>
                <w:szCs w:val="20"/>
                <w:lang w:eastAsia="ru-RU"/>
              </w:rPr>
              <w:t>-</w:t>
            </w:r>
          </w:p>
        </w:tc>
        <w:tc>
          <w:tcPr>
            <w:tcW w:w="5588" w:type="dxa"/>
            <w:tcBorders>
              <w:left w:val="single" w:sz="12" w:space="0" w:color="auto"/>
              <w:right w:val="single" w:sz="12" w:space="0" w:color="auto"/>
            </w:tcBorders>
          </w:tcPr>
          <w:p w:rsidR="00E67099" w:rsidRPr="00E67099" w:rsidRDefault="00E67099" w:rsidP="00E67099">
            <w:pPr>
              <w:jc w:val="center"/>
              <w:rPr>
                <w:rFonts w:asciiTheme="majorHAnsi" w:eastAsia="Times New Roman" w:hAnsiTheme="majorHAnsi" w:cstheme="majorHAnsi"/>
                <w:bCs/>
                <w:iCs/>
                <w:sz w:val="20"/>
                <w:szCs w:val="20"/>
                <w:lang w:eastAsia="ru-RU"/>
              </w:rPr>
            </w:pPr>
            <w:r w:rsidRPr="00E67099">
              <w:rPr>
                <w:rFonts w:asciiTheme="majorHAnsi" w:eastAsia="Times New Roman" w:hAnsiTheme="majorHAnsi" w:cstheme="majorHAnsi"/>
                <w:bCs/>
                <w:iCs/>
                <w:sz w:val="20"/>
                <w:szCs w:val="20"/>
                <w:lang w:eastAsia="ru-RU"/>
              </w:rPr>
              <w:t>-</w:t>
            </w:r>
          </w:p>
        </w:tc>
      </w:tr>
      <w:tr w:rsidR="00E67099" w:rsidRPr="00E67099" w:rsidTr="00A36731">
        <w:tc>
          <w:tcPr>
            <w:tcW w:w="1216" w:type="dxa"/>
            <w:tcBorders>
              <w:right w:val="single" w:sz="12" w:space="0" w:color="auto"/>
            </w:tcBorders>
          </w:tcPr>
          <w:p w:rsidR="00E67099" w:rsidRPr="00E67099" w:rsidRDefault="00E67099" w:rsidP="00E67099">
            <w:pPr>
              <w:jc w:val="center"/>
              <w:rPr>
                <w:rFonts w:asciiTheme="majorHAnsi" w:eastAsia="Times New Roman" w:hAnsiTheme="majorHAnsi" w:cstheme="majorHAnsi"/>
                <w:bCs/>
                <w:i/>
                <w:iCs/>
                <w:sz w:val="20"/>
                <w:szCs w:val="20"/>
                <w:lang w:eastAsia="ru-RU"/>
              </w:rPr>
            </w:pPr>
            <w:r w:rsidRPr="00E67099">
              <w:rPr>
                <w:rFonts w:asciiTheme="majorHAnsi" w:eastAsia="Times New Roman" w:hAnsiTheme="majorHAnsi" w:cstheme="majorHAnsi"/>
                <w:bCs/>
                <w:i/>
                <w:iCs/>
                <w:sz w:val="20"/>
                <w:szCs w:val="20"/>
                <w:lang w:eastAsia="ru-RU"/>
              </w:rPr>
              <w:t>Formularul nr.3.3</w:t>
            </w:r>
          </w:p>
        </w:tc>
        <w:tc>
          <w:tcPr>
            <w:tcW w:w="5583" w:type="dxa"/>
            <w:tcBorders>
              <w:left w:val="single" w:sz="12" w:space="0" w:color="auto"/>
              <w:right w:val="single" w:sz="12" w:space="0" w:color="auto"/>
            </w:tcBorders>
          </w:tcPr>
          <w:p w:rsidR="00E67099" w:rsidRPr="00E67099" w:rsidRDefault="00E67099" w:rsidP="00E67099">
            <w:pPr>
              <w:jc w:val="both"/>
              <w:rPr>
                <w:rFonts w:asciiTheme="majorHAnsi" w:eastAsia="Times New Roman" w:hAnsiTheme="majorHAnsi" w:cstheme="majorHAnsi"/>
                <w:bCs/>
                <w:iCs/>
                <w:sz w:val="20"/>
                <w:szCs w:val="20"/>
                <w:lang w:eastAsia="ru-RU"/>
              </w:rPr>
            </w:pPr>
            <w:r w:rsidRPr="00E67099">
              <w:rPr>
                <w:rFonts w:asciiTheme="majorHAnsi" w:eastAsia="Times New Roman" w:hAnsiTheme="majorHAnsi" w:cstheme="majorHAnsi"/>
                <w:bCs/>
                <w:iCs/>
                <w:sz w:val="20"/>
                <w:szCs w:val="20"/>
                <w:lang w:eastAsia="ru-RU"/>
              </w:rPr>
              <w:t>Raport privind executarea bugetelor autorităților finanțate de la bugetul de stat la partea de venituri colectate (conform Anexei nr.3 la</w:t>
            </w:r>
            <w:r w:rsidRPr="00E67099">
              <w:t xml:space="preserve"> </w:t>
            </w:r>
            <w:r w:rsidRPr="00E67099">
              <w:rPr>
                <w:rFonts w:asciiTheme="majorHAnsi" w:eastAsia="Times New Roman" w:hAnsiTheme="majorHAnsi" w:cstheme="majorHAnsi"/>
                <w:bCs/>
                <w:iCs/>
                <w:sz w:val="20"/>
                <w:szCs w:val="20"/>
                <w:lang w:eastAsia="ru-RU"/>
              </w:rPr>
              <w:t>Legea bugetului de stat pe a.2019)</w:t>
            </w:r>
          </w:p>
        </w:tc>
        <w:tc>
          <w:tcPr>
            <w:tcW w:w="1216" w:type="dxa"/>
            <w:tcBorders>
              <w:left w:val="single" w:sz="12" w:space="0" w:color="auto"/>
              <w:right w:val="single" w:sz="12" w:space="0" w:color="auto"/>
            </w:tcBorders>
          </w:tcPr>
          <w:p w:rsidR="00E67099" w:rsidRPr="00E67099" w:rsidRDefault="00E67099" w:rsidP="00E67099">
            <w:pPr>
              <w:jc w:val="center"/>
              <w:rPr>
                <w:rFonts w:asciiTheme="majorHAnsi" w:eastAsia="Times New Roman" w:hAnsiTheme="majorHAnsi" w:cstheme="majorHAnsi"/>
                <w:bCs/>
                <w:i/>
                <w:iCs/>
                <w:sz w:val="20"/>
                <w:szCs w:val="20"/>
                <w:lang w:eastAsia="ru-RU"/>
              </w:rPr>
            </w:pPr>
            <w:r w:rsidRPr="00E67099">
              <w:rPr>
                <w:rFonts w:asciiTheme="majorHAnsi" w:eastAsia="Times New Roman" w:hAnsiTheme="majorHAnsi" w:cstheme="majorHAnsi"/>
                <w:bCs/>
                <w:i/>
                <w:iCs/>
                <w:sz w:val="20"/>
                <w:szCs w:val="20"/>
                <w:lang w:eastAsia="ru-RU"/>
              </w:rPr>
              <w:t>-</w:t>
            </w:r>
          </w:p>
        </w:tc>
        <w:tc>
          <w:tcPr>
            <w:tcW w:w="5588" w:type="dxa"/>
            <w:tcBorders>
              <w:left w:val="single" w:sz="12" w:space="0" w:color="auto"/>
              <w:right w:val="single" w:sz="12" w:space="0" w:color="auto"/>
            </w:tcBorders>
          </w:tcPr>
          <w:p w:rsidR="00E67099" w:rsidRPr="00E67099" w:rsidRDefault="00E67099" w:rsidP="00E67099">
            <w:pPr>
              <w:jc w:val="center"/>
              <w:rPr>
                <w:rFonts w:asciiTheme="majorHAnsi" w:eastAsia="Times New Roman" w:hAnsiTheme="majorHAnsi" w:cstheme="majorHAnsi"/>
                <w:bCs/>
                <w:iCs/>
                <w:sz w:val="20"/>
                <w:szCs w:val="20"/>
                <w:lang w:eastAsia="ru-RU"/>
              </w:rPr>
            </w:pPr>
            <w:r w:rsidRPr="00E67099">
              <w:rPr>
                <w:rFonts w:asciiTheme="majorHAnsi" w:eastAsia="Times New Roman" w:hAnsiTheme="majorHAnsi" w:cstheme="majorHAnsi"/>
                <w:bCs/>
                <w:iCs/>
                <w:sz w:val="20"/>
                <w:szCs w:val="20"/>
                <w:lang w:eastAsia="ru-RU"/>
              </w:rPr>
              <w:t>-</w:t>
            </w:r>
          </w:p>
        </w:tc>
      </w:tr>
      <w:tr w:rsidR="00E67099" w:rsidRPr="00E67099" w:rsidTr="00A36731">
        <w:tc>
          <w:tcPr>
            <w:tcW w:w="1216" w:type="dxa"/>
            <w:tcBorders>
              <w:right w:val="single" w:sz="12" w:space="0" w:color="auto"/>
            </w:tcBorders>
          </w:tcPr>
          <w:p w:rsidR="00E67099" w:rsidRPr="00E67099" w:rsidRDefault="00E67099" w:rsidP="00E67099">
            <w:pPr>
              <w:jc w:val="center"/>
              <w:rPr>
                <w:rFonts w:asciiTheme="majorHAnsi" w:eastAsia="Times New Roman" w:hAnsiTheme="majorHAnsi" w:cstheme="majorHAnsi"/>
                <w:bCs/>
                <w:i/>
                <w:iCs/>
                <w:sz w:val="20"/>
                <w:szCs w:val="20"/>
                <w:lang w:eastAsia="ru-RU"/>
              </w:rPr>
            </w:pPr>
            <w:r w:rsidRPr="00E67099">
              <w:rPr>
                <w:rFonts w:asciiTheme="majorHAnsi" w:eastAsia="Times New Roman" w:hAnsiTheme="majorHAnsi" w:cstheme="majorHAnsi"/>
                <w:bCs/>
                <w:i/>
                <w:iCs/>
                <w:sz w:val="20"/>
                <w:szCs w:val="20"/>
                <w:lang w:eastAsia="ru-RU"/>
              </w:rPr>
              <w:t>Formularul nr.3.4</w:t>
            </w:r>
          </w:p>
        </w:tc>
        <w:tc>
          <w:tcPr>
            <w:tcW w:w="5583" w:type="dxa"/>
            <w:tcBorders>
              <w:left w:val="single" w:sz="12" w:space="0" w:color="auto"/>
              <w:right w:val="single" w:sz="12" w:space="0" w:color="auto"/>
            </w:tcBorders>
          </w:tcPr>
          <w:p w:rsidR="00E67099" w:rsidRPr="00E67099" w:rsidRDefault="00E67099" w:rsidP="00E67099">
            <w:pPr>
              <w:jc w:val="both"/>
              <w:rPr>
                <w:rFonts w:asciiTheme="majorHAnsi" w:eastAsia="Times New Roman" w:hAnsiTheme="majorHAnsi" w:cstheme="majorHAnsi"/>
                <w:bCs/>
                <w:iCs/>
                <w:sz w:val="20"/>
                <w:szCs w:val="20"/>
                <w:lang w:eastAsia="ru-RU"/>
              </w:rPr>
            </w:pPr>
            <w:r w:rsidRPr="00E67099">
              <w:rPr>
                <w:rFonts w:asciiTheme="majorHAnsi" w:eastAsia="Times New Roman" w:hAnsiTheme="majorHAnsi" w:cstheme="majorHAnsi"/>
                <w:bCs/>
                <w:iCs/>
                <w:sz w:val="20"/>
                <w:szCs w:val="20"/>
                <w:lang w:eastAsia="ru-RU"/>
              </w:rPr>
              <w:t>Raport privind executarea bugetelor autorităților finanțate de la bugetul de stat la partea de resurse ale proiectelor finanțate din surse externe (conform Anexei nr.3</w:t>
            </w:r>
            <w:r w:rsidRPr="00E67099">
              <w:t xml:space="preserve"> </w:t>
            </w:r>
            <w:r w:rsidRPr="00E67099">
              <w:rPr>
                <w:rFonts w:asciiTheme="majorHAnsi" w:hAnsiTheme="majorHAnsi" w:cstheme="majorHAnsi"/>
              </w:rPr>
              <w:t>la</w:t>
            </w:r>
            <w:r w:rsidRPr="00E67099">
              <w:t xml:space="preserve"> </w:t>
            </w:r>
            <w:r w:rsidRPr="00E67099">
              <w:rPr>
                <w:rFonts w:asciiTheme="majorHAnsi" w:eastAsia="Times New Roman" w:hAnsiTheme="majorHAnsi" w:cstheme="majorHAnsi"/>
                <w:bCs/>
                <w:iCs/>
                <w:sz w:val="20"/>
                <w:szCs w:val="20"/>
                <w:lang w:eastAsia="ru-RU"/>
              </w:rPr>
              <w:t>Legea bugetului de stat pe a.2019)</w:t>
            </w:r>
          </w:p>
        </w:tc>
        <w:tc>
          <w:tcPr>
            <w:tcW w:w="1216" w:type="dxa"/>
            <w:tcBorders>
              <w:left w:val="single" w:sz="12" w:space="0" w:color="auto"/>
              <w:right w:val="single" w:sz="12" w:space="0" w:color="auto"/>
            </w:tcBorders>
          </w:tcPr>
          <w:p w:rsidR="00E67099" w:rsidRPr="00E67099" w:rsidRDefault="00E67099" w:rsidP="00E67099">
            <w:pPr>
              <w:jc w:val="center"/>
              <w:rPr>
                <w:rFonts w:asciiTheme="majorHAnsi" w:eastAsia="Times New Roman" w:hAnsiTheme="majorHAnsi" w:cstheme="majorHAnsi"/>
                <w:bCs/>
                <w:i/>
                <w:iCs/>
                <w:sz w:val="20"/>
                <w:szCs w:val="20"/>
                <w:lang w:eastAsia="ru-RU"/>
              </w:rPr>
            </w:pPr>
            <w:r w:rsidRPr="00E67099">
              <w:rPr>
                <w:rFonts w:asciiTheme="majorHAnsi" w:eastAsia="Times New Roman" w:hAnsiTheme="majorHAnsi" w:cstheme="majorHAnsi"/>
                <w:bCs/>
                <w:i/>
                <w:iCs/>
                <w:sz w:val="20"/>
                <w:szCs w:val="20"/>
                <w:lang w:eastAsia="ru-RU"/>
              </w:rPr>
              <w:t>-</w:t>
            </w:r>
          </w:p>
        </w:tc>
        <w:tc>
          <w:tcPr>
            <w:tcW w:w="5588" w:type="dxa"/>
            <w:tcBorders>
              <w:left w:val="single" w:sz="12" w:space="0" w:color="auto"/>
              <w:right w:val="single" w:sz="12" w:space="0" w:color="auto"/>
            </w:tcBorders>
          </w:tcPr>
          <w:p w:rsidR="00E67099" w:rsidRPr="00E67099" w:rsidRDefault="00E67099" w:rsidP="00E67099">
            <w:pPr>
              <w:jc w:val="center"/>
              <w:rPr>
                <w:rFonts w:asciiTheme="majorHAnsi" w:eastAsia="Times New Roman" w:hAnsiTheme="majorHAnsi" w:cstheme="majorHAnsi"/>
                <w:bCs/>
                <w:iCs/>
                <w:sz w:val="20"/>
                <w:szCs w:val="20"/>
                <w:lang w:eastAsia="ru-RU"/>
              </w:rPr>
            </w:pPr>
            <w:r w:rsidRPr="00E67099">
              <w:rPr>
                <w:rFonts w:asciiTheme="majorHAnsi" w:eastAsia="Times New Roman" w:hAnsiTheme="majorHAnsi" w:cstheme="majorHAnsi"/>
                <w:bCs/>
                <w:iCs/>
                <w:sz w:val="20"/>
                <w:szCs w:val="20"/>
                <w:lang w:eastAsia="ru-RU"/>
              </w:rPr>
              <w:t>-</w:t>
            </w:r>
          </w:p>
        </w:tc>
      </w:tr>
      <w:tr w:rsidR="00E67099" w:rsidRPr="00E67099" w:rsidTr="00A36731">
        <w:tc>
          <w:tcPr>
            <w:tcW w:w="1216" w:type="dxa"/>
            <w:tcBorders>
              <w:right w:val="single" w:sz="12" w:space="0" w:color="auto"/>
            </w:tcBorders>
          </w:tcPr>
          <w:p w:rsidR="00E67099" w:rsidRPr="00E67099" w:rsidRDefault="00E67099" w:rsidP="00E67099">
            <w:pPr>
              <w:jc w:val="center"/>
              <w:rPr>
                <w:rFonts w:asciiTheme="majorHAnsi" w:eastAsia="Times New Roman" w:hAnsiTheme="majorHAnsi" w:cstheme="majorHAnsi"/>
                <w:bCs/>
                <w:i/>
                <w:iCs/>
                <w:sz w:val="20"/>
                <w:szCs w:val="20"/>
                <w:lang w:eastAsia="ru-RU"/>
              </w:rPr>
            </w:pPr>
            <w:r w:rsidRPr="00E67099">
              <w:rPr>
                <w:rFonts w:asciiTheme="majorHAnsi" w:eastAsia="Times New Roman" w:hAnsiTheme="majorHAnsi" w:cstheme="majorHAnsi"/>
                <w:bCs/>
                <w:i/>
                <w:iCs/>
                <w:sz w:val="20"/>
                <w:szCs w:val="20"/>
                <w:lang w:eastAsia="ru-RU"/>
              </w:rPr>
              <w:t>Formularul nr.4*</w:t>
            </w:r>
          </w:p>
        </w:tc>
        <w:tc>
          <w:tcPr>
            <w:tcW w:w="5583" w:type="dxa"/>
            <w:tcBorders>
              <w:left w:val="single" w:sz="12" w:space="0" w:color="auto"/>
              <w:right w:val="single" w:sz="12" w:space="0" w:color="auto"/>
            </w:tcBorders>
          </w:tcPr>
          <w:p w:rsidR="00E67099" w:rsidRPr="00E67099" w:rsidRDefault="00E67099" w:rsidP="00E67099">
            <w:pPr>
              <w:jc w:val="both"/>
              <w:rPr>
                <w:rFonts w:asciiTheme="majorHAnsi" w:eastAsia="Times New Roman" w:hAnsiTheme="majorHAnsi" w:cstheme="majorHAnsi"/>
                <w:bCs/>
                <w:iCs/>
                <w:sz w:val="20"/>
                <w:szCs w:val="20"/>
                <w:lang w:eastAsia="ru-RU"/>
              </w:rPr>
            </w:pPr>
            <w:r w:rsidRPr="00E67099">
              <w:rPr>
                <w:rFonts w:asciiTheme="majorHAnsi" w:eastAsia="Times New Roman" w:hAnsiTheme="majorHAnsi" w:cstheme="majorHAnsi"/>
                <w:bCs/>
                <w:iCs/>
                <w:sz w:val="20"/>
                <w:szCs w:val="20"/>
                <w:lang w:eastAsia="ru-RU"/>
              </w:rPr>
              <w:t>Raport privind executarea cheltuielilor bugetului de stat conform clasificației funcționale ( conform Anexei nr.4</w:t>
            </w:r>
            <w:r w:rsidRPr="00E67099">
              <w:t xml:space="preserve"> la </w:t>
            </w:r>
            <w:r w:rsidRPr="00E67099">
              <w:rPr>
                <w:rFonts w:asciiTheme="majorHAnsi" w:eastAsia="Times New Roman" w:hAnsiTheme="majorHAnsi" w:cstheme="majorHAnsi"/>
                <w:bCs/>
                <w:iCs/>
                <w:sz w:val="20"/>
                <w:szCs w:val="20"/>
                <w:lang w:eastAsia="ru-RU"/>
              </w:rPr>
              <w:t>Legea bugetului de stat pe a.2019)</w:t>
            </w:r>
          </w:p>
        </w:tc>
        <w:tc>
          <w:tcPr>
            <w:tcW w:w="1216" w:type="dxa"/>
            <w:tcBorders>
              <w:left w:val="single" w:sz="12" w:space="0" w:color="auto"/>
              <w:right w:val="single" w:sz="12" w:space="0" w:color="auto"/>
            </w:tcBorders>
          </w:tcPr>
          <w:p w:rsidR="00E67099" w:rsidRPr="00E67099" w:rsidRDefault="00E67099" w:rsidP="00E67099">
            <w:pPr>
              <w:jc w:val="center"/>
              <w:rPr>
                <w:rFonts w:asciiTheme="majorHAnsi" w:eastAsia="Times New Roman" w:hAnsiTheme="majorHAnsi" w:cstheme="majorHAnsi"/>
                <w:bCs/>
                <w:i/>
                <w:iCs/>
                <w:sz w:val="20"/>
                <w:szCs w:val="20"/>
                <w:lang w:eastAsia="ru-RU"/>
              </w:rPr>
            </w:pPr>
            <w:r w:rsidRPr="00E67099">
              <w:rPr>
                <w:rFonts w:asciiTheme="majorHAnsi" w:eastAsia="Times New Roman" w:hAnsiTheme="majorHAnsi" w:cstheme="majorHAnsi"/>
                <w:bCs/>
                <w:i/>
                <w:iCs/>
                <w:sz w:val="20"/>
                <w:szCs w:val="20"/>
                <w:lang w:eastAsia="ru-RU"/>
              </w:rPr>
              <w:t>-</w:t>
            </w:r>
          </w:p>
        </w:tc>
        <w:tc>
          <w:tcPr>
            <w:tcW w:w="5588" w:type="dxa"/>
            <w:tcBorders>
              <w:left w:val="single" w:sz="12" w:space="0" w:color="auto"/>
              <w:right w:val="single" w:sz="12" w:space="0" w:color="auto"/>
            </w:tcBorders>
          </w:tcPr>
          <w:p w:rsidR="00E67099" w:rsidRPr="00E67099" w:rsidRDefault="00E67099" w:rsidP="00E67099">
            <w:pPr>
              <w:jc w:val="center"/>
              <w:rPr>
                <w:rFonts w:asciiTheme="majorHAnsi" w:eastAsia="Times New Roman" w:hAnsiTheme="majorHAnsi" w:cstheme="majorHAnsi"/>
                <w:bCs/>
                <w:iCs/>
                <w:sz w:val="20"/>
                <w:szCs w:val="20"/>
                <w:lang w:eastAsia="ru-RU"/>
              </w:rPr>
            </w:pPr>
            <w:r w:rsidRPr="00E67099">
              <w:rPr>
                <w:rFonts w:asciiTheme="majorHAnsi" w:eastAsia="Times New Roman" w:hAnsiTheme="majorHAnsi" w:cstheme="majorHAnsi"/>
                <w:bCs/>
                <w:iCs/>
                <w:sz w:val="20"/>
                <w:szCs w:val="20"/>
                <w:lang w:eastAsia="ru-RU"/>
              </w:rPr>
              <w:t>-</w:t>
            </w:r>
          </w:p>
        </w:tc>
      </w:tr>
      <w:tr w:rsidR="00E67099" w:rsidRPr="00E67099" w:rsidTr="00A36731">
        <w:tc>
          <w:tcPr>
            <w:tcW w:w="1216" w:type="dxa"/>
            <w:tcBorders>
              <w:right w:val="single" w:sz="12" w:space="0" w:color="auto"/>
            </w:tcBorders>
          </w:tcPr>
          <w:p w:rsidR="00E67099" w:rsidRPr="00E67099" w:rsidRDefault="00E67099" w:rsidP="00E67099">
            <w:pPr>
              <w:jc w:val="center"/>
              <w:rPr>
                <w:rFonts w:asciiTheme="majorHAnsi" w:eastAsia="Times New Roman" w:hAnsiTheme="majorHAnsi" w:cstheme="majorHAnsi"/>
                <w:bCs/>
                <w:i/>
                <w:iCs/>
                <w:sz w:val="20"/>
                <w:szCs w:val="20"/>
                <w:lang w:eastAsia="ru-RU"/>
              </w:rPr>
            </w:pPr>
            <w:r w:rsidRPr="00E67099">
              <w:rPr>
                <w:rFonts w:asciiTheme="majorHAnsi" w:eastAsia="Times New Roman" w:hAnsiTheme="majorHAnsi" w:cstheme="majorHAnsi"/>
                <w:bCs/>
                <w:i/>
                <w:iCs/>
                <w:sz w:val="20"/>
                <w:szCs w:val="20"/>
                <w:lang w:eastAsia="ru-RU"/>
              </w:rPr>
              <w:t>Formularul nr.5*</w:t>
            </w:r>
          </w:p>
        </w:tc>
        <w:tc>
          <w:tcPr>
            <w:tcW w:w="5583" w:type="dxa"/>
            <w:tcBorders>
              <w:left w:val="single" w:sz="12" w:space="0" w:color="auto"/>
              <w:right w:val="single" w:sz="12" w:space="0" w:color="auto"/>
            </w:tcBorders>
          </w:tcPr>
          <w:p w:rsidR="00E67099" w:rsidRPr="00E67099" w:rsidRDefault="00E67099" w:rsidP="00E67099">
            <w:pPr>
              <w:jc w:val="both"/>
              <w:rPr>
                <w:rFonts w:asciiTheme="majorHAnsi" w:eastAsia="Times New Roman" w:hAnsiTheme="majorHAnsi" w:cstheme="majorHAnsi"/>
                <w:bCs/>
                <w:iCs/>
                <w:sz w:val="20"/>
                <w:szCs w:val="20"/>
                <w:lang w:eastAsia="ru-RU"/>
              </w:rPr>
            </w:pPr>
            <w:r w:rsidRPr="00E67099">
              <w:rPr>
                <w:rFonts w:asciiTheme="majorHAnsi" w:eastAsia="Times New Roman" w:hAnsiTheme="majorHAnsi" w:cstheme="majorHAnsi"/>
                <w:bCs/>
                <w:iCs/>
                <w:sz w:val="20"/>
                <w:szCs w:val="20"/>
                <w:lang w:eastAsia="ru-RU"/>
              </w:rPr>
              <w:t>Raport privind executarea cheltuielilor de personal pe autorități publice centrale (conform Anexei nr.5</w:t>
            </w:r>
            <w:r w:rsidRPr="00E67099">
              <w:t xml:space="preserve"> </w:t>
            </w:r>
            <w:r w:rsidRPr="00E67099">
              <w:rPr>
                <w:rFonts w:asciiTheme="majorHAnsi" w:hAnsiTheme="majorHAnsi" w:cstheme="majorHAnsi"/>
              </w:rPr>
              <w:t>la</w:t>
            </w:r>
            <w:r w:rsidRPr="00E67099">
              <w:t xml:space="preserve"> </w:t>
            </w:r>
            <w:r w:rsidRPr="00E67099">
              <w:rPr>
                <w:rFonts w:asciiTheme="majorHAnsi" w:eastAsia="Times New Roman" w:hAnsiTheme="majorHAnsi" w:cstheme="majorHAnsi"/>
                <w:bCs/>
                <w:iCs/>
                <w:sz w:val="20"/>
                <w:szCs w:val="20"/>
                <w:lang w:eastAsia="ru-RU"/>
              </w:rPr>
              <w:t>Legea bugetului de stat pe a.2019)</w:t>
            </w:r>
          </w:p>
        </w:tc>
        <w:tc>
          <w:tcPr>
            <w:tcW w:w="1216" w:type="dxa"/>
            <w:tcBorders>
              <w:left w:val="single" w:sz="12" w:space="0" w:color="auto"/>
              <w:right w:val="single" w:sz="12" w:space="0" w:color="auto"/>
            </w:tcBorders>
          </w:tcPr>
          <w:p w:rsidR="00E67099" w:rsidRPr="00E67099" w:rsidRDefault="00E67099" w:rsidP="00E67099">
            <w:pPr>
              <w:jc w:val="center"/>
              <w:rPr>
                <w:rFonts w:asciiTheme="majorHAnsi" w:eastAsia="Times New Roman" w:hAnsiTheme="majorHAnsi" w:cstheme="majorHAnsi"/>
                <w:bCs/>
                <w:i/>
                <w:iCs/>
                <w:sz w:val="20"/>
                <w:szCs w:val="20"/>
                <w:lang w:eastAsia="ru-RU"/>
              </w:rPr>
            </w:pPr>
            <w:r w:rsidRPr="00E67099">
              <w:rPr>
                <w:rFonts w:asciiTheme="majorHAnsi" w:eastAsia="Times New Roman" w:hAnsiTheme="majorHAnsi" w:cstheme="majorHAnsi"/>
                <w:bCs/>
                <w:i/>
                <w:iCs/>
                <w:sz w:val="20"/>
                <w:szCs w:val="20"/>
                <w:lang w:eastAsia="ru-RU"/>
              </w:rPr>
              <w:t>-</w:t>
            </w:r>
          </w:p>
        </w:tc>
        <w:tc>
          <w:tcPr>
            <w:tcW w:w="5588" w:type="dxa"/>
            <w:tcBorders>
              <w:left w:val="single" w:sz="12" w:space="0" w:color="auto"/>
              <w:right w:val="single" w:sz="12" w:space="0" w:color="auto"/>
            </w:tcBorders>
          </w:tcPr>
          <w:p w:rsidR="00E67099" w:rsidRPr="00E67099" w:rsidRDefault="00E67099" w:rsidP="00E67099">
            <w:pPr>
              <w:jc w:val="center"/>
              <w:rPr>
                <w:rFonts w:asciiTheme="majorHAnsi" w:eastAsia="Times New Roman" w:hAnsiTheme="majorHAnsi" w:cstheme="majorHAnsi"/>
                <w:bCs/>
                <w:iCs/>
                <w:sz w:val="20"/>
                <w:szCs w:val="20"/>
                <w:lang w:eastAsia="ru-RU"/>
              </w:rPr>
            </w:pPr>
            <w:r w:rsidRPr="00E67099">
              <w:rPr>
                <w:rFonts w:asciiTheme="majorHAnsi" w:eastAsia="Times New Roman" w:hAnsiTheme="majorHAnsi" w:cstheme="majorHAnsi"/>
                <w:bCs/>
                <w:iCs/>
                <w:sz w:val="20"/>
                <w:szCs w:val="20"/>
                <w:lang w:eastAsia="ru-RU"/>
              </w:rPr>
              <w:t>-</w:t>
            </w:r>
          </w:p>
        </w:tc>
      </w:tr>
      <w:tr w:rsidR="00E67099" w:rsidRPr="00E67099" w:rsidTr="00A36731">
        <w:trPr>
          <w:trHeight w:val="944"/>
        </w:trPr>
        <w:tc>
          <w:tcPr>
            <w:tcW w:w="1216" w:type="dxa"/>
            <w:tcBorders>
              <w:right w:val="single" w:sz="12" w:space="0" w:color="auto"/>
            </w:tcBorders>
          </w:tcPr>
          <w:p w:rsidR="00E67099" w:rsidRPr="00E67099" w:rsidRDefault="00E67099" w:rsidP="00E67099">
            <w:pPr>
              <w:jc w:val="center"/>
              <w:rPr>
                <w:rFonts w:asciiTheme="majorHAnsi" w:eastAsia="Times New Roman" w:hAnsiTheme="majorHAnsi" w:cstheme="majorHAnsi"/>
                <w:bCs/>
                <w:i/>
                <w:iCs/>
                <w:sz w:val="20"/>
                <w:szCs w:val="20"/>
                <w:lang w:eastAsia="ru-RU"/>
              </w:rPr>
            </w:pPr>
            <w:r w:rsidRPr="00E67099">
              <w:rPr>
                <w:rFonts w:asciiTheme="majorHAnsi" w:eastAsia="Times New Roman" w:hAnsiTheme="majorHAnsi" w:cstheme="majorHAnsi"/>
                <w:bCs/>
                <w:i/>
                <w:iCs/>
                <w:sz w:val="20"/>
                <w:szCs w:val="20"/>
                <w:lang w:eastAsia="ru-RU"/>
              </w:rPr>
              <w:t>Formularul nr.6*</w:t>
            </w:r>
          </w:p>
        </w:tc>
        <w:tc>
          <w:tcPr>
            <w:tcW w:w="5583" w:type="dxa"/>
            <w:tcBorders>
              <w:left w:val="single" w:sz="12" w:space="0" w:color="auto"/>
              <w:right w:val="single" w:sz="12" w:space="0" w:color="auto"/>
            </w:tcBorders>
          </w:tcPr>
          <w:p w:rsidR="00E67099" w:rsidRPr="00E67099" w:rsidRDefault="00E67099" w:rsidP="00E67099">
            <w:pPr>
              <w:jc w:val="both"/>
              <w:rPr>
                <w:rFonts w:asciiTheme="majorHAnsi" w:eastAsia="Times New Roman" w:hAnsiTheme="majorHAnsi" w:cstheme="majorHAnsi"/>
                <w:bCs/>
                <w:iCs/>
                <w:sz w:val="20"/>
                <w:szCs w:val="20"/>
                <w:lang w:eastAsia="ru-RU"/>
              </w:rPr>
            </w:pPr>
            <w:r w:rsidRPr="00E67099">
              <w:rPr>
                <w:rFonts w:asciiTheme="majorHAnsi" w:eastAsia="Times New Roman" w:hAnsiTheme="majorHAnsi" w:cstheme="majorHAnsi"/>
                <w:bCs/>
                <w:iCs/>
                <w:sz w:val="20"/>
                <w:szCs w:val="20"/>
                <w:lang w:eastAsia="ru-RU"/>
              </w:rPr>
              <w:t>Raport privind executarea investițiilor capitale pe autorități publice centrale la total (conform Anexei nr.6</w:t>
            </w:r>
            <w:r w:rsidRPr="00E67099">
              <w:t xml:space="preserve"> </w:t>
            </w:r>
            <w:r w:rsidRPr="00E67099">
              <w:rPr>
                <w:rFonts w:asciiTheme="majorHAnsi" w:hAnsiTheme="majorHAnsi" w:cstheme="majorHAnsi"/>
              </w:rPr>
              <w:t>la</w:t>
            </w:r>
            <w:r w:rsidRPr="00E67099">
              <w:t xml:space="preserve"> </w:t>
            </w:r>
            <w:r w:rsidRPr="00E67099">
              <w:rPr>
                <w:rFonts w:asciiTheme="majorHAnsi" w:eastAsia="Times New Roman" w:hAnsiTheme="majorHAnsi" w:cstheme="majorHAnsi"/>
                <w:bCs/>
                <w:iCs/>
                <w:sz w:val="20"/>
                <w:szCs w:val="20"/>
                <w:lang w:eastAsia="ru-RU"/>
              </w:rPr>
              <w:t>Legea bugetului de stat pe a.2019)</w:t>
            </w:r>
          </w:p>
        </w:tc>
        <w:tc>
          <w:tcPr>
            <w:tcW w:w="1216" w:type="dxa"/>
            <w:tcBorders>
              <w:left w:val="single" w:sz="12" w:space="0" w:color="auto"/>
              <w:right w:val="single" w:sz="12" w:space="0" w:color="auto"/>
            </w:tcBorders>
          </w:tcPr>
          <w:p w:rsidR="00E67099" w:rsidRPr="00E67099" w:rsidRDefault="00E67099" w:rsidP="00E67099">
            <w:pPr>
              <w:jc w:val="center"/>
              <w:rPr>
                <w:rFonts w:asciiTheme="majorHAnsi" w:eastAsia="Times New Roman" w:hAnsiTheme="majorHAnsi" w:cstheme="majorHAnsi"/>
                <w:bCs/>
                <w:i/>
                <w:iCs/>
                <w:sz w:val="20"/>
                <w:szCs w:val="20"/>
                <w:lang w:eastAsia="ru-RU"/>
              </w:rPr>
            </w:pPr>
            <w:r w:rsidRPr="00E67099">
              <w:rPr>
                <w:rFonts w:asciiTheme="majorHAnsi" w:eastAsia="Times New Roman" w:hAnsiTheme="majorHAnsi" w:cstheme="majorHAnsi"/>
                <w:bCs/>
                <w:i/>
                <w:iCs/>
                <w:sz w:val="20"/>
                <w:szCs w:val="20"/>
                <w:lang w:eastAsia="ru-RU"/>
              </w:rPr>
              <w:t>Formularul nr.4*</w:t>
            </w:r>
          </w:p>
        </w:tc>
        <w:tc>
          <w:tcPr>
            <w:tcW w:w="5588" w:type="dxa"/>
            <w:tcBorders>
              <w:left w:val="single" w:sz="12" w:space="0" w:color="auto"/>
              <w:right w:val="single" w:sz="12" w:space="0" w:color="auto"/>
            </w:tcBorders>
          </w:tcPr>
          <w:p w:rsidR="00E67099" w:rsidRPr="00E67099" w:rsidRDefault="00E67099" w:rsidP="00E67099">
            <w:pPr>
              <w:jc w:val="both"/>
              <w:rPr>
                <w:rFonts w:asciiTheme="majorHAnsi" w:eastAsia="Times New Roman" w:hAnsiTheme="majorHAnsi" w:cstheme="majorHAnsi"/>
                <w:bCs/>
                <w:iCs/>
                <w:sz w:val="20"/>
                <w:szCs w:val="20"/>
                <w:lang w:eastAsia="ru-RU"/>
              </w:rPr>
            </w:pPr>
            <w:r w:rsidRPr="00E67099">
              <w:rPr>
                <w:rFonts w:asciiTheme="majorHAnsi" w:eastAsia="Times New Roman" w:hAnsiTheme="majorHAnsi" w:cstheme="majorHAnsi"/>
                <w:bCs/>
                <w:iCs/>
                <w:sz w:val="20"/>
                <w:szCs w:val="20"/>
                <w:lang w:eastAsia="ru-RU"/>
              </w:rPr>
              <w:t>Raport privind executarea investițiilor capitale pe autoritățile publice centrale (conform Anexei nr.4</w:t>
            </w:r>
            <w:r w:rsidRPr="00E67099">
              <w:rPr>
                <w:rFonts w:asciiTheme="majorHAnsi" w:hAnsiTheme="majorHAnsi" w:cstheme="majorHAnsi"/>
              </w:rPr>
              <w:t xml:space="preserve"> la</w:t>
            </w:r>
            <w:r w:rsidRPr="00E67099">
              <w:t xml:space="preserve"> </w:t>
            </w:r>
            <w:r w:rsidRPr="00E67099">
              <w:rPr>
                <w:rFonts w:asciiTheme="majorHAnsi" w:eastAsia="Times New Roman" w:hAnsiTheme="majorHAnsi" w:cstheme="majorHAnsi"/>
                <w:bCs/>
                <w:iCs/>
                <w:sz w:val="20"/>
                <w:szCs w:val="20"/>
                <w:lang w:eastAsia="ru-RU"/>
              </w:rPr>
              <w:t>Legea bugetului de stat pe a.2018)</w:t>
            </w:r>
          </w:p>
        </w:tc>
      </w:tr>
      <w:tr w:rsidR="00E67099" w:rsidRPr="00E67099" w:rsidTr="00A36731">
        <w:tc>
          <w:tcPr>
            <w:tcW w:w="1216" w:type="dxa"/>
            <w:tcBorders>
              <w:right w:val="single" w:sz="12" w:space="0" w:color="auto"/>
            </w:tcBorders>
          </w:tcPr>
          <w:p w:rsidR="00E67099" w:rsidRPr="00E67099" w:rsidRDefault="00E67099" w:rsidP="00E67099">
            <w:pPr>
              <w:jc w:val="center"/>
              <w:rPr>
                <w:rFonts w:asciiTheme="majorHAnsi" w:eastAsia="Times New Roman" w:hAnsiTheme="majorHAnsi" w:cstheme="majorHAnsi"/>
                <w:bCs/>
                <w:i/>
                <w:iCs/>
                <w:sz w:val="20"/>
                <w:szCs w:val="20"/>
                <w:lang w:eastAsia="ru-RU"/>
              </w:rPr>
            </w:pPr>
            <w:r w:rsidRPr="00E67099">
              <w:rPr>
                <w:rFonts w:asciiTheme="majorHAnsi" w:eastAsia="Times New Roman" w:hAnsiTheme="majorHAnsi" w:cstheme="majorHAnsi"/>
                <w:bCs/>
                <w:i/>
                <w:iCs/>
                <w:sz w:val="20"/>
                <w:szCs w:val="20"/>
                <w:lang w:eastAsia="ru-RU"/>
              </w:rPr>
              <w:t>Formularul nr.6.1</w:t>
            </w:r>
          </w:p>
        </w:tc>
        <w:tc>
          <w:tcPr>
            <w:tcW w:w="5583" w:type="dxa"/>
            <w:tcBorders>
              <w:left w:val="single" w:sz="12" w:space="0" w:color="auto"/>
              <w:right w:val="single" w:sz="12" w:space="0" w:color="auto"/>
            </w:tcBorders>
          </w:tcPr>
          <w:p w:rsidR="00E67099" w:rsidRPr="00E67099" w:rsidRDefault="00E67099" w:rsidP="00E67099">
            <w:pPr>
              <w:jc w:val="both"/>
              <w:rPr>
                <w:rFonts w:asciiTheme="majorHAnsi" w:eastAsia="Times New Roman" w:hAnsiTheme="majorHAnsi" w:cstheme="majorHAnsi"/>
                <w:bCs/>
                <w:iCs/>
                <w:sz w:val="20"/>
                <w:szCs w:val="20"/>
                <w:lang w:eastAsia="ru-RU"/>
              </w:rPr>
            </w:pPr>
            <w:r w:rsidRPr="00E67099">
              <w:rPr>
                <w:rFonts w:asciiTheme="majorHAnsi" w:eastAsia="Times New Roman" w:hAnsiTheme="majorHAnsi" w:cstheme="majorHAnsi"/>
                <w:bCs/>
                <w:iCs/>
                <w:sz w:val="20"/>
                <w:szCs w:val="20"/>
                <w:lang w:eastAsia="ru-RU"/>
              </w:rPr>
              <w:t>Raport privind executarea investițiilor capitale pe autorități publice centrale din contul resurselor generale și veniturilor colectate (conform Anexei nr.6</w:t>
            </w:r>
            <w:r w:rsidRPr="00E67099">
              <w:t xml:space="preserve"> </w:t>
            </w:r>
            <w:r w:rsidRPr="00E67099">
              <w:rPr>
                <w:rFonts w:asciiTheme="majorHAnsi" w:hAnsiTheme="majorHAnsi" w:cstheme="majorHAnsi"/>
              </w:rPr>
              <w:t>la</w:t>
            </w:r>
            <w:r w:rsidRPr="00E67099">
              <w:t xml:space="preserve"> </w:t>
            </w:r>
            <w:r w:rsidRPr="00E67099">
              <w:rPr>
                <w:rFonts w:asciiTheme="majorHAnsi" w:eastAsia="Times New Roman" w:hAnsiTheme="majorHAnsi" w:cstheme="majorHAnsi"/>
                <w:bCs/>
                <w:iCs/>
                <w:sz w:val="20"/>
                <w:szCs w:val="20"/>
                <w:lang w:eastAsia="ru-RU"/>
              </w:rPr>
              <w:t>Legea bugetului de stat pe a.2019)</w:t>
            </w:r>
          </w:p>
        </w:tc>
        <w:tc>
          <w:tcPr>
            <w:tcW w:w="1216" w:type="dxa"/>
            <w:tcBorders>
              <w:left w:val="single" w:sz="12" w:space="0" w:color="auto"/>
              <w:right w:val="single" w:sz="12" w:space="0" w:color="auto"/>
            </w:tcBorders>
          </w:tcPr>
          <w:p w:rsidR="00E67099" w:rsidRPr="00E67099" w:rsidRDefault="00E67099" w:rsidP="00E67099">
            <w:pPr>
              <w:jc w:val="center"/>
              <w:rPr>
                <w:rFonts w:asciiTheme="majorHAnsi" w:eastAsia="Times New Roman" w:hAnsiTheme="majorHAnsi" w:cstheme="majorHAnsi"/>
                <w:bCs/>
                <w:i/>
                <w:iCs/>
                <w:sz w:val="20"/>
                <w:szCs w:val="20"/>
                <w:lang w:eastAsia="ru-RU"/>
              </w:rPr>
            </w:pPr>
            <w:r w:rsidRPr="00E67099">
              <w:rPr>
                <w:rFonts w:asciiTheme="majorHAnsi" w:eastAsia="Times New Roman" w:hAnsiTheme="majorHAnsi" w:cstheme="majorHAnsi"/>
                <w:bCs/>
                <w:i/>
                <w:iCs/>
                <w:sz w:val="20"/>
                <w:szCs w:val="20"/>
                <w:lang w:eastAsia="ru-RU"/>
              </w:rPr>
              <w:t>Formularul nr.4.1*</w:t>
            </w:r>
          </w:p>
        </w:tc>
        <w:tc>
          <w:tcPr>
            <w:tcW w:w="5588" w:type="dxa"/>
            <w:tcBorders>
              <w:left w:val="single" w:sz="12" w:space="0" w:color="auto"/>
              <w:right w:val="single" w:sz="12" w:space="0" w:color="auto"/>
            </w:tcBorders>
          </w:tcPr>
          <w:p w:rsidR="00E67099" w:rsidRPr="00E67099" w:rsidRDefault="00E67099" w:rsidP="00E67099">
            <w:pPr>
              <w:jc w:val="both"/>
              <w:rPr>
                <w:rFonts w:asciiTheme="majorHAnsi" w:eastAsia="Times New Roman" w:hAnsiTheme="majorHAnsi" w:cstheme="majorHAnsi"/>
                <w:bCs/>
                <w:iCs/>
                <w:sz w:val="20"/>
                <w:szCs w:val="20"/>
                <w:lang w:eastAsia="ru-RU"/>
              </w:rPr>
            </w:pPr>
            <w:r w:rsidRPr="00E67099">
              <w:rPr>
                <w:rFonts w:asciiTheme="majorHAnsi" w:eastAsia="Times New Roman" w:hAnsiTheme="majorHAnsi" w:cstheme="majorHAnsi"/>
                <w:bCs/>
                <w:iCs/>
                <w:sz w:val="20"/>
                <w:szCs w:val="20"/>
                <w:lang w:eastAsia="ru-RU"/>
              </w:rPr>
              <w:t>Raport privind executarea investițiilor capitale pe autoritățile publice centrale din contul resurselor generale și veniturilor colectate (conform Anexei nr.4</w:t>
            </w:r>
            <w:r w:rsidRPr="00E67099">
              <w:t xml:space="preserve"> </w:t>
            </w:r>
            <w:r w:rsidRPr="00E67099">
              <w:rPr>
                <w:rFonts w:asciiTheme="majorHAnsi" w:hAnsiTheme="majorHAnsi" w:cstheme="majorHAnsi"/>
              </w:rPr>
              <w:t>la</w:t>
            </w:r>
            <w:r w:rsidRPr="00E67099">
              <w:t xml:space="preserve"> </w:t>
            </w:r>
            <w:r w:rsidRPr="00E67099">
              <w:rPr>
                <w:rFonts w:asciiTheme="majorHAnsi" w:eastAsia="Times New Roman" w:hAnsiTheme="majorHAnsi" w:cstheme="majorHAnsi"/>
                <w:bCs/>
                <w:iCs/>
                <w:sz w:val="20"/>
                <w:szCs w:val="20"/>
                <w:lang w:eastAsia="ru-RU"/>
              </w:rPr>
              <w:t>Legea bugetului de stat pe a.2018)</w:t>
            </w:r>
          </w:p>
        </w:tc>
      </w:tr>
      <w:tr w:rsidR="00E67099" w:rsidRPr="00E67099" w:rsidTr="00A36731">
        <w:tc>
          <w:tcPr>
            <w:tcW w:w="1216" w:type="dxa"/>
            <w:tcBorders>
              <w:right w:val="single" w:sz="12" w:space="0" w:color="auto"/>
            </w:tcBorders>
          </w:tcPr>
          <w:p w:rsidR="00E67099" w:rsidRPr="00E67099" w:rsidRDefault="00E67099" w:rsidP="00E67099">
            <w:pPr>
              <w:jc w:val="center"/>
              <w:rPr>
                <w:rFonts w:asciiTheme="majorHAnsi" w:eastAsia="Times New Roman" w:hAnsiTheme="majorHAnsi" w:cstheme="majorHAnsi"/>
                <w:bCs/>
                <w:i/>
                <w:iCs/>
                <w:sz w:val="20"/>
                <w:szCs w:val="20"/>
                <w:lang w:eastAsia="ru-RU"/>
              </w:rPr>
            </w:pPr>
            <w:r w:rsidRPr="00E67099">
              <w:rPr>
                <w:rFonts w:asciiTheme="majorHAnsi" w:eastAsia="Times New Roman" w:hAnsiTheme="majorHAnsi" w:cstheme="majorHAnsi"/>
                <w:bCs/>
                <w:i/>
                <w:iCs/>
                <w:sz w:val="20"/>
                <w:szCs w:val="20"/>
                <w:lang w:eastAsia="ru-RU"/>
              </w:rPr>
              <w:t>Formularul nr.6.2</w:t>
            </w:r>
          </w:p>
        </w:tc>
        <w:tc>
          <w:tcPr>
            <w:tcW w:w="5583" w:type="dxa"/>
            <w:tcBorders>
              <w:left w:val="single" w:sz="12" w:space="0" w:color="auto"/>
              <w:right w:val="single" w:sz="12" w:space="0" w:color="auto"/>
            </w:tcBorders>
          </w:tcPr>
          <w:p w:rsidR="00E67099" w:rsidRPr="00E67099" w:rsidRDefault="00E67099" w:rsidP="00E67099">
            <w:pPr>
              <w:jc w:val="both"/>
              <w:rPr>
                <w:rFonts w:asciiTheme="majorHAnsi" w:eastAsia="Times New Roman" w:hAnsiTheme="majorHAnsi" w:cstheme="majorHAnsi"/>
                <w:bCs/>
                <w:iCs/>
                <w:sz w:val="20"/>
                <w:szCs w:val="20"/>
                <w:lang w:eastAsia="ru-RU"/>
              </w:rPr>
            </w:pPr>
            <w:r w:rsidRPr="00E67099">
              <w:rPr>
                <w:rFonts w:asciiTheme="majorHAnsi" w:eastAsia="Times New Roman" w:hAnsiTheme="majorHAnsi" w:cstheme="majorHAnsi"/>
                <w:bCs/>
                <w:iCs/>
                <w:sz w:val="20"/>
                <w:szCs w:val="20"/>
                <w:lang w:eastAsia="ru-RU"/>
              </w:rPr>
              <w:t>Raport privind executarea investițiilor capitale pe autorități publice centrale din contul proiectelor finanțate din surse externe (conform Anexei nr.6</w:t>
            </w:r>
            <w:r w:rsidRPr="00E67099">
              <w:t xml:space="preserve"> </w:t>
            </w:r>
            <w:r w:rsidRPr="00E67099">
              <w:rPr>
                <w:rFonts w:asciiTheme="majorHAnsi" w:hAnsiTheme="majorHAnsi" w:cstheme="majorHAnsi"/>
              </w:rPr>
              <w:t>la</w:t>
            </w:r>
            <w:r w:rsidRPr="00E67099">
              <w:t xml:space="preserve"> </w:t>
            </w:r>
            <w:r w:rsidRPr="00E67099">
              <w:rPr>
                <w:rFonts w:asciiTheme="majorHAnsi" w:eastAsia="Times New Roman" w:hAnsiTheme="majorHAnsi" w:cstheme="majorHAnsi"/>
                <w:bCs/>
                <w:iCs/>
                <w:sz w:val="20"/>
                <w:szCs w:val="20"/>
                <w:lang w:eastAsia="ru-RU"/>
              </w:rPr>
              <w:t>Legea bugetului de stat pe a.2019)</w:t>
            </w:r>
          </w:p>
        </w:tc>
        <w:tc>
          <w:tcPr>
            <w:tcW w:w="1216" w:type="dxa"/>
            <w:tcBorders>
              <w:left w:val="single" w:sz="12" w:space="0" w:color="auto"/>
              <w:right w:val="single" w:sz="12" w:space="0" w:color="auto"/>
            </w:tcBorders>
          </w:tcPr>
          <w:p w:rsidR="00E67099" w:rsidRPr="00E67099" w:rsidRDefault="00E67099" w:rsidP="00E67099">
            <w:pPr>
              <w:jc w:val="center"/>
              <w:rPr>
                <w:rFonts w:asciiTheme="majorHAnsi" w:eastAsia="Times New Roman" w:hAnsiTheme="majorHAnsi" w:cstheme="majorHAnsi"/>
                <w:bCs/>
                <w:i/>
                <w:iCs/>
                <w:sz w:val="20"/>
                <w:szCs w:val="20"/>
                <w:lang w:eastAsia="ru-RU"/>
              </w:rPr>
            </w:pPr>
            <w:r w:rsidRPr="00E67099">
              <w:rPr>
                <w:rFonts w:asciiTheme="majorHAnsi" w:eastAsia="Times New Roman" w:hAnsiTheme="majorHAnsi" w:cstheme="majorHAnsi"/>
                <w:bCs/>
                <w:i/>
                <w:iCs/>
                <w:sz w:val="20"/>
                <w:szCs w:val="20"/>
                <w:lang w:eastAsia="ru-RU"/>
              </w:rPr>
              <w:t>Formularul nr.4.2*</w:t>
            </w:r>
          </w:p>
        </w:tc>
        <w:tc>
          <w:tcPr>
            <w:tcW w:w="5588" w:type="dxa"/>
            <w:tcBorders>
              <w:left w:val="single" w:sz="12" w:space="0" w:color="auto"/>
              <w:right w:val="single" w:sz="12" w:space="0" w:color="auto"/>
            </w:tcBorders>
          </w:tcPr>
          <w:p w:rsidR="00E67099" w:rsidRPr="00E67099" w:rsidRDefault="00E67099" w:rsidP="00E67099">
            <w:pPr>
              <w:jc w:val="both"/>
              <w:rPr>
                <w:rFonts w:asciiTheme="majorHAnsi" w:eastAsia="Times New Roman" w:hAnsiTheme="majorHAnsi" w:cstheme="majorHAnsi"/>
                <w:bCs/>
                <w:iCs/>
                <w:sz w:val="20"/>
                <w:szCs w:val="20"/>
                <w:lang w:eastAsia="ru-RU"/>
              </w:rPr>
            </w:pPr>
            <w:r w:rsidRPr="00E67099">
              <w:rPr>
                <w:rFonts w:asciiTheme="majorHAnsi" w:eastAsia="Times New Roman" w:hAnsiTheme="majorHAnsi" w:cstheme="majorHAnsi"/>
                <w:bCs/>
                <w:iCs/>
                <w:sz w:val="20"/>
                <w:szCs w:val="20"/>
                <w:lang w:eastAsia="ru-RU"/>
              </w:rPr>
              <w:t>Raport privind executarea investițiilor capitale pe autoritățile publice centrale din contul proiectelor finanțate din surse externe (conform Anexei nr.4</w:t>
            </w:r>
            <w:r w:rsidRPr="00E67099">
              <w:t xml:space="preserve"> la </w:t>
            </w:r>
            <w:r w:rsidRPr="00E67099">
              <w:rPr>
                <w:rFonts w:asciiTheme="majorHAnsi" w:eastAsia="Times New Roman" w:hAnsiTheme="majorHAnsi" w:cstheme="majorHAnsi"/>
                <w:bCs/>
                <w:iCs/>
                <w:sz w:val="20"/>
                <w:szCs w:val="20"/>
                <w:lang w:eastAsia="ru-RU"/>
              </w:rPr>
              <w:t>Legea bugetului de stat pe a.2018)</w:t>
            </w:r>
          </w:p>
        </w:tc>
      </w:tr>
      <w:tr w:rsidR="00E67099" w:rsidRPr="00E67099" w:rsidTr="00A36731">
        <w:tc>
          <w:tcPr>
            <w:tcW w:w="1216" w:type="dxa"/>
            <w:tcBorders>
              <w:right w:val="single" w:sz="12" w:space="0" w:color="auto"/>
            </w:tcBorders>
          </w:tcPr>
          <w:p w:rsidR="00E67099" w:rsidRPr="00E67099" w:rsidRDefault="00E67099" w:rsidP="00E67099">
            <w:pPr>
              <w:jc w:val="center"/>
              <w:rPr>
                <w:rFonts w:asciiTheme="majorHAnsi" w:eastAsia="Times New Roman" w:hAnsiTheme="majorHAnsi" w:cstheme="majorHAnsi"/>
                <w:bCs/>
                <w:i/>
                <w:iCs/>
                <w:sz w:val="20"/>
                <w:szCs w:val="20"/>
                <w:lang w:eastAsia="ru-RU"/>
              </w:rPr>
            </w:pPr>
            <w:r w:rsidRPr="00E67099">
              <w:rPr>
                <w:rFonts w:asciiTheme="majorHAnsi" w:eastAsia="Times New Roman" w:hAnsiTheme="majorHAnsi" w:cstheme="majorHAnsi"/>
                <w:bCs/>
                <w:i/>
                <w:iCs/>
                <w:sz w:val="20"/>
                <w:szCs w:val="20"/>
                <w:lang w:eastAsia="ru-RU"/>
              </w:rPr>
              <w:t>Formularul nr.7*</w:t>
            </w:r>
          </w:p>
        </w:tc>
        <w:tc>
          <w:tcPr>
            <w:tcW w:w="5583" w:type="dxa"/>
            <w:tcBorders>
              <w:left w:val="single" w:sz="12" w:space="0" w:color="auto"/>
              <w:right w:val="single" w:sz="12" w:space="0" w:color="auto"/>
            </w:tcBorders>
          </w:tcPr>
          <w:p w:rsidR="00E67099" w:rsidRPr="00E67099" w:rsidRDefault="00E67099" w:rsidP="00E67099">
            <w:pPr>
              <w:jc w:val="both"/>
              <w:rPr>
                <w:rFonts w:asciiTheme="majorHAnsi" w:eastAsia="Times New Roman" w:hAnsiTheme="majorHAnsi" w:cstheme="majorHAnsi"/>
                <w:bCs/>
                <w:iCs/>
                <w:sz w:val="20"/>
                <w:szCs w:val="20"/>
                <w:lang w:eastAsia="ru-RU"/>
              </w:rPr>
            </w:pPr>
            <w:r w:rsidRPr="00E67099">
              <w:rPr>
                <w:rFonts w:asciiTheme="majorHAnsi" w:eastAsia="Times New Roman" w:hAnsiTheme="majorHAnsi" w:cstheme="majorHAnsi"/>
                <w:bCs/>
                <w:iCs/>
                <w:sz w:val="20"/>
                <w:szCs w:val="20"/>
                <w:lang w:eastAsia="ru-RU"/>
              </w:rPr>
              <w:t>Raport privind transferurile de la bugetul de stat către bugetele locale (conform Anexei nr.7</w:t>
            </w:r>
            <w:r w:rsidRPr="00E67099">
              <w:t xml:space="preserve"> </w:t>
            </w:r>
            <w:r w:rsidRPr="00E67099">
              <w:rPr>
                <w:rFonts w:asciiTheme="majorHAnsi" w:hAnsiTheme="majorHAnsi" w:cstheme="majorHAnsi"/>
              </w:rPr>
              <w:t xml:space="preserve">la </w:t>
            </w:r>
            <w:r w:rsidRPr="00E67099">
              <w:rPr>
                <w:rFonts w:asciiTheme="majorHAnsi" w:eastAsia="Times New Roman" w:hAnsiTheme="majorHAnsi" w:cstheme="majorHAnsi"/>
                <w:bCs/>
                <w:iCs/>
                <w:sz w:val="20"/>
                <w:szCs w:val="20"/>
                <w:lang w:eastAsia="ru-RU"/>
              </w:rPr>
              <w:t>Legea bugetului de stat pe a.2019)</w:t>
            </w:r>
          </w:p>
        </w:tc>
        <w:tc>
          <w:tcPr>
            <w:tcW w:w="1216" w:type="dxa"/>
            <w:tcBorders>
              <w:left w:val="single" w:sz="12" w:space="0" w:color="auto"/>
              <w:right w:val="single" w:sz="12" w:space="0" w:color="auto"/>
            </w:tcBorders>
          </w:tcPr>
          <w:p w:rsidR="00E67099" w:rsidRPr="00E67099" w:rsidRDefault="00E67099" w:rsidP="00E67099">
            <w:pPr>
              <w:jc w:val="center"/>
              <w:rPr>
                <w:rFonts w:asciiTheme="majorHAnsi" w:eastAsia="Times New Roman" w:hAnsiTheme="majorHAnsi" w:cstheme="majorHAnsi"/>
                <w:bCs/>
                <w:i/>
                <w:iCs/>
                <w:sz w:val="20"/>
                <w:szCs w:val="20"/>
                <w:lang w:eastAsia="ru-RU"/>
              </w:rPr>
            </w:pPr>
            <w:r w:rsidRPr="00E67099">
              <w:rPr>
                <w:rFonts w:asciiTheme="majorHAnsi" w:eastAsia="Times New Roman" w:hAnsiTheme="majorHAnsi" w:cstheme="majorHAnsi"/>
                <w:bCs/>
                <w:i/>
                <w:iCs/>
                <w:sz w:val="20"/>
                <w:szCs w:val="20"/>
                <w:lang w:eastAsia="ru-RU"/>
              </w:rPr>
              <w:t>Formularul nr.5*</w:t>
            </w:r>
          </w:p>
        </w:tc>
        <w:tc>
          <w:tcPr>
            <w:tcW w:w="5588" w:type="dxa"/>
            <w:tcBorders>
              <w:left w:val="single" w:sz="12" w:space="0" w:color="auto"/>
              <w:right w:val="single" w:sz="12" w:space="0" w:color="auto"/>
            </w:tcBorders>
          </w:tcPr>
          <w:p w:rsidR="00E67099" w:rsidRPr="00E67099" w:rsidRDefault="00E67099" w:rsidP="00E67099">
            <w:pPr>
              <w:jc w:val="both"/>
              <w:rPr>
                <w:rFonts w:asciiTheme="majorHAnsi" w:eastAsia="Times New Roman" w:hAnsiTheme="majorHAnsi" w:cstheme="majorHAnsi"/>
                <w:bCs/>
                <w:iCs/>
                <w:sz w:val="20"/>
                <w:szCs w:val="20"/>
                <w:lang w:eastAsia="ru-RU"/>
              </w:rPr>
            </w:pPr>
            <w:r w:rsidRPr="00E67099">
              <w:rPr>
                <w:rFonts w:asciiTheme="majorHAnsi" w:eastAsia="Times New Roman" w:hAnsiTheme="majorHAnsi" w:cstheme="majorHAnsi"/>
                <w:bCs/>
                <w:iCs/>
                <w:sz w:val="20"/>
                <w:szCs w:val="20"/>
                <w:lang w:eastAsia="ru-RU"/>
              </w:rPr>
              <w:t>Raport privind transferurile de la bugetul de stat către bugetele locale (conform Anexei nr.5</w:t>
            </w:r>
            <w:r w:rsidRPr="00E67099">
              <w:t xml:space="preserve"> </w:t>
            </w:r>
            <w:r w:rsidRPr="00E67099">
              <w:rPr>
                <w:rFonts w:asciiTheme="majorHAnsi" w:hAnsiTheme="majorHAnsi" w:cstheme="majorHAnsi"/>
              </w:rPr>
              <w:t>la</w:t>
            </w:r>
            <w:r w:rsidRPr="00E67099">
              <w:t xml:space="preserve"> </w:t>
            </w:r>
            <w:r w:rsidRPr="00E67099">
              <w:rPr>
                <w:rFonts w:asciiTheme="majorHAnsi" w:eastAsia="Times New Roman" w:hAnsiTheme="majorHAnsi" w:cstheme="majorHAnsi"/>
                <w:bCs/>
                <w:iCs/>
                <w:sz w:val="20"/>
                <w:szCs w:val="20"/>
                <w:lang w:eastAsia="ru-RU"/>
              </w:rPr>
              <w:t>Legea bugetului de stat pe a.2018)</w:t>
            </w:r>
          </w:p>
        </w:tc>
      </w:tr>
      <w:tr w:rsidR="00E67099" w:rsidRPr="00E67099" w:rsidTr="00A36731">
        <w:tc>
          <w:tcPr>
            <w:tcW w:w="1216" w:type="dxa"/>
            <w:tcBorders>
              <w:right w:val="single" w:sz="12" w:space="0" w:color="auto"/>
            </w:tcBorders>
          </w:tcPr>
          <w:p w:rsidR="00E67099" w:rsidRPr="00E67099" w:rsidRDefault="00E67099" w:rsidP="00E67099">
            <w:pPr>
              <w:jc w:val="center"/>
              <w:rPr>
                <w:rFonts w:asciiTheme="majorHAnsi" w:eastAsia="Times New Roman" w:hAnsiTheme="majorHAnsi" w:cstheme="majorHAnsi"/>
                <w:bCs/>
                <w:i/>
                <w:iCs/>
                <w:sz w:val="20"/>
                <w:szCs w:val="20"/>
                <w:lang w:eastAsia="ru-RU"/>
              </w:rPr>
            </w:pPr>
            <w:r w:rsidRPr="00E67099">
              <w:rPr>
                <w:rFonts w:asciiTheme="majorHAnsi" w:eastAsia="Times New Roman" w:hAnsiTheme="majorHAnsi" w:cstheme="majorHAnsi"/>
                <w:bCs/>
                <w:i/>
                <w:iCs/>
                <w:sz w:val="20"/>
                <w:szCs w:val="20"/>
                <w:lang w:eastAsia="ru-RU"/>
              </w:rPr>
              <w:t>Formularul nr.7.1</w:t>
            </w:r>
          </w:p>
        </w:tc>
        <w:tc>
          <w:tcPr>
            <w:tcW w:w="5583" w:type="dxa"/>
            <w:tcBorders>
              <w:left w:val="single" w:sz="12" w:space="0" w:color="auto"/>
              <w:right w:val="single" w:sz="12" w:space="0" w:color="auto"/>
            </w:tcBorders>
          </w:tcPr>
          <w:p w:rsidR="00E67099" w:rsidRPr="00E67099" w:rsidRDefault="00E67099" w:rsidP="00E67099">
            <w:pPr>
              <w:jc w:val="both"/>
              <w:rPr>
                <w:rFonts w:asciiTheme="majorHAnsi" w:eastAsia="Times New Roman" w:hAnsiTheme="majorHAnsi" w:cstheme="majorHAnsi"/>
                <w:bCs/>
                <w:iCs/>
                <w:sz w:val="20"/>
                <w:szCs w:val="20"/>
                <w:lang w:eastAsia="ru-RU"/>
              </w:rPr>
            </w:pPr>
            <w:r w:rsidRPr="00E67099">
              <w:rPr>
                <w:rFonts w:asciiTheme="majorHAnsi" w:eastAsia="Times New Roman" w:hAnsiTheme="majorHAnsi" w:cstheme="majorHAnsi"/>
                <w:bCs/>
                <w:iCs/>
                <w:sz w:val="20"/>
                <w:szCs w:val="20"/>
                <w:lang w:eastAsia="ru-RU"/>
              </w:rPr>
              <w:t>Raport privind transferurile cu destinație specială de la bugetul de stat către bugetele locale (conform Anexei nr.7</w:t>
            </w:r>
            <w:r w:rsidRPr="00E67099">
              <w:t xml:space="preserve"> </w:t>
            </w:r>
            <w:r w:rsidRPr="00E67099">
              <w:rPr>
                <w:rFonts w:asciiTheme="majorHAnsi" w:hAnsiTheme="majorHAnsi" w:cstheme="majorHAnsi"/>
              </w:rPr>
              <w:t>la</w:t>
            </w:r>
            <w:r w:rsidRPr="00E67099">
              <w:t xml:space="preserve"> </w:t>
            </w:r>
            <w:r w:rsidRPr="00E67099">
              <w:rPr>
                <w:rFonts w:asciiTheme="majorHAnsi" w:eastAsia="Times New Roman" w:hAnsiTheme="majorHAnsi" w:cstheme="majorHAnsi"/>
                <w:bCs/>
                <w:iCs/>
                <w:sz w:val="20"/>
                <w:szCs w:val="20"/>
                <w:lang w:eastAsia="ru-RU"/>
              </w:rPr>
              <w:t>Legea bugetului de stat pe a.2019)</w:t>
            </w:r>
          </w:p>
        </w:tc>
        <w:tc>
          <w:tcPr>
            <w:tcW w:w="1216" w:type="dxa"/>
            <w:tcBorders>
              <w:left w:val="single" w:sz="12" w:space="0" w:color="auto"/>
              <w:right w:val="single" w:sz="12" w:space="0" w:color="auto"/>
            </w:tcBorders>
          </w:tcPr>
          <w:p w:rsidR="00E67099" w:rsidRPr="00E67099" w:rsidRDefault="00E67099" w:rsidP="00E67099">
            <w:pPr>
              <w:jc w:val="center"/>
              <w:rPr>
                <w:rFonts w:asciiTheme="majorHAnsi" w:eastAsia="Times New Roman" w:hAnsiTheme="majorHAnsi" w:cstheme="majorHAnsi"/>
                <w:bCs/>
                <w:i/>
                <w:iCs/>
                <w:sz w:val="20"/>
                <w:szCs w:val="20"/>
                <w:lang w:eastAsia="ru-RU"/>
              </w:rPr>
            </w:pPr>
            <w:r w:rsidRPr="00E67099">
              <w:rPr>
                <w:rFonts w:asciiTheme="majorHAnsi" w:eastAsia="Times New Roman" w:hAnsiTheme="majorHAnsi" w:cstheme="majorHAnsi"/>
                <w:bCs/>
                <w:i/>
                <w:iCs/>
                <w:sz w:val="20"/>
                <w:szCs w:val="20"/>
                <w:lang w:eastAsia="ru-RU"/>
              </w:rPr>
              <w:t>Formularul nr.5.1*</w:t>
            </w:r>
          </w:p>
        </w:tc>
        <w:tc>
          <w:tcPr>
            <w:tcW w:w="5588" w:type="dxa"/>
            <w:tcBorders>
              <w:left w:val="single" w:sz="12" w:space="0" w:color="auto"/>
              <w:right w:val="single" w:sz="12" w:space="0" w:color="auto"/>
            </w:tcBorders>
          </w:tcPr>
          <w:p w:rsidR="00E67099" w:rsidRPr="00E67099" w:rsidRDefault="00E67099" w:rsidP="00E67099">
            <w:pPr>
              <w:jc w:val="both"/>
              <w:rPr>
                <w:rFonts w:asciiTheme="majorHAnsi" w:eastAsia="Times New Roman" w:hAnsiTheme="majorHAnsi" w:cstheme="majorHAnsi"/>
                <w:bCs/>
                <w:iCs/>
                <w:sz w:val="20"/>
                <w:szCs w:val="20"/>
                <w:lang w:eastAsia="ru-RU"/>
              </w:rPr>
            </w:pPr>
            <w:r w:rsidRPr="00E67099">
              <w:rPr>
                <w:rFonts w:asciiTheme="majorHAnsi" w:eastAsia="Times New Roman" w:hAnsiTheme="majorHAnsi" w:cstheme="majorHAnsi"/>
                <w:bCs/>
                <w:iCs/>
                <w:sz w:val="20"/>
                <w:szCs w:val="20"/>
                <w:lang w:eastAsia="ru-RU"/>
              </w:rPr>
              <w:t>Raport privind transferurile cu destinație specială de la bugetul de stat către bugetele locale (conform Anexei nr.5</w:t>
            </w:r>
            <w:r w:rsidRPr="00E67099">
              <w:t xml:space="preserve"> </w:t>
            </w:r>
            <w:r w:rsidRPr="00E67099">
              <w:rPr>
                <w:rFonts w:asciiTheme="majorHAnsi" w:hAnsiTheme="majorHAnsi" w:cstheme="majorHAnsi"/>
              </w:rPr>
              <w:t>la</w:t>
            </w:r>
            <w:r w:rsidRPr="00E67099">
              <w:t xml:space="preserve"> </w:t>
            </w:r>
            <w:r w:rsidRPr="00E67099">
              <w:rPr>
                <w:rFonts w:asciiTheme="majorHAnsi" w:eastAsia="Times New Roman" w:hAnsiTheme="majorHAnsi" w:cstheme="majorHAnsi"/>
                <w:bCs/>
                <w:iCs/>
                <w:sz w:val="20"/>
                <w:szCs w:val="20"/>
                <w:lang w:eastAsia="ru-RU"/>
              </w:rPr>
              <w:t>Legea bugetului de stat pe a.2018)</w:t>
            </w:r>
          </w:p>
        </w:tc>
      </w:tr>
      <w:tr w:rsidR="00E67099" w:rsidRPr="00E67099" w:rsidTr="00A36731">
        <w:tc>
          <w:tcPr>
            <w:tcW w:w="1216" w:type="dxa"/>
            <w:tcBorders>
              <w:right w:val="single" w:sz="12" w:space="0" w:color="auto"/>
            </w:tcBorders>
          </w:tcPr>
          <w:p w:rsidR="00E67099" w:rsidRPr="00E67099" w:rsidRDefault="00E67099" w:rsidP="00E67099">
            <w:pPr>
              <w:jc w:val="center"/>
              <w:rPr>
                <w:rFonts w:asciiTheme="majorHAnsi" w:eastAsia="Times New Roman" w:hAnsiTheme="majorHAnsi" w:cstheme="majorHAnsi"/>
                <w:bCs/>
                <w:i/>
                <w:iCs/>
                <w:sz w:val="20"/>
                <w:szCs w:val="20"/>
                <w:lang w:eastAsia="ru-RU"/>
              </w:rPr>
            </w:pPr>
            <w:r w:rsidRPr="00E67099">
              <w:rPr>
                <w:rFonts w:asciiTheme="majorHAnsi" w:eastAsia="Times New Roman" w:hAnsiTheme="majorHAnsi" w:cstheme="majorHAnsi"/>
                <w:bCs/>
                <w:i/>
                <w:iCs/>
                <w:sz w:val="20"/>
                <w:szCs w:val="20"/>
                <w:lang w:eastAsia="ru-RU"/>
              </w:rPr>
              <w:t>Formularul nr.7.1.1</w:t>
            </w:r>
          </w:p>
        </w:tc>
        <w:tc>
          <w:tcPr>
            <w:tcW w:w="5583" w:type="dxa"/>
            <w:tcBorders>
              <w:left w:val="single" w:sz="12" w:space="0" w:color="auto"/>
              <w:right w:val="single" w:sz="12" w:space="0" w:color="auto"/>
            </w:tcBorders>
          </w:tcPr>
          <w:p w:rsidR="00E67099" w:rsidRPr="00E67099" w:rsidRDefault="00E67099" w:rsidP="00E67099">
            <w:pPr>
              <w:jc w:val="both"/>
              <w:rPr>
                <w:rFonts w:asciiTheme="majorHAnsi" w:eastAsia="Times New Roman" w:hAnsiTheme="majorHAnsi" w:cstheme="majorHAnsi"/>
                <w:bCs/>
                <w:iCs/>
                <w:sz w:val="20"/>
                <w:szCs w:val="20"/>
                <w:lang w:eastAsia="ru-RU"/>
              </w:rPr>
            </w:pPr>
            <w:r w:rsidRPr="00E67099">
              <w:rPr>
                <w:rFonts w:asciiTheme="majorHAnsi" w:eastAsia="Times New Roman" w:hAnsiTheme="majorHAnsi" w:cstheme="majorHAnsi"/>
                <w:bCs/>
                <w:iCs/>
                <w:sz w:val="20"/>
                <w:szCs w:val="20"/>
                <w:lang w:eastAsia="ru-RU"/>
              </w:rPr>
              <w:t>Raport privind transferurile cu destinație specială pentru asistența socială de la bugetul de stat către bugetele locale (conform Anexei nr.7</w:t>
            </w:r>
            <w:r w:rsidRPr="00E67099">
              <w:t xml:space="preserve"> </w:t>
            </w:r>
            <w:r w:rsidRPr="00E67099">
              <w:rPr>
                <w:rFonts w:asciiTheme="majorHAnsi" w:eastAsia="Times New Roman" w:hAnsiTheme="majorHAnsi" w:cstheme="majorHAnsi"/>
                <w:bCs/>
                <w:iCs/>
                <w:sz w:val="20"/>
                <w:szCs w:val="20"/>
                <w:lang w:eastAsia="ru-RU"/>
              </w:rPr>
              <w:t>Legea bugetului de stat pe a.2019)</w:t>
            </w:r>
          </w:p>
        </w:tc>
        <w:tc>
          <w:tcPr>
            <w:tcW w:w="1216" w:type="dxa"/>
            <w:tcBorders>
              <w:left w:val="single" w:sz="12" w:space="0" w:color="auto"/>
              <w:right w:val="single" w:sz="12" w:space="0" w:color="auto"/>
            </w:tcBorders>
          </w:tcPr>
          <w:p w:rsidR="00E67099" w:rsidRPr="00E67099" w:rsidRDefault="00E67099" w:rsidP="00E67099">
            <w:pPr>
              <w:jc w:val="center"/>
              <w:rPr>
                <w:rFonts w:asciiTheme="majorHAnsi" w:eastAsia="Times New Roman" w:hAnsiTheme="majorHAnsi" w:cstheme="majorHAnsi"/>
                <w:bCs/>
                <w:i/>
                <w:iCs/>
                <w:sz w:val="20"/>
                <w:szCs w:val="20"/>
                <w:lang w:eastAsia="ru-RU"/>
              </w:rPr>
            </w:pPr>
            <w:r w:rsidRPr="00E67099">
              <w:rPr>
                <w:rFonts w:asciiTheme="majorHAnsi" w:eastAsia="Times New Roman" w:hAnsiTheme="majorHAnsi" w:cstheme="majorHAnsi"/>
                <w:bCs/>
                <w:i/>
                <w:iCs/>
                <w:sz w:val="20"/>
                <w:szCs w:val="20"/>
                <w:lang w:eastAsia="ru-RU"/>
              </w:rPr>
              <w:t>Formularul nr.5.1.1*</w:t>
            </w:r>
          </w:p>
        </w:tc>
        <w:tc>
          <w:tcPr>
            <w:tcW w:w="5588" w:type="dxa"/>
            <w:tcBorders>
              <w:left w:val="single" w:sz="12" w:space="0" w:color="auto"/>
              <w:right w:val="single" w:sz="12" w:space="0" w:color="auto"/>
            </w:tcBorders>
          </w:tcPr>
          <w:p w:rsidR="00E67099" w:rsidRPr="00E67099" w:rsidRDefault="00E67099" w:rsidP="00E67099">
            <w:pPr>
              <w:jc w:val="both"/>
              <w:rPr>
                <w:rFonts w:asciiTheme="majorHAnsi" w:eastAsia="Times New Roman" w:hAnsiTheme="majorHAnsi" w:cstheme="majorHAnsi"/>
                <w:bCs/>
                <w:iCs/>
                <w:sz w:val="20"/>
                <w:szCs w:val="20"/>
                <w:lang w:eastAsia="ru-RU"/>
              </w:rPr>
            </w:pPr>
            <w:r w:rsidRPr="00E67099">
              <w:rPr>
                <w:rFonts w:asciiTheme="majorHAnsi" w:eastAsia="Times New Roman" w:hAnsiTheme="majorHAnsi" w:cstheme="majorHAnsi"/>
                <w:bCs/>
                <w:iCs/>
                <w:sz w:val="20"/>
                <w:szCs w:val="20"/>
                <w:lang w:eastAsia="ru-RU"/>
              </w:rPr>
              <w:t>Raport privind transferurile cu destinație specială pentru asistența socială de la bugetul de stat către bugetele locale (conform Anexei nr.5</w:t>
            </w:r>
            <w:r w:rsidRPr="00E67099">
              <w:t xml:space="preserve"> </w:t>
            </w:r>
            <w:r w:rsidRPr="00E67099">
              <w:rPr>
                <w:rFonts w:asciiTheme="majorHAnsi" w:hAnsiTheme="majorHAnsi" w:cstheme="majorHAnsi"/>
              </w:rPr>
              <w:t>la</w:t>
            </w:r>
            <w:r w:rsidRPr="00E67099">
              <w:t xml:space="preserve"> </w:t>
            </w:r>
            <w:r w:rsidRPr="00E67099">
              <w:rPr>
                <w:rFonts w:asciiTheme="majorHAnsi" w:eastAsia="Times New Roman" w:hAnsiTheme="majorHAnsi" w:cstheme="majorHAnsi"/>
                <w:bCs/>
                <w:iCs/>
                <w:sz w:val="20"/>
                <w:szCs w:val="20"/>
                <w:lang w:eastAsia="ru-RU"/>
              </w:rPr>
              <w:t>Legea bugetului de stat pe a.2018)</w:t>
            </w:r>
          </w:p>
        </w:tc>
      </w:tr>
      <w:tr w:rsidR="00E67099" w:rsidRPr="00E67099" w:rsidTr="00A36731">
        <w:tc>
          <w:tcPr>
            <w:tcW w:w="1216" w:type="dxa"/>
            <w:tcBorders>
              <w:right w:val="single" w:sz="12" w:space="0" w:color="auto"/>
            </w:tcBorders>
          </w:tcPr>
          <w:p w:rsidR="00E67099" w:rsidRPr="00E67099" w:rsidRDefault="00E67099" w:rsidP="00E67099">
            <w:pPr>
              <w:jc w:val="center"/>
              <w:rPr>
                <w:rFonts w:asciiTheme="majorHAnsi" w:eastAsia="Times New Roman" w:hAnsiTheme="majorHAnsi" w:cstheme="majorHAnsi"/>
                <w:bCs/>
                <w:i/>
                <w:iCs/>
                <w:sz w:val="20"/>
                <w:szCs w:val="20"/>
                <w:lang w:eastAsia="ru-RU"/>
              </w:rPr>
            </w:pPr>
            <w:r w:rsidRPr="00E67099">
              <w:rPr>
                <w:rFonts w:asciiTheme="majorHAnsi" w:eastAsia="Times New Roman" w:hAnsiTheme="majorHAnsi" w:cstheme="majorHAnsi"/>
                <w:bCs/>
                <w:i/>
                <w:iCs/>
                <w:sz w:val="20"/>
                <w:szCs w:val="20"/>
                <w:lang w:eastAsia="ru-RU"/>
              </w:rPr>
              <w:t>Formularul nr.8*</w:t>
            </w:r>
          </w:p>
        </w:tc>
        <w:tc>
          <w:tcPr>
            <w:tcW w:w="5583" w:type="dxa"/>
            <w:tcBorders>
              <w:left w:val="single" w:sz="12" w:space="0" w:color="auto"/>
              <w:right w:val="single" w:sz="12" w:space="0" w:color="auto"/>
            </w:tcBorders>
          </w:tcPr>
          <w:p w:rsidR="00E67099" w:rsidRPr="00E67099" w:rsidRDefault="00E67099" w:rsidP="00E67099">
            <w:pPr>
              <w:jc w:val="both"/>
              <w:rPr>
                <w:rFonts w:asciiTheme="majorHAnsi" w:eastAsia="Times New Roman" w:hAnsiTheme="majorHAnsi" w:cstheme="majorHAnsi"/>
                <w:bCs/>
                <w:iCs/>
                <w:sz w:val="20"/>
                <w:szCs w:val="20"/>
                <w:lang w:eastAsia="ru-RU"/>
              </w:rPr>
            </w:pPr>
            <w:r w:rsidRPr="00E67099">
              <w:rPr>
                <w:rFonts w:asciiTheme="majorHAnsi" w:eastAsia="Times New Roman" w:hAnsiTheme="majorHAnsi" w:cstheme="majorHAnsi"/>
                <w:bCs/>
                <w:iCs/>
                <w:sz w:val="20"/>
                <w:szCs w:val="20"/>
                <w:lang w:eastAsia="ru-RU"/>
              </w:rPr>
              <w:t xml:space="preserve">Raport privind executarea cheltuielilor și activelor nefinanciare ale bugetului de stat sub aspectul clasificației economice </w:t>
            </w:r>
          </w:p>
        </w:tc>
        <w:tc>
          <w:tcPr>
            <w:tcW w:w="1216" w:type="dxa"/>
            <w:tcBorders>
              <w:left w:val="single" w:sz="12" w:space="0" w:color="auto"/>
              <w:right w:val="single" w:sz="12" w:space="0" w:color="auto"/>
            </w:tcBorders>
          </w:tcPr>
          <w:p w:rsidR="00E67099" w:rsidRPr="00E67099" w:rsidRDefault="00E67099" w:rsidP="00E67099">
            <w:pPr>
              <w:jc w:val="center"/>
              <w:rPr>
                <w:rFonts w:asciiTheme="majorHAnsi" w:eastAsia="Times New Roman" w:hAnsiTheme="majorHAnsi" w:cstheme="majorHAnsi"/>
                <w:bCs/>
                <w:i/>
                <w:iCs/>
                <w:sz w:val="20"/>
                <w:szCs w:val="20"/>
                <w:lang w:eastAsia="ru-RU"/>
              </w:rPr>
            </w:pPr>
            <w:r w:rsidRPr="00E67099">
              <w:rPr>
                <w:rFonts w:asciiTheme="majorHAnsi" w:eastAsia="Times New Roman" w:hAnsiTheme="majorHAnsi" w:cstheme="majorHAnsi"/>
                <w:bCs/>
                <w:i/>
                <w:iCs/>
                <w:sz w:val="20"/>
                <w:szCs w:val="20"/>
                <w:lang w:eastAsia="ru-RU"/>
              </w:rPr>
              <w:t>Formularul nr.6*</w:t>
            </w:r>
          </w:p>
        </w:tc>
        <w:tc>
          <w:tcPr>
            <w:tcW w:w="5588" w:type="dxa"/>
            <w:tcBorders>
              <w:left w:val="single" w:sz="12" w:space="0" w:color="auto"/>
              <w:right w:val="single" w:sz="12" w:space="0" w:color="auto"/>
            </w:tcBorders>
          </w:tcPr>
          <w:p w:rsidR="00E67099" w:rsidRPr="00E67099" w:rsidRDefault="00E67099" w:rsidP="00E67099">
            <w:pPr>
              <w:jc w:val="both"/>
              <w:rPr>
                <w:rFonts w:asciiTheme="majorHAnsi" w:eastAsia="Times New Roman" w:hAnsiTheme="majorHAnsi" w:cstheme="majorHAnsi"/>
                <w:bCs/>
                <w:iCs/>
                <w:sz w:val="20"/>
                <w:szCs w:val="20"/>
                <w:lang w:eastAsia="ru-RU"/>
              </w:rPr>
            </w:pPr>
            <w:r w:rsidRPr="00E67099">
              <w:rPr>
                <w:rFonts w:asciiTheme="majorHAnsi" w:eastAsia="Times New Roman" w:hAnsiTheme="majorHAnsi" w:cstheme="majorHAnsi"/>
                <w:bCs/>
                <w:iCs/>
                <w:sz w:val="20"/>
                <w:szCs w:val="20"/>
                <w:lang w:eastAsia="ru-RU"/>
              </w:rPr>
              <w:t>Raport privind executarea cheltuielilor și activelor nefinanciare ale bugetului de stat sub aspectul clasificației economice</w:t>
            </w:r>
          </w:p>
        </w:tc>
      </w:tr>
      <w:tr w:rsidR="00E67099" w:rsidRPr="00E67099" w:rsidTr="00A36731">
        <w:tc>
          <w:tcPr>
            <w:tcW w:w="1216" w:type="dxa"/>
            <w:tcBorders>
              <w:right w:val="single" w:sz="12" w:space="0" w:color="auto"/>
            </w:tcBorders>
          </w:tcPr>
          <w:p w:rsidR="00E67099" w:rsidRPr="00E67099" w:rsidRDefault="00E67099" w:rsidP="00E67099">
            <w:pPr>
              <w:jc w:val="center"/>
              <w:rPr>
                <w:rFonts w:asciiTheme="majorHAnsi" w:eastAsia="Times New Roman" w:hAnsiTheme="majorHAnsi" w:cstheme="majorHAnsi"/>
                <w:bCs/>
                <w:i/>
                <w:iCs/>
                <w:sz w:val="20"/>
                <w:szCs w:val="20"/>
                <w:lang w:eastAsia="ru-RU"/>
              </w:rPr>
            </w:pPr>
            <w:r w:rsidRPr="00E67099">
              <w:rPr>
                <w:rFonts w:asciiTheme="majorHAnsi" w:eastAsia="Times New Roman" w:hAnsiTheme="majorHAnsi" w:cstheme="majorHAnsi"/>
                <w:bCs/>
                <w:i/>
                <w:iCs/>
                <w:sz w:val="20"/>
                <w:szCs w:val="20"/>
                <w:lang w:eastAsia="ru-RU"/>
              </w:rPr>
              <w:t>Formularul nr.9*</w:t>
            </w:r>
          </w:p>
        </w:tc>
        <w:tc>
          <w:tcPr>
            <w:tcW w:w="5583" w:type="dxa"/>
            <w:tcBorders>
              <w:left w:val="single" w:sz="12" w:space="0" w:color="auto"/>
              <w:right w:val="single" w:sz="12" w:space="0" w:color="auto"/>
            </w:tcBorders>
          </w:tcPr>
          <w:p w:rsidR="00E67099" w:rsidRPr="00E67099" w:rsidRDefault="00E67099" w:rsidP="00E67099">
            <w:pPr>
              <w:jc w:val="both"/>
              <w:rPr>
                <w:rFonts w:asciiTheme="majorHAnsi" w:eastAsia="Times New Roman" w:hAnsiTheme="majorHAnsi" w:cstheme="majorHAnsi"/>
                <w:bCs/>
                <w:iCs/>
                <w:sz w:val="20"/>
                <w:szCs w:val="20"/>
                <w:lang w:eastAsia="ru-RU"/>
              </w:rPr>
            </w:pPr>
            <w:r w:rsidRPr="00E67099">
              <w:rPr>
                <w:rFonts w:asciiTheme="majorHAnsi" w:eastAsia="Times New Roman" w:hAnsiTheme="majorHAnsi" w:cstheme="majorHAnsi"/>
                <w:bCs/>
                <w:iCs/>
                <w:sz w:val="20"/>
                <w:szCs w:val="20"/>
                <w:lang w:eastAsia="ru-RU"/>
              </w:rPr>
              <w:t xml:space="preserve">Raport privind creanțele și datoriile la cheltuieli și active nefinanciare formate în autoritățile/instituțiile bugetare finanțate de la bugetul de stat conform clasificației economice </w:t>
            </w:r>
          </w:p>
        </w:tc>
        <w:tc>
          <w:tcPr>
            <w:tcW w:w="1216" w:type="dxa"/>
            <w:tcBorders>
              <w:left w:val="single" w:sz="12" w:space="0" w:color="auto"/>
              <w:right w:val="single" w:sz="12" w:space="0" w:color="auto"/>
            </w:tcBorders>
          </w:tcPr>
          <w:p w:rsidR="00E67099" w:rsidRPr="00E67099" w:rsidRDefault="00E67099" w:rsidP="00E67099">
            <w:pPr>
              <w:jc w:val="center"/>
              <w:rPr>
                <w:rFonts w:asciiTheme="majorHAnsi" w:eastAsia="Times New Roman" w:hAnsiTheme="majorHAnsi" w:cstheme="majorHAnsi"/>
                <w:bCs/>
                <w:i/>
                <w:iCs/>
                <w:sz w:val="20"/>
                <w:szCs w:val="20"/>
                <w:lang w:eastAsia="ru-RU"/>
              </w:rPr>
            </w:pPr>
            <w:r w:rsidRPr="00E67099">
              <w:rPr>
                <w:rFonts w:asciiTheme="majorHAnsi" w:eastAsia="Times New Roman" w:hAnsiTheme="majorHAnsi" w:cstheme="majorHAnsi"/>
                <w:bCs/>
                <w:i/>
                <w:iCs/>
                <w:sz w:val="20"/>
                <w:szCs w:val="20"/>
                <w:lang w:eastAsia="ru-RU"/>
              </w:rPr>
              <w:t>Formularul nr.7*</w:t>
            </w:r>
          </w:p>
        </w:tc>
        <w:tc>
          <w:tcPr>
            <w:tcW w:w="5588" w:type="dxa"/>
            <w:tcBorders>
              <w:left w:val="single" w:sz="12" w:space="0" w:color="auto"/>
              <w:right w:val="single" w:sz="12" w:space="0" w:color="auto"/>
            </w:tcBorders>
          </w:tcPr>
          <w:p w:rsidR="00E67099" w:rsidRPr="00E67099" w:rsidRDefault="00E67099" w:rsidP="00E67099">
            <w:pPr>
              <w:jc w:val="both"/>
              <w:rPr>
                <w:rFonts w:asciiTheme="majorHAnsi" w:eastAsia="Times New Roman" w:hAnsiTheme="majorHAnsi" w:cstheme="majorHAnsi"/>
                <w:bCs/>
                <w:iCs/>
                <w:sz w:val="20"/>
                <w:szCs w:val="20"/>
                <w:lang w:eastAsia="ru-RU"/>
              </w:rPr>
            </w:pPr>
            <w:r w:rsidRPr="00E67099">
              <w:rPr>
                <w:rFonts w:asciiTheme="majorHAnsi" w:eastAsia="Times New Roman" w:hAnsiTheme="majorHAnsi" w:cstheme="majorHAnsi"/>
                <w:bCs/>
                <w:iCs/>
                <w:sz w:val="20"/>
                <w:szCs w:val="20"/>
                <w:lang w:eastAsia="ru-RU"/>
              </w:rPr>
              <w:t>Raport privind creanțele și datoriile la cheltuieli și active nefinanciare formate în autoritățile/instituțiile bugetare finanțate de la bugetul de stat conform clasificației economice</w:t>
            </w:r>
          </w:p>
        </w:tc>
      </w:tr>
      <w:tr w:rsidR="00E67099" w:rsidRPr="00E67099" w:rsidTr="00A36731">
        <w:tc>
          <w:tcPr>
            <w:tcW w:w="1216" w:type="dxa"/>
            <w:tcBorders>
              <w:right w:val="single" w:sz="12" w:space="0" w:color="auto"/>
            </w:tcBorders>
          </w:tcPr>
          <w:p w:rsidR="00E67099" w:rsidRPr="00E67099" w:rsidRDefault="00E67099" w:rsidP="00E67099">
            <w:pPr>
              <w:jc w:val="center"/>
              <w:rPr>
                <w:rFonts w:asciiTheme="majorHAnsi" w:eastAsia="Times New Roman" w:hAnsiTheme="majorHAnsi" w:cstheme="majorHAnsi"/>
                <w:bCs/>
                <w:i/>
                <w:iCs/>
                <w:sz w:val="20"/>
                <w:szCs w:val="20"/>
                <w:lang w:eastAsia="ru-RU"/>
              </w:rPr>
            </w:pPr>
            <w:r w:rsidRPr="00E67099">
              <w:rPr>
                <w:rFonts w:asciiTheme="majorHAnsi" w:eastAsia="Times New Roman" w:hAnsiTheme="majorHAnsi" w:cstheme="majorHAnsi"/>
                <w:bCs/>
                <w:i/>
                <w:iCs/>
                <w:sz w:val="20"/>
                <w:szCs w:val="20"/>
                <w:lang w:eastAsia="ru-RU"/>
              </w:rPr>
              <w:t>Formularul nr.10*</w:t>
            </w:r>
          </w:p>
        </w:tc>
        <w:tc>
          <w:tcPr>
            <w:tcW w:w="5583" w:type="dxa"/>
            <w:tcBorders>
              <w:left w:val="single" w:sz="12" w:space="0" w:color="auto"/>
              <w:right w:val="single" w:sz="12" w:space="0" w:color="auto"/>
            </w:tcBorders>
          </w:tcPr>
          <w:p w:rsidR="00E67099" w:rsidRPr="00E67099" w:rsidRDefault="00E67099" w:rsidP="00E67099">
            <w:pPr>
              <w:jc w:val="both"/>
              <w:rPr>
                <w:rFonts w:asciiTheme="majorHAnsi" w:eastAsia="Times New Roman" w:hAnsiTheme="majorHAnsi" w:cstheme="majorHAnsi"/>
                <w:bCs/>
                <w:iCs/>
                <w:sz w:val="20"/>
                <w:szCs w:val="20"/>
                <w:lang w:eastAsia="ru-RU"/>
              </w:rPr>
            </w:pPr>
            <w:r w:rsidRPr="00E67099">
              <w:rPr>
                <w:rFonts w:asciiTheme="majorHAnsi" w:eastAsia="Times New Roman" w:hAnsiTheme="majorHAnsi" w:cstheme="majorHAnsi"/>
                <w:bCs/>
                <w:iCs/>
                <w:sz w:val="20"/>
                <w:szCs w:val="20"/>
                <w:lang w:eastAsia="ru-RU"/>
              </w:rPr>
              <w:t xml:space="preserve">Raport privind repartizarea și utilizarea mijloacelor fondului de rezervă al Guvernului </w:t>
            </w:r>
          </w:p>
        </w:tc>
        <w:tc>
          <w:tcPr>
            <w:tcW w:w="1216" w:type="dxa"/>
            <w:tcBorders>
              <w:left w:val="single" w:sz="12" w:space="0" w:color="auto"/>
              <w:right w:val="single" w:sz="12" w:space="0" w:color="auto"/>
            </w:tcBorders>
          </w:tcPr>
          <w:p w:rsidR="00E67099" w:rsidRPr="00E67099" w:rsidRDefault="00E67099" w:rsidP="00E67099">
            <w:pPr>
              <w:jc w:val="center"/>
              <w:rPr>
                <w:rFonts w:asciiTheme="majorHAnsi" w:eastAsia="Times New Roman" w:hAnsiTheme="majorHAnsi" w:cstheme="majorHAnsi"/>
                <w:bCs/>
                <w:i/>
                <w:iCs/>
                <w:sz w:val="20"/>
                <w:szCs w:val="20"/>
                <w:lang w:eastAsia="ru-RU"/>
              </w:rPr>
            </w:pPr>
            <w:r w:rsidRPr="00E67099">
              <w:rPr>
                <w:rFonts w:asciiTheme="majorHAnsi" w:eastAsia="Times New Roman" w:hAnsiTheme="majorHAnsi" w:cstheme="majorHAnsi"/>
                <w:bCs/>
                <w:i/>
                <w:iCs/>
                <w:sz w:val="20"/>
                <w:szCs w:val="20"/>
                <w:lang w:eastAsia="ru-RU"/>
              </w:rPr>
              <w:t>Formularul nr.8*</w:t>
            </w:r>
          </w:p>
        </w:tc>
        <w:tc>
          <w:tcPr>
            <w:tcW w:w="5588" w:type="dxa"/>
            <w:tcBorders>
              <w:left w:val="single" w:sz="12" w:space="0" w:color="auto"/>
              <w:right w:val="single" w:sz="12" w:space="0" w:color="auto"/>
            </w:tcBorders>
          </w:tcPr>
          <w:p w:rsidR="00E67099" w:rsidRPr="00E67099" w:rsidRDefault="00E67099" w:rsidP="00E67099">
            <w:pPr>
              <w:jc w:val="both"/>
              <w:rPr>
                <w:rFonts w:asciiTheme="majorHAnsi" w:eastAsia="Times New Roman" w:hAnsiTheme="majorHAnsi" w:cstheme="majorHAnsi"/>
                <w:bCs/>
                <w:iCs/>
                <w:sz w:val="20"/>
                <w:szCs w:val="20"/>
                <w:lang w:eastAsia="ru-RU"/>
              </w:rPr>
            </w:pPr>
            <w:r w:rsidRPr="00E67099">
              <w:rPr>
                <w:rFonts w:asciiTheme="majorHAnsi" w:eastAsia="Times New Roman" w:hAnsiTheme="majorHAnsi" w:cstheme="majorHAnsi"/>
                <w:bCs/>
                <w:iCs/>
                <w:sz w:val="20"/>
                <w:szCs w:val="20"/>
                <w:lang w:eastAsia="ru-RU"/>
              </w:rPr>
              <w:t>Raport privind repartizarea și utilizarea mijloacelor fondului de rezervă al Guvernului</w:t>
            </w:r>
          </w:p>
        </w:tc>
      </w:tr>
      <w:tr w:rsidR="00E67099" w:rsidRPr="00E67099" w:rsidTr="00A36731">
        <w:tc>
          <w:tcPr>
            <w:tcW w:w="1216" w:type="dxa"/>
            <w:tcBorders>
              <w:right w:val="single" w:sz="12" w:space="0" w:color="auto"/>
            </w:tcBorders>
          </w:tcPr>
          <w:p w:rsidR="00E67099" w:rsidRPr="00E67099" w:rsidRDefault="00E67099" w:rsidP="00E67099">
            <w:pPr>
              <w:jc w:val="center"/>
              <w:rPr>
                <w:rFonts w:asciiTheme="majorHAnsi" w:eastAsia="Times New Roman" w:hAnsiTheme="majorHAnsi" w:cstheme="majorHAnsi"/>
                <w:bCs/>
                <w:i/>
                <w:iCs/>
                <w:sz w:val="20"/>
                <w:szCs w:val="20"/>
                <w:lang w:eastAsia="ru-RU"/>
              </w:rPr>
            </w:pPr>
            <w:r w:rsidRPr="00E67099">
              <w:rPr>
                <w:rFonts w:asciiTheme="majorHAnsi" w:eastAsia="Times New Roman" w:hAnsiTheme="majorHAnsi" w:cstheme="majorHAnsi"/>
                <w:bCs/>
                <w:i/>
                <w:iCs/>
                <w:sz w:val="20"/>
                <w:szCs w:val="20"/>
                <w:lang w:eastAsia="ru-RU"/>
              </w:rPr>
              <w:t>Formularul nr.11*</w:t>
            </w:r>
          </w:p>
        </w:tc>
        <w:tc>
          <w:tcPr>
            <w:tcW w:w="5583" w:type="dxa"/>
            <w:tcBorders>
              <w:left w:val="single" w:sz="12" w:space="0" w:color="auto"/>
              <w:right w:val="single" w:sz="12" w:space="0" w:color="auto"/>
            </w:tcBorders>
          </w:tcPr>
          <w:p w:rsidR="00E67099" w:rsidRPr="00E67099" w:rsidRDefault="00E67099" w:rsidP="00E67099">
            <w:pPr>
              <w:jc w:val="both"/>
              <w:rPr>
                <w:rFonts w:asciiTheme="majorHAnsi" w:eastAsia="Times New Roman" w:hAnsiTheme="majorHAnsi" w:cstheme="majorHAnsi"/>
                <w:bCs/>
                <w:iCs/>
                <w:sz w:val="20"/>
                <w:szCs w:val="20"/>
                <w:lang w:eastAsia="ru-RU"/>
              </w:rPr>
            </w:pPr>
            <w:r w:rsidRPr="00E67099">
              <w:rPr>
                <w:rFonts w:asciiTheme="majorHAnsi" w:eastAsia="Times New Roman" w:hAnsiTheme="majorHAnsi" w:cstheme="majorHAnsi"/>
                <w:bCs/>
                <w:iCs/>
                <w:sz w:val="20"/>
                <w:szCs w:val="20"/>
                <w:lang w:eastAsia="ru-RU"/>
              </w:rPr>
              <w:t xml:space="preserve">Raport privind repartizarea și utilizarea mijloacelor fondului de intervenție al Guvernului </w:t>
            </w:r>
          </w:p>
        </w:tc>
        <w:tc>
          <w:tcPr>
            <w:tcW w:w="1216" w:type="dxa"/>
            <w:tcBorders>
              <w:left w:val="single" w:sz="12" w:space="0" w:color="auto"/>
              <w:right w:val="single" w:sz="12" w:space="0" w:color="auto"/>
            </w:tcBorders>
          </w:tcPr>
          <w:p w:rsidR="00E67099" w:rsidRPr="00E67099" w:rsidRDefault="00E67099" w:rsidP="00E67099">
            <w:pPr>
              <w:jc w:val="center"/>
              <w:rPr>
                <w:rFonts w:asciiTheme="majorHAnsi" w:eastAsia="Times New Roman" w:hAnsiTheme="majorHAnsi" w:cstheme="majorHAnsi"/>
                <w:bCs/>
                <w:i/>
                <w:iCs/>
                <w:sz w:val="20"/>
                <w:szCs w:val="20"/>
                <w:lang w:eastAsia="ru-RU"/>
              </w:rPr>
            </w:pPr>
            <w:r w:rsidRPr="00E67099">
              <w:rPr>
                <w:rFonts w:asciiTheme="majorHAnsi" w:eastAsia="Times New Roman" w:hAnsiTheme="majorHAnsi" w:cstheme="majorHAnsi"/>
                <w:bCs/>
                <w:i/>
                <w:iCs/>
                <w:sz w:val="20"/>
                <w:szCs w:val="20"/>
                <w:lang w:eastAsia="ru-RU"/>
              </w:rPr>
              <w:t>Formularul nr.9*</w:t>
            </w:r>
          </w:p>
        </w:tc>
        <w:tc>
          <w:tcPr>
            <w:tcW w:w="5588" w:type="dxa"/>
            <w:tcBorders>
              <w:left w:val="single" w:sz="12" w:space="0" w:color="auto"/>
              <w:right w:val="single" w:sz="12" w:space="0" w:color="auto"/>
            </w:tcBorders>
          </w:tcPr>
          <w:p w:rsidR="00E67099" w:rsidRPr="00E67099" w:rsidRDefault="00E67099" w:rsidP="00E67099">
            <w:pPr>
              <w:jc w:val="both"/>
              <w:rPr>
                <w:rFonts w:asciiTheme="majorHAnsi" w:eastAsia="Times New Roman" w:hAnsiTheme="majorHAnsi" w:cstheme="majorHAnsi"/>
                <w:bCs/>
                <w:iCs/>
                <w:sz w:val="20"/>
                <w:szCs w:val="20"/>
                <w:lang w:eastAsia="ru-RU"/>
              </w:rPr>
            </w:pPr>
            <w:r w:rsidRPr="00E67099">
              <w:rPr>
                <w:rFonts w:asciiTheme="majorHAnsi" w:eastAsia="Times New Roman" w:hAnsiTheme="majorHAnsi" w:cstheme="majorHAnsi"/>
                <w:bCs/>
                <w:iCs/>
                <w:sz w:val="20"/>
                <w:szCs w:val="20"/>
                <w:lang w:eastAsia="ru-RU"/>
              </w:rPr>
              <w:t>Raport privind repartizarea și utilizarea mijloacelor fondului de intervenție al Guvernului</w:t>
            </w:r>
          </w:p>
        </w:tc>
      </w:tr>
      <w:tr w:rsidR="00E67099" w:rsidRPr="00E67099" w:rsidTr="00A36731">
        <w:tc>
          <w:tcPr>
            <w:tcW w:w="1216" w:type="dxa"/>
            <w:tcBorders>
              <w:right w:val="single" w:sz="12" w:space="0" w:color="auto"/>
            </w:tcBorders>
          </w:tcPr>
          <w:p w:rsidR="00E67099" w:rsidRPr="00E67099" w:rsidRDefault="00E67099" w:rsidP="00E67099">
            <w:pPr>
              <w:jc w:val="center"/>
              <w:rPr>
                <w:rFonts w:asciiTheme="majorHAnsi" w:eastAsia="Times New Roman" w:hAnsiTheme="majorHAnsi" w:cstheme="majorHAnsi"/>
                <w:bCs/>
                <w:i/>
                <w:iCs/>
                <w:sz w:val="20"/>
                <w:szCs w:val="20"/>
                <w:lang w:eastAsia="ru-RU"/>
              </w:rPr>
            </w:pPr>
            <w:r w:rsidRPr="00E67099">
              <w:rPr>
                <w:rFonts w:asciiTheme="majorHAnsi" w:eastAsia="Times New Roman" w:hAnsiTheme="majorHAnsi" w:cstheme="majorHAnsi"/>
                <w:bCs/>
                <w:i/>
                <w:iCs/>
                <w:sz w:val="20"/>
                <w:szCs w:val="20"/>
                <w:lang w:eastAsia="ru-RU"/>
              </w:rPr>
              <w:t>Formularul nr.12*</w:t>
            </w:r>
          </w:p>
        </w:tc>
        <w:tc>
          <w:tcPr>
            <w:tcW w:w="5583" w:type="dxa"/>
            <w:tcBorders>
              <w:left w:val="single" w:sz="12" w:space="0" w:color="auto"/>
              <w:right w:val="single" w:sz="12" w:space="0" w:color="auto"/>
            </w:tcBorders>
          </w:tcPr>
          <w:p w:rsidR="00E67099" w:rsidRPr="00E67099" w:rsidRDefault="00E67099" w:rsidP="00E67099">
            <w:pPr>
              <w:jc w:val="both"/>
              <w:rPr>
                <w:rFonts w:asciiTheme="majorHAnsi" w:eastAsia="Times New Roman" w:hAnsiTheme="majorHAnsi" w:cstheme="majorHAnsi"/>
                <w:bCs/>
                <w:iCs/>
                <w:sz w:val="20"/>
                <w:szCs w:val="20"/>
                <w:lang w:eastAsia="ru-RU"/>
              </w:rPr>
            </w:pPr>
            <w:r w:rsidRPr="00E67099">
              <w:rPr>
                <w:rFonts w:asciiTheme="majorHAnsi" w:eastAsia="Times New Roman" w:hAnsiTheme="majorHAnsi" w:cstheme="majorHAnsi"/>
                <w:bCs/>
                <w:iCs/>
                <w:sz w:val="20"/>
                <w:szCs w:val="20"/>
                <w:lang w:eastAsia="ru-RU"/>
              </w:rPr>
              <w:t>Raport privind repartizarea și utilizarea mijloacelor Programului de reintegrare a țării</w:t>
            </w:r>
          </w:p>
        </w:tc>
        <w:tc>
          <w:tcPr>
            <w:tcW w:w="1216" w:type="dxa"/>
            <w:tcBorders>
              <w:left w:val="single" w:sz="12" w:space="0" w:color="auto"/>
              <w:right w:val="single" w:sz="12" w:space="0" w:color="auto"/>
            </w:tcBorders>
          </w:tcPr>
          <w:p w:rsidR="00E67099" w:rsidRPr="00E67099" w:rsidRDefault="00E67099" w:rsidP="00E67099">
            <w:pPr>
              <w:jc w:val="center"/>
              <w:rPr>
                <w:rFonts w:asciiTheme="majorHAnsi" w:eastAsia="Times New Roman" w:hAnsiTheme="majorHAnsi" w:cstheme="majorHAnsi"/>
                <w:bCs/>
                <w:i/>
                <w:iCs/>
                <w:sz w:val="20"/>
                <w:szCs w:val="20"/>
                <w:lang w:eastAsia="ru-RU"/>
              </w:rPr>
            </w:pPr>
            <w:r w:rsidRPr="00E67099">
              <w:rPr>
                <w:rFonts w:asciiTheme="majorHAnsi" w:eastAsia="Times New Roman" w:hAnsiTheme="majorHAnsi" w:cstheme="majorHAnsi"/>
                <w:bCs/>
                <w:i/>
                <w:iCs/>
                <w:sz w:val="20"/>
                <w:szCs w:val="20"/>
                <w:lang w:eastAsia="ru-RU"/>
              </w:rPr>
              <w:t>-</w:t>
            </w:r>
          </w:p>
        </w:tc>
        <w:tc>
          <w:tcPr>
            <w:tcW w:w="5588" w:type="dxa"/>
            <w:tcBorders>
              <w:left w:val="single" w:sz="12" w:space="0" w:color="auto"/>
              <w:right w:val="single" w:sz="12" w:space="0" w:color="auto"/>
            </w:tcBorders>
          </w:tcPr>
          <w:p w:rsidR="00E67099" w:rsidRPr="00E67099" w:rsidRDefault="00E67099" w:rsidP="00E67099">
            <w:pPr>
              <w:jc w:val="center"/>
              <w:rPr>
                <w:rFonts w:asciiTheme="majorHAnsi" w:eastAsia="Times New Roman" w:hAnsiTheme="majorHAnsi" w:cstheme="majorHAnsi"/>
                <w:bCs/>
                <w:iCs/>
                <w:sz w:val="20"/>
                <w:szCs w:val="20"/>
                <w:lang w:eastAsia="ru-RU"/>
              </w:rPr>
            </w:pPr>
            <w:r w:rsidRPr="00E67099">
              <w:rPr>
                <w:rFonts w:asciiTheme="majorHAnsi" w:eastAsia="Times New Roman" w:hAnsiTheme="majorHAnsi" w:cstheme="majorHAnsi"/>
                <w:bCs/>
                <w:iCs/>
                <w:sz w:val="20"/>
                <w:szCs w:val="20"/>
                <w:lang w:eastAsia="ru-RU"/>
              </w:rPr>
              <w:t>-</w:t>
            </w:r>
          </w:p>
        </w:tc>
      </w:tr>
      <w:tr w:rsidR="00E67099" w:rsidRPr="00E67099" w:rsidTr="00A36731">
        <w:tc>
          <w:tcPr>
            <w:tcW w:w="1216" w:type="dxa"/>
            <w:tcBorders>
              <w:right w:val="single" w:sz="12" w:space="0" w:color="auto"/>
            </w:tcBorders>
          </w:tcPr>
          <w:p w:rsidR="00E67099" w:rsidRPr="00E67099" w:rsidRDefault="00E67099" w:rsidP="00E67099">
            <w:pPr>
              <w:jc w:val="center"/>
              <w:rPr>
                <w:rFonts w:asciiTheme="majorHAnsi" w:eastAsia="Times New Roman" w:hAnsiTheme="majorHAnsi" w:cstheme="majorHAnsi"/>
                <w:bCs/>
                <w:i/>
                <w:iCs/>
                <w:sz w:val="20"/>
                <w:szCs w:val="20"/>
                <w:lang w:eastAsia="ru-RU"/>
              </w:rPr>
            </w:pPr>
            <w:r w:rsidRPr="00E67099">
              <w:rPr>
                <w:rFonts w:asciiTheme="majorHAnsi" w:eastAsia="Times New Roman" w:hAnsiTheme="majorHAnsi" w:cstheme="majorHAnsi"/>
                <w:bCs/>
                <w:i/>
                <w:iCs/>
                <w:sz w:val="20"/>
                <w:szCs w:val="20"/>
                <w:lang w:eastAsia="ru-RU"/>
              </w:rPr>
              <w:t>Formularul nr.13*</w:t>
            </w:r>
          </w:p>
        </w:tc>
        <w:tc>
          <w:tcPr>
            <w:tcW w:w="5583" w:type="dxa"/>
            <w:tcBorders>
              <w:left w:val="single" w:sz="12" w:space="0" w:color="auto"/>
              <w:right w:val="single" w:sz="12" w:space="0" w:color="auto"/>
            </w:tcBorders>
          </w:tcPr>
          <w:p w:rsidR="00E67099" w:rsidRPr="00E67099" w:rsidRDefault="00E67099" w:rsidP="00E67099">
            <w:pPr>
              <w:jc w:val="both"/>
              <w:rPr>
                <w:rFonts w:asciiTheme="majorHAnsi" w:eastAsia="Times New Roman" w:hAnsiTheme="majorHAnsi" w:cstheme="majorHAnsi"/>
                <w:bCs/>
                <w:iCs/>
                <w:sz w:val="20"/>
                <w:szCs w:val="20"/>
                <w:lang w:eastAsia="ru-RU"/>
              </w:rPr>
            </w:pPr>
            <w:r w:rsidRPr="00E67099">
              <w:rPr>
                <w:rFonts w:asciiTheme="majorHAnsi" w:eastAsia="Times New Roman" w:hAnsiTheme="majorHAnsi" w:cstheme="majorHAnsi"/>
                <w:bCs/>
                <w:iCs/>
                <w:sz w:val="20"/>
                <w:szCs w:val="20"/>
                <w:lang w:eastAsia="ru-RU"/>
              </w:rPr>
              <w:t xml:space="preserve">Bilanțul contabil privind executarea bugetului de stat </w:t>
            </w:r>
          </w:p>
        </w:tc>
        <w:tc>
          <w:tcPr>
            <w:tcW w:w="1216" w:type="dxa"/>
            <w:tcBorders>
              <w:left w:val="single" w:sz="12" w:space="0" w:color="auto"/>
              <w:right w:val="single" w:sz="12" w:space="0" w:color="auto"/>
            </w:tcBorders>
          </w:tcPr>
          <w:p w:rsidR="00E67099" w:rsidRPr="00E67099" w:rsidRDefault="00E67099" w:rsidP="00E67099">
            <w:pPr>
              <w:jc w:val="center"/>
              <w:rPr>
                <w:rFonts w:asciiTheme="majorHAnsi" w:eastAsia="Times New Roman" w:hAnsiTheme="majorHAnsi" w:cstheme="majorHAnsi"/>
                <w:bCs/>
                <w:i/>
                <w:iCs/>
                <w:sz w:val="20"/>
                <w:szCs w:val="20"/>
                <w:lang w:eastAsia="ru-RU"/>
              </w:rPr>
            </w:pPr>
            <w:r w:rsidRPr="00E67099">
              <w:rPr>
                <w:rFonts w:asciiTheme="majorHAnsi" w:eastAsia="Times New Roman" w:hAnsiTheme="majorHAnsi" w:cstheme="majorHAnsi"/>
                <w:bCs/>
                <w:i/>
                <w:iCs/>
                <w:sz w:val="20"/>
                <w:szCs w:val="20"/>
                <w:lang w:eastAsia="ru-RU"/>
              </w:rPr>
              <w:t>Formularul nr.10*</w:t>
            </w:r>
          </w:p>
        </w:tc>
        <w:tc>
          <w:tcPr>
            <w:tcW w:w="5588" w:type="dxa"/>
            <w:tcBorders>
              <w:left w:val="single" w:sz="12" w:space="0" w:color="auto"/>
              <w:right w:val="single" w:sz="12" w:space="0" w:color="auto"/>
            </w:tcBorders>
          </w:tcPr>
          <w:p w:rsidR="00E67099" w:rsidRPr="00E67099" w:rsidRDefault="00E67099" w:rsidP="00E67099">
            <w:pPr>
              <w:jc w:val="both"/>
              <w:rPr>
                <w:rFonts w:asciiTheme="majorHAnsi" w:eastAsia="Times New Roman" w:hAnsiTheme="majorHAnsi" w:cstheme="majorHAnsi"/>
                <w:bCs/>
                <w:iCs/>
                <w:sz w:val="20"/>
                <w:szCs w:val="20"/>
                <w:lang w:eastAsia="ru-RU"/>
              </w:rPr>
            </w:pPr>
            <w:r w:rsidRPr="00E67099">
              <w:rPr>
                <w:rFonts w:asciiTheme="majorHAnsi" w:eastAsia="Times New Roman" w:hAnsiTheme="majorHAnsi" w:cstheme="majorHAnsi"/>
                <w:bCs/>
                <w:iCs/>
                <w:sz w:val="20"/>
                <w:szCs w:val="20"/>
                <w:lang w:eastAsia="ru-RU"/>
              </w:rPr>
              <w:t>Bilanțul contabil privind executarea bugetului de stat</w:t>
            </w:r>
          </w:p>
        </w:tc>
      </w:tr>
      <w:tr w:rsidR="00E67099" w:rsidRPr="00E67099" w:rsidTr="00A36731">
        <w:tc>
          <w:tcPr>
            <w:tcW w:w="1216" w:type="dxa"/>
            <w:tcBorders>
              <w:right w:val="single" w:sz="12" w:space="0" w:color="auto"/>
            </w:tcBorders>
          </w:tcPr>
          <w:p w:rsidR="00E67099" w:rsidRPr="00E67099" w:rsidRDefault="00E67099" w:rsidP="00E67099">
            <w:pPr>
              <w:jc w:val="center"/>
              <w:rPr>
                <w:rFonts w:asciiTheme="majorHAnsi" w:eastAsia="Times New Roman" w:hAnsiTheme="majorHAnsi" w:cstheme="majorHAnsi"/>
                <w:bCs/>
                <w:i/>
                <w:iCs/>
                <w:sz w:val="20"/>
                <w:szCs w:val="20"/>
                <w:lang w:eastAsia="ru-RU"/>
              </w:rPr>
            </w:pPr>
            <w:r w:rsidRPr="00E67099">
              <w:rPr>
                <w:rFonts w:asciiTheme="majorHAnsi" w:eastAsia="Times New Roman" w:hAnsiTheme="majorHAnsi" w:cstheme="majorHAnsi"/>
                <w:bCs/>
                <w:i/>
                <w:iCs/>
                <w:sz w:val="20"/>
                <w:szCs w:val="20"/>
                <w:lang w:eastAsia="ru-RU"/>
              </w:rPr>
              <w:t>Formularul nr.14</w:t>
            </w:r>
          </w:p>
        </w:tc>
        <w:tc>
          <w:tcPr>
            <w:tcW w:w="5583" w:type="dxa"/>
            <w:tcBorders>
              <w:left w:val="single" w:sz="12" w:space="0" w:color="auto"/>
              <w:right w:val="single" w:sz="12" w:space="0" w:color="auto"/>
            </w:tcBorders>
          </w:tcPr>
          <w:p w:rsidR="00E67099" w:rsidRPr="00E67099" w:rsidRDefault="00E67099" w:rsidP="00E67099">
            <w:pPr>
              <w:jc w:val="both"/>
              <w:rPr>
                <w:rFonts w:asciiTheme="majorHAnsi" w:eastAsia="Times New Roman" w:hAnsiTheme="majorHAnsi" w:cstheme="majorHAnsi"/>
                <w:bCs/>
                <w:iCs/>
                <w:sz w:val="20"/>
                <w:szCs w:val="20"/>
                <w:lang w:eastAsia="ru-RU"/>
              </w:rPr>
            </w:pPr>
            <w:r w:rsidRPr="00E67099">
              <w:rPr>
                <w:rFonts w:asciiTheme="majorHAnsi" w:eastAsia="Times New Roman" w:hAnsiTheme="majorHAnsi" w:cstheme="majorHAnsi"/>
                <w:bCs/>
                <w:iCs/>
                <w:sz w:val="20"/>
                <w:szCs w:val="20"/>
                <w:lang w:eastAsia="ru-RU"/>
              </w:rPr>
              <w:t xml:space="preserve">Raport privind executarea bugetului public național </w:t>
            </w:r>
          </w:p>
        </w:tc>
        <w:tc>
          <w:tcPr>
            <w:tcW w:w="1216" w:type="dxa"/>
            <w:tcBorders>
              <w:left w:val="single" w:sz="12" w:space="0" w:color="auto"/>
              <w:right w:val="single" w:sz="12" w:space="0" w:color="auto"/>
            </w:tcBorders>
          </w:tcPr>
          <w:p w:rsidR="00E67099" w:rsidRPr="00E67099" w:rsidRDefault="00E67099" w:rsidP="00E67099">
            <w:pPr>
              <w:jc w:val="center"/>
              <w:rPr>
                <w:rFonts w:asciiTheme="majorHAnsi" w:eastAsia="Times New Roman" w:hAnsiTheme="majorHAnsi" w:cstheme="majorHAnsi"/>
                <w:bCs/>
                <w:i/>
                <w:iCs/>
                <w:sz w:val="20"/>
                <w:szCs w:val="20"/>
                <w:lang w:eastAsia="ru-RU"/>
              </w:rPr>
            </w:pPr>
            <w:r w:rsidRPr="00E67099">
              <w:rPr>
                <w:rFonts w:asciiTheme="majorHAnsi" w:eastAsia="Times New Roman" w:hAnsiTheme="majorHAnsi" w:cstheme="majorHAnsi"/>
                <w:bCs/>
                <w:i/>
                <w:iCs/>
                <w:sz w:val="20"/>
                <w:szCs w:val="20"/>
                <w:lang w:eastAsia="ru-RU"/>
              </w:rPr>
              <w:t>Formularul nr.11*</w:t>
            </w:r>
          </w:p>
        </w:tc>
        <w:tc>
          <w:tcPr>
            <w:tcW w:w="5588" w:type="dxa"/>
            <w:tcBorders>
              <w:left w:val="single" w:sz="12" w:space="0" w:color="auto"/>
              <w:right w:val="single" w:sz="12" w:space="0" w:color="auto"/>
            </w:tcBorders>
          </w:tcPr>
          <w:p w:rsidR="00E67099" w:rsidRPr="00E67099" w:rsidRDefault="00E67099" w:rsidP="00E67099">
            <w:pPr>
              <w:jc w:val="both"/>
              <w:rPr>
                <w:rFonts w:asciiTheme="majorHAnsi" w:eastAsia="Times New Roman" w:hAnsiTheme="majorHAnsi" w:cstheme="majorHAnsi"/>
                <w:bCs/>
                <w:iCs/>
                <w:sz w:val="20"/>
                <w:szCs w:val="20"/>
                <w:lang w:eastAsia="ru-RU"/>
              </w:rPr>
            </w:pPr>
            <w:r w:rsidRPr="00E67099">
              <w:rPr>
                <w:rFonts w:asciiTheme="majorHAnsi" w:eastAsia="Times New Roman" w:hAnsiTheme="majorHAnsi" w:cstheme="majorHAnsi"/>
                <w:bCs/>
                <w:iCs/>
                <w:sz w:val="20"/>
                <w:szCs w:val="20"/>
                <w:lang w:eastAsia="ru-RU"/>
              </w:rPr>
              <w:t>Raport privind executarea bugetului public național</w:t>
            </w:r>
          </w:p>
        </w:tc>
      </w:tr>
    </w:tbl>
    <w:p w:rsidR="008B3719" w:rsidRDefault="00E67099" w:rsidP="008B3719">
      <w:pPr>
        <w:rPr>
          <w:rFonts w:asciiTheme="majorHAnsi" w:hAnsiTheme="majorHAnsi" w:cstheme="majorHAnsi"/>
          <w:i/>
          <w:sz w:val="20"/>
          <w:szCs w:val="20"/>
        </w:rPr>
      </w:pPr>
      <w:r w:rsidRPr="00E67099">
        <w:rPr>
          <w:rFonts w:asciiTheme="majorHAnsi" w:hAnsiTheme="majorHAnsi" w:cstheme="majorHAnsi"/>
          <w:b/>
          <w:i/>
          <w:sz w:val="20"/>
          <w:szCs w:val="20"/>
        </w:rPr>
        <w:t>Notă:</w:t>
      </w:r>
      <w:r w:rsidRPr="00E67099">
        <w:rPr>
          <w:rFonts w:asciiTheme="majorHAnsi" w:hAnsiTheme="majorHAnsi" w:cstheme="majorHAnsi"/>
          <w:i/>
          <w:sz w:val="20"/>
          <w:szCs w:val="20"/>
        </w:rPr>
        <w:t xml:space="preserve"> Cu asterisc (*) sunt marcate formularele Rapoartelor, parte componentă a Raportului privind executarea bugetului de stat pe anul 2019, testate de către audit sub aspect financiar și regulamentar.</w:t>
      </w:r>
    </w:p>
    <w:p w:rsidR="00B11F10" w:rsidRDefault="00B11F10" w:rsidP="008B3719">
      <w:pPr>
        <w:rPr>
          <w:rFonts w:asciiTheme="majorHAnsi" w:hAnsiTheme="majorHAnsi" w:cstheme="majorHAnsi"/>
          <w:i/>
          <w:sz w:val="20"/>
          <w:szCs w:val="20"/>
        </w:rPr>
      </w:pPr>
    </w:p>
    <w:p w:rsidR="00F71B6E" w:rsidRDefault="00F71B6E" w:rsidP="008B3719">
      <w:pPr>
        <w:rPr>
          <w:rFonts w:asciiTheme="majorHAnsi" w:hAnsiTheme="majorHAnsi" w:cstheme="majorHAnsi"/>
          <w:i/>
          <w:sz w:val="20"/>
          <w:szCs w:val="20"/>
        </w:rPr>
      </w:pPr>
    </w:p>
    <w:p w:rsidR="00F71B6E" w:rsidRDefault="00F71B6E" w:rsidP="008B3719">
      <w:pPr>
        <w:rPr>
          <w:rFonts w:asciiTheme="majorHAnsi" w:hAnsiTheme="majorHAnsi" w:cstheme="majorHAnsi"/>
          <w:i/>
          <w:sz w:val="20"/>
          <w:szCs w:val="20"/>
        </w:rPr>
      </w:pPr>
    </w:p>
    <w:p w:rsidR="00F71B6E" w:rsidRPr="008B3719" w:rsidRDefault="00F71B6E" w:rsidP="008B3719">
      <w:pPr>
        <w:rPr>
          <w:rFonts w:asciiTheme="majorHAnsi" w:hAnsiTheme="majorHAnsi" w:cstheme="majorHAnsi"/>
          <w:i/>
          <w:sz w:val="20"/>
          <w:szCs w:val="20"/>
        </w:rPr>
      </w:pPr>
    </w:p>
    <w:p w:rsidR="00E67099" w:rsidRPr="00E67099" w:rsidRDefault="00E67099" w:rsidP="00E67099">
      <w:pPr>
        <w:shd w:val="clear" w:color="auto" w:fill="FFFFFF" w:themeFill="background1"/>
        <w:tabs>
          <w:tab w:val="left" w:pos="284"/>
          <w:tab w:val="left" w:pos="567"/>
          <w:tab w:val="left" w:pos="6237"/>
          <w:tab w:val="left" w:pos="6379"/>
        </w:tabs>
        <w:spacing w:after="0" w:line="276" w:lineRule="auto"/>
        <w:contextualSpacing/>
        <w:jc w:val="right"/>
        <w:rPr>
          <w:rFonts w:asciiTheme="majorHAnsi" w:eastAsia="Times New Roman" w:hAnsiTheme="majorHAnsi" w:cstheme="majorHAnsi"/>
          <w:b/>
          <w:i/>
          <w:sz w:val="24"/>
          <w:szCs w:val="24"/>
        </w:rPr>
      </w:pPr>
      <w:r w:rsidRPr="00E67099">
        <w:rPr>
          <w:rFonts w:asciiTheme="majorHAnsi" w:eastAsia="Times New Roman" w:hAnsiTheme="majorHAnsi" w:cstheme="majorHAnsi"/>
          <w:b/>
          <w:i/>
          <w:sz w:val="24"/>
          <w:szCs w:val="24"/>
        </w:rPr>
        <w:t>Anexa nr.2</w:t>
      </w:r>
    </w:p>
    <w:p w:rsidR="00E67099" w:rsidRPr="00E67099" w:rsidRDefault="00E67099" w:rsidP="00E67099">
      <w:pPr>
        <w:spacing w:after="0" w:line="276" w:lineRule="auto"/>
        <w:jc w:val="center"/>
        <w:rPr>
          <w:rFonts w:asciiTheme="majorHAnsi" w:eastAsia="Times New Roman" w:hAnsiTheme="majorHAnsi" w:cstheme="majorHAnsi"/>
          <w:b/>
          <w:bCs/>
          <w:sz w:val="24"/>
          <w:szCs w:val="24"/>
          <w:lang w:val="ro-MD"/>
        </w:rPr>
      </w:pPr>
      <w:r w:rsidRPr="00E67099">
        <w:rPr>
          <w:rFonts w:asciiTheme="majorHAnsi" w:eastAsia="Times New Roman" w:hAnsiTheme="majorHAnsi" w:cstheme="majorHAnsi"/>
          <w:b/>
          <w:bCs/>
          <w:sz w:val="24"/>
          <w:szCs w:val="24"/>
          <w:lang w:val="ro-MD"/>
        </w:rPr>
        <w:t>Sinteza subsidiilor executate din BS în anul 2019 și soldurilor de mijloace bănești acumulate la beneficiarii de subsidii</w:t>
      </w:r>
    </w:p>
    <w:p w:rsidR="00E67099" w:rsidRPr="00E67099" w:rsidRDefault="00E67099" w:rsidP="00E67099">
      <w:pPr>
        <w:spacing w:after="0" w:line="276" w:lineRule="auto"/>
        <w:ind w:left="720"/>
        <w:contextualSpacing/>
        <w:jc w:val="right"/>
        <w:rPr>
          <w:rFonts w:asciiTheme="majorHAnsi" w:eastAsia="Times New Roman" w:hAnsiTheme="majorHAnsi" w:cstheme="majorHAnsi"/>
          <w:b/>
          <w:sz w:val="24"/>
          <w:szCs w:val="24"/>
          <w:lang w:val="ro-MD" w:eastAsia="ru-RU"/>
        </w:rPr>
      </w:pPr>
      <w:r w:rsidRPr="00E67099">
        <w:rPr>
          <w:rFonts w:asciiTheme="majorHAnsi" w:eastAsia="Times New Roman" w:hAnsiTheme="majorHAnsi" w:cstheme="majorHAnsi"/>
          <w:b/>
          <w:sz w:val="24"/>
          <w:szCs w:val="24"/>
          <w:lang w:val="ro-MD" w:eastAsia="ru-RU"/>
        </w:rPr>
        <w:t xml:space="preserve"> (mil. lei)</w:t>
      </w:r>
    </w:p>
    <w:tbl>
      <w:tblPr>
        <w:tblStyle w:val="GridTable1Light12"/>
        <w:tblW w:w="13036" w:type="dxa"/>
        <w:tblLook w:val="04A0" w:firstRow="1" w:lastRow="0" w:firstColumn="1" w:lastColumn="0" w:noHBand="0" w:noVBand="1"/>
      </w:tblPr>
      <w:tblGrid>
        <w:gridCol w:w="3539"/>
        <w:gridCol w:w="922"/>
        <w:gridCol w:w="971"/>
        <w:gridCol w:w="993"/>
        <w:gridCol w:w="1225"/>
        <w:gridCol w:w="1126"/>
        <w:gridCol w:w="1012"/>
        <w:gridCol w:w="1405"/>
        <w:gridCol w:w="1843"/>
      </w:tblGrid>
      <w:tr w:rsidR="00E67099" w:rsidRPr="00E67099" w:rsidTr="00A36731">
        <w:trPr>
          <w:cnfStyle w:val="100000000000" w:firstRow="1" w:lastRow="0" w:firstColumn="0" w:lastColumn="0" w:oddVBand="0" w:evenVBand="0" w:oddHBand="0"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3539" w:type="dxa"/>
            <w:noWrap/>
            <w:vAlign w:val="center"/>
            <w:hideMark/>
          </w:tcPr>
          <w:p w:rsidR="00E67099" w:rsidRPr="00E67099" w:rsidRDefault="00E67099" w:rsidP="00E67099">
            <w:pPr>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Instituția</w:t>
            </w:r>
          </w:p>
        </w:tc>
        <w:tc>
          <w:tcPr>
            <w:tcW w:w="922" w:type="dxa"/>
            <w:noWrap/>
            <w:vAlign w:val="center"/>
            <w:hideMark/>
          </w:tcPr>
          <w:p w:rsidR="00E67099" w:rsidRPr="00E67099" w:rsidRDefault="00E67099" w:rsidP="00E67099">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Aprobat</w:t>
            </w:r>
          </w:p>
        </w:tc>
        <w:tc>
          <w:tcPr>
            <w:tcW w:w="971" w:type="dxa"/>
            <w:noWrap/>
            <w:vAlign w:val="center"/>
            <w:hideMark/>
          </w:tcPr>
          <w:p w:rsidR="00E67099" w:rsidRPr="00E67099" w:rsidRDefault="00E67099" w:rsidP="00E67099">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Precizat</w:t>
            </w:r>
          </w:p>
        </w:tc>
        <w:tc>
          <w:tcPr>
            <w:tcW w:w="993" w:type="dxa"/>
            <w:vAlign w:val="center"/>
            <w:hideMark/>
          </w:tcPr>
          <w:p w:rsidR="00E67099" w:rsidRPr="00E67099" w:rsidRDefault="00E67099" w:rsidP="00E67099">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Executat anul 2019</w:t>
            </w:r>
          </w:p>
          <w:p w:rsidR="00E67099" w:rsidRPr="00E67099" w:rsidRDefault="00E67099" w:rsidP="00E67099">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MF</w:t>
            </w:r>
          </w:p>
        </w:tc>
        <w:tc>
          <w:tcPr>
            <w:tcW w:w="1225" w:type="dxa"/>
            <w:vAlign w:val="center"/>
            <w:hideMark/>
          </w:tcPr>
          <w:p w:rsidR="00E67099" w:rsidRPr="00E67099" w:rsidRDefault="00E67099" w:rsidP="00E67099">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Executat conform Raportului instituției</w:t>
            </w:r>
          </w:p>
        </w:tc>
        <w:tc>
          <w:tcPr>
            <w:tcW w:w="1126" w:type="dxa"/>
            <w:vAlign w:val="center"/>
            <w:hideMark/>
          </w:tcPr>
          <w:p w:rsidR="00E67099" w:rsidRPr="00E67099" w:rsidRDefault="00E67099" w:rsidP="00E67099">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Sold de mijloace bănești la 01.01.2019</w:t>
            </w:r>
          </w:p>
        </w:tc>
        <w:tc>
          <w:tcPr>
            <w:tcW w:w="1012" w:type="dxa"/>
            <w:vAlign w:val="center"/>
            <w:hideMark/>
          </w:tcPr>
          <w:p w:rsidR="00E67099" w:rsidRPr="00E67099" w:rsidRDefault="00E67099" w:rsidP="00E67099">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Cheltuieli executate</w:t>
            </w:r>
          </w:p>
        </w:tc>
        <w:tc>
          <w:tcPr>
            <w:tcW w:w="1405" w:type="dxa"/>
            <w:vAlign w:val="center"/>
            <w:hideMark/>
          </w:tcPr>
          <w:p w:rsidR="00E67099" w:rsidRPr="00E67099" w:rsidRDefault="00E67099" w:rsidP="00E67099">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Sold de mijloace bănești la 31.12.2019</w:t>
            </w:r>
          </w:p>
        </w:tc>
        <w:tc>
          <w:tcPr>
            <w:tcW w:w="1843" w:type="dxa"/>
            <w:vAlign w:val="center"/>
            <w:hideMark/>
          </w:tcPr>
          <w:p w:rsidR="00E67099" w:rsidRPr="00E67099" w:rsidRDefault="00E67099" w:rsidP="00E67099">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Sold la 31.12.2019</w:t>
            </w:r>
          </w:p>
          <w:p w:rsidR="00E67099" w:rsidRPr="00E67099" w:rsidRDefault="00E67099" w:rsidP="00E67099">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recalculat de către echipa de audit</w:t>
            </w:r>
          </w:p>
        </w:tc>
      </w:tr>
      <w:tr w:rsidR="00E67099" w:rsidRPr="00E67099" w:rsidTr="00A36731">
        <w:trPr>
          <w:trHeight w:val="38"/>
        </w:trPr>
        <w:tc>
          <w:tcPr>
            <w:cnfStyle w:val="001000000000" w:firstRow="0" w:lastRow="0" w:firstColumn="1" w:lastColumn="0" w:oddVBand="0" w:evenVBand="0" w:oddHBand="0" w:evenHBand="0" w:firstRowFirstColumn="0" w:firstRowLastColumn="0" w:lastRowFirstColumn="0" w:lastRowLastColumn="0"/>
            <w:tcW w:w="3539" w:type="dxa"/>
            <w:noWrap/>
            <w:vAlign w:val="center"/>
          </w:tcPr>
          <w:p w:rsidR="00E67099" w:rsidRPr="00E67099" w:rsidRDefault="00E67099" w:rsidP="00E67099">
            <w:pPr>
              <w:jc w:val="center"/>
              <w:rPr>
                <w:rFonts w:asciiTheme="majorHAnsi" w:eastAsia="Times New Roman" w:hAnsiTheme="majorHAnsi" w:cstheme="majorHAnsi"/>
                <w:i/>
                <w:color w:val="000000"/>
                <w:sz w:val="16"/>
                <w:szCs w:val="16"/>
                <w:lang w:val="ro-MD"/>
              </w:rPr>
            </w:pPr>
            <w:r w:rsidRPr="00E67099">
              <w:rPr>
                <w:rFonts w:asciiTheme="majorHAnsi" w:eastAsia="Times New Roman" w:hAnsiTheme="majorHAnsi" w:cstheme="majorHAnsi"/>
                <w:i/>
                <w:color w:val="000000"/>
                <w:sz w:val="16"/>
                <w:szCs w:val="16"/>
                <w:lang w:val="ro-MD"/>
              </w:rPr>
              <w:t>1</w:t>
            </w:r>
          </w:p>
        </w:tc>
        <w:tc>
          <w:tcPr>
            <w:tcW w:w="922" w:type="dxa"/>
            <w:noWrap/>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16"/>
                <w:szCs w:val="16"/>
                <w:lang w:val="ro-MD"/>
              </w:rPr>
            </w:pPr>
            <w:r w:rsidRPr="00E67099">
              <w:rPr>
                <w:rFonts w:asciiTheme="majorHAnsi" w:eastAsia="Times New Roman" w:hAnsiTheme="majorHAnsi" w:cstheme="majorHAnsi"/>
                <w:i/>
                <w:color w:val="000000"/>
                <w:sz w:val="16"/>
                <w:szCs w:val="16"/>
                <w:lang w:val="ro-MD"/>
              </w:rPr>
              <w:t>2</w:t>
            </w:r>
          </w:p>
        </w:tc>
        <w:tc>
          <w:tcPr>
            <w:tcW w:w="971" w:type="dxa"/>
            <w:noWrap/>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16"/>
                <w:szCs w:val="16"/>
                <w:lang w:val="ro-MD"/>
              </w:rPr>
            </w:pPr>
            <w:r w:rsidRPr="00E67099">
              <w:rPr>
                <w:rFonts w:asciiTheme="majorHAnsi" w:eastAsia="Times New Roman" w:hAnsiTheme="majorHAnsi" w:cstheme="majorHAnsi"/>
                <w:i/>
                <w:color w:val="000000"/>
                <w:sz w:val="16"/>
                <w:szCs w:val="16"/>
                <w:lang w:val="ro-MD"/>
              </w:rPr>
              <w:t>3</w:t>
            </w:r>
          </w:p>
        </w:tc>
        <w:tc>
          <w:tcPr>
            <w:tcW w:w="993"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16"/>
                <w:szCs w:val="16"/>
                <w:lang w:val="ro-MD"/>
              </w:rPr>
            </w:pPr>
            <w:r w:rsidRPr="00E67099">
              <w:rPr>
                <w:rFonts w:asciiTheme="majorHAnsi" w:eastAsia="Times New Roman" w:hAnsiTheme="majorHAnsi" w:cstheme="majorHAnsi"/>
                <w:i/>
                <w:color w:val="000000"/>
                <w:sz w:val="16"/>
                <w:szCs w:val="16"/>
                <w:lang w:val="ro-MD"/>
              </w:rPr>
              <w:t>4</w:t>
            </w:r>
          </w:p>
        </w:tc>
        <w:tc>
          <w:tcPr>
            <w:tcW w:w="1225"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16"/>
                <w:szCs w:val="16"/>
                <w:lang w:val="ro-MD"/>
              </w:rPr>
            </w:pPr>
            <w:r w:rsidRPr="00E67099">
              <w:rPr>
                <w:rFonts w:asciiTheme="majorHAnsi" w:eastAsia="Times New Roman" w:hAnsiTheme="majorHAnsi" w:cstheme="majorHAnsi"/>
                <w:i/>
                <w:color w:val="000000"/>
                <w:sz w:val="16"/>
                <w:szCs w:val="16"/>
                <w:lang w:val="ro-MD"/>
              </w:rPr>
              <w:t>5</w:t>
            </w:r>
          </w:p>
        </w:tc>
        <w:tc>
          <w:tcPr>
            <w:tcW w:w="1126"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16"/>
                <w:szCs w:val="16"/>
                <w:lang w:val="ro-MD"/>
              </w:rPr>
            </w:pPr>
            <w:r w:rsidRPr="00E67099">
              <w:rPr>
                <w:rFonts w:asciiTheme="majorHAnsi" w:eastAsia="Times New Roman" w:hAnsiTheme="majorHAnsi" w:cstheme="majorHAnsi"/>
                <w:i/>
                <w:color w:val="000000"/>
                <w:sz w:val="16"/>
                <w:szCs w:val="16"/>
                <w:lang w:val="ro-MD"/>
              </w:rPr>
              <w:t>6</w:t>
            </w:r>
          </w:p>
        </w:tc>
        <w:tc>
          <w:tcPr>
            <w:tcW w:w="1012"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16"/>
                <w:szCs w:val="16"/>
                <w:lang w:val="ro-MD"/>
              </w:rPr>
            </w:pPr>
            <w:r w:rsidRPr="00E67099">
              <w:rPr>
                <w:rFonts w:asciiTheme="majorHAnsi" w:eastAsia="Times New Roman" w:hAnsiTheme="majorHAnsi" w:cstheme="majorHAnsi"/>
                <w:i/>
                <w:color w:val="000000"/>
                <w:sz w:val="16"/>
                <w:szCs w:val="16"/>
                <w:lang w:val="ro-MD"/>
              </w:rPr>
              <w:t>7</w:t>
            </w:r>
          </w:p>
        </w:tc>
        <w:tc>
          <w:tcPr>
            <w:tcW w:w="1405"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16"/>
                <w:szCs w:val="16"/>
                <w:lang w:val="ro-MD"/>
              </w:rPr>
            </w:pPr>
            <w:r w:rsidRPr="00E67099">
              <w:rPr>
                <w:rFonts w:asciiTheme="majorHAnsi" w:eastAsia="Times New Roman" w:hAnsiTheme="majorHAnsi" w:cstheme="majorHAnsi"/>
                <w:i/>
                <w:color w:val="000000"/>
                <w:sz w:val="16"/>
                <w:szCs w:val="16"/>
                <w:lang w:val="ro-MD"/>
              </w:rPr>
              <w:t>8</w:t>
            </w:r>
          </w:p>
        </w:tc>
        <w:tc>
          <w:tcPr>
            <w:tcW w:w="1843"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16"/>
                <w:szCs w:val="16"/>
                <w:lang w:val="ro-MD"/>
              </w:rPr>
            </w:pPr>
            <w:r w:rsidRPr="00E67099">
              <w:rPr>
                <w:rFonts w:asciiTheme="majorHAnsi" w:eastAsia="Times New Roman" w:hAnsiTheme="majorHAnsi" w:cstheme="majorHAnsi"/>
                <w:i/>
                <w:color w:val="000000"/>
                <w:sz w:val="16"/>
                <w:szCs w:val="16"/>
                <w:lang w:val="ro-MD"/>
              </w:rPr>
              <w:t>9=5+6-7</w:t>
            </w:r>
          </w:p>
        </w:tc>
      </w:tr>
      <w:tr w:rsidR="00E67099" w:rsidRPr="00E67099" w:rsidTr="00A36731">
        <w:trPr>
          <w:trHeight w:val="288"/>
        </w:trPr>
        <w:tc>
          <w:tcPr>
            <w:cnfStyle w:val="001000000000" w:firstRow="0" w:lastRow="0" w:firstColumn="1" w:lastColumn="0" w:oddVBand="0" w:evenVBand="0" w:oddHBand="0" w:evenHBand="0" w:firstRowFirstColumn="0" w:firstRowLastColumn="0" w:lastRowFirstColumn="0" w:lastRowLastColumn="0"/>
            <w:tcW w:w="3539" w:type="dxa"/>
            <w:noWrap/>
            <w:hideMark/>
          </w:tcPr>
          <w:p w:rsidR="00E67099" w:rsidRPr="00775327" w:rsidRDefault="00E67099" w:rsidP="00E67099">
            <w:pPr>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Ministerul Finanțelor</w:t>
            </w:r>
          </w:p>
        </w:tc>
        <w:tc>
          <w:tcPr>
            <w:tcW w:w="922"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1,2</w:t>
            </w:r>
          </w:p>
        </w:tc>
        <w:tc>
          <w:tcPr>
            <w:tcW w:w="971"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1,2</w:t>
            </w:r>
          </w:p>
        </w:tc>
        <w:tc>
          <w:tcPr>
            <w:tcW w:w="993" w:type="dxa"/>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0,8</w:t>
            </w:r>
          </w:p>
        </w:tc>
        <w:tc>
          <w:tcPr>
            <w:tcW w:w="1225" w:type="dxa"/>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0,8</w:t>
            </w:r>
          </w:p>
        </w:tc>
        <w:tc>
          <w:tcPr>
            <w:tcW w:w="1126" w:type="dxa"/>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0,00</w:t>
            </w:r>
          </w:p>
        </w:tc>
        <w:tc>
          <w:tcPr>
            <w:tcW w:w="1012" w:type="dxa"/>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0,8</w:t>
            </w:r>
          </w:p>
        </w:tc>
        <w:tc>
          <w:tcPr>
            <w:tcW w:w="1405" w:type="dxa"/>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0,00</w:t>
            </w:r>
          </w:p>
        </w:tc>
        <w:tc>
          <w:tcPr>
            <w:tcW w:w="1843"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0,00</w:t>
            </w:r>
          </w:p>
        </w:tc>
      </w:tr>
      <w:tr w:rsidR="00E67099" w:rsidRPr="00E67099" w:rsidTr="00A36731">
        <w:trPr>
          <w:trHeight w:val="288"/>
        </w:trPr>
        <w:tc>
          <w:tcPr>
            <w:cnfStyle w:val="001000000000" w:firstRow="0" w:lastRow="0" w:firstColumn="1" w:lastColumn="0" w:oddVBand="0" w:evenVBand="0" w:oddHBand="0" w:evenHBand="0" w:firstRowFirstColumn="0" w:firstRowLastColumn="0" w:lastRowFirstColumn="0" w:lastRowLastColumn="0"/>
            <w:tcW w:w="3539" w:type="dxa"/>
            <w:hideMark/>
          </w:tcPr>
          <w:p w:rsidR="00E67099" w:rsidRPr="00775327" w:rsidRDefault="00E67099" w:rsidP="00E67099">
            <w:pPr>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Ministerul Economiei și Infrastructurii</w:t>
            </w:r>
          </w:p>
        </w:tc>
        <w:tc>
          <w:tcPr>
            <w:tcW w:w="922" w:type="dxa"/>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2.240,6</w:t>
            </w:r>
          </w:p>
        </w:tc>
        <w:tc>
          <w:tcPr>
            <w:tcW w:w="971" w:type="dxa"/>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2.252,9</w:t>
            </w:r>
          </w:p>
        </w:tc>
        <w:tc>
          <w:tcPr>
            <w:tcW w:w="993" w:type="dxa"/>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0000"/>
                <w:sz w:val="20"/>
                <w:szCs w:val="20"/>
                <w:lang w:val="ro-MD"/>
              </w:rPr>
            </w:pPr>
            <w:r w:rsidRPr="00775327">
              <w:rPr>
                <w:rFonts w:asciiTheme="majorHAnsi" w:eastAsia="Times New Roman" w:hAnsiTheme="majorHAnsi" w:cstheme="majorHAnsi"/>
                <w:color w:val="FF0000"/>
                <w:sz w:val="20"/>
                <w:szCs w:val="20"/>
                <w:lang w:val="ro-MD"/>
              </w:rPr>
              <w:t>2.190,7</w:t>
            </w:r>
          </w:p>
        </w:tc>
        <w:tc>
          <w:tcPr>
            <w:tcW w:w="1225" w:type="dxa"/>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0000"/>
                <w:sz w:val="20"/>
                <w:szCs w:val="20"/>
                <w:lang w:val="ro-MD"/>
              </w:rPr>
            </w:pPr>
            <w:r w:rsidRPr="00775327">
              <w:rPr>
                <w:rFonts w:asciiTheme="majorHAnsi" w:eastAsia="Times New Roman" w:hAnsiTheme="majorHAnsi" w:cstheme="majorHAnsi"/>
                <w:color w:val="FF0000"/>
                <w:sz w:val="20"/>
                <w:szCs w:val="20"/>
                <w:lang w:val="ro-MD"/>
              </w:rPr>
              <w:t>2.182,7</w:t>
            </w:r>
          </w:p>
        </w:tc>
        <w:tc>
          <w:tcPr>
            <w:tcW w:w="1126" w:type="dxa"/>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21.054,6</w:t>
            </w:r>
          </w:p>
        </w:tc>
        <w:tc>
          <w:tcPr>
            <w:tcW w:w="1012" w:type="dxa"/>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23.106,4</w:t>
            </w:r>
          </w:p>
        </w:tc>
        <w:tc>
          <w:tcPr>
            <w:tcW w:w="1405" w:type="dxa"/>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0000"/>
                <w:sz w:val="20"/>
                <w:szCs w:val="20"/>
                <w:lang w:val="ro-MD"/>
              </w:rPr>
            </w:pPr>
            <w:r w:rsidRPr="00775327">
              <w:rPr>
                <w:rFonts w:asciiTheme="majorHAnsi" w:eastAsia="Times New Roman" w:hAnsiTheme="majorHAnsi" w:cstheme="majorHAnsi"/>
                <w:color w:val="FF0000"/>
                <w:sz w:val="20"/>
                <w:szCs w:val="20"/>
                <w:lang w:val="ro-MD"/>
              </w:rPr>
              <w:t>144,6</w:t>
            </w:r>
          </w:p>
        </w:tc>
        <w:tc>
          <w:tcPr>
            <w:tcW w:w="1843"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0000"/>
                <w:sz w:val="20"/>
                <w:szCs w:val="20"/>
                <w:lang w:val="ro-MD"/>
              </w:rPr>
            </w:pPr>
            <w:r w:rsidRPr="00775327">
              <w:rPr>
                <w:rFonts w:asciiTheme="majorHAnsi" w:eastAsia="Times New Roman" w:hAnsiTheme="majorHAnsi" w:cstheme="majorHAnsi"/>
                <w:color w:val="FF0000"/>
                <w:sz w:val="20"/>
                <w:szCs w:val="20"/>
                <w:lang w:val="ro-MD"/>
              </w:rPr>
              <w:t>130,9</w:t>
            </w:r>
          </w:p>
        </w:tc>
      </w:tr>
      <w:tr w:rsidR="00E67099" w:rsidRPr="00E67099" w:rsidTr="00A36731">
        <w:trPr>
          <w:trHeight w:val="255"/>
        </w:trPr>
        <w:tc>
          <w:tcPr>
            <w:cnfStyle w:val="001000000000" w:firstRow="0" w:lastRow="0" w:firstColumn="1" w:lastColumn="0" w:oddVBand="0" w:evenVBand="0" w:oddHBand="0" w:evenHBand="0" w:firstRowFirstColumn="0" w:firstRowLastColumn="0" w:lastRowFirstColumn="0" w:lastRowLastColumn="0"/>
            <w:tcW w:w="3539" w:type="dxa"/>
            <w:hideMark/>
          </w:tcPr>
          <w:p w:rsidR="00E67099" w:rsidRPr="00775327" w:rsidRDefault="00E67099" w:rsidP="00E67099">
            <w:pPr>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MADRM</w:t>
            </w:r>
          </w:p>
        </w:tc>
        <w:tc>
          <w:tcPr>
            <w:tcW w:w="922" w:type="dxa"/>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1.079,3</w:t>
            </w:r>
          </w:p>
        </w:tc>
        <w:tc>
          <w:tcPr>
            <w:tcW w:w="971" w:type="dxa"/>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1.056,0</w:t>
            </w:r>
          </w:p>
        </w:tc>
        <w:tc>
          <w:tcPr>
            <w:tcW w:w="993" w:type="dxa"/>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1.012,3</w:t>
            </w:r>
          </w:p>
        </w:tc>
        <w:tc>
          <w:tcPr>
            <w:tcW w:w="1225" w:type="dxa"/>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1.012,3</w:t>
            </w:r>
          </w:p>
        </w:tc>
        <w:tc>
          <w:tcPr>
            <w:tcW w:w="1126" w:type="dxa"/>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35,1</w:t>
            </w:r>
          </w:p>
        </w:tc>
        <w:tc>
          <w:tcPr>
            <w:tcW w:w="1012" w:type="dxa"/>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1.029,0</w:t>
            </w:r>
          </w:p>
        </w:tc>
        <w:tc>
          <w:tcPr>
            <w:tcW w:w="1405" w:type="dxa"/>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0000"/>
                <w:sz w:val="20"/>
                <w:szCs w:val="20"/>
                <w:lang w:val="ro-MD"/>
              </w:rPr>
            </w:pPr>
            <w:r w:rsidRPr="00775327">
              <w:rPr>
                <w:rFonts w:asciiTheme="majorHAnsi" w:eastAsia="Times New Roman" w:hAnsiTheme="majorHAnsi" w:cstheme="majorHAnsi"/>
                <w:color w:val="FF0000"/>
                <w:sz w:val="20"/>
                <w:szCs w:val="20"/>
                <w:lang w:val="ro-MD"/>
              </w:rPr>
              <w:t>9,5</w:t>
            </w:r>
          </w:p>
        </w:tc>
        <w:tc>
          <w:tcPr>
            <w:tcW w:w="1843"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0000"/>
                <w:sz w:val="20"/>
                <w:szCs w:val="20"/>
                <w:lang w:val="ro-MD"/>
              </w:rPr>
            </w:pPr>
            <w:r w:rsidRPr="00775327">
              <w:rPr>
                <w:rFonts w:asciiTheme="majorHAnsi" w:eastAsia="Times New Roman" w:hAnsiTheme="majorHAnsi" w:cstheme="majorHAnsi"/>
                <w:color w:val="FF0000"/>
                <w:sz w:val="20"/>
                <w:szCs w:val="20"/>
                <w:lang w:val="ro-MD"/>
              </w:rPr>
              <w:t>18,4</w:t>
            </w:r>
          </w:p>
        </w:tc>
      </w:tr>
      <w:tr w:rsidR="00E67099" w:rsidRPr="00E67099" w:rsidTr="00A36731">
        <w:trPr>
          <w:trHeight w:val="288"/>
        </w:trPr>
        <w:tc>
          <w:tcPr>
            <w:cnfStyle w:val="001000000000" w:firstRow="0" w:lastRow="0" w:firstColumn="1" w:lastColumn="0" w:oddVBand="0" w:evenVBand="0" w:oddHBand="0" w:evenHBand="0" w:firstRowFirstColumn="0" w:firstRowLastColumn="0" w:lastRowFirstColumn="0" w:lastRowLastColumn="0"/>
            <w:tcW w:w="3539" w:type="dxa"/>
            <w:hideMark/>
          </w:tcPr>
          <w:p w:rsidR="00E67099" w:rsidRPr="00775327" w:rsidRDefault="00E67099" w:rsidP="00E67099">
            <w:pPr>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MECC</w:t>
            </w:r>
          </w:p>
        </w:tc>
        <w:tc>
          <w:tcPr>
            <w:tcW w:w="922" w:type="dxa"/>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214,6</w:t>
            </w:r>
          </w:p>
        </w:tc>
        <w:tc>
          <w:tcPr>
            <w:tcW w:w="971" w:type="dxa"/>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226,9</w:t>
            </w:r>
          </w:p>
        </w:tc>
        <w:tc>
          <w:tcPr>
            <w:tcW w:w="993" w:type="dxa"/>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223,7</w:t>
            </w:r>
          </w:p>
        </w:tc>
        <w:tc>
          <w:tcPr>
            <w:tcW w:w="1225" w:type="dxa"/>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223,7</w:t>
            </w:r>
          </w:p>
        </w:tc>
        <w:tc>
          <w:tcPr>
            <w:tcW w:w="1126" w:type="dxa"/>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14,1</w:t>
            </w:r>
          </w:p>
        </w:tc>
        <w:tc>
          <w:tcPr>
            <w:tcW w:w="1012" w:type="dxa"/>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223,7</w:t>
            </w:r>
          </w:p>
        </w:tc>
        <w:tc>
          <w:tcPr>
            <w:tcW w:w="1405" w:type="dxa"/>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0000"/>
                <w:sz w:val="20"/>
                <w:szCs w:val="20"/>
                <w:lang w:val="ro-MD"/>
              </w:rPr>
            </w:pPr>
            <w:r w:rsidRPr="00775327">
              <w:rPr>
                <w:rFonts w:asciiTheme="majorHAnsi" w:eastAsia="Times New Roman" w:hAnsiTheme="majorHAnsi" w:cstheme="majorHAnsi"/>
                <w:color w:val="FF0000"/>
                <w:sz w:val="20"/>
                <w:szCs w:val="20"/>
                <w:lang w:val="ro-MD"/>
              </w:rPr>
              <w:t>41,8</w:t>
            </w:r>
          </w:p>
        </w:tc>
        <w:tc>
          <w:tcPr>
            <w:tcW w:w="1843"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0000"/>
                <w:sz w:val="20"/>
                <w:szCs w:val="20"/>
                <w:lang w:val="ro-MD"/>
              </w:rPr>
            </w:pPr>
            <w:r w:rsidRPr="00775327">
              <w:rPr>
                <w:rFonts w:asciiTheme="majorHAnsi" w:eastAsia="Times New Roman" w:hAnsiTheme="majorHAnsi" w:cstheme="majorHAnsi"/>
                <w:color w:val="FF0000"/>
                <w:sz w:val="20"/>
                <w:szCs w:val="20"/>
                <w:lang w:val="ro-MD"/>
              </w:rPr>
              <w:t>14,1</w:t>
            </w:r>
          </w:p>
        </w:tc>
      </w:tr>
      <w:tr w:rsidR="00E67099" w:rsidRPr="00E67099" w:rsidTr="00A36731">
        <w:trPr>
          <w:trHeight w:val="197"/>
        </w:trPr>
        <w:tc>
          <w:tcPr>
            <w:cnfStyle w:val="001000000000" w:firstRow="0" w:lastRow="0" w:firstColumn="1" w:lastColumn="0" w:oddVBand="0" w:evenVBand="0" w:oddHBand="0" w:evenHBand="0" w:firstRowFirstColumn="0" w:firstRowLastColumn="0" w:lastRowFirstColumn="0" w:lastRowLastColumn="0"/>
            <w:tcW w:w="3539" w:type="dxa"/>
            <w:hideMark/>
          </w:tcPr>
          <w:p w:rsidR="00E67099" w:rsidRPr="00775327" w:rsidRDefault="00E67099" w:rsidP="00E67099">
            <w:pPr>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MSMPS</w:t>
            </w:r>
          </w:p>
        </w:tc>
        <w:tc>
          <w:tcPr>
            <w:tcW w:w="922" w:type="dxa"/>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142,8</w:t>
            </w:r>
          </w:p>
        </w:tc>
        <w:tc>
          <w:tcPr>
            <w:tcW w:w="971" w:type="dxa"/>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98,0</w:t>
            </w:r>
          </w:p>
        </w:tc>
        <w:tc>
          <w:tcPr>
            <w:tcW w:w="993" w:type="dxa"/>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0000"/>
                <w:sz w:val="20"/>
                <w:szCs w:val="20"/>
                <w:lang w:val="ro-MD"/>
              </w:rPr>
            </w:pPr>
            <w:r w:rsidRPr="00775327">
              <w:rPr>
                <w:rFonts w:asciiTheme="majorHAnsi" w:eastAsia="Times New Roman" w:hAnsiTheme="majorHAnsi" w:cstheme="majorHAnsi"/>
                <w:color w:val="FF0000"/>
                <w:sz w:val="20"/>
                <w:szCs w:val="20"/>
                <w:lang w:val="ro-MD"/>
              </w:rPr>
              <w:t>94,6</w:t>
            </w:r>
          </w:p>
        </w:tc>
        <w:tc>
          <w:tcPr>
            <w:tcW w:w="1225" w:type="dxa"/>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0000"/>
                <w:sz w:val="20"/>
                <w:szCs w:val="20"/>
                <w:lang w:val="ro-MD"/>
              </w:rPr>
            </w:pPr>
            <w:r w:rsidRPr="00775327">
              <w:rPr>
                <w:rFonts w:asciiTheme="majorHAnsi" w:eastAsia="Times New Roman" w:hAnsiTheme="majorHAnsi" w:cstheme="majorHAnsi"/>
                <w:color w:val="FF0000"/>
                <w:sz w:val="20"/>
                <w:szCs w:val="20"/>
                <w:lang w:val="ro-MD"/>
              </w:rPr>
              <w:t>85,9</w:t>
            </w:r>
          </w:p>
        </w:tc>
        <w:tc>
          <w:tcPr>
            <w:tcW w:w="1126" w:type="dxa"/>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0,05</w:t>
            </w:r>
          </w:p>
        </w:tc>
        <w:tc>
          <w:tcPr>
            <w:tcW w:w="1012" w:type="dxa"/>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78,1</w:t>
            </w:r>
          </w:p>
        </w:tc>
        <w:tc>
          <w:tcPr>
            <w:tcW w:w="1405" w:type="dxa"/>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0000"/>
                <w:sz w:val="20"/>
                <w:szCs w:val="20"/>
                <w:lang w:val="ro-MD"/>
              </w:rPr>
            </w:pPr>
            <w:r w:rsidRPr="00775327">
              <w:rPr>
                <w:rFonts w:asciiTheme="majorHAnsi" w:eastAsia="Times New Roman" w:hAnsiTheme="majorHAnsi" w:cstheme="majorHAnsi"/>
                <w:color w:val="FF0000"/>
                <w:sz w:val="20"/>
                <w:szCs w:val="20"/>
                <w:lang w:val="ro-MD"/>
              </w:rPr>
              <w:t>8,0</w:t>
            </w:r>
          </w:p>
        </w:tc>
        <w:tc>
          <w:tcPr>
            <w:tcW w:w="1843"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0000"/>
                <w:sz w:val="20"/>
                <w:szCs w:val="20"/>
                <w:lang w:val="ro-MD"/>
              </w:rPr>
            </w:pPr>
            <w:r w:rsidRPr="00775327">
              <w:rPr>
                <w:rFonts w:asciiTheme="majorHAnsi" w:eastAsia="Times New Roman" w:hAnsiTheme="majorHAnsi" w:cstheme="majorHAnsi"/>
                <w:color w:val="FF0000"/>
                <w:sz w:val="20"/>
                <w:szCs w:val="20"/>
                <w:lang w:val="ro-MD"/>
              </w:rPr>
              <w:t>7,9</w:t>
            </w:r>
          </w:p>
        </w:tc>
      </w:tr>
      <w:tr w:rsidR="00E67099" w:rsidRPr="00E67099" w:rsidTr="00A36731">
        <w:trPr>
          <w:trHeight w:val="288"/>
        </w:trPr>
        <w:tc>
          <w:tcPr>
            <w:cnfStyle w:val="001000000000" w:firstRow="0" w:lastRow="0" w:firstColumn="1" w:lastColumn="0" w:oddVBand="0" w:evenVBand="0" w:oddHBand="0" w:evenHBand="0" w:firstRowFirstColumn="0" w:firstRowLastColumn="0" w:lastRowFirstColumn="0" w:lastRowLastColumn="0"/>
            <w:tcW w:w="3539" w:type="dxa"/>
            <w:noWrap/>
            <w:hideMark/>
          </w:tcPr>
          <w:p w:rsidR="00E67099" w:rsidRPr="00775327" w:rsidRDefault="00E67099" w:rsidP="00E67099">
            <w:pPr>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Cancelaria de Stat</w:t>
            </w:r>
          </w:p>
        </w:tc>
        <w:tc>
          <w:tcPr>
            <w:tcW w:w="922"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139,9</w:t>
            </w:r>
          </w:p>
        </w:tc>
        <w:tc>
          <w:tcPr>
            <w:tcW w:w="971"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148,7</w:t>
            </w:r>
          </w:p>
        </w:tc>
        <w:tc>
          <w:tcPr>
            <w:tcW w:w="993"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141,95</w:t>
            </w:r>
          </w:p>
        </w:tc>
        <w:tc>
          <w:tcPr>
            <w:tcW w:w="1225"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141,95</w:t>
            </w:r>
          </w:p>
        </w:tc>
        <w:tc>
          <w:tcPr>
            <w:tcW w:w="1126"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7,8</w:t>
            </w:r>
          </w:p>
        </w:tc>
        <w:tc>
          <w:tcPr>
            <w:tcW w:w="1012"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115,95</w:t>
            </w:r>
          </w:p>
        </w:tc>
        <w:tc>
          <w:tcPr>
            <w:tcW w:w="1405"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33,8</w:t>
            </w:r>
          </w:p>
        </w:tc>
        <w:tc>
          <w:tcPr>
            <w:tcW w:w="1843"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33,8</w:t>
            </w:r>
          </w:p>
        </w:tc>
      </w:tr>
      <w:tr w:rsidR="00E67099" w:rsidRPr="00E67099" w:rsidTr="00A36731">
        <w:trPr>
          <w:trHeight w:val="288"/>
        </w:trPr>
        <w:tc>
          <w:tcPr>
            <w:cnfStyle w:val="001000000000" w:firstRow="0" w:lastRow="0" w:firstColumn="1" w:lastColumn="0" w:oddVBand="0" w:evenVBand="0" w:oddHBand="0" w:evenHBand="0" w:firstRowFirstColumn="0" w:firstRowLastColumn="0" w:lastRowFirstColumn="0" w:lastRowLastColumn="0"/>
            <w:tcW w:w="3539" w:type="dxa"/>
            <w:noWrap/>
            <w:hideMark/>
          </w:tcPr>
          <w:p w:rsidR="00E67099" w:rsidRPr="00775327" w:rsidRDefault="00E67099" w:rsidP="00E67099">
            <w:pPr>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CEC</w:t>
            </w:r>
          </w:p>
        </w:tc>
        <w:tc>
          <w:tcPr>
            <w:tcW w:w="922"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40,0</w:t>
            </w:r>
          </w:p>
        </w:tc>
        <w:tc>
          <w:tcPr>
            <w:tcW w:w="971"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40,0</w:t>
            </w:r>
          </w:p>
        </w:tc>
        <w:tc>
          <w:tcPr>
            <w:tcW w:w="993"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34,1</w:t>
            </w:r>
          </w:p>
        </w:tc>
        <w:tc>
          <w:tcPr>
            <w:tcW w:w="1225"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34,1</w:t>
            </w:r>
          </w:p>
        </w:tc>
        <w:tc>
          <w:tcPr>
            <w:tcW w:w="1126"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46,9</w:t>
            </w:r>
          </w:p>
        </w:tc>
        <w:tc>
          <w:tcPr>
            <w:tcW w:w="1012"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60,5</w:t>
            </w:r>
          </w:p>
        </w:tc>
        <w:tc>
          <w:tcPr>
            <w:tcW w:w="1405"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0000"/>
                <w:sz w:val="20"/>
                <w:szCs w:val="20"/>
                <w:lang w:val="ro-MD"/>
              </w:rPr>
            </w:pPr>
            <w:r w:rsidRPr="00775327">
              <w:rPr>
                <w:rFonts w:asciiTheme="majorHAnsi" w:eastAsia="Times New Roman" w:hAnsiTheme="majorHAnsi" w:cstheme="majorHAnsi"/>
                <w:color w:val="FF0000"/>
                <w:sz w:val="20"/>
                <w:szCs w:val="20"/>
                <w:lang w:val="ro-MD"/>
              </w:rPr>
              <w:t>19,4</w:t>
            </w:r>
          </w:p>
        </w:tc>
        <w:tc>
          <w:tcPr>
            <w:tcW w:w="1843"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0000"/>
                <w:sz w:val="20"/>
                <w:szCs w:val="20"/>
                <w:lang w:val="ro-MD"/>
              </w:rPr>
            </w:pPr>
            <w:r w:rsidRPr="00775327">
              <w:rPr>
                <w:rFonts w:asciiTheme="majorHAnsi" w:eastAsia="Times New Roman" w:hAnsiTheme="majorHAnsi" w:cstheme="majorHAnsi"/>
                <w:color w:val="FF0000"/>
                <w:sz w:val="20"/>
                <w:szCs w:val="20"/>
                <w:lang w:val="ro-MD"/>
              </w:rPr>
              <w:t>20,5</w:t>
            </w:r>
          </w:p>
        </w:tc>
      </w:tr>
      <w:tr w:rsidR="00E67099" w:rsidRPr="00E67099" w:rsidTr="00A36731">
        <w:trPr>
          <w:trHeight w:val="288"/>
        </w:trPr>
        <w:tc>
          <w:tcPr>
            <w:cnfStyle w:val="001000000000" w:firstRow="0" w:lastRow="0" w:firstColumn="1" w:lastColumn="0" w:oddVBand="0" w:evenVBand="0" w:oddHBand="0" w:evenHBand="0" w:firstRowFirstColumn="0" w:firstRowLastColumn="0" w:lastRowFirstColumn="0" w:lastRowLastColumn="0"/>
            <w:tcW w:w="3539" w:type="dxa"/>
            <w:noWrap/>
            <w:hideMark/>
          </w:tcPr>
          <w:p w:rsidR="00E67099" w:rsidRPr="00775327" w:rsidRDefault="00E67099" w:rsidP="00E67099">
            <w:pPr>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IP Compania „Teleradio- Moldova”</w:t>
            </w:r>
          </w:p>
        </w:tc>
        <w:tc>
          <w:tcPr>
            <w:tcW w:w="922"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122,6</w:t>
            </w:r>
          </w:p>
        </w:tc>
        <w:tc>
          <w:tcPr>
            <w:tcW w:w="971"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122,6</w:t>
            </w:r>
          </w:p>
        </w:tc>
        <w:tc>
          <w:tcPr>
            <w:tcW w:w="993"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0000"/>
                <w:sz w:val="20"/>
                <w:szCs w:val="20"/>
                <w:lang w:val="ro-MD"/>
              </w:rPr>
            </w:pPr>
            <w:r w:rsidRPr="00775327">
              <w:rPr>
                <w:rFonts w:asciiTheme="majorHAnsi" w:eastAsia="Times New Roman" w:hAnsiTheme="majorHAnsi" w:cstheme="majorHAnsi"/>
                <w:color w:val="FF0000"/>
                <w:sz w:val="20"/>
                <w:szCs w:val="20"/>
                <w:lang w:val="ro-MD"/>
              </w:rPr>
              <w:t>122,6</w:t>
            </w:r>
          </w:p>
        </w:tc>
        <w:tc>
          <w:tcPr>
            <w:tcW w:w="1225"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0000"/>
                <w:sz w:val="20"/>
                <w:szCs w:val="20"/>
                <w:lang w:val="ro-MD"/>
              </w:rPr>
            </w:pPr>
            <w:r w:rsidRPr="00775327">
              <w:rPr>
                <w:rFonts w:asciiTheme="majorHAnsi" w:eastAsia="Times New Roman" w:hAnsiTheme="majorHAnsi" w:cstheme="majorHAnsi"/>
                <w:color w:val="FF0000"/>
                <w:sz w:val="20"/>
                <w:szCs w:val="20"/>
                <w:lang w:val="ro-MD"/>
              </w:rPr>
              <w:t>122,65</w:t>
            </w:r>
          </w:p>
        </w:tc>
        <w:tc>
          <w:tcPr>
            <w:tcW w:w="1126"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14,2</w:t>
            </w:r>
          </w:p>
        </w:tc>
        <w:tc>
          <w:tcPr>
            <w:tcW w:w="1012"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119,4</w:t>
            </w:r>
          </w:p>
        </w:tc>
        <w:tc>
          <w:tcPr>
            <w:tcW w:w="1405"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0000"/>
                <w:sz w:val="20"/>
                <w:szCs w:val="20"/>
                <w:lang w:val="ro-MD"/>
              </w:rPr>
            </w:pPr>
            <w:r w:rsidRPr="00775327">
              <w:rPr>
                <w:rFonts w:asciiTheme="majorHAnsi" w:eastAsia="Times New Roman" w:hAnsiTheme="majorHAnsi" w:cstheme="majorHAnsi"/>
                <w:color w:val="FF0000"/>
                <w:sz w:val="20"/>
                <w:szCs w:val="20"/>
                <w:lang w:val="ro-MD"/>
              </w:rPr>
              <w:t>10,9</w:t>
            </w:r>
          </w:p>
        </w:tc>
        <w:tc>
          <w:tcPr>
            <w:tcW w:w="1843"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0000"/>
                <w:sz w:val="20"/>
                <w:szCs w:val="20"/>
                <w:lang w:val="ro-MD"/>
              </w:rPr>
            </w:pPr>
            <w:r w:rsidRPr="00775327">
              <w:rPr>
                <w:rFonts w:asciiTheme="majorHAnsi" w:eastAsia="Times New Roman" w:hAnsiTheme="majorHAnsi" w:cstheme="majorHAnsi"/>
                <w:color w:val="FF0000"/>
                <w:sz w:val="20"/>
                <w:szCs w:val="20"/>
                <w:lang w:val="ro-MD"/>
              </w:rPr>
              <w:t>17,4</w:t>
            </w:r>
          </w:p>
        </w:tc>
      </w:tr>
      <w:tr w:rsidR="00E67099" w:rsidRPr="00E67099" w:rsidTr="00A36731">
        <w:trPr>
          <w:trHeight w:val="288"/>
        </w:trPr>
        <w:tc>
          <w:tcPr>
            <w:cnfStyle w:val="001000000000" w:firstRow="0" w:lastRow="0" w:firstColumn="1" w:lastColumn="0" w:oddVBand="0" w:evenVBand="0" w:oddHBand="0" w:evenHBand="0" w:firstRowFirstColumn="0" w:firstRowLastColumn="0" w:lastRowFirstColumn="0" w:lastRowLastColumn="0"/>
            <w:tcW w:w="3539" w:type="dxa"/>
            <w:noWrap/>
            <w:hideMark/>
          </w:tcPr>
          <w:p w:rsidR="00E67099" w:rsidRPr="00775327" w:rsidRDefault="00E67099" w:rsidP="00E67099">
            <w:pPr>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IP Agenția Relații Funciare și Cadastru</w:t>
            </w:r>
          </w:p>
        </w:tc>
        <w:tc>
          <w:tcPr>
            <w:tcW w:w="922"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42,2</w:t>
            </w:r>
          </w:p>
        </w:tc>
        <w:tc>
          <w:tcPr>
            <w:tcW w:w="971"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19,0</w:t>
            </w:r>
          </w:p>
        </w:tc>
        <w:tc>
          <w:tcPr>
            <w:tcW w:w="993"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12,1</w:t>
            </w:r>
          </w:p>
        </w:tc>
        <w:tc>
          <w:tcPr>
            <w:tcW w:w="1225"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12,1</w:t>
            </w:r>
          </w:p>
        </w:tc>
        <w:tc>
          <w:tcPr>
            <w:tcW w:w="1126"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0,00</w:t>
            </w:r>
          </w:p>
        </w:tc>
        <w:tc>
          <w:tcPr>
            <w:tcW w:w="1012"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12,1</w:t>
            </w:r>
          </w:p>
        </w:tc>
        <w:tc>
          <w:tcPr>
            <w:tcW w:w="1405"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0,0</w:t>
            </w:r>
          </w:p>
        </w:tc>
        <w:tc>
          <w:tcPr>
            <w:tcW w:w="1843"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0,00</w:t>
            </w:r>
          </w:p>
        </w:tc>
      </w:tr>
      <w:tr w:rsidR="00E67099" w:rsidRPr="00E67099" w:rsidTr="00A36731">
        <w:trPr>
          <w:trHeight w:val="276"/>
        </w:trPr>
        <w:tc>
          <w:tcPr>
            <w:cnfStyle w:val="001000000000" w:firstRow="0" w:lastRow="0" w:firstColumn="1" w:lastColumn="0" w:oddVBand="0" w:evenVBand="0" w:oddHBand="0" w:evenHBand="0" w:firstRowFirstColumn="0" w:firstRowLastColumn="0" w:lastRowFirstColumn="0" w:lastRowLastColumn="0"/>
            <w:tcW w:w="3539" w:type="dxa"/>
            <w:hideMark/>
          </w:tcPr>
          <w:p w:rsidR="00E67099" w:rsidRPr="00775327" w:rsidRDefault="00E67099" w:rsidP="00E67099">
            <w:pPr>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Agenția Națională pentru Siguranța Alimentelor</w:t>
            </w:r>
          </w:p>
        </w:tc>
        <w:tc>
          <w:tcPr>
            <w:tcW w:w="922" w:type="dxa"/>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0,00</w:t>
            </w:r>
          </w:p>
        </w:tc>
        <w:tc>
          <w:tcPr>
            <w:tcW w:w="971" w:type="dxa"/>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26,8</w:t>
            </w:r>
          </w:p>
        </w:tc>
        <w:tc>
          <w:tcPr>
            <w:tcW w:w="993"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17,3</w:t>
            </w:r>
          </w:p>
        </w:tc>
        <w:tc>
          <w:tcPr>
            <w:tcW w:w="1225"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17,3</w:t>
            </w:r>
          </w:p>
        </w:tc>
        <w:tc>
          <w:tcPr>
            <w:tcW w:w="1126"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0,00</w:t>
            </w:r>
          </w:p>
        </w:tc>
        <w:tc>
          <w:tcPr>
            <w:tcW w:w="1012"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16,2</w:t>
            </w:r>
          </w:p>
        </w:tc>
        <w:tc>
          <w:tcPr>
            <w:tcW w:w="1405"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1,1</w:t>
            </w:r>
          </w:p>
        </w:tc>
        <w:tc>
          <w:tcPr>
            <w:tcW w:w="1843"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1,1</w:t>
            </w:r>
          </w:p>
        </w:tc>
      </w:tr>
      <w:tr w:rsidR="00E67099" w:rsidRPr="00E67099" w:rsidTr="00A36731">
        <w:trPr>
          <w:trHeight w:val="288"/>
        </w:trPr>
        <w:tc>
          <w:tcPr>
            <w:cnfStyle w:val="001000000000" w:firstRow="0" w:lastRow="0" w:firstColumn="1" w:lastColumn="0" w:oddVBand="0" w:evenVBand="0" w:oddHBand="0" w:evenHBand="0" w:firstRowFirstColumn="0" w:firstRowLastColumn="0" w:lastRowFirstColumn="0" w:lastRowLastColumn="0"/>
            <w:tcW w:w="3539" w:type="dxa"/>
            <w:noWrap/>
            <w:hideMark/>
          </w:tcPr>
          <w:p w:rsidR="00E67099" w:rsidRPr="00775327" w:rsidRDefault="00E67099" w:rsidP="00E67099">
            <w:pPr>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Agenția „Moldsilva”</w:t>
            </w:r>
          </w:p>
        </w:tc>
        <w:tc>
          <w:tcPr>
            <w:tcW w:w="922"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11,2</w:t>
            </w:r>
          </w:p>
        </w:tc>
        <w:tc>
          <w:tcPr>
            <w:tcW w:w="971"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11,2</w:t>
            </w:r>
          </w:p>
        </w:tc>
        <w:tc>
          <w:tcPr>
            <w:tcW w:w="993"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11,2</w:t>
            </w:r>
          </w:p>
        </w:tc>
        <w:tc>
          <w:tcPr>
            <w:tcW w:w="1225"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11,2</w:t>
            </w:r>
          </w:p>
        </w:tc>
        <w:tc>
          <w:tcPr>
            <w:tcW w:w="1126"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0,00</w:t>
            </w:r>
          </w:p>
        </w:tc>
        <w:tc>
          <w:tcPr>
            <w:tcW w:w="1012"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11,2</w:t>
            </w:r>
          </w:p>
        </w:tc>
        <w:tc>
          <w:tcPr>
            <w:tcW w:w="1405"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0,00</w:t>
            </w:r>
          </w:p>
        </w:tc>
        <w:tc>
          <w:tcPr>
            <w:tcW w:w="1843"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0,00</w:t>
            </w:r>
          </w:p>
        </w:tc>
      </w:tr>
      <w:tr w:rsidR="00E67099" w:rsidRPr="00E67099" w:rsidTr="00A36731">
        <w:trPr>
          <w:trHeight w:val="253"/>
        </w:trPr>
        <w:tc>
          <w:tcPr>
            <w:cnfStyle w:val="001000000000" w:firstRow="0" w:lastRow="0" w:firstColumn="1" w:lastColumn="0" w:oddVBand="0" w:evenVBand="0" w:oddHBand="0" w:evenHBand="0" w:firstRowFirstColumn="0" w:firstRowLastColumn="0" w:lastRowFirstColumn="0" w:lastRowLastColumn="0"/>
            <w:tcW w:w="3539" w:type="dxa"/>
            <w:noWrap/>
            <w:hideMark/>
          </w:tcPr>
          <w:p w:rsidR="00E67099" w:rsidRPr="00775327" w:rsidRDefault="00E67099" w:rsidP="00E67099">
            <w:pPr>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Agenția Proprietății Publice</w:t>
            </w:r>
          </w:p>
        </w:tc>
        <w:tc>
          <w:tcPr>
            <w:tcW w:w="922"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0,00</w:t>
            </w:r>
          </w:p>
        </w:tc>
        <w:tc>
          <w:tcPr>
            <w:tcW w:w="971"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6,4</w:t>
            </w:r>
          </w:p>
        </w:tc>
        <w:tc>
          <w:tcPr>
            <w:tcW w:w="993"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6,4</w:t>
            </w:r>
          </w:p>
        </w:tc>
        <w:tc>
          <w:tcPr>
            <w:tcW w:w="1225"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6,4</w:t>
            </w:r>
          </w:p>
        </w:tc>
        <w:tc>
          <w:tcPr>
            <w:tcW w:w="1126"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0,00</w:t>
            </w:r>
          </w:p>
        </w:tc>
        <w:tc>
          <w:tcPr>
            <w:tcW w:w="1012"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6,4</w:t>
            </w:r>
          </w:p>
        </w:tc>
        <w:tc>
          <w:tcPr>
            <w:tcW w:w="1405"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0,00</w:t>
            </w:r>
          </w:p>
        </w:tc>
        <w:tc>
          <w:tcPr>
            <w:tcW w:w="1843"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0,00</w:t>
            </w:r>
          </w:p>
        </w:tc>
      </w:tr>
      <w:tr w:rsidR="00E67099" w:rsidRPr="00E67099" w:rsidTr="00A36731">
        <w:trPr>
          <w:trHeight w:val="288"/>
        </w:trPr>
        <w:tc>
          <w:tcPr>
            <w:cnfStyle w:val="001000000000" w:firstRow="0" w:lastRow="0" w:firstColumn="1" w:lastColumn="0" w:oddVBand="0" w:evenVBand="0" w:oddHBand="0" w:evenHBand="0" w:firstRowFirstColumn="0" w:firstRowLastColumn="0" w:lastRowFirstColumn="0" w:lastRowLastColumn="0"/>
            <w:tcW w:w="3539" w:type="dxa"/>
            <w:noWrap/>
            <w:hideMark/>
          </w:tcPr>
          <w:p w:rsidR="00E67099" w:rsidRPr="00775327" w:rsidRDefault="00E67099" w:rsidP="00E67099">
            <w:pPr>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Agenția de Investiții</w:t>
            </w:r>
          </w:p>
        </w:tc>
        <w:tc>
          <w:tcPr>
            <w:tcW w:w="922"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5,0</w:t>
            </w:r>
          </w:p>
        </w:tc>
        <w:tc>
          <w:tcPr>
            <w:tcW w:w="971"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6,0</w:t>
            </w:r>
          </w:p>
        </w:tc>
        <w:tc>
          <w:tcPr>
            <w:tcW w:w="993"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0000"/>
                <w:sz w:val="20"/>
                <w:szCs w:val="20"/>
                <w:lang w:val="ro-MD"/>
              </w:rPr>
            </w:pPr>
            <w:r w:rsidRPr="00775327">
              <w:rPr>
                <w:rFonts w:asciiTheme="majorHAnsi" w:eastAsia="Times New Roman" w:hAnsiTheme="majorHAnsi" w:cstheme="majorHAnsi"/>
                <w:color w:val="FF0000"/>
                <w:sz w:val="20"/>
                <w:szCs w:val="20"/>
                <w:lang w:val="ro-MD"/>
              </w:rPr>
              <w:t>5,97</w:t>
            </w:r>
          </w:p>
        </w:tc>
        <w:tc>
          <w:tcPr>
            <w:tcW w:w="1225"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0000"/>
                <w:sz w:val="20"/>
                <w:szCs w:val="20"/>
                <w:lang w:val="ro-MD"/>
              </w:rPr>
            </w:pPr>
            <w:r w:rsidRPr="00775327">
              <w:rPr>
                <w:rFonts w:asciiTheme="majorHAnsi" w:eastAsia="Times New Roman" w:hAnsiTheme="majorHAnsi" w:cstheme="majorHAnsi"/>
                <w:color w:val="FF0000"/>
                <w:sz w:val="20"/>
                <w:szCs w:val="20"/>
                <w:lang w:val="ro-MD"/>
              </w:rPr>
              <w:t>6,01</w:t>
            </w:r>
          </w:p>
        </w:tc>
        <w:tc>
          <w:tcPr>
            <w:tcW w:w="1126"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w:t>
            </w:r>
          </w:p>
        </w:tc>
        <w:tc>
          <w:tcPr>
            <w:tcW w:w="1012"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w:t>
            </w:r>
          </w:p>
        </w:tc>
        <w:tc>
          <w:tcPr>
            <w:tcW w:w="1405"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w:t>
            </w:r>
          </w:p>
        </w:tc>
        <w:tc>
          <w:tcPr>
            <w:tcW w:w="1843"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6,0</w:t>
            </w:r>
          </w:p>
        </w:tc>
      </w:tr>
      <w:tr w:rsidR="00E67099" w:rsidRPr="00E67099" w:rsidTr="00A36731">
        <w:trPr>
          <w:trHeight w:val="288"/>
        </w:trPr>
        <w:tc>
          <w:tcPr>
            <w:cnfStyle w:val="001000000000" w:firstRow="0" w:lastRow="0" w:firstColumn="1" w:lastColumn="0" w:oddVBand="0" w:evenVBand="0" w:oddHBand="0" w:evenHBand="0" w:firstRowFirstColumn="0" w:firstRowLastColumn="0" w:lastRowFirstColumn="0" w:lastRowLastColumn="0"/>
            <w:tcW w:w="3539" w:type="dxa"/>
            <w:noWrap/>
            <w:hideMark/>
          </w:tcPr>
          <w:p w:rsidR="00E67099" w:rsidRPr="00775327" w:rsidRDefault="00E67099" w:rsidP="00E67099">
            <w:pPr>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Acțiuni generale SE BORDNETZE SRL</w:t>
            </w:r>
          </w:p>
        </w:tc>
        <w:tc>
          <w:tcPr>
            <w:tcW w:w="922"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41,5</w:t>
            </w:r>
          </w:p>
        </w:tc>
        <w:tc>
          <w:tcPr>
            <w:tcW w:w="971"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41,5</w:t>
            </w:r>
          </w:p>
        </w:tc>
        <w:tc>
          <w:tcPr>
            <w:tcW w:w="993"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21,2</w:t>
            </w:r>
          </w:p>
        </w:tc>
        <w:tc>
          <w:tcPr>
            <w:tcW w:w="1225"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w:t>
            </w:r>
          </w:p>
        </w:tc>
        <w:tc>
          <w:tcPr>
            <w:tcW w:w="1126"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w:t>
            </w:r>
          </w:p>
        </w:tc>
        <w:tc>
          <w:tcPr>
            <w:tcW w:w="1012"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w:t>
            </w:r>
          </w:p>
        </w:tc>
        <w:tc>
          <w:tcPr>
            <w:tcW w:w="1405"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w:t>
            </w:r>
          </w:p>
        </w:tc>
        <w:tc>
          <w:tcPr>
            <w:tcW w:w="1843"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w:t>
            </w:r>
          </w:p>
        </w:tc>
      </w:tr>
      <w:tr w:rsidR="00E67099" w:rsidRPr="00E67099" w:rsidTr="00A36731">
        <w:trPr>
          <w:trHeight w:val="288"/>
        </w:trPr>
        <w:tc>
          <w:tcPr>
            <w:cnfStyle w:val="001000000000" w:firstRow="0" w:lastRow="0" w:firstColumn="1" w:lastColumn="0" w:oddVBand="0" w:evenVBand="0" w:oddHBand="0" w:evenHBand="0" w:firstRowFirstColumn="0" w:firstRowLastColumn="0" w:lastRowFirstColumn="0" w:lastRowLastColumn="0"/>
            <w:tcW w:w="3539" w:type="dxa"/>
            <w:noWrap/>
            <w:hideMark/>
          </w:tcPr>
          <w:p w:rsidR="00E67099" w:rsidRPr="00775327" w:rsidRDefault="00E67099" w:rsidP="00E67099">
            <w:pPr>
              <w:rPr>
                <w:rFonts w:asciiTheme="majorHAnsi" w:eastAsia="Times New Roman" w:hAnsiTheme="majorHAnsi" w:cstheme="majorHAnsi"/>
                <w:color w:val="000000"/>
                <w:sz w:val="20"/>
                <w:szCs w:val="20"/>
                <w:lang w:val="ro-MD"/>
              </w:rPr>
            </w:pPr>
            <w:r w:rsidRPr="00775327">
              <w:rPr>
                <w:rFonts w:asciiTheme="majorHAnsi" w:eastAsia="Times New Roman" w:hAnsiTheme="majorHAnsi" w:cstheme="majorHAnsi"/>
                <w:color w:val="000000"/>
                <w:sz w:val="20"/>
                <w:szCs w:val="20"/>
                <w:lang w:val="ro-MD"/>
              </w:rPr>
              <w:t>TOTAL</w:t>
            </w:r>
          </w:p>
        </w:tc>
        <w:tc>
          <w:tcPr>
            <w:tcW w:w="922"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775327">
              <w:rPr>
                <w:rFonts w:asciiTheme="majorHAnsi" w:eastAsia="Times New Roman" w:hAnsiTheme="majorHAnsi" w:cstheme="majorHAnsi"/>
                <w:b/>
                <w:bCs/>
                <w:color w:val="000000"/>
                <w:sz w:val="20"/>
                <w:szCs w:val="20"/>
                <w:lang w:val="ro-MD"/>
              </w:rPr>
              <w:t>4.082,4*</w:t>
            </w:r>
          </w:p>
        </w:tc>
        <w:tc>
          <w:tcPr>
            <w:tcW w:w="971"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775327">
              <w:rPr>
                <w:rFonts w:asciiTheme="majorHAnsi" w:eastAsia="Times New Roman" w:hAnsiTheme="majorHAnsi" w:cstheme="majorHAnsi"/>
                <w:b/>
                <w:bCs/>
                <w:color w:val="000000"/>
                <w:sz w:val="20"/>
                <w:szCs w:val="20"/>
                <w:lang w:val="ro-MD"/>
              </w:rPr>
              <w:t>4.057,1</w:t>
            </w:r>
          </w:p>
        </w:tc>
        <w:tc>
          <w:tcPr>
            <w:tcW w:w="993"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775327">
              <w:rPr>
                <w:rFonts w:asciiTheme="majorHAnsi" w:eastAsia="Times New Roman" w:hAnsiTheme="majorHAnsi" w:cstheme="majorHAnsi"/>
                <w:b/>
                <w:bCs/>
                <w:color w:val="000000"/>
                <w:sz w:val="20"/>
                <w:szCs w:val="20"/>
                <w:lang w:val="ro-MD"/>
              </w:rPr>
              <w:t>3.894,95</w:t>
            </w:r>
          </w:p>
        </w:tc>
        <w:tc>
          <w:tcPr>
            <w:tcW w:w="1225"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775327">
              <w:rPr>
                <w:rFonts w:asciiTheme="majorHAnsi" w:eastAsia="Times New Roman" w:hAnsiTheme="majorHAnsi" w:cstheme="majorHAnsi"/>
                <w:b/>
                <w:bCs/>
                <w:color w:val="000000"/>
                <w:sz w:val="20"/>
                <w:szCs w:val="20"/>
                <w:lang w:val="ro-MD"/>
              </w:rPr>
              <w:t>3.857,0</w:t>
            </w:r>
          </w:p>
        </w:tc>
        <w:tc>
          <w:tcPr>
            <w:tcW w:w="1126"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775327">
              <w:rPr>
                <w:rFonts w:asciiTheme="majorHAnsi" w:eastAsia="Times New Roman" w:hAnsiTheme="majorHAnsi" w:cstheme="majorHAnsi"/>
                <w:b/>
                <w:bCs/>
                <w:color w:val="000000"/>
                <w:sz w:val="20"/>
                <w:szCs w:val="20"/>
                <w:lang w:val="ro-MD"/>
              </w:rPr>
              <w:t>21.172,7</w:t>
            </w:r>
          </w:p>
        </w:tc>
        <w:tc>
          <w:tcPr>
            <w:tcW w:w="1012"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775327">
              <w:rPr>
                <w:rFonts w:asciiTheme="majorHAnsi" w:eastAsia="Times New Roman" w:hAnsiTheme="majorHAnsi" w:cstheme="majorHAnsi"/>
                <w:b/>
                <w:bCs/>
                <w:color w:val="000000"/>
                <w:sz w:val="20"/>
                <w:szCs w:val="20"/>
                <w:lang w:val="ro-MD"/>
              </w:rPr>
              <w:t>24.779,7</w:t>
            </w:r>
          </w:p>
        </w:tc>
        <w:tc>
          <w:tcPr>
            <w:tcW w:w="1405"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775327">
              <w:rPr>
                <w:rFonts w:asciiTheme="majorHAnsi" w:eastAsia="Times New Roman" w:hAnsiTheme="majorHAnsi" w:cstheme="majorHAnsi"/>
                <w:b/>
                <w:bCs/>
                <w:color w:val="000000"/>
                <w:sz w:val="20"/>
                <w:szCs w:val="20"/>
                <w:lang w:val="ro-MD"/>
              </w:rPr>
              <w:t>269,2</w:t>
            </w:r>
          </w:p>
        </w:tc>
        <w:tc>
          <w:tcPr>
            <w:tcW w:w="1843" w:type="dxa"/>
            <w:noWrap/>
            <w:vAlign w:val="center"/>
            <w:hideMark/>
          </w:tcPr>
          <w:p w:rsidR="00E67099" w:rsidRPr="00775327"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775327">
              <w:rPr>
                <w:rFonts w:asciiTheme="majorHAnsi" w:eastAsia="Times New Roman" w:hAnsiTheme="majorHAnsi" w:cstheme="majorHAnsi"/>
                <w:b/>
                <w:bCs/>
                <w:color w:val="000000"/>
                <w:sz w:val="20"/>
                <w:szCs w:val="20"/>
                <w:lang w:val="ro-MD"/>
              </w:rPr>
              <w:t>250,0</w:t>
            </w:r>
          </w:p>
        </w:tc>
      </w:tr>
    </w:tbl>
    <w:p w:rsidR="00E67099" w:rsidRPr="00E67099" w:rsidRDefault="00E67099" w:rsidP="00E67099">
      <w:pPr>
        <w:spacing w:after="0" w:line="276" w:lineRule="auto"/>
        <w:jc w:val="both"/>
        <w:rPr>
          <w:rFonts w:asciiTheme="majorHAnsi" w:eastAsia="Times New Roman" w:hAnsiTheme="majorHAnsi" w:cstheme="majorHAnsi"/>
          <w:b/>
          <w:bCs/>
          <w:i/>
          <w:sz w:val="20"/>
          <w:szCs w:val="20"/>
          <w:lang w:val="ro-MD"/>
        </w:rPr>
      </w:pPr>
      <w:r w:rsidRPr="00E67099">
        <w:rPr>
          <w:rFonts w:asciiTheme="majorHAnsi" w:eastAsia="Times New Roman" w:hAnsiTheme="majorHAnsi" w:cstheme="majorHAnsi"/>
          <w:b/>
          <w:bCs/>
          <w:i/>
          <w:sz w:val="20"/>
          <w:szCs w:val="20"/>
          <w:lang w:val="ro-MD"/>
        </w:rPr>
        <w:t xml:space="preserve">Sursă: </w:t>
      </w:r>
      <w:r w:rsidRPr="00E67099">
        <w:rPr>
          <w:rFonts w:asciiTheme="majorHAnsi" w:eastAsia="Times New Roman" w:hAnsiTheme="majorHAnsi" w:cstheme="majorHAnsi"/>
          <w:bCs/>
          <w:i/>
          <w:sz w:val="20"/>
          <w:szCs w:val="20"/>
          <w:lang w:val="ro-MD"/>
        </w:rPr>
        <w:t>Rapoartele instituțiilor bugetare și datele prezentate de către MF.</w:t>
      </w:r>
    </w:p>
    <w:p w:rsidR="00E67099" w:rsidRPr="008B3719" w:rsidRDefault="00E67099" w:rsidP="008B3719">
      <w:pPr>
        <w:spacing w:after="0" w:line="276" w:lineRule="auto"/>
        <w:jc w:val="both"/>
        <w:rPr>
          <w:rFonts w:asciiTheme="majorHAnsi" w:eastAsia="Times New Roman" w:hAnsiTheme="majorHAnsi" w:cstheme="majorHAnsi"/>
          <w:bCs/>
          <w:i/>
          <w:sz w:val="20"/>
          <w:szCs w:val="20"/>
          <w:lang w:val="ro-MD"/>
        </w:rPr>
      </w:pPr>
      <w:r w:rsidRPr="00E67099">
        <w:rPr>
          <w:rFonts w:asciiTheme="majorHAnsi" w:eastAsia="Times New Roman" w:hAnsiTheme="majorHAnsi" w:cstheme="majorHAnsi"/>
          <w:bCs/>
          <w:i/>
          <w:sz w:val="20"/>
          <w:szCs w:val="20"/>
          <w:lang w:val="ro-MD"/>
        </w:rPr>
        <w:t>*Au fost aprobate mijloace MAEIE – 0,02 mil. lei, și Consiliului Audiovizualului – 1,5 mil. lei, care, la rectificarea bugetului, s-au anulat.</w:t>
      </w:r>
    </w:p>
    <w:p w:rsidR="00F71B6E" w:rsidRDefault="00F71B6E" w:rsidP="00E67099">
      <w:pPr>
        <w:shd w:val="clear" w:color="auto" w:fill="FFFFFF" w:themeFill="background1"/>
        <w:tabs>
          <w:tab w:val="left" w:pos="284"/>
          <w:tab w:val="left" w:pos="567"/>
          <w:tab w:val="left" w:pos="6237"/>
          <w:tab w:val="left" w:pos="6379"/>
        </w:tabs>
        <w:spacing w:after="0" w:line="276" w:lineRule="auto"/>
        <w:contextualSpacing/>
        <w:jc w:val="right"/>
        <w:rPr>
          <w:rFonts w:asciiTheme="majorHAnsi" w:eastAsia="Times New Roman" w:hAnsiTheme="majorHAnsi" w:cstheme="majorHAnsi"/>
          <w:b/>
          <w:i/>
          <w:sz w:val="24"/>
          <w:szCs w:val="24"/>
          <w:lang w:val="ro-MD"/>
        </w:rPr>
      </w:pPr>
    </w:p>
    <w:p w:rsidR="00F71B6E" w:rsidRDefault="00F71B6E" w:rsidP="00E67099">
      <w:pPr>
        <w:shd w:val="clear" w:color="auto" w:fill="FFFFFF" w:themeFill="background1"/>
        <w:tabs>
          <w:tab w:val="left" w:pos="284"/>
          <w:tab w:val="left" w:pos="567"/>
          <w:tab w:val="left" w:pos="6237"/>
          <w:tab w:val="left" w:pos="6379"/>
        </w:tabs>
        <w:spacing w:after="0" w:line="276" w:lineRule="auto"/>
        <w:contextualSpacing/>
        <w:jc w:val="right"/>
        <w:rPr>
          <w:rFonts w:asciiTheme="majorHAnsi" w:eastAsia="Times New Roman" w:hAnsiTheme="majorHAnsi" w:cstheme="majorHAnsi"/>
          <w:b/>
          <w:i/>
          <w:sz w:val="24"/>
          <w:szCs w:val="24"/>
          <w:lang w:val="ro-MD"/>
        </w:rPr>
      </w:pPr>
    </w:p>
    <w:p w:rsidR="00F71B6E" w:rsidRDefault="00F71B6E" w:rsidP="00E67099">
      <w:pPr>
        <w:shd w:val="clear" w:color="auto" w:fill="FFFFFF" w:themeFill="background1"/>
        <w:tabs>
          <w:tab w:val="left" w:pos="284"/>
          <w:tab w:val="left" w:pos="567"/>
          <w:tab w:val="left" w:pos="6237"/>
          <w:tab w:val="left" w:pos="6379"/>
        </w:tabs>
        <w:spacing w:after="0" w:line="276" w:lineRule="auto"/>
        <w:contextualSpacing/>
        <w:jc w:val="right"/>
        <w:rPr>
          <w:rFonts w:asciiTheme="majorHAnsi" w:eastAsia="Times New Roman" w:hAnsiTheme="majorHAnsi" w:cstheme="majorHAnsi"/>
          <w:b/>
          <w:i/>
          <w:sz w:val="24"/>
          <w:szCs w:val="24"/>
          <w:lang w:val="ro-MD"/>
        </w:rPr>
      </w:pPr>
    </w:p>
    <w:p w:rsidR="00F71B6E" w:rsidRDefault="00F71B6E" w:rsidP="00E67099">
      <w:pPr>
        <w:shd w:val="clear" w:color="auto" w:fill="FFFFFF" w:themeFill="background1"/>
        <w:tabs>
          <w:tab w:val="left" w:pos="284"/>
          <w:tab w:val="left" w:pos="567"/>
          <w:tab w:val="left" w:pos="6237"/>
          <w:tab w:val="left" w:pos="6379"/>
        </w:tabs>
        <w:spacing w:after="0" w:line="276" w:lineRule="auto"/>
        <w:contextualSpacing/>
        <w:jc w:val="right"/>
        <w:rPr>
          <w:rFonts w:asciiTheme="majorHAnsi" w:eastAsia="Times New Roman" w:hAnsiTheme="majorHAnsi" w:cstheme="majorHAnsi"/>
          <w:b/>
          <w:i/>
          <w:sz w:val="24"/>
          <w:szCs w:val="24"/>
          <w:lang w:val="ro-MD"/>
        </w:rPr>
      </w:pPr>
    </w:p>
    <w:p w:rsidR="00F71B6E" w:rsidRDefault="00F71B6E" w:rsidP="00E67099">
      <w:pPr>
        <w:shd w:val="clear" w:color="auto" w:fill="FFFFFF" w:themeFill="background1"/>
        <w:tabs>
          <w:tab w:val="left" w:pos="284"/>
          <w:tab w:val="left" w:pos="567"/>
          <w:tab w:val="left" w:pos="6237"/>
          <w:tab w:val="left" w:pos="6379"/>
        </w:tabs>
        <w:spacing w:after="0" w:line="276" w:lineRule="auto"/>
        <w:contextualSpacing/>
        <w:jc w:val="right"/>
        <w:rPr>
          <w:rFonts w:asciiTheme="majorHAnsi" w:eastAsia="Times New Roman" w:hAnsiTheme="majorHAnsi" w:cstheme="majorHAnsi"/>
          <w:b/>
          <w:i/>
          <w:sz w:val="24"/>
          <w:szCs w:val="24"/>
          <w:lang w:val="ro-MD"/>
        </w:rPr>
      </w:pPr>
    </w:p>
    <w:p w:rsidR="00F71B6E" w:rsidRDefault="00F71B6E" w:rsidP="00E67099">
      <w:pPr>
        <w:shd w:val="clear" w:color="auto" w:fill="FFFFFF" w:themeFill="background1"/>
        <w:tabs>
          <w:tab w:val="left" w:pos="284"/>
          <w:tab w:val="left" w:pos="567"/>
          <w:tab w:val="left" w:pos="6237"/>
          <w:tab w:val="left" w:pos="6379"/>
        </w:tabs>
        <w:spacing w:after="0" w:line="276" w:lineRule="auto"/>
        <w:contextualSpacing/>
        <w:jc w:val="right"/>
        <w:rPr>
          <w:rFonts w:asciiTheme="majorHAnsi" w:eastAsia="Times New Roman" w:hAnsiTheme="majorHAnsi" w:cstheme="majorHAnsi"/>
          <w:b/>
          <w:i/>
          <w:sz w:val="24"/>
          <w:szCs w:val="24"/>
          <w:lang w:val="ro-MD"/>
        </w:rPr>
      </w:pPr>
    </w:p>
    <w:p w:rsidR="00F71B6E" w:rsidRDefault="00F71B6E" w:rsidP="00E67099">
      <w:pPr>
        <w:shd w:val="clear" w:color="auto" w:fill="FFFFFF" w:themeFill="background1"/>
        <w:tabs>
          <w:tab w:val="left" w:pos="284"/>
          <w:tab w:val="left" w:pos="567"/>
          <w:tab w:val="left" w:pos="6237"/>
          <w:tab w:val="left" w:pos="6379"/>
        </w:tabs>
        <w:spacing w:after="0" w:line="276" w:lineRule="auto"/>
        <w:contextualSpacing/>
        <w:jc w:val="right"/>
        <w:rPr>
          <w:rFonts w:asciiTheme="majorHAnsi" w:eastAsia="Times New Roman" w:hAnsiTheme="majorHAnsi" w:cstheme="majorHAnsi"/>
          <w:b/>
          <w:i/>
          <w:sz w:val="24"/>
          <w:szCs w:val="24"/>
          <w:lang w:val="ro-MD"/>
        </w:rPr>
      </w:pPr>
    </w:p>
    <w:p w:rsidR="00F71B6E" w:rsidRDefault="00F71B6E" w:rsidP="00E67099">
      <w:pPr>
        <w:shd w:val="clear" w:color="auto" w:fill="FFFFFF" w:themeFill="background1"/>
        <w:tabs>
          <w:tab w:val="left" w:pos="284"/>
          <w:tab w:val="left" w:pos="567"/>
          <w:tab w:val="left" w:pos="6237"/>
          <w:tab w:val="left" w:pos="6379"/>
        </w:tabs>
        <w:spacing w:after="0" w:line="276" w:lineRule="auto"/>
        <w:contextualSpacing/>
        <w:jc w:val="right"/>
        <w:rPr>
          <w:rFonts w:asciiTheme="majorHAnsi" w:eastAsia="Times New Roman" w:hAnsiTheme="majorHAnsi" w:cstheme="majorHAnsi"/>
          <w:b/>
          <w:i/>
          <w:sz w:val="24"/>
          <w:szCs w:val="24"/>
          <w:lang w:val="ro-MD"/>
        </w:rPr>
      </w:pPr>
    </w:p>
    <w:p w:rsidR="00E67099" w:rsidRPr="00E67099" w:rsidRDefault="00E67099" w:rsidP="00E67099">
      <w:pPr>
        <w:shd w:val="clear" w:color="auto" w:fill="FFFFFF" w:themeFill="background1"/>
        <w:tabs>
          <w:tab w:val="left" w:pos="284"/>
          <w:tab w:val="left" w:pos="567"/>
          <w:tab w:val="left" w:pos="6237"/>
          <w:tab w:val="left" w:pos="6379"/>
        </w:tabs>
        <w:spacing w:after="0" w:line="276" w:lineRule="auto"/>
        <w:contextualSpacing/>
        <w:jc w:val="right"/>
        <w:rPr>
          <w:rFonts w:asciiTheme="majorHAnsi" w:eastAsia="Times New Roman" w:hAnsiTheme="majorHAnsi" w:cstheme="majorHAnsi"/>
          <w:b/>
          <w:i/>
          <w:sz w:val="24"/>
          <w:szCs w:val="24"/>
          <w:lang w:val="ro-MD"/>
        </w:rPr>
      </w:pPr>
      <w:r w:rsidRPr="00E67099">
        <w:rPr>
          <w:rFonts w:asciiTheme="majorHAnsi" w:eastAsia="Times New Roman" w:hAnsiTheme="majorHAnsi" w:cstheme="majorHAnsi"/>
          <w:b/>
          <w:i/>
          <w:sz w:val="24"/>
          <w:szCs w:val="24"/>
          <w:lang w:val="ro-MD"/>
        </w:rPr>
        <w:t>Anexa nr.3</w:t>
      </w:r>
    </w:p>
    <w:p w:rsidR="00E67099" w:rsidRPr="00E67099" w:rsidRDefault="00E67099" w:rsidP="00E67099">
      <w:pPr>
        <w:tabs>
          <w:tab w:val="left" w:pos="993"/>
        </w:tabs>
        <w:spacing w:after="0" w:line="276" w:lineRule="auto"/>
        <w:ind w:firstLine="540"/>
        <w:jc w:val="center"/>
        <w:outlineLvl w:val="2"/>
        <w:rPr>
          <w:rFonts w:ascii="Calibri Light" w:hAnsi="Calibri Light" w:cs="Calibri Light"/>
          <w:b/>
          <w:sz w:val="24"/>
          <w:szCs w:val="24"/>
        </w:rPr>
      </w:pPr>
      <w:r w:rsidRPr="00E67099">
        <w:rPr>
          <w:rFonts w:ascii="Calibri Light" w:hAnsi="Calibri Light" w:cs="Calibri Light"/>
          <w:b/>
          <w:sz w:val="24"/>
          <w:szCs w:val="24"/>
          <w:lang w:val="ro-MD"/>
        </w:rPr>
        <w:t>Sinteza repartizării alocațiilor aprobate pentru Programul ,,Prima casă” pentru compensații bănești pe categorii de beneficiari</w:t>
      </w:r>
      <w:r w:rsidRPr="00E67099">
        <w:rPr>
          <w:rFonts w:ascii="Calibri Light" w:hAnsi="Calibri Light" w:cs="Calibri Light"/>
          <w:b/>
          <w:sz w:val="24"/>
          <w:szCs w:val="24"/>
        </w:rPr>
        <w:t xml:space="preserve"> în anul 2019</w:t>
      </w:r>
    </w:p>
    <w:p w:rsidR="00E67099" w:rsidRPr="00E67099" w:rsidRDefault="00E67099" w:rsidP="00422E79">
      <w:pPr>
        <w:tabs>
          <w:tab w:val="left" w:pos="993"/>
        </w:tabs>
        <w:spacing w:after="0" w:line="276" w:lineRule="auto"/>
        <w:outlineLvl w:val="2"/>
        <w:rPr>
          <w:rFonts w:ascii="Calibri Light" w:hAnsi="Calibri Light" w:cs="Calibri Light"/>
          <w:b/>
          <w:sz w:val="24"/>
          <w:szCs w:val="24"/>
        </w:rPr>
      </w:pPr>
    </w:p>
    <w:tbl>
      <w:tblPr>
        <w:tblStyle w:val="TableGrid2"/>
        <w:tblW w:w="10060" w:type="dxa"/>
        <w:jc w:val="center"/>
        <w:tblLook w:val="04A0" w:firstRow="1" w:lastRow="0" w:firstColumn="1" w:lastColumn="0" w:noHBand="0" w:noVBand="1"/>
      </w:tblPr>
      <w:tblGrid>
        <w:gridCol w:w="1686"/>
        <w:gridCol w:w="918"/>
        <w:gridCol w:w="1063"/>
        <w:gridCol w:w="770"/>
        <w:gridCol w:w="917"/>
        <w:gridCol w:w="1415"/>
        <w:gridCol w:w="1594"/>
        <w:gridCol w:w="802"/>
        <w:gridCol w:w="895"/>
      </w:tblGrid>
      <w:tr w:rsidR="00E67099" w:rsidRPr="00E67099" w:rsidTr="00A36731">
        <w:trPr>
          <w:jc w:val="center"/>
        </w:trPr>
        <w:tc>
          <w:tcPr>
            <w:tcW w:w="1696" w:type="dxa"/>
            <w:vMerge w:val="restart"/>
            <w:vAlign w:val="center"/>
          </w:tcPr>
          <w:p w:rsidR="00E67099" w:rsidRPr="004D7BEA" w:rsidRDefault="00E67099" w:rsidP="00E67099">
            <w:pPr>
              <w:tabs>
                <w:tab w:val="left" w:pos="993"/>
              </w:tabs>
              <w:spacing w:line="276" w:lineRule="auto"/>
              <w:jc w:val="center"/>
              <w:outlineLvl w:val="2"/>
              <w:rPr>
                <w:rFonts w:asciiTheme="majorHAnsi" w:hAnsiTheme="majorHAnsi" w:cstheme="majorHAnsi"/>
                <w:b/>
                <w:color w:val="000000" w:themeColor="text1"/>
                <w:sz w:val="20"/>
                <w:szCs w:val="20"/>
                <w:lang w:val="ro-MD"/>
              </w:rPr>
            </w:pPr>
            <w:r w:rsidRPr="004D7BEA">
              <w:rPr>
                <w:rFonts w:asciiTheme="majorHAnsi" w:hAnsiTheme="majorHAnsi" w:cstheme="majorHAnsi"/>
                <w:b/>
                <w:color w:val="000000" w:themeColor="text1"/>
                <w:sz w:val="20"/>
                <w:szCs w:val="20"/>
                <w:lang w:val="ro-MD"/>
              </w:rPr>
              <w:t>Programul</w:t>
            </w:r>
          </w:p>
        </w:tc>
        <w:tc>
          <w:tcPr>
            <w:tcW w:w="918" w:type="dxa"/>
            <w:vMerge w:val="restart"/>
            <w:vAlign w:val="center"/>
          </w:tcPr>
          <w:p w:rsidR="00E67099" w:rsidRPr="004D7BEA" w:rsidRDefault="00E67099" w:rsidP="00E67099">
            <w:pPr>
              <w:tabs>
                <w:tab w:val="left" w:pos="993"/>
              </w:tabs>
              <w:spacing w:line="276" w:lineRule="auto"/>
              <w:jc w:val="center"/>
              <w:outlineLvl w:val="2"/>
              <w:rPr>
                <w:rFonts w:asciiTheme="majorHAnsi" w:hAnsiTheme="majorHAnsi" w:cstheme="majorHAnsi"/>
                <w:b/>
                <w:color w:val="000000" w:themeColor="text1"/>
                <w:sz w:val="20"/>
                <w:szCs w:val="20"/>
                <w:lang w:val="ro-MD"/>
              </w:rPr>
            </w:pPr>
            <w:r w:rsidRPr="004D7BEA">
              <w:rPr>
                <w:rFonts w:asciiTheme="majorHAnsi" w:hAnsiTheme="majorHAnsi" w:cstheme="majorHAnsi"/>
                <w:b/>
                <w:color w:val="000000" w:themeColor="text1"/>
                <w:sz w:val="20"/>
                <w:szCs w:val="20"/>
                <w:lang w:val="ro-MD"/>
              </w:rPr>
              <w:t>Numărul de cereri depuse</w:t>
            </w:r>
          </w:p>
        </w:tc>
        <w:tc>
          <w:tcPr>
            <w:tcW w:w="1063" w:type="dxa"/>
            <w:vMerge w:val="restart"/>
            <w:vAlign w:val="center"/>
          </w:tcPr>
          <w:p w:rsidR="00E67099" w:rsidRPr="004D7BEA" w:rsidRDefault="00E67099" w:rsidP="00E67099">
            <w:pPr>
              <w:tabs>
                <w:tab w:val="left" w:pos="993"/>
              </w:tabs>
              <w:spacing w:line="276" w:lineRule="auto"/>
              <w:jc w:val="center"/>
              <w:outlineLvl w:val="2"/>
              <w:rPr>
                <w:rFonts w:asciiTheme="majorHAnsi" w:hAnsiTheme="majorHAnsi" w:cstheme="majorHAnsi"/>
                <w:b/>
                <w:color w:val="000000" w:themeColor="text1"/>
                <w:sz w:val="20"/>
                <w:szCs w:val="20"/>
                <w:lang w:val="ro-MD"/>
              </w:rPr>
            </w:pPr>
            <w:r w:rsidRPr="004D7BEA">
              <w:rPr>
                <w:rFonts w:asciiTheme="majorHAnsi" w:hAnsiTheme="majorHAnsi" w:cstheme="majorHAnsi"/>
                <w:b/>
                <w:color w:val="000000" w:themeColor="text1"/>
                <w:sz w:val="20"/>
                <w:szCs w:val="20"/>
                <w:lang w:val="ro-MD"/>
              </w:rPr>
              <w:t>Numărul de beneficiari acceptați</w:t>
            </w:r>
          </w:p>
        </w:tc>
        <w:tc>
          <w:tcPr>
            <w:tcW w:w="1667" w:type="dxa"/>
            <w:gridSpan w:val="2"/>
            <w:vAlign w:val="center"/>
          </w:tcPr>
          <w:p w:rsidR="00E67099" w:rsidRPr="004D7BEA" w:rsidRDefault="00E67099" w:rsidP="00E67099">
            <w:pPr>
              <w:tabs>
                <w:tab w:val="left" w:pos="993"/>
              </w:tabs>
              <w:spacing w:line="276" w:lineRule="auto"/>
              <w:jc w:val="center"/>
              <w:outlineLvl w:val="2"/>
              <w:rPr>
                <w:rFonts w:asciiTheme="majorHAnsi" w:hAnsiTheme="majorHAnsi" w:cstheme="majorHAnsi"/>
                <w:b/>
                <w:color w:val="000000" w:themeColor="text1"/>
                <w:sz w:val="20"/>
                <w:szCs w:val="20"/>
                <w:lang w:val="ro-MD"/>
              </w:rPr>
            </w:pPr>
            <w:r w:rsidRPr="004D7BEA">
              <w:rPr>
                <w:rFonts w:asciiTheme="majorHAnsi" w:hAnsiTheme="majorHAnsi" w:cstheme="majorHAnsi"/>
                <w:b/>
                <w:color w:val="000000" w:themeColor="text1"/>
                <w:sz w:val="20"/>
                <w:szCs w:val="20"/>
                <w:lang w:val="ro-MD"/>
              </w:rPr>
              <w:t>Contracte încheiate</w:t>
            </w:r>
          </w:p>
        </w:tc>
        <w:tc>
          <w:tcPr>
            <w:tcW w:w="1415" w:type="dxa"/>
            <w:vMerge w:val="restart"/>
            <w:vAlign w:val="center"/>
          </w:tcPr>
          <w:p w:rsidR="00E67099" w:rsidRPr="004D7BEA" w:rsidRDefault="00E67099" w:rsidP="00E67099">
            <w:pPr>
              <w:tabs>
                <w:tab w:val="left" w:pos="993"/>
              </w:tabs>
              <w:spacing w:line="276" w:lineRule="auto"/>
              <w:jc w:val="center"/>
              <w:outlineLvl w:val="2"/>
              <w:rPr>
                <w:rFonts w:asciiTheme="majorHAnsi" w:hAnsiTheme="majorHAnsi" w:cstheme="majorHAnsi"/>
                <w:b/>
                <w:color w:val="000000" w:themeColor="text1"/>
                <w:sz w:val="20"/>
                <w:szCs w:val="20"/>
                <w:lang w:val="ro-MD"/>
              </w:rPr>
            </w:pPr>
            <w:r w:rsidRPr="004D7BEA">
              <w:rPr>
                <w:rFonts w:asciiTheme="majorHAnsi" w:hAnsiTheme="majorHAnsi" w:cstheme="majorHAnsi"/>
                <w:b/>
                <w:color w:val="000000" w:themeColor="text1"/>
                <w:sz w:val="20"/>
                <w:szCs w:val="20"/>
                <w:lang w:val="ro-MD"/>
              </w:rPr>
              <w:t xml:space="preserve">Suma compensațiilor acordate </w:t>
            </w:r>
          </w:p>
        </w:tc>
        <w:tc>
          <w:tcPr>
            <w:tcW w:w="1600" w:type="dxa"/>
            <w:vMerge w:val="restart"/>
            <w:vAlign w:val="center"/>
          </w:tcPr>
          <w:p w:rsidR="00E67099" w:rsidRPr="004D7BEA" w:rsidRDefault="00E67099" w:rsidP="00E67099">
            <w:pPr>
              <w:tabs>
                <w:tab w:val="left" w:pos="993"/>
              </w:tabs>
              <w:spacing w:line="276" w:lineRule="auto"/>
              <w:jc w:val="center"/>
              <w:outlineLvl w:val="2"/>
              <w:rPr>
                <w:rFonts w:asciiTheme="majorHAnsi" w:hAnsiTheme="majorHAnsi" w:cstheme="majorHAnsi"/>
                <w:b/>
                <w:color w:val="000000" w:themeColor="text1"/>
                <w:sz w:val="20"/>
                <w:szCs w:val="20"/>
                <w:lang w:val="ro-MD"/>
              </w:rPr>
            </w:pPr>
            <w:r w:rsidRPr="004D7BEA">
              <w:rPr>
                <w:rFonts w:asciiTheme="majorHAnsi" w:hAnsiTheme="majorHAnsi" w:cstheme="majorHAnsi"/>
                <w:b/>
                <w:color w:val="000000" w:themeColor="text1"/>
                <w:sz w:val="20"/>
                <w:szCs w:val="20"/>
                <w:lang w:val="ro-MD"/>
              </w:rPr>
              <w:t>Numărul de beneficiari de la debutul Programului</w:t>
            </w:r>
          </w:p>
        </w:tc>
        <w:tc>
          <w:tcPr>
            <w:tcW w:w="1701" w:type="dxa"/>
            <w:gridSpan w:val="2"/>
            <w:vAlign w:val="center"/>
          </w:tcPr>
          <w:p w:rsidR="00E67099" w:rsidRPr="004D7BEA" w:rsidRDefault="00E67099" w:rsidP="00E67099">
            <w:pPr>
              <w:tabs>
                <w:tab w:val="left" w:pos="993"/>
              </w:tabs>
              <w:spacing w:line="276" w:lineRule="auto"/>
              <w:jc w:val="center"/>
              <w:outlineLvl w:val="2"/>
              <w:rPr>
                <w:rFonts w:asciiTheme="majorHAnsi" w:hAnsiTheme="majorHAnsi" w:cstheme="majorHAnsi"/>
                <w:b/>
                <w:color w:val="000000" w:themeColor="text1"/>
                <w:sz w:val="20"/>
                <w:szCs w:val="20"/>
                <w:lang w:val="ro-MD"/>
              </w:rPr>
            </w:pPr>
            <w:r w:rsidRPr="004D7BEA">
              <w:rPr>
                <w:rFonts w:asciiTheme="majorHAnsi" w:hAnsiTheme="majorHAnsi" w:cstheme="majorHAnsi"/>
                <w:b/>
                <w:color w:val="000000" w:themeColor="text1"/>
                <w:sz w:val="20"/>
                <w:szCs w:val="20"/>
                <w:lang w:val="ro-MD"/>
              </w:rPr>
              <w:t>Contracte încheiate de la debutul Programului</w:t>
            </w:r>
          </w:p>
        </w:tc>
      </w:tr>
      <w:tr w:rsidR="00E67099" w:rsidRPr="00E67099" w:rsidTr="00A36731">
        <w:trPr>
          <w:jc w:val="center"/>
        </w:trPr>
        <w:tc>
          <w:tcPr>
            <w:tcW w:w="1696" w:type="dxa"/>
            <w:vMerge/>
            <w:vAlign w:val="center"/>
          </w:tcPr>
          <w:p w:rsidR="00E67099" w:rsidRPr="004D7BEA" w:rsidRDefault="00E67099" w:rsidP="00E67099">
            <w:pPr>
              <w:tabs>
                <w:tab w:val="left" w:pos="993"/>
              </w:tabs>
              <w:spacing w:line="276" w:lineRule="auto"/>
              <w:jc w:val="both"/>
              <w:outlineLvl w:val="2"/>
              <w:rPr>
                <w:rFonts w:asciiTheme="majorHAnsi" w:hAnsiTheme="majorHAnsi" w:cstheme="majorHAnsi"/>
                <w:color w:val="000000" w:themeColor="text1"/>
                <w:sz w:val="20"/>
                <w:szCs w:val="20"/>
                <w:lang w:val="ro-MD"/>
              </w:rPr>
            </w:pPr>
          </w:p>
        </w:tc>
        <w:tc>
          <w:tcPr>
            <w:tcW w:w="918" w:type="dxa"/>
            <w:vMerge/>
            <w:vAlign w:val="center"/>
          </w:tcPr>
          <w:p w:rsidR="00E67099" w:rsidRPr="004D7BEA" w:rsidRDefault="00E67099" w:rsidP="00E67099">
            <w:pPr>
              <w:tabs>
                <w:tab w:val="left" w:pos="993"/>
              </w:tabs>
              <w:spacing w:line="276" w:lineRule="auto"/>
              <w:jc w:val="both"/>
              <w:outlineLvl w:val="2"/>
              <w:rPr>
                <w:rFonts w:asciiTheme="majorHAnsi" w:hAnsiTheme="majorHAnsi" w:cstheme="majorHAnsi"/>
                <w:color w:val="000000" w:themeColor="text1"/>
                <w:sz w:val="20"/>
                <w:szCs w:val="20"/>
                <w:lang w:val="ro-MD"/>
              </w:rPr>
            </w:pPr>
          </w:p>
        </w:tc>
        <w:tc>
          <w:tcPr>
            <w:tcW w:w="1063" w:type="dxa"/>
            <w:vMerge/>
            <w:vAlign w:val="center"/>
          </w:tcPr>
          <w:p w:rsidR="00E67099" w:rsidRPr="004D7BEA" w:rsidRDefault="00E67099" w:rsidP="00E67099">
            <w:pPr>
              <w:tabs>
                <w:tab w:val="left" w:pos="993"/>
              </w:tabs>
              <w:spacing w:line="276" w:lineRule="auto"/>
              <w:jc w:val="both"/>
              <w:outlineLvl w:val="2"/>
              <w:rPr>
                <w:rFonts w:asciiTheme="majorHAnsi" w:hAnsiTheme="majorHAnsi" w:cstheme="majorHAnsi"/>
                <w:color w:val="000000" w:themeColor="text1"/>
                <w:sz w:val="20"/>
                <w:szCs w:val="20"/>
                <w:lang w:val="ro-MD"/>
              </w:rPr>
            </w:pPr>
          </w:p>
        </w:tc>
        <w:tc>
          <w:tcPr>
            <w:tcW w:w="746" w:type="dxa"/>
            <w:vAlign w:val="center"/>
          </w:tcPr>
          <w:p w:rsidR="00E67099" w:rsidRPr="004D7BEA" w:rsidRDefault="00E67099" w:rsidP="00E67099">
            <w:pPr>
              <w:tabs>
                <w:tab w:val="left" w:pos="993"/>
              </w:tabs>
              <w:spacing w:line="276" w:lineRule="auto"/>
              <w:jc w:val="center"/>
              <w:outlineLvl w:val="2"/>
              <w:rPr>
                <w:rFonts w:asciiTheme="majorHAnsi" w:hAnsiTheme="majorHAnsi" w:cstheme="majorHAnsi"/>
                <w:b/>
                <w:color w:val="000000" w:themeColor="text1"/>
                <w:sz w:val="20"/>
                <w:szCs w:val="20"/>
                <w:lang w:val="ro-MD"/>
              </w:rPr>
            </w:pPr>
            <w:r w:rsidRPr="004D7BEA">
              <w:rPr>
                <w:rFonts w:asciiTheme="majorHAnsi" w:hAnsiTheme="majorHAnsi" w:cstheme="majorHAnsi"/>
                <w:b/>
                <w:color w:val="000000" w:themeColor="text1"/>
                <w:sz w:val="20"/>
                <w:szCs w:val="20"/>
                <w:lang w:val="ro-MD"/>
              </w:rPr>
              <w:t>Număr</w:t>
            </w:r>
          </w:p>
        </w:tc>
        <w:tc>
          <w:tcPr>
            <w:tcW w:w="921" w:type="dxa"/>
            <w:vAlign w:val="center"/>
          </w:tcPr>
          <w:p w:rsidR="00E67099" w:rsidRPr="004D7BEA" w:rsidRDefault="00E67099" w:rsidP="00E67099">
            <w:pPr>
              <w:tabs>
                <w:tab w:val="left" w:pos="993"/>
              </w:tabs>
              <w:spacing w:line="276" w:lineRule="auto"/>
              <w:jc w:val="center"/>
              <w:outlineLvl w:val="2"/>
              <w:rPr>
                <w:rFonts w:asciiTheme="majorHAnsi" w:hAnsiTheme="majorHAnsi" w:cstheme="majorHAnsi"/>
                <w:b/>
                <w:color w:val="000000" w:themeColor="text1"/>
                <w:sz w:val="20"/>
                <w:szCs w:val="20"/>
                <w:lang w:val="ro-MD"/>
              </w:rPr>
            </w:pPr>
            <w:r w:rsidRPr="004D7BEA">
              <w:rPr>
                <w:rFonts w:asciiTheme="majorHAnsi" w:hAnsiTheme="majorHAnsi" w:cstheme="majorHAnsi"/>
                <w:b/>
                <w:color w:val="000000" w:themeColor="text1"/>
                <w:sz w:val="20"/>
                <w:szCs w:val="20"/>
                <w:lang w:val="ro-MD"/>
              </w:rPr>
              <w:t>Suma (mil. lei)</w:t>
            </w:r>
          </w:p>
        </w:tc>
        <w:tc>
          <w:tcPr>
            <w:tcW w:w="1415" w:type="dxa"/>
            <w:vMerge/>
            <w:vAlign w:val="center"/>
          </w:tcPr>
          <w:p w:rsidR="00E67099" w:rsidRPr="004D7BEA" w:rsidRDefault="00E67099" w:rsidP="00E67099">
            <w:pPr>
              <w:tabs>
                <w:tab w:val="left" w:pos="993"/>
              </w:tabs>
              <w:spacing w:line="276" w:lineRule="auto"/>
              <w:jc w:val="both"/>
              <w:outlineLvl w:val="2"/>
              <w:rPr>
                <w:rFonts w:asciiTheme="majorHAnsi" w:hAnsiTheme="majorHAnsi" w:cstheme="majorHAnsi"/>
                <w:color w:val="000000" w:themeColor="text1"/>
                <w:sz w:val="20"/>
                <w:szCs w:val="20"/>
                <w:lang w:val="ro-MD"/>
              </w:rPr>
            </w:pPr>
          </w:p>
        </w:tc>
        <w:tc>
          <w:tcPr>
            <w:tcW w:w="1600" w:type="dxa"/>
            <w:vMerge/>
            <w:vAlign w:val="center"/>
          </w:tcPr>
          <w:p w:rsidR="00E67099" w:rsidRPr="004D7BEA" w:rsidRDefault="00E67099" w:rsidP="00E67099">
            <w:pPr>
              <w:tabs>
                <w:tab w:val="left" w:pos="993"/>
              </w:tabs>
              <w:spacing w:line="276" w:lineRule="auto"/>
              <w:jc w:val="both"/>
              <w:outlineLvl w:val="2"/>
              <w:rPr>
                <w:rFonts w:asciiTheme="majorHAnsi" w:hAnsiTheme="majorHAnsi" w:cstheme="majorHAnsi"/>
                <w:color w:val="000000" w:themeColor="text1"/>
                <w:sz w:val="20"/>
                <w:szCs w:val="20"/>
                <w:lang w:val="ro-MD"/>
              </w:rPr>
            </w:pPr>
          </w:p>
        </w:tc>
        <w:tc>
          <w:tcPr>
            <w:tcW w:w="802" w:type="dxa"/>
            <w:vAlign w:val="center"/>
          </w:tcPr>
          <w:p w:rsidR="00E67099" w:rsidRPr="004D7BEA" w:rsidRDefault="00E67099" w:rsidP="00E67099">
            <w:pPr>
              <w:tabs>
                <w:tab w:val="left" w:pos="993"/>
              </w:tabs>
              <w:spacing w:line="276" w:lineRule="auto"/>
              <w:jc w:val="both"/>
              <w:outlineLvl w:val="2"/>
              <w:rPr>
                <w:rFonts w:asciiTheme="majorHAnsi" w:hAnsiTheme="majorHAnsi" w:cstheme="majorHAnsi"/>
                <w:b/>
                <w:color w:val="000000" w:themeColor="text1"/>
                <w:sz w:val="20"/>
                <w:szCs w:val="20"/>
                <w:lang w:val="ro-MD"/>
              </w:rPr>
            </w:pPr>
            <w:r w:rsidRPr="004D7BEA">
              <w:rPr>
                <w:rFonts w:asciiTheme="majorHAnsi" w:hAnsiTheme="majorHAnsi" w:cstheme="majorHAnsi"/>
                <w:b/>
                <w:color w:val="000000" w:themeColor="text1"/>
                <w:sz w:val="20"/>
                <w:szCs w:val="20"/>
                <w:lang w:val="ro-MD"/>
              </w:rPr>
              <w:t>Număr</w:t>
            </w:r>
          </w:p>
        </w:tc>
        <w:tc>
          <w:tcPr>
            <w:tcW w:w="899" w:type="dxa"/>
            <w:vAlign w:val="center"/>
          </w:tcPr>
          <w:p w:rsidR="00E67099" w:rsidRPr="004D7BEA" w:rsidRDefault="00E67099" w:rsidP="00E67099">
            <w:pPr>
              <w:tabs>
                <w:tab w:val="left" w:pos="993"/>
              </w:tabs>
              <w:spacing w:line="276" w:lineRule="auto"/>
              <w:jc w:val="both"/>
              <w:outlineLvl w:val="2"/>
              <w:rPr>
                <w:rFonts w:asciiTheme="majorHAnsi" w:hAnsiTheme="majorHAnsi" w:cstheme="majorHAnsi"/>
                <w:b/>
                <w:color w:val="000000" w:themeColor="text1"/>
                <w:sz w:val="20"/>
                <w:szCs w:val="20"/>
                <w:lang w:val="ro-MD"/>
              </w:rPr>
            </w:pPr>
            <w:r w:rsidRPr="004D7BEA">
              <w:rPr>
                <w:rFonts w:asciiTheme="majorHAnsi" w:hAnsiTheme="majorHAnsi" w:cstheme="majorHAnsi"/>
                <w:b/>
                <w:color w:val="000000" w:themeColor="text1"/>
                <w:sz w:val="20"/>
                <w:szCs w:val="20"/>
                <w:lang w:val="ro-MD"/>
              </w:rPr>
              <w:t>Suma (mil. lei)</w:t>
            </w:r>
          </w:p>
        </w:tc>
      </w:tr>
      <w:tr w:rsidR="00E67099" w:rsidRPr="00E67099" w:rsidTr="00A36731">
        <w:trPr>
          <w:jc w:val="center"/>
        </w:trPr>
        <w:tc>
          <w:tcPr>
            <w:tcW w:w="1696" w:type="dxa"/>
          </w:tcPr>
          <w:p w:rsidR="00E67099" w:rsidRPr="004D7BEA" w:rsidRDefault="00E67099" w:rsidP="00E67099">
            <w:pPr>
              <w:tabs>
                <w:tab w:val="left" w:pos="993"/>
              </w:tabs>
              <w:spacing w:line="276" w:lineRule="auto"/>
              <w:jc w:val="both"/>
              <w:outlineLvl w:val="2"/>
              <w:rPr>
                <w:rFonts w:asciiTheme="majorHAnsi" w:hAnsiTheme="majorHAnsi" w:cstheme="majorHAnsi"/>
                <w:sz w:val="20"/>
                <w:szCs w:val="20"/>
                <w:lang w:val="ro-MD"/>
              </w:rPr>
            </w:pPr>
            <w:r w:rsidRPr="004D7BEA">
              <w:rPr>
                <w:rFonts w:asciiTheme="majorHAnsi" w:hAnsiTheme="majorHAnsi" w:cstheme="majorHAnsi"/>
                <w:sz w:val="20"/>
                <w:szCs w:val="20"/>
                <w:lang w:val="ro-MD"/>
              </w:rPr>
              <w:t>Prima casă 2</w:t>
            </w:r>
          </w:p>
        </w:tc>
        <w:tc>
          <w:tcPr>
            <w:tcW w:w="918" w:type="dxa"/>
          </w:tcPr>
          <w:p w:rsidR="00E67099" w:rsidRPr="004D7BEA" w:rsidRDefault="00E67099" w:rsidP="00E67099">
            <w:pPr>
              <w:tabs>
                <w:tab w:val="left" w:pos="993"/>
              </w:tabs>
              <w:spacing w:line="276" w:lineRule="auto"/>
              <w:jc w:val="right"/>
              <w:outlineLvl w:val="2"/>
              <w:rPr>
                <w:rFonts w:asciiTheme="majorHAnsi" w:hAnsiTheme="majorHAnsi" w:cstheme="majorHAnsi"/>
                <w:sz w:val="20"/>
                <w:szCs w:val="20"/>
                <w:lang w:val="ro-MD"/>
              </w:rPr>
            </w:pPr>
            <w:r w:rsidRPr="004D7BEA">
              <w:rPr>
                <w:rFonts w:asciiTheme="majorHAnsi" w:hAnsiTheme="majorHAnsi" w:cstheme="majorHAnsi"/>
                <w:sz w:val="20"/>
                <w:szCs w:val="20"/>
                <w:lang w:val="ro-MD"/>
              </w:rPr>
              <w:t>451</w:t>
            </w:r>
          </w:p>
        </w:tc>
        <w:tc>
          <w:tcPr>
            <w:tcW w:w="1063" w:type="dxa"/>
          </w:tcPr>
          <w:p w:rsidR="00E67099" w:rsidRPr="004D7BEA" w:rsidRDefault="00E67099" w:rsidP="00E67099">
            <w:pPr>
              <w:tabs>
                <w:tab w:val="left" w:pos="993"/>
              </w:tabs>
              <w:spacing w:line="276" w:lineRule="auto"/>
              <w:jc w:val="right"/>
              <w:outlineLvl w:val="2"/>
              <w:rPr>
                <w:rFonts w:asciiTheme="majorHAnsi" w:hAnsiTheme="majorHAnsi" w:cstheme="majorHAnsi"/>
                <w:sz w:val="20"/>
                <w:szCs w:val="20"/>
                <w:lang w:val="ro-MD"/>
              </w:rPr>
            </w:pPr>
            <w:r w:rsidRPr="004D7BEA">
              <w:rPr>
                <w:rFonts w:asciiTheme="majorHAnsi" w:hAnsiTheme="majorHAnsi" w:cstheme="majorHAnsi"/>
                <w:sz w:val="20"/>
                <w:szCs w:val="20"/>
                <w:lang w:val="ro-MD"/>
              </w:rPr>
              <w:t>394</w:t>
            </w:r>
          </w:p>
        </w:tc>
        <w:tc>
          <w:tcPr>
            <w:tcW w:w="746" w:type="dxa"/>
          </w:tcPr>
          <w:p w:rsidR="00E67099" w:rsidRPr="004D7BEA" w:rsidRDefault="00E67099" w:rsidP="00E67099">
            <w:pPr>
              <w:tabs>
                <w:tab w:val="left" w:pos="993"/>
              </w:tabs>
              <w:spacing w:line="276" w:lineRule="auto"/>
              <w:jc w:val="right"/>
              <w:outlineLvl w:val="2"/>
              <w:rPr>
                <w:rFonts w:asciiTheme="majorHAnsi" w:hAnsiTheme="majorHAnsi" w:cstheme="majorHAnsi"/>
                <w:sz w:val="20"/>
                <w:szCs w:val="20"/>
                <w:lang w:val="ro-MD"/>
              </w:rPr>
            </w:pPr>
            <w:r w:rsidRPr="004D7BEA">
              <w:rPr>
                <w:rFonts w:asciiTheme="majorHAnsi" w:hAnsiTheme="majorHAnsi" w:cstheme="majorHAnsi"/>
                <w:sz w:val="20"/>
                <w:szCs w:val="20"/>
                <w:lang w:val="ro-MD"/>
              </w:rPr>
              <w:t>394</w:t>
            </w:r>
          </w:p>
        </w:tc>
        <w:tc>
          <w:tcPr>
            <w:tcW w:w="921" w:type="dxa"/>
          </w:tcPr>
          <w:p w:rsidR="00E67099" w:rsidRPr="004D7BEA" w:rsidRDefault="00E67099" w:rsidP="00E67099">
            <w:pPr>
              <w:tabs>
                <w:tab w:val="left" w:pos="993"/>
              </w:tabs>
              <w:spacing w:line="276" w:lineRule="auto"/>
              <w:jc w:val="right"/>
              <w:outlineLvl w:val="2"/>
              <w:rPr>
                <w:rFonts w:asciiTheme="majorHAnsi" w:hAnsiTheme="majorHAnsi" w:cstheme="majorHAnsi"/>
                <w:sz w:val="20"/>
                <w:szCs w:val="20"/>
                <w:lang w:val="ro-MD"/>
              </w:rPr>
            </w:pPr>
            <w:r w:rsidRPr="004D7BEA">
              <w:rPr>
                <w:rFonts w:asciiTheme="majorHAnsi" w:hAnsiTheme="majorHAnsi" w:cstheme="majorHAnsi"/>
                <w:sz w:val="20"/>
                <w:szCs w:val="20"/>
                <w:lang w:val="ro-MD"/>
              </w:rPr>
              <w:t>167,5</w:t>
            </w:r>
          </w:p>
        </w:tc>
        <w:tc>
          <w:tcPr>
            <w:tcW w:w="1415" w:type="dxa"/>
          </w:tcPr>
          <w:p w:rsidR="00E67099" w:rsidRPr="004D7BEA" w:rsidRDefault="00E67099" w:rsidP="00E67099">
            <w:pPr>
              <w:tabs>
                <w:tab w:val="left" w:pos="993"/>
              </w:tabs>
              <w:spacing w:line="276" w:lineRule="auto"/>
              <w:jc w:val="right"/>
              <w:outlineLvl w:val="2"/>
              <w:rPr>
                <w:rFonts w:asciiTheme="majorHAnsi" w:hAnsiTheme="majorHAnsi" w:cstheme="majorHAnsi"/>
                <w:sz w:val="20"/>
                <w:szCs w:val="20"/>
                <w:lang w:val="ro-MD"/>
              </w:rPr>
            </w:pPr>
            <w:r w:rsidRPr="004D7BEA">
              <w:rPr>
                <w:rFonts w:asciiTheme="majorHAnsi" w:hAnsiTheme="majorHAnsi" w:cstheme="majorHAnsi"/>
                <w:sz w:val="20"/>
                <w:szCs w:val="20"/>
                <w:lang w:val="ro-MD"/>
              </w:rPr>
              <w:t>2,7</w:t>
            </w:r>
          </w:p>
        </w:tc>
        <w:tc>
          <w:tcPr>
            <w:tcW w:w="1600" w:type="dxa"/>
          </w:tcPr>
          <w:p w:rsidR="00E67099" w:rsidRPr="004D7BEA" w:rsidRDefault="00E67099" w:rsidP="00E67099">
            <w:pPr>
              <w:tabs>
                <w:tab w:val="left" w:pos="993"/>
              </w:tabs>
              <w:spacing w:line="276" w:lineRule="auto"/>
              <w:jc w:val="right"/>
              <w:outlineLvl w:val="2"/>
              <w:rPr>
                <w:rFonts w:asciiTheme="majorHAnsi" w:hAnsiTheme="majorHAnsi" w:cstheme="majorHAnsi"/>
                <w:sz w:val="20"/>
                <w:szCs w:val="20"/>
                <w:lang w:val="ro-MD"/>
              </w:rPr>
            </w:pPr>
            <w:r w:rsidRPr="004D7BEA">
              <w:rPr>
                <w:rFonts w:asciiTheme="majorHAnsi" w:hAnsiTheme="majorHAnsi" w:cstheme="majorHAnsi"/>
                <w:sz w:val="20"/>
                <w:szCs w:val="20"/>
                <w:lang w:val="ro-MD"/>
              </w:rPr>
              <w:t>533</w:t>
            </w:r>
          </w:p>
        </w:tc>
        <w:tc>
          <w:tcPr>
            <w:tcW w:w="802" w:type="dxa"/>
          </w:tcPr>
          <w:p w:rsidR="00E67099" w:rsidRPr="004D7BEA" w:rsidRDefault="00E67099" w:rsidP="00E67099">
            <w:pPr>
              <w:tabs>
                <w:tab w:val="left" w:pos="993"/>
              </w:tabs>
              <w:spacing w:line="276" w:lineRule="auto"/>
              <w:jc w:val="right"/>
              <w:outlineLvl w:val="2"/>
              <w:rPr>
                <w:rFonts w:asciiTheme="majorHAnsi" w:hAnsiTheme="majorHAnsi" w:cstheme="majorHAnsi"/>
                <w:sz w:val="20"/>
                <w:szCs w:val="20"/>
                <w:lang w:val="ro-MD"/>
              </w:rPr>
            </w:pPr>
            <w:r w:rsidRPr="004D7BEA">
              <w:rPr>
                <w:rFonts w:asciiTheme="majorHAnsi" w:hAnsiTheme="majorHAnsi" w:cstheme="majorHAnsi"/>
                <w:sz w:val="20"/>
                <w:szCs w:val="20"/>
                <w:lang w:val="ro-MD"/>
              </w:rPr>
              <w:t>533</w:t>
            </w:r>
          </w:p>
        </w:tc>
        <w:tc>
          <w:tcPr>
            <w:tcW w:w="899" w:type="dxa"/>
          </w:tcPr>
          <w:p w:rsidR="00E67099" w:rsidRPr="004D7BEA" w:rsidRDefault="00E67099" w:rsidP="00E67099">
            <w:pPr>
              <w:tabs>
                <w:tab w:val="left" w:pos="993"/>
              </w:tabs>
              <w:spacing w:line="276" w:lineRule="auto"/>
              <w:jc w:val="right"/>
              <w:outlineLvl w:val="2"/>
              <w:rPr>
                <w:rFonts w:asciiTheme="majorHAnsi" w:hAnsiTheme="majorHAnsi" w:cstheme="majorHAnsi"/>
                <w:sz w:val="20"/>
                <w:szCs w:val="20"/>
                <w:lang w:val="ro-MD"/>
              </w:rPr>
            </w:pPr>
            <w:r w:rsidRPr="004D7BEA">
              <w:rPr>
                <w:rFonts w:asciiTheme="majorHAnsi" w:hAnsiTheme="majorHAnsi" w:cstheme="majorHAnsi"/>
                <w:sz w:val="20"/>
                <w:szCs w:val="20"/>
                <w:lang w:val="ro-MD"/>
              </w:rPr>
              <w:t>224,2</w:t>
            </w:r>
          </w:p>
        </w:tc>
      </w:tr>
      <w:tr w:rsidR="00E67099" w:rsidRPr="00E67099" w:rsidTr="00A36731">
        <w:trPr>
          <w:jc w:val="center"/>
        </w:trPr>
        <w:tc>
          <w:tcPr>
            <w:tcW w:w="1696" w:type="dxa"/>
          </w:tcPr>
          <w:p w:rsidR="00E67099" w:rsidRPr="004D7BEA" w:rsidRDefault="00E67099" w:rsidP="00E67099">
            <w:pPr>
              <w:tabs>
                <w:tab w:val="left" w:pos="993"/>
              </w:tabs>
              <w:spacing w:line="276" w:lineRule="auto"/>
              <w:jc w:val="both"/>
              <w:outlineLvl w:val="2"/>
              <w:rPr>
                <w:rFonts w:asciiTheme="majorHAnsi" w:hAnsiTheme="majorHAnsi" w:cstheme="majorHAnsi"/>
                <w:sz w:val="20"/>
                <w:szCs w:val="20"/>
                <w:lang w:val="ro-MD"/>
              </w:rPr>
            </w:pPr>
            <w:r w:rsidRPr="004D7BEA">
              <w:rPr>
                <w:rFonts w:asciiTheme="majorHAnsi" w:hAnsiTheme="majorHAnsi" w:cstheme="majorHAnsi"/>
                <w:sz w:val="20"/>
                <w:szCs w:val="20"/>
                <w:lang w:val="ro-MD"/>
              </w:rPr>
              <w:t>Prima casă 3</w:t>
            </w:r>
          </w:p>
        </w:tc>
        <w:tc>
          <w:tcPr>
            <w:tcW w:w="918" w:type="dxa"/>
          </w:tcPr>
          <w:p w:rsidR="00E67099" w:rsidRPr="004D7BEA" w:rsidRDefault="00E67099" w:rsidP="00E67099">
            <w:pPr>
              <w:tabs>
                <w:tab w:val="left" w:pos="993"/>
              </w:tabs>
              <w:spacing w:line="276" w:lineRule="auto"/>
              <w:jc w:val="right"/>
              <w:outlineLvl w:val="2"/>
              <w:rPr>
                <w:rFonts w:asciiTheme="majorHAnsi" w:hAnsiTheme="majorHAnsi" w:cstheme="majorHAnsi"/>
                <w:sz w:val="20"/>
                <w:szCs w:val="20"/>
                <w:lang w:val="ro-MD"/>
              </w:rPr>
            </w:pPr>
            <w:r w:rsidRPr="004D7BEA">
              <w:rPr>
                <w:rFonts w:asciiTheme="majorHAnsi" w:hAnsiTheme="majorHAnsi" w:cstheme="majorHAnsi"/>
                <w:sz w:val="20"/>
                <w:szCs w:val="20"/>
                <w:lang w:val="ro-MD"/>
              </w:rPr>
              <w:t>1076</w:t>
            </w:r>
          </w:p>
        </w:tc>
        <w:tc>
          <w:tcPr>
            <w:tcW w:w="1063" w:type="dxa"/>
          </w:tcPr>
          <w:p w:rsidR="00E67099" w:rsidRPr="004D7BEA" w:rsidRDefault="00E67099" w:rsidP="00E67099">
            <w:pPr>
              <w:tabs>
                <w:tab w:val="left" w:pos="993"/>
              </w:tabs>
              <w:spacing w:line="276" w:lineRule="auto"/>
              <w:jc w:val="right"/>
              <w:outlineLvl w:val="2"/>
              <w:rPr>
                <w:rFonts w:asciiTheme="majorHAnsi" w:hAnsiTheme="majorHAnsi" w:cstheme="majorHAnsi"/>
                <w:sz w:val="20"/>
                <w:szCs w:val="20"/>
                <w:lang w:val="ro-MD"/>
              </w:rPr>
            </w:pPr>
            <w:r w:rsidRPr="004D7BEA">
              <w:rPr>
                <w:rFonts w:asciiTheme="majorHAnsi" w:hAnsiTheme="majorHAnsi" w:cstheme="majorHAnsi"/>
                <w:sz w:val="20"/>
                <w:szCs w:val="20"/>
                <w:lang w:val="ro-MD"/>
              </w:rPr>
              <w:t>1024</w:t>
            </w:r>
          </w:p>
        </w:tc>
        <w:tc>
          <w:tcPr>
            <w:tcW w:w="746" w:type="dxa"/>
          </w:tcPr>
          <w:p w:rsidR="00E67099" w:rsidRPr="004D7BEA" w:rsidRDefault="00E67099" w:rsidP="00E67099">
            <w:pPr>
              <w:tabs>
                <w:tab w:val="left" w:pos="993"/>
              </w:tabs>
              <w:spacing w:line="276" w:lineRule="auto"/>
              <w:jc w:val="right"/>
              <w:outlineLvl w:val="2"/>
              <w:rPr>
                <w:rFonts w:asciiTheme="majorHAnsi" w:hAnsiTheme="majorHAnsi" w:cstheme="majorHAnsi"/>
                <w:sz w:val="20"/>
                <w:szCs w:val="20"/>
                <w:lang w:val="ro-MD"/>
              </w:rPr>
            </w:pPr>
            <w:r w:rsidRPr="004D7BEA">
              <w:rPr>
                <w:rFonts w:asciiTheme="majorHAnsi" w:hAnsiTheme="majorHAnsi" w:cstheme="majorHAnsi"/>
                <w:sz w:val="20"/>
                <w:szCs w:val="20"/>
                <w:lang w:val="ro-MD"/>
              </w:rPr>
              <w:t>1024</w:t>
            </w:r>
          </w:p>
        </w:tc>
        <w:tc>
          <w:tcPr>
            <w:tcW w:w="921" w:type="dxa"/>
          </w:tcPr>
          <w:p w:rsidR="00E67099" w:rsidRPr="004D7BEA" w:rsidRDefault="00E67099" w:rsidP="00E67099">
            <w:pPr>
              <w:tabs>
                <w:tab w:val="left" w:pos="993"/>
              </w:tabs>
              <w:spacing w:line="276" w:lineRule="auto"/>
              <w:jc w:val="right"/>
              <w:outlineLvl w:val="2"/>
              <w:rPr>
                <w:rFonts w:asciiTheme="majorHAnsi" w:hAnsiTheme="majorHAnsi" w:cstheme="majorHAnsi"/>
                <w:sz w:val="20"/>
                <w:szCs w:val="20"/>
                <w:lang w:val="ro-MD"/>
              </w:rPr>
            </w:pPr>
            <w:r w:rsidRPr="004D7BEA">
              <w:rPr>
                <w:rFonts w:asciiTheme="majorHAnsi" w:hAnsiTheme="majorHAnsi" w:cstheme="majorHAnsi"/>
                <w:sz w:val="20"/>
                <w:szCs w:val="20"/>
                <w:lang w:val="ro-MD"/>
              </w:rPr>
              <w:t>540,2</w:t>
            </w:r>
          </w:p>
        </w:tc>
        <w:tc>
          <w:tcPr>
            <w:tcW w:w="1415" w:type="dxa"/>
          </w:tcPr>
          <w:p w:rsidR="00E67099" w:rsidRPr="004D7BEA" w:rsidRDefault="00E67099" w:rsidP="00E67099">
            <w:pPr>
              <w:tabs>
                <w:tab w:val="left" w:pos="993"/>
              </w:tabs>
              <w:spacing w:line="276" w:lineRule="auto"/>
              <w:jc w:val="right"/>
              <w:outlineLvl w:val="2"/>
              <w:rPr>
                <w:rFonts w:asciiTheme="majorHAnsi" w:hAnsiTheme="majorHAnsi" w:cstheme="majorHAnsi"/>
                <w:sz w:val="20"/>
                <w:szCs w:val="20"/>
                <w:lang w:val="ro-MD"/>
              </w:rPr>
            </w:pPr>
            <w:r w:rsidRPr="004D7BEA">
              <w:rPr>
                <w:rFonts w:asciiTheme="majorHAnsi" w:hAnsiTheme="majorHAnsi" w:cstheme="majorHAnsi"/>
                <w:sz w:val="20"/>
                <w:szCs w:val="20"/>
                <w:lang w:val="ro-MD"/>
              </w:rPr>
              <w:t>5,3</w:t>
            </w:r>
          </w:p>
        </w:tc>
        <w:tc>
          <w:tcPr>
            <w:tcW w:w="1600" w:type="dxa"/>
          </w:tcPr>
          <w:p w:rsidR="00E67099" w:rsidRPr="004D7BEA" w:rsidRDefault="00E67099" w:rsidP="00E67099">
            <w:pPr>
              <w:tabs>
                <w:tab w:val="left" w:pos="993"/>
              </w:tabs>
              <w:spacing w:line="276" w:lineRule="auto"/>
              <w:jc w:val="right"/>
              <w:outlineLvl w:val="2"/>
              <w:rPr>
                <w:rFonts w:asciiTheme="majorHAnsi" w:hAnsiTheme="majorHAnsi" w:cstheme="majorHAnsi"/>
                <w:sz w:val="20"/>
                <w:szCs w:val="20"/>
                <w:lang w:val="ro-MD"/>
              </w:rPr>
            </w:pPr>
            <w:r w:rsidRPr="004D7BEA">
              <w:rPr>
                <w:rFonts w:asciiTheme="majorHAnsi" w:hAnsiTheme="majorHAnsi" w:cstheme="majorHAnsi"/>
                <w:sz w:val="20"/>
                <w:szCs w:val="20"/>
                <w:lang w:val="ro-MD"/>
              </w:rPr>
              <w:t>1292</w:t>
            </w:r>
          </w:p>
        </w:tc>
        <w:tc>
          <w:tcPr>
            <w:tcW w:w="802" w:type="dxa"/>
          </w:tcPr>
          <w:p w:rsidR="00E67099" w:rsidRPr="004D7BEA" w:rsidRDefault="00E67099" w:rsidP="00E67099">
            <w:pPr>
              <w:tabs>
                <w:tab w:val="left" w:pos="993"/>
              </w:tabs>
              <w:spacing w:line="276" w:lineRule="auto"/>
              <w:jc w:val="right"/>
              <w:outlineLvl w:val="2"/>
              <w:rPr>
                <w:rFonts w:asciiTheme="majorHAnsi" w:hAnsiTheme="majorHAnsi" w:cstheme="majorHAnsi"/>
                <w:sz w:val="20"/>
                <w:szCs w:val="20"/>
                <w:lang w:val="ro-MD"/>
              </w:rPr>
            </w:pPr>
            <w:r w:rsidRPr="004D7BEA">
              <w:rPr>
                <w:rFonts w:asciiTheme="majorHAnsi" w:hAnsiTheme="majorHAnsi" w:cstheme="majorHAnsi"/>
                <w:sz w:val="20"/>
                <w:szCs w:val="20"/>
                <w:lang w:val="ro-MD"/>
              </w:rPr>
              <w:t>1292</w:t>
            </w:r>
          </w:p>
        </w:tc>
        <w:tc>
          <w:tcPr>
            <w:tcW w:w="899" w:type="dxa"/>
          </w:tcPr>
          <w:p w:rsidR="00E67099" w:rsidRPr="004D7BEA" w:rsidRDefault="00E67099" w:rsidP="00E67099">
            <w:pPr>
              <w:tabs>
                <w:tab w:val="left" w:pos="993"/>
              </w:tabs>
              <w:spacing w:line="276" w:lineRule="auto"/>
              <w:jc w:val="right"/>
              <w:outlineLvl w:val="2"/>
              <w:rPr>
                <w:rFonts w:asciiTheme="majorHAnsi" w:hAnsiTheme="majorHAnsi" w:cstheme="majorHAnsi"/>
                <w:sz w:val="20"/>
                <w:szCs w:val="20"/>
                <w:lang w:val="ro-MD"/>
              </w:rPr>
            </w:pPr>
            <w:r w:rsidRPr="004D7BEA">
              <w:rPr>
                <w:rFonts w:asciiTheme="majorHAnsi" w:hAnsiTheme="majorHAnsi" w:cstheme="majorHAnsi"/>
                <w:sz w:val="20"/>
                <w:szCs w:val="20"/>
                <w:lang w:val="ro-MD"/>
              </w:rPr>
              <w:t>570,6</w:t>
            </w:r>
          </w:p>
        </w:tc>
      </w:tr>
      <w:tr w:rsidR="00E67099" w:rsidRPr="00E67099" w:rsidTr="00A36731">
        <w:trPr>
          <w:jc w:val="center"/>
        </w:trPr>
        <w:tc>
          <w:tcPr>
            <w:tcW w:w="1696" w:type="dxa"/>
          </w:tcPr>
          <w:p w:rsidR="00E67099" w:rsidRPr="004D7BEA" w:rsidRDefault="00E67099" w:rsidP="00E67099">
            <w:pPr>
              <w:tabs>
                <w:tab w:val="left" w:pos="993"/>
              </w:tabs>
              <w:spacing w:line="276" w:lineRule="auto"/>
              <w:jc w:val="both"/>
              <w:outlineLvl w:val="2"/>
              <w:rPr>
                <w:rFonts w:asciiTheme="majorHAnsi" w:hAnsiTheme="majorHAnsi" w:cstheme="majorHAnsi"/>
                <w:sz w:val="20"/>
                <w:szCs w:val="20"/>
                <w:lang w:val="ro-MD"/>
              </w:rPr>
            </w:pPr>
            <w:r w:rsidRPr="004D7BEA">
              <w:rPr>
                <w:rFonts w:asciiTheme="majorHAnsi" w:hAnsiTheme="majorHAnsi" w:cstheme="majorHAnsi"/>
                <w:sz w:val="20"/>
                <w:szCs w:val="20"/>
                <w:lang w:val="ro-MD"/>
              </w:rPr>
              <w:t>Prima casă 4</w:t>
            </w:r>
          </w:p>
        </w:tc>
        <w:tc>
          <w:tcPr>
            <w:tcW w:w="918" w:type="dxa"/>
          </w:tcPr>
          <w:p w:rsidR="00E67099" w:rsidRPr="004D7BEA" w:rsidRDefault="00E67099" w:rsidP="00E67099">
            <w:pPr>
              <w:tabs>
                <w:tab w:val="left" w:pos="993"/>
              </w:tabs>
              <w:spacing w:line="276" w:lineRule="auto"/>
              <w:jc w:val="right"/>
              <w:outlineLvl w:val="2"/>
              <w:rPr>
                <w:rFonts w:asciiTheme="majorHAnsi" w:hAnsiTheme="majorHAnsi" w:cstheme="majorHAnsi"/>
                <w:sz w:val="20"/>
                <w:szCs w:val="20"/>
                <w:lang w:val="ro-MD"/>
              </w:rPr>
            </w:pPr>
            <w:r w:rsidRPr="004D7BEA">
              <w:rPr>
                <w:rFonts w:asciiTheme="majorHAnsi" w:hAnsiTheme="majorHAnsi" w:cstheme="majorHAnsi"/>
                <w:sz w:val="20"/>
                <w:szCs w:val="20"/>
                <w:lang w:val="ro-MD"/>
              </w:rPr>
              <w:t>277</w:t>
            </w:r>
          </w:p>
        </w:tc>
        <w:tc>
          <w:tcPr>
            <w:tcW w:w="1063" w:type="dxa"/>
          </w:tcPr>
          <w:p w:rsidR="00E67099" w:rsidRPr="004D7BEA" w:rsidRDefault="00E67099" w:rsidP="00E67099">
            <w:pPr>
              <w:tabs>
                <w:tab w:val="left" w:pos="993"/>
              </w:tabs>
              <w:spacing w:line="276" w:lineRule="auto"/>
              <w:jc w:val="right"/>
              <w:outlineLvl w:val="2"/>
              <w:rPr>
                <w:rFonts w:asciiTheme="majorHAnsi" w:hAnsiTheme="majorHAnsi" w:cstheme="majorHAnsi"/>
                <w:sz w:val="20"/>
                <w:szCs w:val="20"/>
                <w:lang w:val="ro-MD"/>
              </w:rPr>
            </w:pPr>
            <w:r w:rsidRPr="004D7BEA">
              <w:rPr>
                <w:rFonts w:asciiTheme="majorHAnsi" w:hAnsiTheme="majorHAnsi" w:cstheme="majorHAnsi"/>
                <w:sz w:val="20"/>
                <w:szCs w:val="20"/>
                <w:lang w:val="ro-MD"/>
              </w:rPr>
              <w:t>223</w:t>
            </w:r>
          </w:p>
        </w:tc>
        <w:tc>
          <w:tcPr>
            <w:tcW w:w="746" w:type="dxa"/>
          </w:tcPr>
          <w:p w:rsidR="00E67099" w:rsidRPr="004D7BEA" w:rsidRDefault="00E67099" w:rsidP="00E67099">
            <w:pPr>
              <w:tabs>
                <w:tab w:val="left" w:pos="993"/>
              </w:tabs>
              <w:spacing w:line="276" w:lineRule="auto"/>
              <w:jc w:val="right"/>
              <w:outlineLvl w:val="2"/>
              <w:rPr>
                <w:rFonts w:asciiTheme="majorHAnsi" w:hAnsiTheme="majorHAnsi" w:cstheme="majorHAnsi"/>
                <w:sz w:val="20"/>
                <w:szCs w:val="20"/>
                <w:lang w:val="ro-MD"/>
              </w:rPr>
            </w:pPr>
            <w:r w:rsidRPr="004D7BEA">
              <w:rPr>
                <w:rFonts w:asciiTheme="majorHAnsi" w:hAnsiTheme="majorHAnsi" w:cstheme="majorHAnsi"/>
                <w:sz w:val="20"/>
                <w:szCs w:val="20"/>
                <w:lang w:val="ro-MD"/>
              </w:rPr>
              <w:t>223</w:t>
            </w:r>
          </w:p>
        </w:tc>
        <w:tc>
          <w:tcPr>
            <w:tcW w:w="921" w:type="dxa"/>
          </w:tcPr>
          <w:p w:rsidR="00E67099" w:rsidRPr="004D7BEA" w:rsidRDefault="00E67099" w:rsidP="00E67099">
            <w:pPr>
              <w:tabs>
                <w:tab w:val="left" w:pos="993"/>
              </w:tabs>
              <w:spacing w:line="276" w:lineRule="auto"/>
              <w:jc w:val="right"/>
              <w:outlineLvl w:val="2"/>
              <w:rPr>
                <w:rFonts w:asciiTheme="majorHAnsi" w:hAnsiTheme="majorHAnsi" w:cstheme="majorHAnsi"/>
                <w:sz w:val="20"/>
                <w:szCs w:val="20"/>
                <w:lang w:val="ro-MD"/>
              </w:rPr>
            </w:pPr>
            <w:r w:rsidRPr="004D7BEA">
              <w:rPr>
                <w:rFonts w:asciiTheme="majorHAnsi" w:hAnsiTheme="majorHAnsi" w:cstheme="majorHAnsi"/>
                <w:sz w:val="20"/>
                <w:szCs w:val="20"/>
                <w:lang w:val="ro-MD"/>
              </w:rPr>
              <w:t>32,2</w:t>
            </w:r>
          </w:p>
        </w:tc>
        <w:tc>
          <w:tcPr>
            <w:tcW w:w="1415" w:type="dxa"/>
          </w:tcPr>
          <w:p w:rsidR="00E67099" w:rsidRPr="004D7BEA" w:rsidRDefault="00E67099" w:rsidP="00E67099">
            <w:pPr>
              <w:tabs>
                <w:tab w:val="left" w:pos="993"/>
              </w:tabs>
              <w:spacing w:line="276" w:lineRule="auto"/>
              <w:jc w:val="right"/>
              <w:outlineLvl w:val="2"/>
              <w:rPr>
                <w:rFonts w:asciiTheme="majorHAnsi" w:hAnsiTheme="majorHAnsi" w:cstheme="majorHAnsi"/>
                <w:sz w:val="20"/>
                <w:szCs w:val="20"/>
                <w:lang w:val="ro-MD"/>
              </w:rPr>
            </w:pPr>
            <w:r w:rsidRPr="004D7BEA">
              <w:rPr>
                <w:rFonts w:asciiTheme="majorHAnsi" w:hAnsiTheme="majorHAnsi" w:cstheme="majorHAnsi"/>
                <w:sz w:val="20"/>
                <w:szCs w:val="20"/>
                <w:lang w:val="ro-MD"/>
              </w:rPr>
              <w:t>0,4</w:t>
            </w:r>
          </w:p>
        </w:tc>
        <w:tc>
          <w:tcPr>
            <w:tcW w:w="1600" w:type="dxa"/>
          </w:tcPr>
          <w:p w:rsidR="00E67099" w:rsidRPr="004D7BEA" w:rsidRDefault="00E67099" w:rsidP="00E67099">
            <w:pPr>
              <w:tabs>
                <w:tab w:val="left" w:pos="993"/>
              </w:tabs>
              <w:spacing w:line="276" w:lineRule="auto"/>
              <w:jc w:val="right"/>
              <w:outlineLvl w:val="2"/>
              <w:rPr>
                <w:rFonts w:asciiTheme="majorHAnsi" w:hAnsiTheme="majorHAnsi" w:cstheme="majorHAnsi"/>
                <w:sz w:val="20"/>
                <w:szCs w:val="20"/>
                <w:lang w:val="ro-MD"/>
              </w:rPr>
            </w:pPr>
            <w:r w:rsidRPr="004D7BEA">
              <w:rPr>
                <w:rFonts w:asciiTheme="majorHAnsi" w:hAnsiTheme="majorHAnsi" w:cstheme="majorHAnsi"/>
                <w:sz w:val="20"/>
                <w:szCs w:val="20"/>
                <w:lang w:val="ro-MD"/>
              </w:rPr>
              <w:t>223</w:t>
            </w:r>
          </w:p>
        </w:tc>
        <w:tc>
          <w:tcPr>
            <w:tcW w:w="802" w:type="dxa"/>
          </w:tcPr>
          <w:p w:rsidR="00E67099" w:rsidRPr="004D7BEA" w:rsidRDefault="00E67099" w:rsidP="00E67099">
            <w:pPr>
              <w:tabs>
                <w:tab w:val="left" w:pos="993"/>
              </w:tabs>
              <w:spacing w:line="276" w:lineRule="auto"/>
              <w:jc w:val="right"/>
              <w:outlineLvl w:val="2"/>
              <w:rPr>
                <w:rFonts w:asciiTheme="majorHAnsi" w:hAnsiTheme="majorHAnsi" w:cstheme="majorHAnsi"/>
                <w:sz w:val="20"/>
                <w:szCs w:val="20"/>
                <w:lang w:val="ro-MD"/>
              </w:rPr>
            </w:pPr>
            <w:r w:rsidRPr="004D7BEA">
              <w:rPr>
                <w:rFonts w:asciiTheme="majorHAnsi" w:hAnsiTheme="majorHAnsi" w:cstheme="majorHAnsi"/>
                <w:sz w:val="20"/>
                <w:szCs w:val="20"/>
                <w:lang w:val="ro-MD"/>
              </w:rPr>
              <w:t>223</w:t>
            </w:r>
          </w:p>
        </w:tc>
        <w:tc>
          <w:tcPr>
            <w:tcW w:w="899" w:type="dxa"/>
          </w:tcPr>
          <w:p w:rsidR="00E67099" w:rsidRPr="004D7BEA" w:rsidRDefault="00E67099" w:rsidP="00E67099">
            <w:pPr>
              <w:tabs>
                <w:tab w:val="left" w:pos="993"/>
              </w:tabs>
              <w:spacing w:line="276" w:lineRule="auto"/>
              <w:jc w:val="right"/>
              <w:outlineLvl w:val="2"/>
              <w:rPr>
                <w:rFonts w:asciiTheme="majorHAnsi" w:hAnsiTheme="majorHAnsi" w:cstheme="majorHAnsi"/>
                <w:sz w:val="20"/>
                <w:szCs w:val="20"/>
                <w:lang w:val="ro-MD"/>
              </w:rPr>
            </w:pPr>
            <w:r w:rsidRPr="004D7BEA">
              <w:rPr>
                <w:rFonts w:asciiTheme="majorHAnsi" w:hAnsiTheme="majorHAnsi" w:cstheme="majorHAnsi"/>
                <w:sz w:val="20"/>
                <w:szCs w:val="20"/>
                <w:lang w:val="ro-MD"/>
              </w:rPr>
              <w:t>32,2</w:t>
            </w:r>
          </w:p>
        </w:tc>
      </w:tr>
      <w:tr w:rsidR="00E67099" w:rsidRPr="00E67099" w:rsidTr="00A36731">
        <w:trPr>
          <w:jc w:val="center"/>
        </w:trPr>
        <w:tc>
          <w:tcPr>
            <w:tcW w:w="1696" w:type="dxa"/>
          </w:tcPr>
          <w:p w:rsidR="00E67099" w:rsidRPr="004D7BEA" w:rsidRDefault="00E67099" w:rsidP="00E67099">
            <w:pPr>
              <w:tabs>
                <w:tab w:val="left" w:pos="993"/>
              </w:tabs>
              <w:spacing w:line="276" w:lineRule="auto"/>
              <w:jc w:val="both"/>
              <w:outlineLvl w:val="2"/>
              <w:rPr>
                <w:rFonts w:asciiTheme="majorHAnsi" w:hAnsiTheme="majorHAnsi" w:cstheme="majorHAnsi"/>
                <w:b/>
                <w:sz w:val="20"/>
                <w:szCs w:val="20"/>
                <w:lang w:val="ro-MD"/>
              </w:rPr>
            </w:pPr>
            <w:r w:rsidRPr="004D7BEA">
              <w:rPr>
                <w:rFonts w:asciiTheme="majorHAnsi" w:hAnsiTheme="majorHAnsi" w:cstheme="majorHAnsi"/>
                <w:b/>
                <w:sz w:val="20"/>
                <w:szCs w:val="20"/>
                <w:lang w:val="ro-MD"/>
              </w:rPr>
              <w:t>Total, inclusiv:</w:t>
            </w:r>
          </w:p>
        </w:tc>
        <w:tc>
          <w:tcPr>
            <w:tcW w:w="918" w:type="dxa"/>
          </w:tcPr>
          <w:p w:rsidR="00E67099" w:rsidRPr="004D7BEA" w:rsidRDefault="00E67099" w:rsidP="00E67099">
            <w:pPr>
              <w:tabs>
                <w:tab w:val="left" w:pos="993"/>
              </w:tabs>
              <w:spacing w:line="276" w:lineRule="auto"/>
              <w:jc w:val="right"/>
              <w:outlineLvl w:val="2"/>
              <w:rPr>
                <w:rFonts w:asciiTheme="majorHAnsi" w:hAnsiTheme="majorHAnsi" w:cstheme="majorHAnsi"/>
                <w:b/>
                <w:sz w:val="20"/>
                <w:szCs w:val="20"/>
                <w:lang w:val="ro-MD"/>
              </w:rPr>
            </w:pPr>
            <w:r w:rsidRPr="004D7BEA">
              <w:rPr>
                <w:rFonts w:asciiTheme="majorHAnsi" w:hAnsiTheme="majorHAnsi" w:cstheme="majorHAnsi"/>
                <w:b/>
                <w:sz w:val="20"/>
                <w:szCs w:val="20"/>
                <w:lang w:val="ro-MD"/>
              </w:rPr>
              <w:t>1804</w:t>
            </w:r>
          </w:p>
        </w:tc>
        <w:tc>
          <w:tcPr>
            <w:tcW w:w="1063" w:type="dxa"/>
          </w:tcPr>
          <w:p w:rsidR="00E67099" w:rsidRPr="004D7BEA" w:rsidRDefault="00E67099" w:rsidP="00E67099">
            <w:pPr>
              <w:tabs>
                <w:tab w:val="left" w:pos="993"/>
              </w:tabs>
              <w:spacing w:line="276" w:lineRule="auto"/>
              <w:jc w:val="right"/>
              <w:outlineLvl w:val="2"/>
              <w:rPr>
                <w:rFonts w:asciiTheme="majorHAnsi" w:hAnsiTheme="majorHAnsi" w:cstheme="majorHAnsi"/>
                <w:b/>
                <w:sz w:val="20"/>
                <w:szCs w:val="20"/>
                <w:lang w:val="ro-MD"/>
              </w:rPr>
            </w:pPr>
            <w:r w:rsidRPr="004D7BEA">
              <w:rPr>
                <w:rFonts w:asciiTheme="majorHAnsi" w:hAnsiTheme="majorHAnsi" w:cstheme="majorHAnsi"/>
                <w:b/>
                <w:sz w:val="20"/>
                <w:szCs w:val="20"/>
                <w:lang w:val="ro-MD"/>
              </w:rPr>
              <w:t>1641</w:t>
            </w:r>
          </w:p>
        </w:tc>
        <w:tc>
          <w:tcPr>
            <w:tcW w:w="746" w:type="dxa"/>
          </w:tcPr>
          <w:p w:rsidR="00E67099" w:rsidRPr="004D7BEA" w:rsidRDefault="00E67099" w:rsidP="00E67099">
            <w:pPr>
              <w:tabs>
                <w:tab w:val="left" w:pos="993"/>
              </w:tabs>
              <w:spacing w:line="276" w:lineRule="auto"/>
              <w:jc w:val="right"/>
              <w:outlineLvl w:val="2"/>
              <w:rPr>
                <w:rFonts w:asciiTheme="majorHAnsi" w:hAnsiTheme="majorHAnsi" w:cstheme="majorHAnsi"/>
                <w:b/>
                <w:sz w:val="20"/>
                <w:szCs w:val="20"/>
                <w:lang w:val="ro-MD"/>
              </w:rPr>
            </w:pPr>
            <w:r w:rsidRPr="004D7BEA">
              <w:rPr>
                <w:rFonts w:asciiTheme="majorHAnsi" w:hAnsiTheme="majorHAnsi" w:cstheme="majorHAnsi"/>
                <w:b/>
                <w:sz w:val="20"/>
                <w:szCs w:val="20"/>
                <w:lang w:val="ro-MD"/>
              </w:rPr>
              <w:t>1641</w:t>
            </w:r>
          </w:p>
        </w:tc>
        <w:tc>
          <w:tcPr>
            <w:tcW w:w="921" w:type="dxa"/>
          </w:tcPr>
          <w:p w:rsidR="00E67099" w:rsidRPr="004D7BEA" w:rsidRDefault="00E67099" w:rsidP="00E67099">
            <w:pPr>
              <w:tabs>
                <w:tab w:val="left" w:pos="993"/>
              </w:tabs>
              <w:spacing w:line="276" w:lineRule="auto"/>
              <w:jc w:val="right"/>
              <w:outlineLvl w:val="2"/>
              <w:rPr>
                <w:rFonts w:asciiTheme="majorHAnsi" w:hAnsiTheme="majorHAnsi" w:cstheme="majorHAnsi"/>
                <w:b/>
                <w:sz w:val="20"/>
                <w:szCs w:val="20"/>
                <w:lang w:val="ro-MD"/>
              </w:rPr>
            </w:pPr>
            <w:r w:rsidRPr="004D7BEA">
              <w:rPr>
                <w:rFonts w:asciiTheme="majorHAnsi" w:hAnsiTheme="majorHAnsi" w:cstheme="majorHAnsi"/>
                <w:b/>
                <w:sz w:val="20"/>
                <w:szCs w:val="20"/>
                <w:lang w:val="ro-MD"/>
              </w:rPr>
              <w:t>739,9</w:t>
            </w:r>
          </w:p>
        </w:tc>
        <w:tc>
          <w:tcPr>
            <w:tcW w:w="1415" w:type="dxa"/>
          </w:tcPr>
          <w:p w:rsidR="00E67099" w:rsidRPr="004D7BEA" w:rsidRDefault="00E67099" w:rsidP="00E67099">
            <w:pPr>
              <w:tabs>
                <w:tab w:val="left" w:pos="993"/>
              </w:tabs>
              <w:spacing w:line="276" w:lineRule="auto"/>
              <w:jc w:val="right"/>
              <w:outlineLvl w:val="2"/>
              <w:rPr>
                <w:rFonts w:asciiTheme="majorHAnsi" w:hAnsiTheme="majorHAnsi" w:cstheme="majorHAnsi"/>
                <w:b/>
                <w:sz w:val="20"/>
                <w:szCs w:val="20"/>
                <w:lang w:val="ro-MD"/>
              </w:rPr>
            </w:pPr>
            <w:r w:rsidRPr="004D7BEA">
              <w:rPr>
                <w:rFonts w:asciiTheme="majorHAnsi" w:hAnsiTheme="majorHAnsi" w:cstheme="majorHAnsi"/>
                <w:b/>
                <w:sz w:val="20"/>
                <w:szCs w:val="20"/>
                <w:lang w:val="ro-MD"/>
              </w:rPr>
              <w:t>8,4</w:t>
            </w:r>
          </w:p>
        </w:tc>
        <w:tc>
          <w:tcPr>
            <w:tcW w:w="1600" w:type="dxa"/>
          </w:tcPr>
          <w:p w:rsidR="00E67099" w:rsidRPr="004D7BEA" w:rsidRDefault="00E67099" w:rsidP="00E67099">
            <w:pPr>
              <w:tabs>
                <w:tab w:val="left" w:pos="993"/>
              </w:tabs>
              <w:spacing w:line="276" w:lineRule="auto"/>
              <w:jc w:val="right"/>
              <w:outlineLvl w:val="2"/>
              <w:rPr>
                <w:rFonts w:asciiTheme="majorHAnsi" w:hAnsiTheme="majorHAnsi" w:cstheme="majorHAnsi"/>
                <w:b/>
                <w:sz w:val="20"/>
                <w:szCs w:val="20"/>
                <w:lang w:val="ro-MD"/>
              </w:rPr>
            </w:pPr>
            <w:r w:rsidRPr="004D7BEA">
              <w:rPr>
                <w:rFonts w:asciiTheme="majorHAnsi" w:hAnsiTheme="majorHAnsi" w:cstheme="majorHAnsi"/>
                <w:b/>
                <w:sz w:val="20"/>
                <w:szCs w:val="20"/>
                <w:lang w:val="ro-MD"/>
              </w:rPr>
              <w:t>2048</w:t>
            </w:r>
          </w:p>
        </w:tc>
        <w:tc>
          <w:tcPr>
            <w:tcW w:w="802" w:type="dxa"/>
          </w:tcPr>
          <w:p w:rsidR="00E67099" w:rsidRPr="004D7BEA" w:rsidRDefault="00E67099" w:rsidP="00E67099">
            <w:pPr>
              <w:tabs>
                <w:tab w:val="left" w:pos="993"/>
              </w:tabs>
              <w:spacing w:line="276" w:lineRule="auto"/>
              <w:jc w:val="right"/>
              <w:outlineLvl w:val="2"/>
              <w:rPr>
                <w:rFonts w:asciiTheme="majorHAnsi" w:hAnsiTheme="majorHAnsi" w:cstheme="majorHAnsi"/>
                <w:b/>
                <w:sz w:val="20"/>
                <w:szCs w:val="20"/>
                <w:lang w:val="ro-MD"/>
              </w:rPr>
            </w:pPr>
            <w:r w:rsidRPr="004D7BEA">
              <w:rPr>
                <w:rFonts w:asciiTheme="majorHAnsi" w:hAnsiTheme="majorHAnsi" w:cstheme="majorHAnsi"/>
                <w:b/>
                <w:sz w:val="20"/>
                <w:szCs w:val="20"/>
                <w:lang w:val="ro-MD"/>
              </w:rPr>
              <w:t>2048</w:t>
            </w:r>
          </w:p>
        </w:tc>
        <w:tc>
          <w:tcPr>
            <w:tcW w:w="899" w:type="dxa"/>
          </w:tcPr>
          <w:p w:rsidR="00E67099" w:rsidRPr="004D7BEA" w:rsidRDefault="00E67099" w:rsidP="00E67099">
            <w:pPr>
              <w:tabs>
                <w:tab w:val="left" w:pos="993"/>
              </w:tabs>
              <w:spacing w:line="276" w:lineRule="auto"/>
              <w:jc w:val="right"/>
              <w:outlineLvl w:val="2"/>
              <w:rPr>
                <w:rFonts w:asciiTheme="majorHAnsi" w:hAnsiTheme="majorHAnsi" w:cstheme="majorHAnsi"/>
                <w:b/>
                <w:sz w:val="20"/>
                <w:szCs w:val="20"/>
                <w:lang w:val="ro-MD"/>
              </w:rPr>
            </w:pPr>
            <w:r w:rsidRPr="004D7BEA">
              <w:rPr>
                <w:rFonts w:asciiTheme="majorHAnsi" w:hAnsiTheme="majorHAnsi" w:cstheme="majorHAnsi"/>
                <w:b/>
                <w:sz w:val="20"/>
                <w:szCs w:val="20"/>
                <w:lang w:val="ro-MD"/>
              </w:rPr>
              <w:t>786,9</w:t>
            </w:r>
          </w:p>
        </w:tc>
      </w:tr>
      <w:tr w:rsidR="00E67099" w:rsidRPr="00E67099" w:rsidTr="00A36731">
        <w:trPr>
          <w:jc w:val="center"/>
        </w:trPr>
        <w:tc>
          <w:tcPr>
            <w:tcW w:w="1696" w:type="dxa"/>
          </w:tcPr>
          <w:p w:rsidR="00E67099" w:rsidRPr="004D7BEA" w:rsidRDefault="00E67099" w:rsidP="00E67099">
            <w:pPr>
              <w:tabs>
                <w:tab w:val="left" w:pos="993"/>
              </w:tabs>
              <w:spacing w:line="276" w:lineRule="auto"/>
              <w:jc w:val="right"/>
              <w:outlineLvl w:val="2"/>
              <w:rPr>
                <w:rFonts w:asciiTheme="majorHAnsi" w:hAnsiTheme="majorHAnsi" w:cstheme="majorHAnsi"/>
                <w:b/>
                <w:i/>
                <w:sz w:val="20"/>
                <w:szCs w:val="20"/>
                <w:lang w:val="ro-MD"/>
              </w:rPr>
            </w:pPr>
            <w:r w:rsidRPr="004D7BEA">
              <w:rPr>
                <w:rFonts w:asciiTheme="majorHAnsi" w:hAnsiTheme="majorHAnsi" w:cstheme="majorHAnsi"/>
                <w:b/>
                <w:i/>
                <w:sz w:val="20"/>
                <w:szCs w:val="20"/>
                <w:lang w:val="ro-MD"/>
              </w:rPr>
              <w:t>2+3</w:t>
            </w:r>
          </w:p>
        </w:tc>
        <w:tc>
          <w:tcPr>
            <w:tcW w:w="918" w:type="dxa"/>
          </w:tcPr>
          <w:p w:rsidR="00E67099" w:rsidRPr="004D7BEA" w:rsidRDefault="00E67099" w:rsidP="00E67099">
            <w:pPr>
              <w:tabs>
                <w:tab w:val="left" w:pos="993"/>
              </w:tabs>
              <w:spacing w:line="276" w:lineRule="auto"/>
              <w:jc w:val="right"/>
              <w:outlineLvl w:val="2"/>
              <w:rPr>
                <w:rFonts w:asciiTheme="majorHAnsi" w:hAnsiTheme="majorHAnsi" w:cstheme="majorHAnsi"/>
                <w:b/>
                <w:i/>
                <w:sz w:val="20"/>
                <w:szCs w:val="20"/>
                <w:lang w:val="ro-MD"/>
              </w:rPr>
            </w:pPr>
          </w:p>
        </w:tc>
        <w:tc>
          <w:tcPr>
            <w:tcW w:w="1063" w:type="dxa"/>
          </w:tcPr>
          <w:p w:rsidR="00E67099" w:rsidRPr="004D7BEA" w:rsidRDefault="00E67099" w:rsidP="00E67099">
            <w:pPr>
              <w:tabs>
                <w:tab w:val="left" w:pos="993"/>
              </w:tabs>
              <w:spacing w:line="276" w:lineRule="auto"/>
              <w:jc w:val="right"/>
              <w:outlineLvl w:val="2"/>
              <w:rPr>
                <w:rFonts w:asciiTheme="majorHAnsi" w:hAnsiTheme="majorHAnsi" w:cstheme="majorHAnsi"/>
                <w:b/>
                <w:i/>
                <w:sz w:val="20"/>
                <w:szCs w:val="20"/>
                <w:lang w:val="ro-MD"/>
              </w:rPr>
            </w:pPr>
            <w:r w:rsidRPr="004D7BEA">
              <w:rPr>
                <w:rFonts w:asciiTheme="majorHAnsi" w:hAnsiTheme="majorHAnsi" w:cstheme="majorHAnsi"/>
                <w:b/>
                <w:i/>
                <w:sz w:val="20"/>
                <w:szCs w:val="20"/>
                <w:lang w:val="ro-MD"/>
              </w:rPr>
              <w:t>259</w:t>
            </w:r>
          </w:p>
        </w:tc>
        <w:tc>
          <w:tcPr>
            <w:tcW w:w="746" w:type="dxa"/>
          </w:tcPr>
          <w:p w:rsidR="00E67099" w:rsidRPr="004D7BEA" w:rsidRDefault="00E67099" w:rsidP="00E67099">
            <w:pPr>
              <w:tabs>
                <w:tab w:val="left" w:pos="993"/>
              </w:tabs>
              <w:spacing w:line="276" w:lineRule="auto"/>
              <w:jc w:val="right"/>
              <w:outlineLvl w:val="2"/>
              <w:rPr>
                <w:rFonts w:asciiTheme="majorHAnsi" w:hAnsiTheme="majorHAnsi" w:cstheme="majorHAnsi"/>
                <w:b/>
                <w:i/>
                <w:sz w:val="20"/>
                <w:szCs w:val="20"/>
                <w:lang w:val="ro-MD"/>
              </w:rPr>
            </w:pPr>
            <w:r w:rsidRPr="004D7BEA">
              <w:rPr>
                <w:rFonts w:asciiTheme="majorHAnsi" w:hAnsiTheme="majorHAnsi" w:cstheme="majorHAnsi"/>
                <w:b/>
                <w:i/>
                <w:sz w:val="20"/>
                <w:szCs w:val="20"/>
                <w:lang w:val="ro-MD"/>
              </w:rPr>
              <w:t>259</w:t>
            </w:r>
          </w:p>
        </w:tc>
        <w:tc>
          <w:tcPr>
            <w:tcW w:w="921" w:type="dxa"/>
          </w:tcPr>
          <w:p w:rsidR="00E67099" w:rsidRPr="004D7BEA" w:rsidRDefault="00E67099" w:rsidP="00E67099">
            <w:pPr>
              <w:tabs>
                <w:tab w:val="left" w:pos="993"/>
              </w:tabs>
              <w:spacing w:line="276" w:lineRule="auto"/>
              <w:jc w:val="right"/>
              <w:outlineLvl w:val="2"/>
              <w:rPr>
                <w:rFonts w:asciiTheme="majorHAnsi" w:hAnsiTheme="majorHAnsi" w:cstheme="majorHAnsi"/>
                <w:b/>
                <w:i/>
                <w:sz w:val="20"/>
                <w:szCs w:val="20"/>
                <w:lang w:val="ro-MD"/>
              </w:rPr>
            </w:pPr>
            <w:r w:rsidRPr="004D7BEA">
              <w:rPr>
                <w:rFonts w:asciiTheme="majorHAnsi" w:hAnsiTheme="majorHAnsi" w:cstheme="majorHAnsi"/>
                <w:b/>
                <w:i/>
                <w:sz w:val="20"/>
                <w:szCs w:val="20"/>
                <w:lang w:val="ro-MD"/>
              </w:rPr>
              <w:t>110,9</w:t>
            </w:r>
          </w:p>
        </w:tc>
        <w:tc>
          <w:tcPr>
            <w:tcW w:w="1415" w:type="dxa"/>
          </w:tcPr>
          <w:p w:rsidR="00E67099" w:rsidRPr="004D7BEA" w:rsidRDefault="00E67099" w:rsidP="00E67099">
            <w:pPr>
              <w:tabs>
                <w:tab w:val="left" w:pos="993"/>
              </w:tabs>
              <w:spacing w:line="276" w:lineRule="auto"/>
              <w:jc w:val="right"/>
              <w:outlineLvl w:val="2"/>
              <w:rPr>
                <w:rFonts w:asciiTheme="majorHAnsi" w:hAnsiTheme="majorHAnsi" w:cstheme="majorHAnsi"/>
                <w:b/>
                <w:i/>
                <w:sz w:val="20"/>
                <w:szCs w:val="20"/>
                <w:lang w:val="ro-MD"/>
              </w:rPr>
            </w:pPr>
            <w:r w:rsidRPr="004D7BEA">
              <w:rPr>
                <w:rFonts w:asciiTheme="majorHAnsi" w:hAnsiTheme="majorHAnsi" w:cstheme="majorHAnsi"/>
                <w:b/>
                <w:i/>
                <w:sz w:val="20"/>
                <w:szCs w:val="20"/>
                <w:lang w:val="ro-MD"/>
              </w:rPr>
              <w:t>2,8</w:t>
            </w:r>
          </w:p>
        </w:tc>
        <w:tc>
          <w:tcPr>
            <w:tcW w:w="1600" w:type="dxa"/>
          </w:tcPr>
          <w:p w:rsidR="00E67099" w:rsidRPr="004D7BEA" w:rsidRDefault="00E67099" w:rsidP="00E67099">
            <w:pPr>
              <w:tabs>
                <w:tab w:val="left" w:pos="993"/>
              </w:tabs>
              <w:spacing w:line="276" w:lineRule="auto"/>
              <w:jc w:val="right"/>
              <w:outlineLvl w:val="2"/>
              <w:rPr>
                <w:rFonts w:asciiTheme="majorHAnsi" w:hAnsiTheme="majorHAnsi" w:cstheme="majorHAnsi"/>
                <w:b/>
                <w:i/>
                <w:sz w:val="20"/>
                <w:szCs w:val="20"/>
                <w:lang w:val="ro-MD"/>
              </w:rPr>
            </w:pPr>
            <w:r w:rsidRPr="004D7BEA">
              <w:rPr>
                <w:rFonts w:asciiTheme="majorHAnsi" w:hAnsiTheme="majorHAnsi" w:cstheme="majorHAnsi"/>
                <w:b/>
                <w:i/>
                <w:sz w:val="20"/>
                <w:szCs w:val="20"/>
                <w:lang w:val="ro-MD"/>
              </w:rPr>
              <w:t>382</w:t>
            </w:r>
          </w:p>
        </w:tc>
        <w:tc>
          <w:tcPr>
            <w:tcW w:w="802" w:type="dxa"/>
          </w:tcPr>
          <w:p w:rsidR="00E67099" w:rsidRPr="004D7BEA" w:rsidRDefault="00E67099" w:rsidP="00E67099">
            <w:pPr>
              <w:tabs>
                <w:tab w:val="left" w:pos="993"/>
              </w:tabs>
              <w:spacing w:line="276" w:lineRule="auto"/>
              <w:jc w:val="right"/>
              <w:outlineLvl w:val="2"/>
              <w:rPr>
                <w:rFonts w:asciiTheme="majorHAnsi" w:hAnsiTheme="majorHAnsi" w:cstheme="majorHAnsi"/>
                <w:b/>
                <w:i/>
                <w:sz w:val="20"/>
                <w:szCs w:val="20"/>
                <w:lang w:val="ro-MD"/>
              </w:rPr>
            </w:pPr>
            <w:r w:rsidRPr="004D7BEA">
              <w:rPr>
                <w:rFonts w:asciiTheme="majorHAnsi" w:hAnsiTheme="majorHAnsi" w:cstheme="majorHAnsi"/>
                <w:b/>
                <w:i/>
                <w:sz w:val="20"/>
                <w:szCs w:val="20"/>
                <w:lang w:val="ro-MD"/>
              </w:rPr>
              <w:t>382</w:t>
            </w:r>
          </w:p>
        </w:tc>
        <w:tc>
          <w:tcPr>
            <w:tcW w:w="899" w:type="dxa"/>
          </w:tcPr>
          <w:p w:rsidR="00E67099" w:rsidRPr="004D7BEA" w:rsidRDefault="00E67099" w:rsidP="00E67099">
            <w:pPr>
              <w:tabs>
                <w:tab w:val="left" w:pos="993"/>
              </w:tabs>
              <w:spacing w:line="276" w:lineRule="auto"/>
              <w:jc w:val="right"/>
              <w:outlineLvl w:val="2"/>
              <w:rPr>
                <w:rFonts w:asciiTheme="majorHAnsi" w:hAnsiTheme="majorHAnsi" w:cstheme="majorHAnsi"/>
                <w:b/>
                <w:i/>
                <w:sz w:val="20"/>
                <w:szCs w:val="20"/>
                <w:lang w:val="ro-MD"/>
              </w:rPr>
            </w:pPr>
            <w:r w:rsidRPr="004D7BEA">
              <w:rPr>
                <w:rFonts w:asciiTheme="majorHAnsi" w:hAnsiTheme="majorHAnsi" w:cstheme="majorHAnsi"/>
                <w:b/>
                <w:i/>
                <w:sz w:val="20"/>
                <w:szCs w:val="20"/>
                <w:lang w:val="ro-MD"/>
              </w:rPr>
              <w:t>150,7</w:t>
            </w:r>
          </w:p>
        </w:tc>
      </w:tr>
      <w:tr w:rsidR="00E67099" w:rsidRPr="00E67099" w:rsidTr="00A36731">
        <w:trPr>
          <w:jc w:val="center"/>
        </w:trPr>
        <w:tc>
          <w:tcPr>
            <w:tcW w:w="1696" w:type="dxa"/>
          </w:tcPr>
          <w:p w:rsidR="00E67099" w:rsidRPr="004D7BEA" w:rsidRDefault="00E67099" w:rsidP="00E67099">
            <w:pPr>
              <w:tabs>
                <w:tab w:val="left" w:pos="993"/>
              </w:tabs>
              <w:spacing w:line="276" w:lineRule="auto"/>
              <w:jc w:val="right"/>
              <w:outlineLvl w:val="2"/>
              <w:rPr>
                <w:rFonts w:asciiTheme="majorHAnsi" w:hAnsiTheme="majorHAnsi" w:cstheme="majorHAnsi"/>
                <w:b/>
                <w:i/>
                <w:sz w:val="20"/>
                <w:szCs w:val="20"/>
                <w:lang w:val="ro-MD"/>
              </w:rPr>
            </w:pPr>
            <w:r w:rsidRPr="004D7BEA">
              <w:rPr>
                <w:rFonts w:asciiTheme="majorHAnsi" w:hAnsiTheme="majorHAnsi" w:cstheme="majorHAnsi"/>
                <w:b/>
                <w:i/>
                <w:sz w:val="20"/>
                <w:szCs w:val="20"/>
                <w:lang w:val="ro-MD"/>
              </w:rPr>
              <w:t>3+4</w:t>
            </w:r>
          </w:p>
        </w:tc>
        <w:tc>
          <w:tcPr>
            <w:tcW w:w="918" w:type="dxa"/>
          </w:tcPr>
          <w:p w:rsidR="00E67099" w:rsidRPr="004D7BEA" w:rsidRDefault="00E67099" w:rsidP="00E67099">
            <w:pPr>
              <w:tabs>
                <w:tab w:val="left" w:pos="993"/>
              </w:tabs>
              <w:spacing w:line="276" w:lineRule="auto"/>
              <w:jc w:val="right"/>
              <w:outlineLvl w:val="2"/>
              <w:rPr>
                <w:rFonts w:asciiTheme="majorHAnsi" w:hAnsiTheme="majorHAnsi" w:cstheme="majorHAnsi"/>
                <w:b/>
                <w:i/>
                <w:sz w:val="20"/>
                <w:szCs w:val="20"/>
                <w:lang w:val="ro-MD"/>
              </w:rPr>
            </w:pPr>
          </w:p>
        </w:tc>
        <w:tc>
          <w:tcPr>
            <w:tcW w:w="1063" w:type="dxa"/>
          </w:tcPr>
          <w:p w:rsidR="00E67099" w:rsidRPr="004D7BEA" w:rsidRDefault="00E67099" w:rsidP="00E67099">
            <w:pPr>
              <w:tabs>
                <w:tab w:val="left" w:pos="993"/>
              </w:tabs>
              <w:spacing w:line="276" w:lineRule="auto"/>
              <w:jc w:val="right"/>
              <w:outlineLvl w:val="2"/>
              <w:rPr>
                <w:rFonts w:asciiTheme="majorHAnsi" w:hAnsiTheme="majorHAnsi" w:cstheme="majorHAnsi"/>
                <w:b/>
                <w:i/>
                <w:sz w:val="20"/>
                <w:szCs w:val="20"/>
                <w:lang w:val="ro-MD"/>
              </w:rPr>
            </w:pPr>
            <w:r w:rsidRPr="004D7BEA">
              <w:rPr>
                <w:rFonts w:asciiTheme="majorHAnsi" w:hAnsiTheme="majorHAnsi" w:cstheme="majorHAnsi"/>
                <w:b/>
                <w:i/>
                <w:sz w:val="20"/>
                <w:szCs w:val="20"/>
                <w:lang w:val="ro-MD"/>
              </w:rPr>
              <w:t>142</w:t>
            </w:r>
          </w:p>
        </w:tc>
        <w:tc>
          <w:tcPr>
            <w:tcW w:w="746" w:type="dxa"/>
          </w:tcPr>
          <w:p w:rsidR="00E67099" w:rsidRPr="004D7BEA" w:rsidRDefault="00E67099" w:rsidP="00E67099">
            <w:pPr>
              <w:tabs>
                <w:tab w:val="left" w:pos="993"/>
              </w:tabs>
              <w:spacing w:line="276" w:lineRule="auto"/>
              <w:jc w:val="right"/>
              <w:outlineLvl w:val="2"/>
              <w:rPr>
                <w:rFonts w:asciiTheme="majorHAnsi" w:hAnsiTheme="majorHAnsi" w:cstheme="majorHAnsi"/>
                <w:b/>
                <w:i/>
                <w:sz w:val="20"/>
                <w:szCs w:val="20"/>
                <w:lang w:val="ro-MD"/>
              </w:rPr>
            </w:pPr>
            <w:r w:rsidRPr="004D7BEA">
              <w:rPr>
                <w:rFonts w:asciiTheme="majorHAnsi" w:hAnsiTheme="majorHAnsi" w:cstheme="majorHAnsi"/>
                <w:b/>
                <w:i/>
                <w:sz w:val="20"/>
                <w:szCs w:val="20"/>
                <w:lang w:val="ro-MD"/>
              </w:rPr>
              <w:t>142</w:t>
            </w:r>
          </w:p>
        </w:tc>
        <w:tc>
          <w:tcPr>
            <w:tcW w:w="921" w:type="dxa"/>
          </w:tcPr>
          <w:p w:rsidR="00E67099" w:rsidRPr="004D7BEA" w:rsidRDefault="00E67099" w:rsidP="00E67099">
            <w:pPr>
              <w:tabs>
                <w:tab w:val="left" w:pos="993"/>
              </w:tabs>
              <w:spacing w:line="276" w:lineRule="auto"/>
              <w:jc w:val="right"/>
              <w:outlineLvl w:val="2"/>
              <w:rPr>
                <w:rFonts w:asciiTheme="majorHAnsi" w:hAnsiTheme="majorHAnsi" w:cstheme="majorHAnsi"/>
                <w:b/>
                <w:i/>
                <w:sz w:val="20"/>
                <w:szCs w:val="20"/>
                <w:lang w:val="ro-MD"/>
              </w:rPr>
            </w:pPr>
            <w:r w:rsidRPr="004D7BEA">
              <w:rPr>
                <w:rFonts w:asciiTheme="majorHAnsi" w:hAnsiTheme="majorHAnsi" w:cstheme="majorHAnsi"/>
                <w:b/>
                <w:i/>
                <w:sz w:val="20"/>
                <w:szCs w:val="20"/>
                <w:lang w:val="ro-MD"/>
              </w:rPr>
              <w:t>56,5</w:t>
            </w:r>
          </w:p>
        </w:tc>
        <w:tc>
          <w:tcPr>
            <w:tcW w:w="1415" w:type="dxa"/>
          </w:tcPr>
          <w:p w:rsidR="00E67099" w:rsidRPr="004D7BEA" w:rsidRDefault="00E67099" w:rsidP="00E67099">
            <w:pPr>
              <w:tabs>
                <w:tab w:val="left" w:pos="993"/>
              </w:tabs>
              <w:spacing w:line="276" w:lineRule="auto"/>
              <w:jc w:val="right"/>
              <w:outlineLvl w:val="2"/>
              <w:rPr>
                <w:rFonts w:asciiTheme="majorHAnsi" w:hAnsiTheme="majorHAnsi" w:cstheme="majorHAnsi"/>
                <w:b/>
                <w:i/>
                <w:sz w:val="20"/>
                <w:szCs w:val="20"/>
                <w:lang w:val="ro-MD"/>
              </w:rPr>
            </w:pPr>
            <w:r w:rsidRPr="004D7BEA">
              <w:rPr>
                <w:rFonts w:asciiTheme="majorHAnsi" w:hAnsiTheme="majorHAnsi" w:cstheme="majorHAnsi"/>
                <w:b/>
                <w:i/>
                <w:sz w:val="20"/>
                <w:szCs w:val="20"/>
                <w:lang w:val="ro-MD"/>
              </w:rPr>
              <w:t>0,6</w:t>
            </w:r>
          </w:p>
        </w:tc>
        <w:tc>
          <w:tcPr>
            <w:tcW w:w="1600" w:type="dxa"/>
          </w:tcPr>
          <w:p w:rsidR="00E67099" w:rsidRPr="004D7BEA" w:rsidRDefault="00E67099" w:rsidP="00E67099">
            <w:pPr>
              <w:tabs>
                <w:tab w:val="left" w:pos="993"/>
              </w:tabs>
              <w:spacing w:line="276" w:lineRule="auto"/>
              <w:jc w:val="right"/>
              <w:outlineLvl w:val="2"/>
              <w:rPr>
                <w:rFonts w:asciiTheme="majorHAnsi" w:hAnsiTheme="majorHAnsi" w:cstheme="majorHAnsi"/>
                <w:b/>
                <w:i/>
                <w:sz w:val="20"/>
                <w:szCs w:val="20"/>
                <w:lang w:val="ro-MD"/>
              </w:rPr>
            </w:pPr>
            <w:r w:rsidRPr="004D7BEA">
              <w:rPr>
                <w:rFonts w:asciiTheme="majorHAnsi" w:hAnsiTheme="majorHAnsi" w:cstheme="majorHAnsi"/>
                <w:b/>
                <w:i/>
                <w:sz w:val="20"/>
                <w:szCs w:val="20"/>
                <w:lang w:val="ro-MD"/>
              </w:rPr>
              <w:t>142</w:t>
            </w:r>
          </w:p>
        </w:tc>
        <w:tc>
          <w:tcPr>
            <w:tcW w:w="802" w:type="dxa"/>
          </w:tcPr>
          <w:p w:rsidR="00E67099" w:rsidRPr="004D7BEA" w:rsidRDefault="00E67099" w:rsidP="00E67099">
            <w:pPr>
              <w:tabs>
                <w:tab w:val="left" w:pos="993"/>
              </w:tabs>
              <w:spacing w:line="276" w:lineRule="auto"/>
              <w:jc w:val="right"/>
              <w:outlineLvl w:val="2"/>
              <w:rPr>
                <w:rFonts w:asciiTheme="majorHAnsi" w:hAnsiTheme="majorHAnsi" w:cstheme="majorHAnsi"/>
                <w:b/>
                <w:i/>
                <w:sz w:val="20"/>
                <w:szCs w:val="20"/>
                <w:lang w:val="ro-MD"/>
              </w:rPr>
            </w:pPr>
            <w:r w:rsidRPr="004D7BEA">
              <w:rPr>
                <w:rFonts w:asciiTheme="majorHAnsi" w:hAnsiTheme="majorHAnsi" w:cstheme="majorHAnsi"/>
                <w:b/>
                <w:i/>
                <w:sz w:val="20"/>
                <w:szCs w:val="20"/>
                <w:lang w:val="ro-MD"/>
              </w:rPr>
              <w:t>142</w:t>
            </w:r>
          </w:p>
        </w:tc>
        <w:tc>
          <w:tcPr>
            <w:tcW w:w="899" w:type="dxa"/>
          </w:tcPr>
          <w:p w:rsidR="00E67099" w:rsidRPr="004D7BEA" w:rsidRDefault="00E67099" w:rsidP="00E67099">
            <w:pPr>
              <w:tabs>
                <w:tab w:val="left" w:pos="993"/>
              </w:tabs>
              <w:spacing w:line="276" w:lineRule="auto"/>
              <w:jc w:val="right"/>
              <w:outlineLvl w:val="2"/>
              <w:rPr>
                <w:rFonts w:asciiTheme="majorHAnsi" w:hAnsiTheme="majorHAnsi" w:cstheme="majorHAnsi"/>
                <w:b/>
                <w:i/>
                <w:sz w:val="20"/>
                <w:szCs w:val="20"/>
                <w:lang w:val="ro-MD"/>
              </w:rPr>
            </w:pPr>
            <w:r w:rsidRPr="004D7BEA">
              <w:rPr>
                <w:rFonts w:asciiTheme="majorHAnsi" w:hAnsiTheme="majorHAnsi" w:cstheme="majorHAnsi"/>
                <w:b/>
                <w:i/>
                <w:sz w:val="20"/>
                <w:szCs w:val="20"/>
                <w:lang w:val="ro-MD"/>
              </w:rPr>
              <w:t>56,5</w:t>
            </w:r>
          </w:p>
        </w:tc>
      </w:tr>
    </w:tbl>
    <w:p w:rsidR="00E67099" w:rsidRPr="00E67099" w:rsidRDefault="00E67099" w:rsidP="00E67099">
      <w:pPr>
        <w:shd w:val="clear" w:color="auto" w:fill="FFFFFF" w:themeFill="background1"/>
        <w:tabs>
          <w:tab w:val="left" w:pos="284"/>
          <w:tab w:val="left" w:pos="567"/>
          <w:tab w:val="left" w:pos="6237"/>
          <w:tab w:val="left" w:pos="6379"/>
        </w:tabs>
        <w:spacing w:after="0" w:line="276" w:lineRule="auto"/>
        <w:contextualSpacing/>
        <w:jc w:val="right"/>
        <w:rPr>
          <w:rFonts w:asciiTheme="majorHAnsi" w:eastAsia="Times New Roman" w:hAnsiTheme="majorHAnsi" w:cstheme="majorHAnsi"/>
          <w:b/>
          <w:i/>
          <w:sz w:val="24"/>
          <w:szCs w:val="24"/>
          <w:lang w:val="ro-MD"/>
        </w:rPr>
      </w:pPr>
    </w:p>
    <w:p w:rsidR="00E67099" w:rsidRPr="00E67099" w:rsidRDefault="00E67099" w:rsidP="00E67099">
      <w:pPr>
        <w:shd w:val="clear" w:color="auto" w:fill="FFFFFF" w:themeFill="background1"/>
        <w:tabs>
          <w:tab w:val="left" w:pos="284"/>
          <w:tab w:val="left" w:pos="993"/>
          <w:tab w:val="left" w:pos="6663"/>
        </w:tabs>
        <w:spacing w:after="0" w:line="276" w:lineRule="auto"/>
        <w:jc w:val="right"/>
        <w:rPr>
          <w:rFonts w:asciiTheme="majorHAnsi" w:eastAsia="Times New Roman" w:hAnsiTheme="majorHAnsi" w:cstheme="majorHAnsi"/>
          <w:b/>
          <w:i/>
          <w:sz w:val="24"/>
          <w:szCs w:val="24"/>
        </w:rPr>
      </w:pPr>
      <w:r w:rsidRPr="00E67099">
        <w:rPr>
          <w:rFonts w:asciiTheme="majorHAnsi" w:eastAsia="Times New Roman" w:hAnsiTheme="majorHAnsi" w:cstheme="majorHAnsi"/>
          <w:b/>
          <w:i/>
          <w:sz w:val="24"/>
          <w:szCs w:val="24"/>
        </w:rPr>
        <w:t>Anexa nr.4</w:t>
      </w:r>
    </w:p>
    <w:p w:rsidR="00E67099" w:rsidRPr="00E67099" w:rsidRDefault="00E67099" w:rsidP="00E67099">
      <w:pPr>
        <w:spacing w:after="0" w:line="276" w:lineRule="auto"/>
        <w:ind w:firstLine="709"/>
        <w:jc w:val="center"/>
        <w:rPr>
          <w:rFonts w:asciiTheme="majorHAnsi" w:hAnsiTheme="majorHAnsi" w:cstheme="majorHAnsi"/>
          <w:b/>
          <w:sz w:val="24"/>
          <w:szCs w:val="24"/>
        </w:rPr>
      </w:pPr>
      <w:r w:rsidRPr="00E67099">
        <w:rPr>
          <w:rFonts w:asciiTheme="majorHAnsi" w:hAnsiTheme="majorHAnsi" w:cstheme="majorHAnsi"/>
          <w:b/>
          <w:sz w:val="24"/>
          <w:szCs w:val="24"/>
        </w:rPr>
        <w:t>Sursele de finanțare a deficitului bugetului de stat pe anul 2019</w:t>
      </w:r>
    </w:p>
    <w:p w:rsidR="00E67099" w:rsidRPr="00E67099" w:rsidRDefault="00E67099" w:rsidP="00E67099">
      <w:pPr>
        <w:spacing w:after="0" w:line="276" w:lineRule="auto"/>
        <w:ind w:right="814" w:firstLine="709"/>
        <w:jc w:val="right"/>
        <w:rPr>
          <w:rFonts w:asciiTheme="majorHAnsi" w:hAnsiTheme="majorHAnsi" w:cstheme="majorHAnsi"/>
          <w:b/>
          <w:sz w:val="24"/>
          <w:szCs w:val="24"/>
        </w:rPr>
      </w:pPr>
      <w:r w:rsidRPr="00E67099">
        <w:rPr>
          <w:rFonts w:asciiTheme="majorHAnsi" w:hAnsiTheme="majorHAnsi" w:cstheme="majorHAnsi"/>
          <w:b/>
          <w:sz w:val="24"/>
          <w:szCs w:val="24"/>
        </w:rPr>
        <w:t>(mil. lei)</w:t>
      </w:r>
    </w:p>
    <w:tbl>
      <w:tblPr>
        <w:tblStyle w:val="GridTable1Light12"/>
        <w:tblW w:w="11628" w:type="dxa"/>
        <w:jc w:val="center"/>
        <w:tblLook w:val="04A0" w:firstRow="1" w:lastRow="0" w:firstColumn="1" w:lastColumn="0" w:noHBand="0" w:noVBand="1"/>
      </w:tblPr>
      <w:tblGrid>
        <w:gridCol w:w="7366"/>
        <w:gridCol w:w="1134"/>
        <w:gridCol w:w="992"/>
        <w:gridCol w:w="1051"/>
        <w:gridCol w:w="1085"/>
      </w:tblGrid>
      <w:tr w:rsidR="00E67099" w:rsidRPr="00E67099" w:rsidTr="00A3673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366" w:type="dxa"/>
          </w:tcPr>
          <w:p w:rsidR="00E67099" w:rsidRPr="00D047FC" w:rsidRDefault="00E67099" w:rsidP="00E67099">
            <w:pPr>
              <w:jc w:val="center"/>
              <w:rPr>
                <w:rFonts w:asciiTheme="majorHAnsi" w:hAnsiTheme="majorHAnsi" w:cstheme="majorHAnsi"/>
                <w:sz w:val="20"/>
                <w:szCs w:val="20"/>
              </w:rPr>
            </w:pPr>
            <w:r w:rsidRPr="00D047FC">
              <w:rPr>
                <w:rFonts w:asciiTheme="majorHAnsi" w:hAnsiTheme="majorHAnsi" w:cstheme="majorHAnsi"/>
                <w:sz w:val="20"/>
                <w:szCs w:val="20"/>
              </w:rPr>
              <w:t>Indicatori</w:t>
            </w:r>
          </w:p>
        </w:tc>
        <w:tc>
          <w:tcPr>
            <w:tcW w:w="1134" w:type="dxa"/>
          </w:tcPr>
          <w:p w:rsidR="00E67099" w:rsidRPr="00D047FC" w:rsidRDefault="00E67099" w:rsidP="00E6709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047FC">
              <w:rPr>
                <w:rFonts w:asciiTheme="majorHAnsi" w:hAnsiTheme="majorHAnsi" w:cstheme="majorHAnsi"/>
                <w:sz w:val="20"/>
                <w:szCs w:val="20"/>
              </w:rPr>
              <w:t>Aprobat</w:t>
            </w:r>
          </w:p>
        </w:tc>
        <w:tc>
          <w:tcPr>
            <w:tcW w:w="992" w:type="dxa"/>
          </w:tcPr>
          <w:p w:rsidR="00E67099" w:rsidRPr="00D047FC" w:rsidRDefault="00E67099" w:rsidP="00E6709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047FC">
              <w:rPr>
                <w:rFonts w:asciiTheme="majorHAnsi" w:hAnsiTheme="majorHAnsi" w:cstheme="majorHAnsi"/>
                <w:sz w:val="20"/>
                <w:szCs w:val="20"/>
              </w:rPr>
              <w:t>Precizat</w:t>
            </w:r>
          </w:p>
        </w:tc>
        <w:tc>
          <w:tcPr>
            <w:tcW w:w="1051" w:type="dxa"/>
          </w:tcPr>
          <w:p w:rsidR="00E67099" w:rsidRPr="00D047FC" w:rsidRDefault="00E67099" w:rsidP="00E6709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047FC">
              <w:rPr>
                <w:rFonts w:asciiTheme="majorHAnsi" w:hAnsiTheme="majorHAnsi" w:cstheme="majorHAnsi"/>
                <w:sz w:val="20"/>
                <w:szCs w:val="20"/>
              </w:rPr>
              <w:t>Executat</w:t>
            </w:r>
          </w:p>
        </w:tc>
        <w:tc>
          <w:tcPr>
            <w:tcW w:w="1085" w:type="dxa"/>
          </w:tcPr>
          <w:p w:rsidR="00E67099" w:rsidRPr="00D047FC" w:rsidRDefault="00E67099" w:rsidP="00E6709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047FC">
              <w:rPr>
                <w:rFonts w:asciiTheme="majorHAnsi" w:hAnsiTheme="majorHAnsi" w:cstheme="majorHAnsi"/>
                <w:sz w:val="20"/>
                <w:szCs w:val="20"/>
              </w:rPr>
              <w:t>Devieri (+/-)</w:t>
            </w:r>
          </w:p>
        </w:tc>
      </w:tr>
      <w:tr w:rsidR="00E67099" w:rsidRPr="00E67099" w:rsidTr="00A36731">
        <w:trPr>
          <w:jc w:val="center"/>
        </w:trPr>
        <w:tc>
          <w:tcPr>
            <w:cnfStyle w:val="001000000000" w:firstRow="0" w:lastRow="0" w:firstColumn="1" w:lastColumn="0" w:oddVBand="0" w:evenVBand="0" w:oddHBand="0" w:evenHBand="0" w:firstRowFirstColumn="0" w:firstRowLastColumn="0" w:lastRowFirstColumn="0" w:lastRowLastColumn="0"/>
            <w:tcW w:w="7366" w:type="dxa"/>
          </w:tcPr>
          <w:p w:rsidR="00E67099" w:rsidRPr="00D047FC" w:rsidRDefault="00E67099" w:rsidP="00E67099">
            <w:pPr>
              <w:jc w:val="center"/>
              <w:rPr>
                <w:rFonts w:asciiTheme="majorHAnsi" w:hAnsiTheme="majorHAnsi" w:cstheme="majorHAnsi"/>
                <w:i/>
                <w:sz w:val="16"/>
                <w:szCs w:val="16"/>
              </w:rPr>
            </w:pPr>
            <w:r w:rsidRPr="00D047FC">
              <w:rPr>
                <w:rFonts w:asciiTheme="majorHAnsi" w:hAnsiTheme="majorHAnsi" w:cstheme="majorHAnsi"/>
                <w:i/>
                <w:sz w:val="16"/>
                <w:szCs w:val="16"/>
              </w:rPr>
              <w:t>1</w:t>
            </w:r>
          </w:p>
        </w:tc>
        <w:tc>
          <w:tcPr>
            <w:tcW w:w="1134" w:type="dxa"/>
          </w:tcPr>
          <w:p w:rsidR="00E67099" w:rsidRPr="00D047FC"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rPr>
            </w:pPr>
            <w:r w:rsidRPr="00D047FC">
              <w:rPr>
                <w:rFonts w:asciiTheme="majorHAnsi" w:hAnsiTheme="majorHAnsi" w:cstheme="majorHAnsi"/>
                <w:i/>
                <w:sz w:val="16"/>
                <w:szCs w:val="16"/>
              </w:rPr>
              <w:t>2</w:t>
            </w:r>
          </w:p>
        </w:tc>
        <w:tc>
          <w:tcPr>
            <w:tcW w:w="992" w:type="dxa"/>
          </w:tcPr>
          <w:p w:rsidR="00E67099" w:rsidRPr="00D047FC"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rPr>
            </w:pPr>
            <w:r w:rsidRPr="00D047FC">
              <w:rPr>
                <w:rFonts w:asciiTheme="majorHAnsi" w:hAnsiTheme="majorHAnsi" w:cstheme="majorHAnsi"/>
                <w:i/>
                <w:sz w:val="16"/>
                <w:szCs w:val="16"/>
              </w:rPr>
              <w:t>3</w:t>
            </w:r>
          </w:p>
        </w:tc>
        <w:tc>
          <w:tcPr>
            <w:tcW w:w="1051" w:type="dxa"/>
          </w:tcPr>
          <w:p w:rsidR="00E67099" w:rsidRPr="00D047FC"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rPr>
            </w:pPr>
            <w:r w:rsidRPr="00D047FC">
              <w:rPr>
                <w:rFonts w:asciiTheme="majorHAnsi" w:hAnsiTheme="majorHAnsi" w:cstheme="majorHAnsi"/>
                <w:i/>
                <w:sz w:val="16"/>
                <w:szCs w:val="16"/>
              </w:rPr>
              <w:t>4</w:t>
            </w:r>
          </w:p>
        </w:tc>
        <w:tc>
          <w:tcPr>
            <w:tcW w:w="1085" w:type="dxa"/>
          </w:tcPr>
          <w:p w:rsidR="00E67099" w:rsidRPr="00D047FC"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rPr>
            </w:pPr>
            <w:r w:rsidRPr="00D047FC">
              <w:rPr>
                <w:rFonts w:asciiTheme="majorHAnsi" w:hAnsiTheme="majorHAnsi" w:cstheme="majorHAnsi"/>
                <w:i/>
                <w:sz w:val="16"/>
                <w:szCs w:val="16"/>
              </w:rPr>
              <w:t>5=4-3</w:t>
            </w:r>
          </w:p>
        </w:tc>
      </w:tr>
      <w:tr w:rsidR="00E67099" w:rsidRPr="00E67099" w:rsidTr="00A36731">
        <w:trPr>
          <w:jc w:val="center"/>
        </w:trPr>
        <w:tc>
          <w:tcPr>
            <w:cnfStyle w:val="001000000000" w:firstRow="0" w:lastRow="0" w:firstColumn="1" w:lastColumn="0" w:oddVBand="0" w:evenVBand="0" w:oddHBand="0" w:evenHBand="0" w:firstRowFirstColumn="0" w:firstRowLastColumn="0" w:lastRowFirstColumn="0" w:lastRowLastColumn="0"/>
            <w:tcW w:w="7366" w:type="dxa"/>
          </w:tcPr>
          <w:p w:rsidR="00E67099" w:rsidRPr="00D047FC" w:rsidRDefault="00E67099" w:rsidP="00E67099">
            <w:pPr>
              <w:jc w:val="both"/>
              <w:rPr>
                <w:rFonts w:asciiTheme="majorHAnsi" w:hAnsiTheme="majorHAnsi" w:cstheme="majorHAnsi"/>
                <w:sz w:val="20"/>
                <w:szCs w:val="20"/>
              </w:rPr>
            </w:pPr>
            <w:r w:rsidRPr="00D047FC">
              <w:rPr>
                <w:rFonts w:asciiTheme="majorHAnsi" w:hAnsiTheme="majorHAnsi" w:cstheme="majorHAnsi"/>
                <w:sz w:val="20"/>
                <w:szCs w:val="20"/>
              </w:rPr>
              <w:t>TOTAL SURSE DE FINANȚARE</w:t>
            </w:r>
          </w:p>
        </w:tc>
        <w:tc>
          <w:tcPr>
            <w:tcW w:w="1134" w:type="dxa"/>
          </w:tcPr>
          <w:p w:rsidR="00E67099" w:rsidRPr="00D047FC"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D047FC">
              <w:rPr>
                <w:rFonts w:asciiTheme="majorHAnsi" w:hAnsiTheme="majorHAnsi" w:cstheme="majorHAnsi"/>
                <w:b/>
                <w:sz w:val="20"/>
                <w:szCs w:val="20"/>
              </w:rPr>
              <w:t>5 538,7</w:t>
            </w:r>
          </w:p>
        </w:tc>
        <w:tc>
          <w:tcPr>
            <w:tcW w:w="992" w:type="dxa"/>
          </w:tcPr>
          <w:p w:rsidR="00E67099" w:rsidRPr="00D047FC"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D047FC">
              <w:rPr>
                <w:rFonts w:asciiTheme="majorHAnsi" w:hAnsiTheme="majorHAnsi" w:cstheme="majorHAnsi"/>
                <w:b/>
                <w:sz w:val="20"/>
                <w:szCs w:val="20"/>
              </w:rPr>
              <w:t>5 702,3</w:t>
            </w:r>
          </w:p>
        </w:tc>
        <w:tc>
          <w:tcPr>
            <w:tcW w:w="1051" w:type="dxa"/>
          </w:tcPr>
          <w:p w:rsidR="00E67099" w:rsidRPr="00D047FC"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D047FC">
              <w:rPr>
                <w:rFonts w:asciiTheme="majorHAnsi" w:hAnsiTheme="majorHAnsi" w:cstheme="majorHAnsi"/>
                <w:b/>
                <w:sz w:val="20"/>
                <w:szCs w:val="20"/>
              </w:rPr>
              <w:t>3 106,0</w:t>
            </w:r>
          </w:p>
        </w:tc>
        <w:tc>
          <w:tcPr>
            <w:tcW w:w="1085" w:type="dxa"/>
          </w:tcPr>
          <w:p w:rsidR="00E67099" w:rsidRPr="00D047FC"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szCs w:val="20"/>
                <w:lang w:val="en-US"/>
              </w:rPr>
            </w:pPr>
            <w:r w:rsidRPr="00D047FC">
              <w:rPr>
                <w:rFonts w:asciiTheme="majorHAnsi" w:hAnsiTheme="majorHAnsi" w:cstheme="majorHAnsi"/>
                <w:b/>
                <w:color w:val="000000"/>
                <w:sz w:val="20"/>
                <w:szCs w:val="20"/>
              </w:rPr>
              <w:t>-2 596,3</w:t>
            </w:r>
          </w:p>
        </w:tc>
      </w:tr>
      <w:tr w:rsidR="00E67099" w:rsidRPr="00E67099" w:rsidTr="00A36731">
        <w:trPr>
          <w:jc w:val="center"/>
        </w:trPr>
        <w:tc>
          <w:tcPr>
            <w:cnfStyle w:val="001000000000" w:firstRow="0" w:lastRow="0" w:firstColumn="1" w:lastColumn="0" w:oddVBand="0" w:evenVBand="0" w:oddHBand="0" w:evenHBand="0" w:firstRowFirstColumn="0" w:firstRowLastColumn="0" w:lastRowFirstColumn="0" w:lastRowLastColumn="0"/>
            <w:tcW w:w="7366" w:type="dxa"/>
          </w:tcPr>
          <w:p w:rsidR="00E67099" w:rsidRPr="00D047FC" w:rsidRDefault="00E67099" w:rsidP="00E67099">
            <w:pPr>
              <w:jc w:val="both"/>
              <w:rPr>
                <w:rFonts w:asciiTheme="majorHAnsi" w:hAnsiTheme="majorHAnsi" w:cstheme="majorHAnsi"/>
                <w:sz w:val="20"/>
                <w:szCs w:val="20"/>
              </w:rPr>
            </w:pPr>
            <w:r w:rsidRPr="00D047FC">
              <w:rPr>
                <w:rFonts w:asciiTheme="majorHAnsi" w:hAnsiTheme="majorHAnsi" w:cstheme="majorHAnsi"/>
                <w:sz w:val="20"/>
                <w:szCs w:val="20"/>
              </w:rPr>
              <w:t>Active financiare (4)</w:t>
            </w:r>
          </w:p>
        </w:tc>
        <w:tc>
          <w:tcPr>
            <w:tcW w:w="1134" w:type="dxa"/>
          </w:tcPr>
          <w:p w:rsidR="00E67099" w:rsidRPr="00D047FC"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D047FC">
              <w:rPr>
                <w:rFonts w:asciiTheme="majorHAnsi" w:hAnsiTheme="majorHAnsi" w:cstheme="majorHAnsi"/>
                <w:b/>
                <w:sz w:val="20"/>
                <w:szCs w:val="20"/>
              </w:rPr>
              <w:t>-876,6</w:t>
            </w:r>
          </w:p>
        </w:tc>
        <w:tc>
          <w:tcPr>
            <w:tcW w:w="992" w:type="dxa"/>
          </w:tcPr>
          <w:p w:rsidR="00E67099" w:rsidRPr="00D047FC"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D047FC">
              <w:rPr>
                <w:rFonts w:asciiTheme="majorHAnsi" w:hAnsiTheme="majorHAnsi" w:cstheme="majorHAnsi"/>
                <w:b/>
                <w:sz w:val="20"/>
                <w:szCs w:val="20"/>
              </w:rPr>
              <w:t>117,4</w:t>
            </w:r>
          </w:p>
        </w:tc>
        <w:tc>
          <w:tcPr>
            <w:tcW w:w="1051" w:type="dxa"/>
          </w:tcPr>
          <w:p w:rsidR="00E67099" w:rsidRPr="00D047FC"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D047FC">
              <w:rPr>
                <w:rFonts w:asciiTheme="majorHAnsi" w:hAnsiTheme="majorHAnsi" w:cstheme="majorHAnsi"/>
                <w:b/>
                <w:sz w:val="20"/>
                <w:szCs w:val="20"/>
              </w:rPr>
              <w:t>892,3</w:t>
            </w:r>
          </w:p>
        </w:tc>
        <w:tc>
          <w:tcPr>
            <w:tcW w:w="1085" w:type="dxa"/>
          </w:tcPr>
          <w:p w:rsidR="00E67099" w:rsidRPr="00D047FC"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szCs w:val="20"/>
              </w:rPr>
            </w:pPr>
            <w:r w:rsidRPr="00D047FC">
              <w:rPr>
                <w:rFonts w:asciiTheme="majorHAnsi" w:hAnsiTheme="majorHAnsi" w:cstheme="majorHAnsi"/>
                <w:b/>
                <w:color w:val="000000"/>
                <w:sz w:val="20"/>
                <w:szCs w:val="20"/>
              </w:rPr>
              <w:t>774,9</w:t>
            </w:r>
          </w:p>
        </w:tc>
      </w:tr>
      <w:tr w:rsidR="00E67099" w:rsidRPr="00E67099" w:rsidTr="00A36731">
        <w:trPr>
          <w:jc w:val="center"/>
        </w:trPr>
        <w:tc>
          <w:tcPr>
            <w:cnfStyle w:val="001000000000" w:firstRow="0" w:lastRow="0" w:firstColumn="1" w:lastColumn="0" w:oddVBand="0" w:evenVBand="0" w:oddHBand="0" w:evenHBand="0" w:firstRowFirstColumn="0" w:firstRowLastColumn="0" w:lastRowFirstColumn="0" w:lastRowLastColumn="0"/>
            <w:tcW w:w="7366" w:type="dxa"/>
          </w:tcPr>
          <w:p w:rsidR="00E67099" w:rsidRPr="00D047FC" w:rsidRDefault="00E67099" w:rsidP="00E67099">
            <w:pPr>
              <w:jc w:val="both"/>
              <w:rPr>
                <w:rFonts w:asciiTheme="majorHAnsi" w:hAnsiTheme="majorHAnsi" w:cstheme="majorHAnsi"/>
                <w:sz w:val="20"/>
                <w:szCs w:val="20"/>
              </w:rPr>
            </w:pPr>
            <w:r w:rsidRPr="00D047FC">
              <w:rPr>
                <w:rFonts w:asciiTheme="majorHAnsi" w:hAnsiTheme="majorHAnsi" w:cstheme="majorHAnsi"/>
                <w:sz w:val="20"/>
                <w:szCs w:val="20"/>
              </w:rPr>
              <w:t>Creanțe interne (41)</w:t>
            </w:r>
          </w:p>
        </w:tc>
        <w:tc>
          <w:tcPr>
            <w:tcW w:w="1134" w:type="dxa"/>
          </w:tcPr>
          <w:p w:rsidR="00E67099" w:rsidRPr="00D047FC"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047FC">
              <w:rPr>
                <w:rFonts w:asciiTheme="majorHAnsi" w:hAnsiTheme="majorHAnsi" w:cstheme="majorHAnsi"/>
                <w:sz w:val="20"/>
                <w:szCs w:val="20"/>
              </w:rPr>
              <w:t>228,0</w:t>
            </w:r>
          </w:p>
        </w:tc>
        <w:tc>
          <w:tcPr>
            <w:tcW w:w="992" w:type="dxa"/>
          </w:tcPr>
          <w:p w:rsidR="00E67099" w:rsidRPr="00D047FC"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047FC">
              <w:rPr>
                <w:rFonts w:asciiTheme="majorHAnsi" w:hAnsiTheme="majorHAnsi" w:cstheme="majorHAnsi"/>
                <w:sz w:val="20"/>
                <w:szCs w:val="20"/>
              </w:rPr>
              <w:t>871,8</w:t>
            </w:r>
          </w:p>
        </w:tc>
        <w:tc>
          <w:tcPr>
            <w:tcW w:w="1051" w:type="dxa"/>
          </w:tcPr>
          <w:p w:rsidR="00E67099" w:rsidRPr="00D047FC"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047FC">
              <w:rPr>
                <w:rFonts w:asciiTheme="majorHAnsi" w:hAnsiTheme="majorHAnsi" w:cstheme="majorHAnsi"/>
                <w:sz w:val="20"/>
                <w:szCs w:val="20"/>
              </w:rPr>
              <w:t>1 127,8</w:t>
            </w:r>
          </w:p>
        </w:tc>
        <w:tc>
          <w:tcPr>
            <w:tcW w:w="1085" w:type="dxa"/>
          </w:tcPr>
          <w:p w:rsidR="00E67099" w:rsidRPr="00D047FC"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D047FC">
              <w:rPr>
                <w:rFonts w:asciiTheme="majorHAnsi" w:hAnsiTheme="majorHAnsi" w:cstheme="majorHAnsi"/>
                <w:color w:val="000000"/>
                <w:sz w:val="20"/>
                <w:szCs w:val="20"/>
              </w:rPr>
              <w:t>256</w:t>
            </w:r>
          </w:p>
        </w:tc>
      </w:tr>
      <w:tr w:rsidR="00E67099" w:rsidRPr="00E67099" w:rsidTr="00A36731">
        <w:trPr>
          <w:jc w:val="center"/>
        </w:trPr>
        <w:tc>
          <w:tcPr>
            <w:cnfStyle w:val="001000000000" w:firstRow="0" w:lastRow="0" w:firstColumn="1" w:lastColumn="0" w:oddVBand="0" w:evenVBand="0" w:oddHBand="0" w:evenHBand="0" w:firstRowFirstColumn="0" w:firstRowLastColumn="0" w:lastRowFirstColumn="0" w:lastRowLastColumn="0"/>
            <w:tcW w:w="7366" w:type="dxa"/>
          </w:tcPr>
          <w:p w:rsidR="00E67099" w:rsidRPr="00D047FC" w:rsidRDefault="00E67099" w:rsidP="00E67099">
            <w:pPr>
              <w:jc w:val="both"/>
              <w:rPr>
                <w:rFonts w:asciiTheme="majorHAnsi" w:hAnsiTheme="majorHAnsi" w:cstheme="majorHAnsi"/>
                <w:sz w:val="20"/>
                <w:szCs w:val="20"/>
              </w:rPr>
            </w:pPr>
            <w:r w:rsidRPr="00D047FC">
              <w:rPr>
                <w:rFonts w:asciiTheme="majorHAnsi" w:hAnsiTheme="majorHAnsi" w:cstheme="majorHAnsi"/>
                <w:sz w:val="20"/>
                <w:szCs w:val="20"/>
              </w:rPr>
              <w:t>dintre care: acțiuni și alte forme de participare în capital în interiorul țării (venituri din privatizare) (415)</w:t>
            </w:r>
          </w:p>
        </w:tc>
        <w:tc>
          <w:tcPr>
            <w:tcW w:w="1134" w:type="dxa"/>
          </w:tcPr>
          <w:p w:rsidR="00E67099" w:rsidRPr="00D047FC"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047FC">
              <w:rPr>
                <w:rFonts w:asciiTheme="majorHAnsi" w:hAnsiTheme="majorHAnsi" w:cstheme="majorHAnsi"/>
                <w:sz w:val="20"/>
                <w:szCs w:val="20"/>
              </w:rPr>
              <w:t>-164,5</w:t>
            </w:r>
          </w:p>
        </w:tc>
        <w:tc>
          <w:tcPr>
            <w:tcW w:w="992" w:type="dxa"/>
          </w:tcPr>
          <w:p w:rsidR="00E67099" w:rsidRPr="00D047FC"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047FC">
              <w:rPr>
                <w:rFonts w:asciiTheme="majorHAnsi" w:hAnsiTheme="majorHAnsi" w:cstheme="majorHAnsi"/>
                <w:sz w:val="20"/>
                <w:szCs w:val="20"/>
              </w:rPr>
              <w:t>-158,2</w:t>
            </w:r>
          </w:p>
        </w:tc>
        <w:tc>
          <w:tcPr>
            <w:tcW w:w="1051" w:type="dxa"/>
          </w:tcPr>
          <w:p w:rsidR="00E67099" w:rsidRPr="00D047FC"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047FC">
              <w:rPr>
                <w:rFonts w:asciiTheme="majorHAnsi" w:hAnsiTheme="majorHAnsi" w:cstheme="majorHAnsi"/>
                <w:sz w:val="20"/>
                <w:szCs w:val="20"/>
              </w:rPr>
              <w:t>85,2</w:t>
            </w:r>
          </w:p>
        </w:tc>
        <w:tc>
          <w:tcPr>
            <w:tcW w:w="1085" w:type="dxa"/>
          </w:tcPr>
          <w:p w:rsidR="00E67099" w:rsidRPr="00D047FC"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D047FC">
              <w:rPr>
                <w:rFonts w:asciiTheme="majorHAnsi" w:hAnsiTheme="majorHAnsi" w:cstheme="majorHAnsi"/>
                <w:color w:val="000000"/>
                <w:sz w:val="20"/>
                <w:szCs w:val="20"/>
              </w:rPr>
              <w:t>243,4</w:t>
            </w:r>
          </w:p>
        </w:tc>
      </w:tr>
      <w:tr w:rsidR="00E67099" w:rsidRPr="00E67099" w:rsidTr="00A36731">
        <w:trPr>
          <w:jc w:val="center"/>
        </w:trPr>
        <w:tc>
          <w:tcPr>
            <w:cnfStyle w:val="001000000000" w:firstRow="0" w:lastRow="0" w:firstColumn="1" w:lastColumn="0" w:oddVBand="0" w:evenVBand="0" w:oddHBand="0" w:evenHBand="0" w:firstRowFirstColumn="0" w:firstRowLastColumn="0" w:lastRowFirstColumn="0" w:lastRowLastColumn="0"/>
            <w:tcW w:w="7366" w:type="dxa"/>
          </w:tcPr>
          <w:p w:rsidR="00E67099" w:rsidRPr="00D047FC" w:rsidRDefault="00E67099" w:rsidP="00E67099">
            <w:pPr>
              <w:jc w:val="both"/>
              <w:rPr>
                <w:rFonts w:asciiTheme="majorHAnsi" w:hAnsiTheme="majorHAnsi" w:cstheme="majorHAnsi"/>
                <w:sz w:val="20"/>
                <w:szCs w:val="20"/>
              </w:rPr>
            </w:pPr>
            <w:r w:rsidRPr="00D047FC">
              <w:rPr>
                <w:rFonts w:asciiTheme="majorHAnsi" w:hAnsiTheme="majorHAnsi" w:cstheme="majorHAnsi"/>
                <w:sz w:val="20"/>
                <w:szCs w:val="20"/>
              </w:rPr>
              <w:t>Alte creanțe ale bugetului (418)</w:t>
            </w:r>
          </w:p>
        </w:tc>
        <w:tc>
          <w:tcPr>
            <w:tcW w:w="1134" w:type="dxa"/>
          </w:tcPr>
          <w:p w:rsidR="00E67099" w:rsidRPr="00D047FC"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047FC">
              <w:rPr>
                <w:rFonts w:asciiTheme="majorHAnsi" w:hAnsiTheme="majorHAnsi" w:cstheme="majorHAnsi"/>
                <w:sz w:val="20"/>
                <w:szCs w:val="20"/>
              </w:rPr>
              <w:t>392,5</w:t>
            </w:r>
          </w:p>
        </w:tc>
        <w:tc>
          <w:tcPr>
            <w:tcW w:w="992" w:type="dxa"/>
          </w:tcPr>
          <w:p w:rsidR="00E67099" w:rsidRPr="00D047FC"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047FC">
              <w:rPr>
                <w:rFonts w:asciiTheme="majorHAnsi" w:hAnsiTheme="majorHAnsi" w:cstheme="majorHAnsi"/>
                <w:sz w:val="20"/>
                <w:szCs w:val="20"/>
              </w:rPr>
              <w:t>1 030,0</w:t>
            </w:r>
          </w:p>
        </w:tc>
        <w:tc>
          <w:tcPr>
            <w:tcW w:w="1051" w:type="dxa"/>
          </w:tcPr>
          <w:p w:rsidR="00E67099" w:rsidRPr="00D047FC"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047FC">
              <w:rPr>
                <w:rFonts w:asciiTheme="majorHAnsi" w:hAnsiTheme="majorHAnsi" w:cstheme="majorHAnsi"/>
                <w:sz w:val="20"/>
                <w:szCs w:val="20"/>
              </w:rPr>
              <w:t>1 042,6</w:t>
            </w:r>
          </w:p>
        </w:tc>
        <w:tc>
          <w:tcPr>
            <w:tcW w:w="1085" w:type="dxa"/>
          </w:tcPr>
          <w:p w:rsidR="00E67099" w:rsidRPr="00D047FC"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D047FC">
              <w:rPr>
                <w:rFonts w:asciiTheme="majorHAnsi" w:hAnsiTheme="majorHAnsi" w:cstheme="majorHAnsi"/>
                <w:color w:val="000000"/>
                <w:sz w:val="20"/>
                <w:szCs w:val="20"/>
              </w:rPr>
              <w:t>12,6</w:t>
            </w:r>
          </w:p>
        </w:tc>
      </w:tr>
      <w:tr w:rsidR="00E67099" w:rsidRPr="00E67099" w:rsidTr="00A36731">
        <w:trPr>
          <w:jc w:val="center"/>
        </w:trPr>
        <w:tc>
          <w:tcPr>
            <w:cnfStyle w:val="001000000000" w:firstRow="0" w:lastRow="0" w:firstColumn="1" w:lastColumn="0" w:oddVBand="0" w:evenVBand="0" w:oddHBand="0" w:evenHBand="0" w:firstRowFirstColumn="0" w:firstRowLastColumn="0" w:lastRowFirstColumn="0" w:lastRowLastColumn="0"/>
            <w:tcW w:w="7366" w:type="dxa"/>
          </w:tcPr>
          <w:p w:rsidR="00E67099" w:rsidRPr="00D047FC" w:rsidRDefault="00E67099" w:rsidP="00E67099">
            <w:pPr>
              <w:jc w:val="both"/>
              <w:rPr>
                <w:rFonts w:asciiTheme="majorHAnsi" w:hAnsiTheme="majorHAnsi" w:cstheme="majorHAnsi"/>
                <w:sz w:val="20"/>
                <w:szCs w:val="20"/>
              </w:rPr>
            </w:pPr>
            <w:r w:rsidRPr="00D047FC">
              <w:rPr>
                <w:rFonts w:asciiTheme="majorHAnsi" w:hAnsiTheme="majorHAnsi" w:cstheme="majorHAnsi"/>
                <w:sz w:val="20"/>
                <w:szCs w:val="20"/>
              </w:rPr>
              <w:t>Împrumuturi recreditate interne între bugete (46)</w:t>
            </w:r>
          </w:p>
        </w:tc>
        <w:tc>
          <w:tcPr>
            <w:tcW w:w="1134" w:type="dxa"/>
          </w:tcPr>
          <w:p w:rsidR="00E67099" w:rsidRPr="00D047FC"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D047FC">
              <w:rPr>
                <w:rFonts w:asciiTheme="majorHAnsi" w:hAnsiTheme="majorHAnsi" w:cstheme="majorHAnsi"/>
                <w:b/>
                <w:sz w:val="20"/>
                <w:szCs w:val="20"/>
              </w:rPr>
              <w:t>43,8</w:t>
            </w:r>
          </w:p>
        </w:tc>
        <w:tc>
          <w:tcPr>
            <w:tcW w:w="992" w:type="dxa"/>
          </w:tcPr>
          <w:p w:rsidR="00E67099" w:rsidRPr="00D047FC"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D047FC">
              <w:rPr>
                <w:rFonts w:asciiTheme="majorHAnsi" w:hAnsiTheme="majorHAnsi" w:cstheme="majorHAnsi"/>
                <w:b/>
                <w:sz w:val="20"/>
                <w:szCs w:val="20"/>
              </w:rPr>
              <w:t>40,8</w:t>
            </w:r>
          </w:p>
        </w:tc>
        <w:tc>
          <w:tcPr>
            <w:tcW w:w="1051" w:type="dxa"/>
          </w:tcPr>
          <w:p w:rsidR="00E67099" w:rsidRPr="00D047FC"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D047FC">
              <w:rPr>
                <w:rFonts w:asciiTheme="majorHAnsi" w:hAnsiTheme="majorHAnsi" w:cstheme="majorHAnsi"/>
                <w:b/>
                <w:sz w:val="20"/>
                <w:szCs w:val="20"/>
              </w:rPr>
              <w:t>36,8</w:t>
            </w:r>
          </w:p>
        </w:tc>
        <w:tc>
          <w:tcPr>
            <w:tcW w:w="1085" w:type="dxa"/>
          </w:tcPr>
          <w:p w:rsidR="00E67099" w:rsidRPr="00D047FC"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szCs w:val="20"/>
              </w:rPr>
            </w:pPr>
            <w:r w:rsidRPr="00D047FC">
              <w:rPr>
                <w:rFonts w:asciiTheme="majorHAnsi" w:hAnsiTheme="majorHAnsi" w:cstheme="majorHAnsi"/>
                <w:b/>
                <w:color w:val="000000"/>
                <w:sz w:val="20"/>
                <w:szCs w:val="20"/>
              </w:rPr>
              <w:t>-4</w:t>
            </w:r>
          </w:p>
        </w:tc>
      </w:tr>
      <w:tr w:rsidR="00E67099" w:rsidRPr="00E67099" w:rsidTr="00A36731">
        <w:trPr>
          <w:jc w:val="center"/>
        </w:trPr>
        <w:tc>
          <w:tcPr>
            <w:cnfStyle w:val="001000000000" w:firstRow="0" w:lastRow="0" w:firstColumn="1" w:lastColumn="0" w:oddVBand="0" w:evenVBand="0" w:oddHBand="0" w:evenHBand="0" w:firstRowFirstColumn="0" w:firstRowLastColumn="0" w:lastRowFirstColumn="0" w:lastRowLastColumn="0"/>
            <w:tcW w:w="7366" w:type="dxa"/>
          </w:tcPr>
          <w:p w:rsidR="00E67099" w:rsidRPr="00D047FC" w:rsidRDefault="00E67099" w:rsidP="00E67099">
            <w:pPr>
              <w:jc w:val="both"/>
              <w:rPr>
                <w:rFonts w:asciiTheme="majorHAnsi" w:hAnsiTheme="majorHAnsi" w:cstheme="majorHAnsi"/>
                <w:sz w:val="20"/>
                <w:szCs w:val="20"/>
              </w:rPr>
            </w:pPr>
            <w:r w:rsidRPr="00D047FC">
              <w:rPr>
                <w:rFonts w:asciiTheme="majorHAnsi" w:hAnsiTheme="majorHAnsi" w:cstheme="majorHAnsi"/>
                <w:sz w:val="20"/>
                <w:szCs w:val="20"/>
              </w:rPr>
              <w:t>Împrumuturi recreditate interne instituțiilor financiare și nefinanciare (47)</w:t>
            </w:r>
          </w:p>
        </w:tc>
        <w:tc>
          <w:tcPr>
            <w:tcW w:w="1134" w:type="dxa"/>
          </w:tcPr>
          <w:p w:rsidR="00E67099" w:rsidRPr="00D047FC" w:rsidRDefault="00E67099" w:rsidP="00E67099">
            <w:pPr>
              <w:ind w:left="27"/>
              <w:contextualSpacing/>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D047FC">
              <w:rPr>
                <w:rFonts w:asciiTheme="majorHAnsi" w:hAnsiTheme="majorHAnsi" w:cstheme="majorHAnsi"/>
                <w:b/>
                <w:sz w:val="20"/>
                <w:szCs w:val="20"/>
              </w:rPr>
              <w:t>-1 149,7</w:t>
            </w:r>
          </w:p>
        </w:tc>
        <w:tc>
          <w:tcPr>
            <w:tcW w:w="992" w:type="dxa"/>
          </w:tcPr>
          <w:p w:rsidR="00E67099" w:rsidRPr="00D047FC" w:rsidRDefault="00E67099" w:rsidP="00E67099">
            <w:pPr>
              <w:ind w:left="27"/>
              <w:contextualSpacing/>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D047FC">
              <w:rPr>
                <w:rFonts w:asciiTheme="majorHAnsi" w:hAnsiTheme="majorHAnsi" w:cstheme="majorHAnsi"/>
                <w:b/>
                <w:sz w:val="20"/>
                <w:szCs w:val="20"/>
              </w:rPr>
              <w:t>-801,2</w:t>
            </w:r>
          </w:p>
        </w:tc>
        <w:tc>
          <w:tcPr>
            <w:tcW w:w="1051" w:type="dxa"/>
          </w:tcPr>
          <w:p w:rsidR="00E67099" w:rsidRPr="00D047FC" w:rsidRDefault="00E67099" w:rsidP="00E67099">
            <w:pPr>
              <w:contextualSpacing/>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D047FC">
              <w:rPr>
                <w:rFonts w:asciiTheme="majorHAnsi" w:hAnsiTheme="majorHAnsi" w:cstheme="majorHAnsi"/>
                <w:b/>
                <w:sz w:val="20"/>
                <w:szCs w:val="20"/>
              </w:rPr>
              <w:t>-262,3</w:t>
            </w:r>
          </w:p>
        </w:tc>
        <w:tc>
          <w:tcPr>
            <w:tcW w:w="1085" w:type="dxa"/>
          </w:tcPr>
          <w:p w:rsidR="00E67099" w:rsidRPr="00D047FC"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szCs w:val="20"/>
              </w:rPr>
            </w:pPr>
            <w:r w:rsidRPr="00D047FC">
              <w:rPr>
                <w:rFonts w:asciiTheme="majorHAnsi" w:hAnsiTheme="majorHAnsi" w:cstheme="majorHAnsi"/>
                <w:b/>
                <w:color w:val="000000"/>
                <w:sz w:val="20"/>
                <w:szCs w:val="20"/>
              </w:rPr>
              <w:t>538,9</w:t>
            </w:r>
          </w:p>
        </w:tc>
      </w:tr>
      <w:tr w:rsidR="00E67099" w:rsidRPr="00E67099" w:rsidTr="00A36731">
        <w:trPr>
          <w:jc w:val="center"/>
        </w:trPr>
        <w:tc>
          <w:tcPr>
            <w:cnfStyle w:val="001000000000" w:firstRow="0" w:lastRow="0" w:firstColumn="1" w:lastColumn="0" w:oddVBand="0" w:evenVBand="0" w:oddHBand="0" w:evenHBand="0" w:firstRowFirstColumn="0" w:firstRowLastColumn="0" w:lastRowFirstColumn="0" w:lastRowLastColumn="0"/>
            <w:tcW w:w="7366" w:type="dxa"/>
          </w:tcPr>
          <w:p w:rsidR="00E67099" w:rsidRPr="00D047FC" w:rsidRDefault="00E67099" w:rsidP="00E67099">
            <w:pPr>
              <w:jc w:val="both"/>
              <w:rPr>
                <w:rFonts w:asciiTheme="majorHAnsi" w:hAnsiTheme="majorHAnsi" w:cstheme="majorHAnsi"/>
                <w:sz w:val="20"/>
                <w:szCs w:val="20"/>
              </w:rPr>
            </w:pPr>
            <w:r w:rsidRPr="00D047FC">
              <w:rPr>
                <w:rFonts w:asciiTheme="majorHAnsi" w:hAnsiTheme="majorHAnsi" w:cstheme="majorHAnsi"/>
                <w:sz w:val="20"/>
                <w:szCs w:val="20"/>
              </w:rPr>
              <w:t>Creanțe externe (48)</w:t>
            </w:r>
          </w:p>
        </w:tc>
        <w:tc>
          <w:tcPr>
            <w:tcW w:w="1134" w:type="dxa"/>
          </w:tcPr>
          <w:p w:rsidR="00E67099" w:rsidRPr="00D047FC"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D047FC">
              <w:rPr>
                <w:rFonts w:asciiTheme="majorHAnsi" w:hAnsiTheme="majorHAnsi" w:cstheme="majorHAnsi"/>
                <w:b/>
                <w:sz w:val="20"/>
                <w:szCs w:val="20"/>
              </w:rPr>
              <w:t>1,2</w:t>
            </w:r>
          </w:p>
        </w:tc>
        <w:tc>
          <w:tcPr>
            <w:tcW w:w="992" w:type="dxa"/>
          </w:tcPr>
          <w:p w:rsidR="00E67099" w:rsidRPr="00D047FC"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D047FC">
              <w:rPr>
                <w:rFonts w:asciiTheme="majorHAnsi" w:hAnsiTheme="majorHAnsi" w:cstheme="majorHAnsi"/>
                <w:b/>
                <w:sz w:val="20"/>
                <w:szCs w:val="20"/>
              </w:rPr>
              <w:t>6,0</w:t>
            </w:r>
          </w:p>
        </w:tc>
        <w:tc>
          <w:tcPr>
            <w:tcW w:w="1051" w:type="dxa"/>
          </w:tcPr>
          <w:p w:rsidR="00E67099" w:rsidRPr="00D047FC"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D047FC">
              <w:rPr>
                <w:rFonts w:asciiTheme="majorHAnsi" w:hAnsiTheme="majorHAnsi" w:cstheme="majorHAnsi"/>
                <w:b/>
                <w:sz w:val="20"/>
                <w:szCs w:val="20"/>
              </w:rPr>
              <w:t>6,0</w:t>
            </w:r>
          </w:p>
        </w:tc>
        <w:tc>
          <w:tcPr>
            <w:tcW w:w="1085" w:type="dxa"/>
          </w:tcPr>
          <w:p w:rsidR="00E67099" w:rsidRPr="00D047FC"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D047FC">
              <w:rPr>
                <w:rFonts w:asciiTheme="majorHAnsi" w:hAnsiTheme="majorHAnsi" w:cstheme="majorHAnsi"/>
                <w:color w:val="000000"/>
                <w:sz w:val="20"/>
                <w:szCs w:val="20"/>
              </w:rPr>
              <w:t>0</w:t>
            </w:r>
          </w:p>
        </w:tc>
      </w:tr>
      <w:tr w:rsidR="00E67099" w:rsidRPr="00E67099" w:rsidTr="00A36731">
        <w:trPr>
          <w:jc w:val="center"/>
        </w:trPr>
        <w:tc>
          <w:tcPr>
            <w:cnfStyle w:val="001000000000" w:firstRow="0" w:lastRow="0" w:firstColumn="1" w:lastColumn="0" w:oddVBand="0" w:evenVBand="0" w:oddHBand="0" w:evenHBand="0" w:firstRowFirstColumn="0" w:firstRowLastColumn="0" w:lastRowFirstColumn="0" w:lastRowLastColumn="0"/>
            <w:tcW w:w="7366" w:type="dxa"/>
          </w:tcPr>
          <w:p w:rsidR="00E67099" w:rsidRPr="00D047FC" w:rsidRDefault="00E67099" w:rsidP="00E67099">
            <w:pPr>
              <w:jc w:val="both"/>
              <w:rPr>
                <w:rFonts w:asciiTheme="majorHAnsi" w:hAnsiTheme="majorHAnsi" w:cstheme="majorHAnsi"/>
                <w:sz w:val="20"/>
                <w:szCs w:val="20"/>
              </w:rPr>
            </w:pPr>
            <w:r w:rsidRPr="00D047FC">
              <w:rPr>
                <w:rFonts w:asciiTheme="majorHAnsi" w:hAnsiTheme="majorHAnsi" w:cstheme="majorHAnsi"/>
                <w:sz w:val="20"/>
                <w:szCs w:val="20"/>
              </w:rPr>
              <w:t>Datorii (5)</w:t>
            </w:r>
          </w:p>
        </w:tc>
        <w:tc>
          <w:tcPr>
            <w:tcW w:w="1134" w:type="dxa"/>
          </w:tcPr>
          <w:p w:rsidR="00E67099" w:rsidRPr="00D047FC"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D047FC">
              <w:rPr>
                <w:rFonts w:asciiTheme="majorHAnsi" w:hAnsiTheme="majorHAnsi" w:cstheme="majorHAnsi"/>
                <w:b/>
                <w:sz w:val="20"/>
                <w:szCs w:val="20"/>
              </w:rPr>
              <w:t>6 729,4</w:t>
            </w:r>
          </w:p>
        </w:tc>
        <w:tc>
          <w:tcPr>
            <w:tcW w:w="992" w:type="dxa"/>
          </w:tcPr>
          <w:p w:rsidR="00E67099" w:rsidRPr="00D047FC"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D047FC">
              <w:rPr>
                <w:rFonts w:asciiTheme="majorHAnsi" w:hAnsiTheme="majorHAnsi" w:cstheme="majorHAnsi"/>
                <w:b/>
                <w:sz w:val="20"/>
                <w:szCs w:val="20"/>
              </w:rPr>
              <w:t>4 466,1</w:t>
            </w:r>
          </w:p>
        </w:tc>
        <w:tc>
          <w:tcPr>
            <w:tcW w:w="1051" w:type="dxa"/>
          </w:tcPr>
          <w:p w:rsidR="00E67099" w:rsidRPr="00D047FC"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D047FC">
              <w:rPr>
                <w:rFonts w:asciiTheme="majorHAnsi" w:hAnsiTheme="majorHAnsi" w:cstheme="majorHAnsi"/>
                <w:b/>
                <w:sz w:val="20"/>
                <w:szCs w:val="20"/>
              </w:rPr>
              <w:t>621,9</w:t>
            </w:r>
          </w:p>
        </w:tc>
        <w:tc>
          <w:tcPr>
            <w:tcW w:w="1085" w:type="dxa"/>
          </w:tcPr>
          <w:p w:rsidR="00E67099" w:rsidRPr="00D047FC"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szCs w:val="20"/>
              </w:rPr>
            </w:pPr>
            <w:r w:rsidRPr="00D047FC">
              <w:rPr>
                <w:rFonts w:asciiTheme="majorHAnsi" w:hAnsiTheme="majorHAnsi" w:cstheme="majorHAnsi"/>
                <w:b/>
                <w:color w:val="000000"/>
                <w:sz w:val="20"/>
                <w:szCs w:val="20"/>
              </w:rPr>
              <w:t>-3 844,2</w:t>
            </w:r>
          </w:p>
        </w:tc>
      </w:tr>
      <w:tr w:rsidR="00E67099" w:rsidRPr="00E67099" w:rsidTr="00A36731">
        <w:trPr>
          <w:jc w:val="center"/>
        </w:trPr>
        <w:tc>
          <w:tcPr>
            <w:cnfStyle w:val="001000000000" w:firstRow="0" w:lastRow="0" w:firstColumn="1" w:lastColumn="0" w:oddVBand="0" w:evenVBand="0" w:oddHBand="0" w:evenHBand="0" w:firstRowFirstColumn="0" w:firstRowLastColumn="0" w:lastRowFirstColumn="0" w:lastRowLastColumn="0"/>
            <w:tcW w:w="7366" w:type="dxa"/>
          </w:tcPr>
          <w:p w:rsidR="00E67099" w:rsidRPr="00D047FC" w:rsidRDefault="00E67099" w:rsidP="00E67099">
            <w:pPr>
              <w:jc w:val="both"/>
              <w:rPr>
                <w:rFonts w:asciiTheme="majorHAnsi" w:hAnsiTheme="majorHAnsi" w:cstheme="majorHAnsi"/>
                <w:sz w:val="20"/>
                <w:szCs w:val="20"/>
              </w:rPr>
            </w:pPr>
            <w:r w:rsidRPr="00D047FC">
              <w:rPr>
                <w:rFonts w:asciiTheme="majorHAnsi" w:hAnsiTheme="majorHAnsi" w:cstheme="majorHAnsi"/>
                <w:sz w:val="20"/>
                <w:szCs w:val="20"/>
              </w:rPr>
              <w:t>Modificarea soldului de mijloace bănești (9)</w:t>
            </w:r>
          </w:p>
        </w:tc>
        <w:tc>
          <w:tcPr>
            <w:tcW w:w="1134" w:type="dxa"/>
          </w:tcPr>
          <w:p w:rsidR="00E67099" w:rsidRPr="00D047FC"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D047FC">
              <w:rPr>
                <w:rFonts w:asciiTheme="majorHAnsi" w:hAnsiTheme="majorHAnsi" w:cstheme="majorHAnsi"/>
                <w:b/>
                <w:sz w:val="20"/>
                <w:szCs w:val="20"/>
              </w:rPr>
              <w:t>-314,1</w:t>
            </w:r>
          </w:p>
        </w:tc>
        <w:tc>
          <w:tcPr>
            <w:tcW w:w="992" w:type="dxa"/>
          </w:tcPr>
          <w:p w:rsidR="00E67099" w:rsidRPr="00D047FC"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D047FC">
              <w:rPr>
                <w:rFonts w:asciiTheme="majorHAnsi" w:hAnsiTheme="majorHAnsi" w:cstheme="majorHAnsi"/>
                <w:b/>
                <w:sz w:val="20"/>
                <w:szCs w:val="20"/>
              </w:rPr>
              <w:t>1 119,8</w:t>
            </w:r>
          </w:p>
        </w:tc>
        <w:tc>
          <w:tcPr>
            <w:tcW w:w="1051" w:type="dxa"/>
          </w:tcPr>
          <w:p w:rsidR="00E67099" w:rsidRPr="00D047FC"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D047FC">
              <w:rPr>
                <w:rFonts w:asciiTheme="majorHAnsi" w:hAnsiTheme="majorHAnsi" w:cstheme="majorHAnsi"/>
                <w:b/>
                <w:sz w:val="20"/>
                <w:szCs w:val="20"/>
              </w:rPr>
              <w:t>1 591,8</w:t>
            </w:r>
          </w:p>
        </w:tc>
        <w:tc>
          <w:tcPr>
            <w:tcW w:w="1085" w:type="dxa"/>
          </w:tcPr>
          <w:p w:rsidR="00E67099" w:rsidRPr="00D047FC"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szCs w:val="20"/>
              </w:rPr>
            </w:pPr>
            <w:r w:rsidRPr="00D047FC">
              <w:rPr>
                <w:rFonts w:asciiTheme="majorHAnsi" w:hAnsiTheme="majorHAnsi" w:cstheme="majorHAnsi"/>
                <w:b/>
                <w:color w:val="000000"/>
                <w:sz w:val="20"/>
                <w:szCs w:val="20"/>
              </w:rPr>
              <w:t>472</w:t>
            </w:r>
          </w:p>
        </w:tc>
      </w:tr>
    </w:tbl>
    <w:p w:rsidR="00E67099" w:rsidRPr="00E67099" w:rsidRDefault="00E67099" w:rsidP="00E67099">
      <w:pPr>
        <w:spacing w:after="0" w:line="276" w:lineRule="auto"/>
        <w:ind w:left="851"/>
        <w:jc w:val="both"/>
        <w:rPr>
          <w:rFonts w:asciiTheme="majorHAnsi" w:hAnsiTheme="majorHAnsi" w:cstheme="majorHAnsi"/>
          <w:i/>
          <w:sz w:val="20"/>
          <w:szCs w:val="20"/>
        </w:rPr>
      </w:pPr>
      <w:r w:rsidRPr="00E67099">
        <w:rPr>
          <w:rFonts w:asciiTheme="majorHAnsi" w:hAnsiTheme="majorHAnsi" w:cstheme="majorHAnsi"/>
          <w:b/>
          <w:i/>
          <w:sz w:val="20"/>
          <w:szCs w:val="20"/>
        </w:rPr>
        <w:t>Sursă:</w:t>
      </w:r>
      <w:r w:rsidRPr="00E67099">
        <w:rPr>
          <w:rFonts w:asciiTheme="majorHAnsi" w:hAnsiTheme="majorHAnsi" w:cstheme="majorHAnsi"/>
          <w:i/>
          <w:sz w:val="20"/>
          <w:szCs w:val="20"/>
        </w:rPr>
        <w:t xml:space="preserve"> Raportul privind executarea bugetului conform Clasificației economice la situația din 31.12.2019.</w:t>
      </w:r>
    </w:p>
    <w:p w:rsidR="00E67099" w:rsidRPr="00E67099" w:rsidRDefault="00E67099" w:rsidP="00422E79">
      <w:pPr>
        <w:shd w:val="clear" w:color="auto" w:fill="FFFFFF" w:themeFill="background1"/>
        <w:tabs>
          <w:tab w:val="left" w:pos="284"/>
          <w:tab w:val="left" w:pos="567"/>
          <w:tab w:val="left" w:pos="6237"/>
          <w:tab w:val="left" w:pos="6379"/>
        </w:tabs>
        <w:spacing w:after="0" w:line="276" w:lineRule="auto"/>
        <w:contextualSpacing/>
        <w:rPr>
          <w:rFonts w:asciiTheme="majorHAnsi" w:eastAsia="Times New Roman" w:hAnsiTheme="majorHAnsi" w:cstheme="majorHAnsi"/>
          <w:b/>
          <w:i/>
          <w:sz w:val="24"/>
          <w:szCs w:val="24"/>
        </w:rPr>
      </w:pPr>
    </w:p>
    <w:p w:rsidR="00E67099" w:rsidRPr="00E67099" w:rsidRDefault="00E67099" w:rsidP="00E67099">
      <w:pPr>
        <w:shd w:val="clear" w:color="auto" w:fill="FFFFFF" w:themeFill="background1"/>
        <w:tabs>
          <w:tab w:val="left" w:pos="284"/>
          <w:tab w:val="left" w:pos="993"/>
          <w:tab w:val="left" w:pos="6663"/>
        </w:tabs>
        <w:spacing w:after="0" w:line="276" w:lineRule="auto"/>
        <w:jc w:val="right"/>
        <w:rPr>
          <w:rFonts w:asciiTheme="majorHAnsi" w:eastAsia="Times New Roman" w:hAnsiTheme="majorHAnsi" w:cstheme="majorHAnsi"/>
          <w:b/>
          <w:i/>
          <w:sz w:val="24"/>
          <w:szCs w:val="24"/>
        </w:rPr>
      </w:pPr>
      <w:r w:rsidRPr="00E67099">
        <w:rPr>
          <w:rFonts w:asciiTheme="majorHAnsi" w:eastAsia="Times New Roman" w:hAnsiTheme="majorHAnsi" w:cstheme="majorHAnsi"/>
          <w:b/>
          <w:i/>
          <w:sz w:val="24"/>
          <w:szCs w:val="24"/>
        </w:rPr>
        <w:t>Anexa nr.5</w:t>
      </w:r>
    </w:p>
    <w:p w:rsidR="00E67099" w:rsidRPr="00E67099" w:rsidRDefault="00E67099" w:rsidP="00E67099">
      <w:pPr>
        <w:spacing w:after="0" w:line="276" w:lineRule="auto"/>
        <w:ind w:right="49"/>
        <w:jc w:val="center"/>
        <w:rPr>
          <w:rFonts w:asciiTheme="majorHAnsi" w:eastAsia="Times New Roman" w:hAnsiTheme="majorHAnsi" w:cstheme="majorHAnsi"/>
          <w:b/>
          <w:sz w:val="24"/>
          <w:szCs w:val="24"/>
          <w:lang w:eastAsia="ru-RU"/>
        </w:rPr>
      </w:pPr>
      <w:r w:rsidRPr="00E67099">
        <w:rPr>
          <w:rFonts w:asciiTheme="majorHAnsi" w:eastAsia="Times New Roman" w:hAnsiTheme="majorHAnsi" w:cstheme="majorHAnsi"/>
          <w:b/>
          <w:sz w:val="24"/>
          <w:szCs w:val="24"/>
          <w:lang w:eastAsia="ru-RU"/>
        </w:rPr>
        <w:t>Realizarea veniturilor bugetului de stat pe anul 2019, comparativ cu anul 2018, precum și ponderea acestora în PIB</w:t>
      </w:r>
    </w:p>
    <w:p w:rsidR="00E67099" w:rsidRPr="00E67099" w:rsidRDefault="00E67099" w:rsidP="00E67099">
      <w:pPr>
        <w:spacing w:after="0" w:line="276" w:lineRule="auto"/>
        <w:ind w:right="49"/>
        <w:jc w:val="right"/>
        <w:rPr>
          <w:rFonts w:asciiTheme="majorHAnsi" w:eastAsia="Times New Roman" w:hAnsiTheme="majorHAnsi" w:cstheme="majorHAnsi"/>
          <w:b/>
          <w:sz w:val="24"/>
          <w:szCs w:val="24"/>
          <w:lang w:eastAsia="ru-RU"/>
        </w:rPr>
      </w:pPr>
      <w:r w:rsidRPr="00E67099">
        <w:rPr>
          <w:rFonts w:asciiTheme="majorHAnsi" w:eastAsia="Times New Roman" w:hAnsiTheme="majorHAnsi" w:cstheme="majorHAnsi"/>
          <w:b/>
          <w:sz w:val="24"/>
          <w:szCs w:val="24"/>
          <w:lang w:eastAsia="ru-RU"/>
        </w:rPr>
        <w:t>(mil. lei)</w:t>
      </w:r>
    </w:p>
    <w:tbl>
      <w:tblPr>
        <w:tblStyle w:val="GridTable1Light22"/>
        <w:tblW w:w="13495" w:type="dxa"/>
        <w:tblLayout w:type="fixed"/>
        <w:tblLook w:val="04A0" w:firstRow="1" w:lastRow="0" w:firstColumn="1" w:lastColumn="0" w:noHBand="0" w:noVBand="1"/>
      </w:tblPr>
      <w:tblGrid>
        <w:gridCol w:w="4390"/>
        <w:gridCol w:w="989"/>
        <w:gridCol w:w="1279"/>
        <w:gridCol w:w="1276"/>
        <w:gridCol w:w="1241"/>
        <w:gridCol w:w="1026"/>
        <w:gridCol w:w="1276"/>
        <w:gridCol w:w="850"/>
        <w:gridCol w:w="1168"/>
      </w:tblGrid>
      <w:tr w:rsidR="00E67099" w:rsidRPr="00E67099" w:rsidTr="00A36731">
        <w:trPr>
          <w:cnfStyle w:val="100000000000" w:firstRow="1" w:lastRow="0" w:firstColumn="0" w:lastColumn="0" w:oddVBand="0" w:evenVBand="0" w:oddHBand="0"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4390" w:type="dxa"/>
            <w:vMerge w:val="restart"/>
            <w:vAlign w:val="center"/>
          </w:tcPr>
          <w:p w:rsidR="00E67099" w:rsidRPr="00D64D16" w:rsidRDefault="00E67099" w:rsidP="00E67099">
            <w:pPr>
              <w:jc w:val="center"/>
              <w:rPr>
                <w:rFonts w:asciiTheme="majorHAnsi" w:eastAsia="Times New Roman" w:hAnsiTheme="majorHAnsi" w:cstheme="majorHAnsi"/>
                <w:sz w:val="20"/>
                <w:szCs w:val="20"/>
                <w:lang w:eastAsia="ru-RU"/>
              </w:rPr>
            </w:pPr>
            <w:r w:rsidRPr="00D64D16">
              <w:rPr>
                <w:rFonts w:asciiTheme="majorHAnsi" w:eastAsia="Times New Roman" w:hAnsiTheme="majorHAnsi" w:cstheme="majorHAnsi"/>
                <w:sz w:val="20"/>
                <w:szCs w:val="20"/>
                <w:lang w:eastAsia="ru-RU"/>
              </w:rPr>
              <w:br w:type="page"/>
              <w:t>Indicatori</w:t>
            </w:r>
          </w:p>
        </w:tc>
        <w:tc>
          <w:tcPr>
            <w:tcW w:w="989" w:type="dxa"/>
            <w:vMerge w:val="restart"/>
            <w:vAlign w:val="center"/>
          </w:tcPr>
          <w:p w:rsidR="00E67099" w:rsidRPr="00D64D16" w:rsidRDefault="00E67099" w:rsidP="00E67099">
            <w:pPr>
              <w:ind w:left="-103" w:right="-108"/>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D64D16">
              <w:rPr>
                <w:rFonts w:asciiTheme="majorHAnsi" w:eastAsia="Times New Roman" w:hAnsiTheme="majorHAnsi" w:cstheme="majorHAnsi"/>
                <w:sz w:val="20"/>
                <w:szCs w:val="20"/>
                <w:lang w:eastAsia="ru-RU"/>
              </w:rPr>
              <w:t xml:space="preserve">Cod </w:t>
            </w:r>
          </w:p>
          <w:p w:rsidR="00E67099" w:rsidRPr="00D64D16" w:rsidRDefault="00E67099" w:rsidP="00E67099">
            <w:pPr>
              <w:ind w:left="-103" w:right="-108"/>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D64D16">
              <w:rPr>
                <w:rFonts w:asciiTheme="majorHAnsi" w:eastAsia="Times New Roman" w:hAnsiTheme="majorHAnsi" w:cstheme="majorHAnsi"/>
                <w:sz w:val="20"/>
                <w:szCs w:val="20"/>
                <w:lang w:eastAsia="ru-RU"/>
              </w:rPr>
              <w:t>ECO</w:t>
            </w:r>
          </w:p>
        </w:tc>
        <w:tc>
          <w:tcPr>
            <w:tcW w:w="1279" w:type="dxa"/>
            <w:vAlign w:val="center"/>
          </w:tcPr>
          <w:p w:rsidR="00E67099" w:rsidRPr="00D64D16" w:rsidRDefault="00E67099" w:rsidP="00E67099">
            <w:pPr>
              <w:ind w:left="-103" w:right="-108"/>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D64D16">
              <w:rPr>
                <w:rFonts w:asciiTheme="majorHAnsi" w:eastAsia="Times New Roman" w:hAnsiTheme="majorHAnsi" w:cstheme="majorHAnsi"/>
                <w:sz w:val="20"/>
                <w:szCs w:val="20"/>
                <w:lang w:eastAsia="ru-RU"/>
              </w:rPr>
              <w:t xml:space="preserve">Precizat </w:t>
            </w:r>
          </w:p>
        </w:tc>
        <w:tc>
          <w:tcPr>
            <w:tcW w:w="2517" w:type="dxa"/>
            <w:gridSpan w:val="2"/>
            <w:vAlign w:val="center"/>
          </w:tcPr>
          <w:p w:rsidR="00E67099" w:rsidRPr="00D64D16" w:rsidRDefault="00E67099" w:rsidP="00E67099">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D64D16">
              <w:rPr>
                <w:rFonts w:asciiTheme="majorHAnsi" w:eastAsia="Times New Roman" w:hAnsiTheme="majorHAnsi" w:cstheme="majorHAnsi"/>
                <w:sz w:val="20"/>
                <w:szCs w:val="20"/>
                <w:lang w:eastAsia="ru-RU"/>
              </w:rPr>
              <w:t>Încasări realizate</w:t>
            </w:r>
          </w:p>
        </w:tc>
        <w:tc>
          <w:tcPr>
            <w:tcW w:w="2302" w:type="dxa"/>
            <w:gridSpan w:val="2"/>
            <w:vAlign w:val="center"/>
          </w:tcPr>
          <w:p w:rsidR="00E67099" w:rsidRPr="00D64D16" w:rsidRDefault="00E67099" w:rsidP="00E67099">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D64D16">
              <w:rPr>
                <w:rFonts w:asciiTheme="majorHAnsi" w:eastAsia="Times New Roman" w:hAnsiTheme="majorHAnsi" w:cstheme="majorHAnsi"/>
                <w:sz w:val="20"/>
                <w:szCs w:val="20"/>
                <w:lang w:eastAsia="ru-RU"/>
              </w:rPr>
              <w:t>Încasări realizate în anul 2019 față de anul 2018</w:t>
            </w:r>
          </w:p>
        </w:tc>
        <w:tc>
          <w:tcPr>
            <w:tcW w:w="2018" w:type="dxa"/>
            <w:gridSpan w:val="2"/>
            <w:vAlign w:val="center"/>
          </w:tcPr>
          <w:p w:rsidR="00E67099" w:rsidRPr="00D64D16" w:rsidRDefault="00E67099" w:rsidP="00E67099">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D64D16">
              <w:rPr>
                <w:rFonts w:asciiTheme="majorHAnsi" w:eastAsia="Times New Roman" w:hAnsiTheme="majorHAnsi" w:cstheme="majorHAnsi"/>
                <w:sz w:val="20"/>
                <w:szCs w:val="20"/>
                <w:lang w:eastAsia="ru-RU"/>
              </w:rPr>
              <w:t>Ponderea în PIB</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4390" w:type="dxa"/>
            <w:vMerge/>
            <w:vAlign w:val="center"/>
          </w:tcPr>
          <w:p w:rsidR="00E67099" w:rsidRPr="00D64D16" w:rsidRDefault="00E67099" w:rsidP="00E67099">
            <w:pPr>
              <w:jc w:val="center"/>
              <w:rPr>
                <w:rFonts w:asciiTheme="majorHAnsi" w:eastAsia="Times New Roman" w:hAnsiTheme="majorHAnsi" w:cstheme="majorHAnsi"/>
                <w:sz w:val="20"/>
                <w:szCs w:val="20"/>
                <w:lang w:eastAsia="ru-RU"/>
              </w:rPr>
            </w:pPr>
          </w:p>
        </w:tc>
        <w:tc>
          <w:tcPr>
            <w:tcW w:w="989" w:type="dxa"/>
            <w:vMerge/>
            <w:vAlign w:val="center"/>
          </w:tcPr>
          <w:p w:rsidR="00E67099" w:rsidRPr="00D64D16"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eastAsia="ru-RU"/>
              </w:rPr>
            </w:pPr>
          </w:p>
        </w:tc>
        <w:tc>
          <w:tcPr>
            <w:tcW w:w="1279" w:type="dxa"/>
            <w:vAlign w:val="center"/>
          </w:tcPr>
          <w:p w:rsidR="00E67099" w:rsidRPr="00D64D16"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eastAsia="ru-RU"/>
              </w:rPr>
            </w:pPr>
            <w:r w:rsidRPr="00D64D16">
              <w:rPr>
                <w:rFonts w:asciiTheme="majorHAnsi" w:eastAsia="Times New Roman" w:hAnsiTheme="majorHAnsi" w:cstheme="majorHAnsi"/>
                <w:b/>
                <w:sz w:val="20"/>
                <w:szCs w:val="20"/>
                <w:lang w:eastAsia="ru-RU"/>
              </w:rPr>
              <w:t>2019</w:t>
            </w:r>
          </w:p>
        </w:tc>
        <w:tc>
          <w:tcPr>
            <w:tcW w:w="1276" w:type="dxa"/>
            <w:vAlign w:val="center"/>
          </w:tcPr>
          <w:p w:rsidR="00E67099" w:rsidRPr="00D64D16"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eastAsia="ru-RU"/>
              </w:rPr>
            </w:pPr>
            <w:r w:rsidRPr="00D64D16">
              <w:rPr>
                <w:rFonts w:asciiTheme="majorHAnsi" w:eastAsia="Times New Roman" w:hAnsiTheme="majorHAnsi" w:cstheme="majorHAnsi"/>
                <w:b/>
                <w:sz w:val="20"/>
                <w:szCs w:val="20"/>
                <w:lang w:eastAsia="ru-RU"/>
              </w:rPr>
              <w:t>2019</w:t>
            </w:r>
          </w:p>
        </w:tc>
        <w:tc>
          <w:tcPr>
            <w:tcW w:w="1241" w:type="dxa"/>
            <w:vAlign w:val="center"/>
          </w:tcPr>
          <w:p w:rsidR="00E67099" w:rsidRPr="00D64D16"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eastAsia="ru-RU"/>
              </w:rPr>
            </w:pPr>
            <w:r w:rsidRPr="00D64D16">
              <w:rPr>
                <w:rFonts w:asciiTheme="majorHAnsi" w:eastAsia="Times New Roman" w:hAnsiTheme="majorHAnsi" w:cstheme="majorHAnsi"/>
                <w:b/>
                <w:sz w:val="20"/>
                <w:szCs w:val="20"/>
                <w:lang w:eastAsia="ru-RU"/>
              </w:rPr>
              <w:t>2018</w:t>
            </w:r>
          </w:p>
        </w:tc>
        <w:tc>
          <w:tcPr>
            <w:tcW w:w="1026" w:type="dxa"/>
            <w:vAlign w:val="center"/>
          </w:tcPr>
          <w:p w:rsidR="00E67099" w:rsidRPr="00D64D16"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eastAsia="ru-RU"/>
              </w:rPr>
            </w:pPr>
            <w:r w:rsidRPr="00D64D16">
              <w:rPr>
                <w:rFonts w:asciiTheme="majorHAnsi" w:eastAsia="Times New Roman" w:hAnsiTheme="majorHAnsi" w:cstheme="majorHAnsi"/>
                <w:b/>
                <w:sz w:val="20"/>
                <w:szCs w:val="20"/>
                <w:lang w:eastAsia="ru-RU"/>
              </w:rPr>
              <w:t>Devieri (+/-)</w:t>
            </w:r>
          </w:p>
        </w:tc>
        <w:tc>
          <w:tcPr>
            <w:tcW w:w="1276" w:type="dxa"/>
            <w:vAlign w:val="center"/>
          </w:tcPr>
          <w:p w:rsidR="00E67099" w:rsidRPr="00D64D16"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eastAsia="ru-RU"/>
              </w:rPr>
            </w:pPr>
            <w:r w:rsidRPr="00D64D16">
              <w:rPr>
                <w:rFonts w:asciiTheme="majorHAnsi" w:eastAsia="Times New Roman" w:hAnsiTheme="majorHAnsi" w:cstheme="majorHAnsi"/>
                <w:b/>
                <w:sz w:val="20"/>
                <w:szCs w:val="20"/>
                <w:lang w:eastAsia="ru-RU"/>
              </w:rPr>
              <w:t>Ponderea</w:t>
            </w:r>
          </w:p>
        </w:tc>
        <w:tc>
          <w:tcPr>
            <w:tcW w:w="850" w:type="dxa"/>
            <w:vAlign w:val="center"/>
          </w:tcPr>
          <w:p w:rsidR="00E67099" w:rsidRPr="00D64D16"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eastAsia="ru-RU"/>
              </w:rPr>
            </w:pPr>
            <w:r w:rsidRPr="00D64D16">
              <w:rPr>
                <w:rFonts w:asciiTheme="majorHAnsi" w:eastAsia="Times New Roman" w:hAnsiTheme="majorHAnsi" w:cstheme="majorHAnsi"/>
                <w:b/>
                <w:sz w:val="20"/>
                <w:szCs w:val="20"/>
                <w:lang w:eastAsia="ru-RU"/>
              </w:rPr>
              <w:t>2019*</w:t>
            </w:r>
          </w:p>
        </w:tc>
        <w:tc>
          <w:tcPr>
            <w:tcW w:w="1168" w:type="dxa"/>
            <w:vAlign w:val="center"/>
          </w:tcPr>
          <w:p w:rsidR="00E67099" w:rsidRPr="00D64D16"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eastAsia="ru-RU"/>
              </w:rPr>
            </w:pPr>
            <w:r w:rsidRPr="00D64D16">
              <w:rPr>
                <w:rFonts w:asciiTheme="majorHAnsi" w:eastAsia="Times New Roman" w:hAnsiTheme="majorHAnsi" w:cstheme="majorHAnsi"/>
                <w:b/>
                <w:sz w:val="20"/>
                <w:szCs w:val="20"/>
                <w:lang w:eastAsia="ru-RU"/>
              </w:rPr>
              <w:t>2018**</w:t>
            </w:r>
          </w:p>
        </w:tc>
      </w:tr>
      <w:tr w:rsidR="00E67099" w:rsidRPr="00E67099" w:rsidTr="00A36731">
        <w:trPr>
          <w:trHeight w:val="269"/>
        </w:trPr>
        <w:tc>
          <w:tcPr>
            <w:cnfStyle w:val="001000000000" w:firstRow="0" w:lastRow="0" w:firstColumn="1" w:lastColumn="0" w:oddVBand="0" w:evenVBand="0" w:oddHBand="0" w:evenHBand="0" w:firstRowFirstColumn="0" w:firstRowLastColumn="0" w:lastRowFirstColumn="0" w:lastRowLastColumn="0"/>
            <w:tcW w:w="4390" w:type="dxa"/>
            <w:vAlign w:val="center"/>
          </w:tcPr>
          <w:p w:rsidR="00E67099" w:rsidRPr="00D64D16" w:rsidRDefault="00E67099" w:rsidP="00E67099">
            <w:pPr>
              <w:jc w:val="center"/>
              <w:rPr>
                <w:rFonts w:asciiTheme="majorHAnsi" w:eastAsia="Times New Roman" w:hAnsiTheme="majorHAnsi" w:cstheme="majorHAnsi"/>
                <w:i/>
                <w:sz w:val="16"/>
                <w:szCs w:val="16"/>
                <w:lang w:eastAsia="ru-RU"/>
              </w:rPr>
            </w:pPr>
            <w:r w:rsidRPr="00D64D16">
              <w:rPr>
                <w:rFonts w:asciiTheme="majorHAnsi" w:eastAsia="Times New Roman" w:hAnsiTheme="majorHAnsi" w:cstheme="majorHAnsi"/>
                <w:i/>
                <w:sz w:val="16"/>
                <w:szCs w:val="16"/>
                <w:lang w:eastAsia="ru-RU"/>
              </w:rPr>
              <w:t>1</w:t>
            </w:r>
          </w:p>
        </w:tc>
        <w:tc>
          <w:tcPr>
            <w:tcW w:w="989" w:type="dxa"/>
            <w:vAlign w:val="center"/>
          </w:tcPr>
          <w:p w:rsidR="00E67099" w:rsidRPr="00D64D16"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16"/>
                <w:szCs w:val="16"/>
                <w:lang w:eastAsia="ru-RU"/>
              </w:rPr>
            </w:pPr>
            <w:r w:rsidRPr="00D64D16">
              <w:rPr>
                <w:rFonts w:asciiTheme="majorHAnsi" w:eastAsia="Times New Roman" w:hAnsiTheme="majorHAnsi" w:cstheme="majorHAnsi"/>
                <w:i/>
                <w:sz w:val="16"/>
                <w:szCs w:val="16"/>
                <w:lang w:eastAsia="ru-RU"/>
              </w:rPr>
              <w:t>2</w:t>
            </w:r>
          </w:p>
        </w:tc>
        <w:tc>
          <w:tcPr>
            <w:tcW w:w="1279" w:type="dxa"/>
            <w:vAlign w:val="center"/>
          </w:tcPr>
          <w:p w:rsidR="00E67099" w:rsidRPr="00D64D16"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16"/>
                <w:szCs w:val="16"/>
                <w:lang w:eastAsia="ru-RU"/>
              </w:rPr>
            </w:pPr>
            <w:r w:rsidRPr="00D64D16">
              <w:rPr>
                <w:rFonts w:asciiTheme="majorHAnsi" w:eastAsia="Times New Roman" w:hAnsiTheme="majorHAnsi" w:cstheme="majorHAnsi"/>
                <w:i/>
                <w:sz w:val="16"/>
                <w:szCs w:val="16"/>
                <w:lang w:eastAsia="ru-RU"/>
              </w:rPr>
              <w:t>3</w:t>
            </w:r>
          </w:p>
        </w:tc>
        <w:tc>
          <w:tcPr>
            <w:tcW w:w="1276" w:type="dxa"/>
            <w:vAlign w:val="center"/>
          </w:tcPr>
          <w:p w:rsidR="00E67099" w:rsidRPr="00D64D16"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16"/>
                <w:szCs w:val="16"/>
                <w:lang w:eastAsia="ru-RU"/>
              </w:rPr>
            </w:pPr>
            <w:r w:rsidRPr="00D64D16">
              <w:rPr>
                <w:rFonts w:asciiTheme="majorHAnsi" w:eastAsia="Times New Roman" w:hAnsiTheme="majorHAnsi" w:cstheme="majorHAnsi"/>
                <w:i/>
                <w:sz w:val="16"/>
                <w:szCs w:val="16"/>
                <w:lang w:eastAsia="ru-RU"/>
              </w:rPr>
              <w:t>4</w:t>
            </w:r>
          </w:p>
        </w:tc>
        <w:tc>
          <w:tcPr>
            <w:tcW w:w="1241" w:type="dxa"/>
            <w:vAlign w:val="center"/>
          </w:tcPr>
          <w:p w:rsidR="00E67099" w:rsidRPr="00D64D16"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16"/>
                <w:szCs w:val="16"/>
                <w:lang w:eastAsia="ru-RU"/>
              </w:rPr>
            </w:pPr>
            <w:r w:rsidRPr="00D64D16">
              <w:rPr>
                <w:rFonts w:asciiTheme="majorHAnsi" w:eastAsia="Times New Roman" w:hAnsiTheme="majorHAnsi" w:cstheme="majorHAnsi"/>
                <w:i/>
                <w:sz w:val="16"/>
                <w:szCs w:val="16"/>
                <w:lang w:eastAsia="ru-RU"/>
              </w:rPr>
              <w:t>5</w:t>
            </w:r>
          </w:p>
        </w:tc>
        <w:tc>
          <w:tcPr>
            <w:tcW w:w="1026" w:type="dxa"/>
            <w:vAlign w:val="center"/>
          </w:tcPr>
          <w:p w:rsidR="00E67099" w:rsidRPr="00D64D16"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16"/>
                <w:szCs w:val="16"/>
                <w:lang w:eastAsia="ru-RU"/>
              </w:rPr>
            </w:pPr>
            <w:r w:rsidRPr="00D64D16">
              <w:rPr>
                <w:rFonts w:asciiTheme="majorHAnsi" w:eastAsia="Times New Roman" w:hAnsiTheme="majorHAnsi" w:cstheme="majorHAnsi"/>
                <w:i/>
                <w:sz w:val="16"/>
                <w:szCs w:val="16"/>
                <w:lang w:eastAsia="ru-RU"/>
              </w:rPr>
              <w:t>6=4-5</w:t>
            </w:r>
          </w:p>
        </w:tc>
        <w:tc>
          <w:tcPr>
            <w:tcW w:w="1276" w:type="dxa"/>
            <w:vAlign w:val="center"/>
          </w:tcPr>
          <w:p w:rsidR="00E67099" w:rsidRPr="00D64D16"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16"/>
                <w:szCs w:val="16"/>
                <w:lang w:eastAsia="ru-RU"/>
              </w:rPr>
            </w:pPr>
            <w:r w:rsidRPr="00D64D16">
              <w:rPr>
                <w:rFonts w:asciiTheme="majorHAnsi" w:eastAsia="Times New Roman" w:hAnsiTheme="majorHAnsi" w:cstheme="majorHAnsi"/>
                <w:i/>
                <w:sz w:val="16"/>
                <w:szCs w:val="16"/>
                <w:lang w:eastAsia="ru-RU"/>
              </w:rPr>
              <w:t>7=4/5*100</w:t>
            </w:r>
          </w:p>
        </w:tc>
        <w:tc>
          <w:tcPr>
            <w:tcW w:w="850" w:type="dxa"/>
            <w:vAlign w:val="center"/>
          </w:tcPr>
          <w:p w:rsidR="00E67099" w:rsidRPr="00D64D16"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16"/>
                <w:szCs w:val="16"/>
                <w:lang w:eastAsia="ru-RU"/>
              </w:rPr>
            </w:pPr>
            <w:r w:rsidRPr="00D64D16">
              <w:rPr>
                <w:rFonts w:asciiTheme="majorHAnsi" w:eastAsia="Times New Roman" w:hAnsiTheme="majorHAnsi" w:cstheme="majorHAnsi"/>
                <w:i/>
                <w:sz w:val="16"/>
                <w:szCs w:val="16"/>
                <w:lang w:eastAsia="ru-RU"/>
              </w:rPr>
              <w:t>8=4/PIB*100</w:t>
            </w:r>
          </w:p>
        </w:tc>
        <w:tc>
          <w:tcPr>
            <w:tcW w:w="1168" w:type="dxa"/>
            <w:vAlign w:val="center"/>
          </w:tcPr>
          <w:p w:rsidR="00E67099" w:rsidRPr="00D64D16"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16"/>
                <w:szCs w:val="16"/>
                <w:lang w:eastAsia="ru-RU"/>
              </w:rPr>
            </w:pPr>
            <w:r w:rsidRPr="00D64D16">
              <w:rPr>
                <w:rFonts w:asciiTheme="majorHAnsi" w:eastAsia="Times New Roman" w:hAnsiTheme="majorHAnsi" w:cstheme="majorHAnsi"/>
                <w:i/>
                <w:sz w:val="16"/>
                <w:szCs w:val="16"/>
                <w:lang w:eastAsia="ru-RU"/>
              </w:rPr>
              <w:t>9=5/PIB*100</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4390" w:type="dxa"/>
          </w:tcPr>
          <w:p w:rsidR="00E67099" w:rsidRPr="00D64D16" w:rsidRDefault="00E67099" w:rsidP="00E67099">
            <w:pPr>
              <w:ind w:right="-105"/>
              <w:jc w:val="both"/>
              <w:rPr>
                <w:rFonts w:asciiTheme="majorHAnsi" w:eastAsia="Times New Roman" w:hAnsiTheme="majorHAnsi" w:cstheme="majorHAnsi"/>
                <w:sz w:val="20"/>
                <w:szCs w:val="20"/>
                <w:lang w:eastAsia="ru-RU"/>
              </w:rPr>
            </w:pPr>
            <w:r w:rsidRPr="00D64D16">
              <w:rPr>
                <w:rFonts w:asciiTheme="majorHAnsi" w:eastAsia="Times New Roman" w:hAnsiTheme="majorHAnsi" w:cstheme="majorHAnsi"/>
                <w:sz w:val="20"/>
                <w:szCs w:val="20"/>
                <w:lang w:eastAsia="ru-RU"/>
              </w:rPr>
              <w:t>VENITURI TOTAL, din care:</w:t>
            </w:r>
          </w:p>
        </w:tc>
        <w:tc>
          <w:tcPr>
            <w:tcW w:w="989" w:type="dxa"/>
          </w:tcPr>
          <w:p w:rsidR="00E67099" w:rsidRPr="00D64D16"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val="en-US"/>
              </w:rPr>
            </w:pPr>
            <w:r w:rsidRPr="00D64D16">
              <w:rPr>
                <w:rFonts w:asciiTheme="majorHAnsi" w:eastAsia="Times New Roman" w:hAnsiTheme="majorHAnsi" w:cstheme="majorHAnsi"/>
                <w:b/>
                <w:color w:val="000000"/>
                <w:sz w:val="20"/>
                <w:szCs w:val="20"/>
                <w:lang w:val="en-US"/>
              </w:rPr>
              <w:t>1</w:t>
            </w:r>
          </w:p>
        </w:tc>
        <w:tc>
          <w:tcPr>
            <w:tcW w:w="1279"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val="en-US"/>
              </w:rPr>
            </w:pPr>
            <w:r w:rsidRPr="00D64D16">
              <w:rPr>
                <w:rFonts w:asciiTheme="majorHAnsi" w:eastAsia="Times New Roman" w:hAnsiTheme="majorHAnsi" w:cstheme="majorHAnsi"/>
                <w:b/>
                <w:color w:val="000000"/>
                <w:sz w:val="20"/>
                <w:szCs w:val="20"/>
                <w:lang w:val="en-US"/>
              </w:rPr>
              <w:t>40 642,9</w:t>
            </w:r>
          </w:p>
        </w:tc>
        <w:tc>
          <w:tcPr>
            <w:tcW w:w="127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eastAsia="ru-RU"/>
              </w:rPr>
            </w:pPr>
            <w:r w:rsidRPr="00D64D16">
              <w:rPr>
                <w:rFonts w:asciiTheme="majorHAnsi" w:eastAsia="Times New Roman" w:hAnsiTheme="majorHAnsi" w:cstheme="majorHAnsi"/>
                <w:b/>
                <w:sz w:val="20"/>
                <w:szCs w:val="20"/>
                <w:lang w:eastAsia="ru-RU"/>
              </w:rPr>
              <w:t>39 967,9</w:t>
            </w:r>
          </w:p>
        </w:tc>
        <w:tc>
          <w:tcPr>
            <w:tcW w:w="1241"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eastAsia="ru-RU"/>
              </w:rPr>
            </w:pPr>
            <w:r w:rsidRPr="00D64D16">
              <w:rPr>
                <w:rFonts w:asciiTheme="majorHAnsi" w:eastAsia="Times New Roman" w:hAnsiTheme="majorHAnsi" w:cstheme="majorHAnsi"/>
                <w:b/>
                <w:sz w:val="20"/>
                <w:szCs w:val="20"/>
                <w:lang w:eastAsia="ru-RU"/>
              </w:rPr>
              <w:t>36 432,7</w:t>
            </w:r>
          </w:p>
        </w:tc>
        <w:tc>
          <w:tcPr>
            <w:tcW w:w="102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szCs w:val="20"/>
                <w:lang w:val="en-US"/>
              </w:rPr>
            </w:pPr>
            <w:r w:rsidRPr="00D64D16">
              <w:rPr>
                <w:rFonts w:asciiTheme="majorHAnsi" w:hAnsiTheme="majorHAnsi" w:cstheme="majorHAnsi"/>
                <w:b/>
                <w:color w:val="000000"/>
                <w:sz w:val="20"/>
                <w:szCs w:val="20"/>
                <w:lang w:val="en-US"/>
              </w:rPr>
              <w:t>3 535,2</w:t>
            </w:r>
          </w:p>
        </w:tc>
        <w:tc>
          <w:tcPr>
            <w:tcW w:w="127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szCs w:val="20"/>
                <w:lang w:val="en-US"/>
              </w:rPr>
            </w:pPr>
            <w:r w:rsidRPr="00D64D16">
              <w:rPr>
                <w:rFonts w:asciiTheme="majorHAnsi" w:hAnsiTheme="majorHAnsi" w:cstheme="majorHAnsi"/>
                <w:b/>
                <w:color w:val="000000"/>
                <w:sz w:val="20"/>
                <w:szCs w:val="20"/>
                <w:lang w:val="en-US"/>
              </w:rPr>
              <w:t>109,7</w:t>
            </w:r>
          </w:p>
        </w:tc>
        <w:tc>
          <w:tcPr>
            <w:tcW w:w="850"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lang w:val="en-US"/>
              </w:rPr>
            </w:pPr>
            <w:r w:rsidRPr="00D64D16">
              <w:rPr>
                <w:rFonts w:asciiTheme="majorHAnsi" w:hAnsiTheme="majorHAnsi" w:cstheme="majorHAnsi"/>
                <w:b/>
                <w:bCs/>
                <w:color w:val="000000"/>
                <w:sz w:val="20"/>
                <w:szCs w:val="20"/>
                <w:lang w:val="en-US"/>
              </w:rPr>
              <w:t>19,0</w:t>
            </w:r>
          </w:p>
        </w:tc>
        <w:tc>
          <w:tcPr>
            <w:tcW w:w="1168"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lang w:val="en-US"/>
              </w:rPr>
            </w:pPr>
            <w:r w:rsidRPr="00D64D16">
              <w:rPr>
                <w:rFonts w:asciiTheme="majorHAnsi" w:hAnsiTheme="majorHAnsi" w:cstheme="majorHAnsi"/>
                <w:b/>
                <w:bCs/>
                <w:color w:val="000000"/>
                <w:sz w:val="20"/>
                <w:szCs w:val="20"/>
                <w:lang w:val="en-US"/>
              </w:rPr>
              <w:t>19,2</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4390" w:type="dxa"/>
          </w:tcPr>
          <w:p w:rsidR="00E67099" w:rsidRPr="00D64D16" w:rsidRDefault="00E67099" w:rsidP="00E67099">
            <w:pPr>
              <w:jc w:val="both"/>
              <w:rPr>
                <w:rFonts w:asciiTheme="majorHAnsi" w:eastAsia="Times New Roman" w:hAnsiTheme="majorHAnsi" w:cstheme="majorHAnsi"/>
                <w:sz w:val="20"/>
                <w:szCs w:val="20"/>
                <w:lang w:eastAsia="ru-RU"/>
              </w:rPr>
            </w:pPr>
            <w:r w:rsidRPr="00D64D16">
              <w:rPr>
                <w:rFonts w:asciiTheme="majorHAnsi" w:eastAsia="Times New Roman" w:hAnsiTheme="majorHAnsi" w:cstheme="majorHAnsi"/>
                <w:sz w:val="20"/>
                <w:szCs w:val="20"/>
                <w:lang w:eastAsia="ru-RU"/>
              </w:rPr>
              <w:t>Impozite și taxe</w:t>
            </w:r>
          </w:p>
        </w:tc>
        <w:tc>
          <w:tcPr>
            <w:tcW w:w="989" w:type="dxa"/>
          </w:tcPr>
          <w:p w:rsidR="00E67099" w:rsidRPr="00D64D16"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eastAsia="ru-RU"/>
              </w:rPr>
            </w:pPr>
            <w:r w:rsidRPr="00D64D16">
              <w:rPr>
                <w:rFonts w:asciiTheme="majorHAnsi" w:eastAsia="Times New Roman" w:hAnsiTheme="majorHAnsi" w:cstheme="majorHAnsi"/>
                <w:b/>
                <w:color w:val="000000"/>
                <w:sz w:val="20"/>
                <w:szCs w:val="20"/>
                <w:lang w:eastAsia="ru-RU"/>
              </w:rPr>
              <w:t>11</w:t>
            </w:r>
          </w:p>
        </w:tc>
        <w:tc>
          <w:tcPr>
            <w:tcW w:w="1279"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eastAsia="ru-RU"/>
              </w:rPr>
            </w:pPr>
            <w:r w:rsidRPr="00D64D16">
              <w:rPr>
                <w:rFonts w:asciiTheme="majorHAnsi" w:eastAsia="Times New Roman" w:hAnsiTheme="majorHAnsi" w:cstheme="majorHAnsi"/>
                <w:b/>
                <w:color w:val="000000"/>
                <w:sz w:val="20"/>
                <w:szCs w:val="20"/>
                <w:lang w:eastAsia="ru-RU"/>
              </w:rPr>
              <w:t>37 030,1</w:t>
            </w:r>
          </w:p>
        </w:tc>
        <w:tc>
          <w:tcPr>
            <w:tcW w:w="127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eastAsia="ru-RU"/>
              </w:rPr>
            </w:pPr>
            <w:r w:rsidRPr="00D64D16">
              <w:rPr>
                <w:rFonts w:asciiTheme="majorHAnsi" w:eastAsia="Times New Roman" w:hAnsiTheme="majorHAnsi" w:cstheme="majorHAnsi"/>
                <w:b/>
                <w:sz w:val="20"/>
                <w:szCs w:val="20"/>
                <w:lang w:eastAsia="ru-RU"/>
              </w:rPr>
              <w:t>36 417,2</w:t>
            </w:r>
          </w:p>
        </w:tc>
        <w:tc>
          <w:tcPr>
            <w:tcW w:w="1241"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eastAsia="ru-RU"/>
              </w:rPr>
            </w:pPr>
            <w:r w:rsidRPr="00D64D16">
              <w:rPr>
                <w:rFonts w:asciiTheme="majorHAnsi" w:eastAsia="Times New Roman" w:hAnsiTheme="majorHAnsi" w:cstheme="majorHAnsi"/>
                <w:b/>
                <w:sz w:val="20"/>
                <w:szCs w:val="20"/>
                <w:lang w:eastAsia="ru-RU"/>
              </w:rPr>
              <w:t>34 057,9</w:t>
            </w:r>
          </w:p>
        </w:tc>
        <w:tc>
          <w:tcPr>
            <w:tcW w:w="102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szCs w:val="20"/>
              </w:rPr>
            </w:pPr>
            <w:r w:rsidRPr="00D64D16">
              <w:rPr>
                <w:rFonts w:asciiTheme="majorHAnsi" w:hAnsiTheme="majorHAnsi" w:cstheme="majorHAnsi"/>
                <w:b/>
                <w:color w:val="000000"/>
                <w:sz w:val="20"/>
                <w:szCs w:val="20"/>
              </w:rPr>
              <w:t>2 359,3</w:t>
            </w:r>
          </w:p>
        </w:tc>
        <w:tc>
          <w:tcPr>
            <w:tcW w:w="127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szCs w:val="20"/>
              </w:rPr>
            </w:pPr>
            <w:r w:rsidRPr="00D64D16">
              <w:rPr>
                <w:rFonts w:asciiTheme="majorHAnsi" w:hAnsiTheme="majorHAnsi" w:cstheme="majorHAnsi"/>
                <w:b/>
                <w:color w:val="000000"/>
                <w:sz w:val="20"/>
                <w:szCs w:val="20"/>
              </w:rPr>
              <w:t>106,9</w:t>
            </w:r>
          </w:p>
        </w:tc>
        <w:tc>
          <w:tcPr>
            <w:tcW w:w="850"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rPr>
            </w:pPr>
            <w:r w:rsidRPr="00D64D16">
              <w:rPr>
                <w:rFonts w:asciiTheme="majorHAnsi" w:hAnsiTheme="majorHAnsi" w:cstheme="majorHAnsi"/>
                <w:b/>
                <w:bCs/>
                <w:color w:val="000000"/>
                <w:sz w:val="20"/>
                <w:szCs w:val="20"/>
              </w:rPr>
              <w:t>17,3</w:t>
            </w:r>
          </w:p>
        </w:tc>
        <w:tc>
          <w:tcPr>
            <w:tcW w:w="1168"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rPr>
            </w:pPr>
            <w:r w:rsidRPr="00D64D16">
              <w:rPr>
                <w:rFonts w:asciiTheme="majorHAnsi" w:hAnsiTheme="majorHAnsi" w:cstheme="majorHAnsi"/>
                <w:b/>
                <w:bCs/>
                <w:color w:val="000000"/>
                <w:sz w:val="20"/>
                <w:szCs w:val="20"/>
              </w:rPr>
              <w:t>17,9</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4390" w:type="dxa"/>
          </w:tcPr>
          <w:p w:rsidR="00E67099" w:rsidRPr="00D64D16" w:rsidRDefault="00E67099" w:rsidP="00E67099">
            <w:pPr>
              <w:jc w:val="both"/>
              <w:rPr>
                <w:rFonts w:asciiTheme="majorHAnsi" w:eastAsia="Times New Roman" w:hAnsiTheme="majorHAnsi" w:cstheme="majorHAnsi"/>
                <w:sz w:val="20"/>
                <w:szCs w:val="20"/>
                <w:lang w:eastAsia="ru-RU"/>
              </w:rPr>
            </w:pPr>
            <w:r w:rsidRPr="00D64D16">
              <w:rPr>
                <w:rFonts w:asciiTheme="majorHAnsi" w:eastAsia="Times New Roman" w:hAnsiTheme="majorHAnsi" w:cstheme="majorHAnsi"/>
                <w:sz w:val="20"/>
                <w:szCs w:val="20"/>
                <w:lang w:eastAsia="ru-RU"/>
              </w:rPr>
              <w:t>Impozite pe venit</w:t>
            </w:r>
          </w:p>
        </w:tc>
        <w:tc>
          <w:tcPr>
            <w:tcW w:w="989" w:type="dxa"/>
          </w:tcPr>
          <w:p w:rsidR="00E67099" w:rsidRPr="00D64D16"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eastAsia="ru-RU"/>
              </w:rPr>
            </w:pPr>
            <w:r w:rsidRPr="00D64D16">
              <w:rPr>
                <w:rFonts w:asciiTheme="majorHAnsi" w:eastAsia="Times New Roman" w:hAnsiTheme="majorHAnsi" w:cstheme="majorHAnsi"/>
                <w:b/>
                <w:color w:val="000000"/>
                <w:sz w:val="20"/>
                <w:szCs w:val="20"/>
                <w:lang w:eastAsia="ru-RU"/>
              </w:rPr>
              <w:t>111</w:t>
            </w:r>
          </w:p>
        </w:tc>
        <w:tc>
          <w:tcPr>
            <w:tcW w:w="1279"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eastAsia="ru-RU"/>
              </w:rPr>
            </w:pPr>
            <w:r w:rsidRPr="00D64D16">
              <w:rPr>
                <w:rFonts w:asciiTheme="majorHAnsi" w:eastAsia="Times New Roman" w:hAnsiTheme="majorHAnsi" w:cstheme="majorHAnsi"/>
                <w:b/>
                <w:color w:val="000000"/>
                <w:sz w:val="20"/>
                <w:szCs w:val="20"/>
                <w:lang w:eastAsia="ru-RU"/>
              </w:rPr>
              <w:t>6 899,2</w:t>
            </w:r>
          </w:p>
        </w:tc>
        <w:tc>
          <w:tcPr>
            <w:tcW w:w="127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eastAsia="ru-RU"/>
              </w:rPr>
            </w:pPr>
            <w:r w:rsidRPr="00D64D16">
              <w:rPr>
                <w:rFonts w:asciiTheme="majorHAnsi" w:eastAsia="Times New Roman" w:hAnsiTheme="majorHAnsi" w:cstheme="majorHAnsi"/>
                <w:b/>
                <w:sz w:val="20"/>
                <w:szCs w:val="20"/>
                <w:lang w:eastAsia="ru-RU"/>
              </w:rPr>
              <w:t>6 860,3</w:t>
            </w:r>
          </w:p>
        </w:tc>
        <w:tc>
          <w:tcPr>
            <w:tcW w:w="1241"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eastAsia="ru-RU"/>
              </w:rPr>
            </w:pPr>
            <w:r w:rsidRPr="00D64D16">
              <w:rPr>
                <w:rFonts w:asciiTheme="majorHAnsi" w:eastAsia="Times New Roman" w:hAnsiTheme="majorHAnsi" w:cstheme="majorHAnsi"/>
                <w:b/>
                <w:sz w:val="20"/>
                <w:szCs w:val="20"/>
                <w:lang w:eastAsia="ru-RU"/>
              </w:rPr>
              <w:t>6 865,9</w:t>
            </w:r>
          </w:p>
        </w:tc>
        <w:tc>
          <w:tcPr>
            <w:tcW w:w="102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szCs w:val="20"/>
              </w:rPr>
            </w:pPr>
            <w:r w:rsidRPr="00D64D16">
              <w:rPr>
                <w:rFonts w:asciiTheme="majorHAnsi" w:hAnsiTheme="majorHAnsi" w:cstheme="majorHAnsi"/>
                <w:b/>
                <w:color w:val="000000"/>
                <w:sz w:val="20"/>
                <w:szCs w:val="20"/>
              </w:rPr>
              <w:t>-5,6</w:t>
            </w:r>
          </w:p>
        </w:tc>
        <w:tc>
          <w:tcPr>
            <w:tcW w:w="127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szCs w:val="20"/>
              </w:rPr>
            </w:pPr>
            <w:r w:rsidRPr="00D64D16">
              <w:rPr>
                <w:rFonts w:asciiTheme="majorHAnsi" w:hAnsiTheme="majorHAnsi" w:cstheme="majorHAnsi"/>
                <w:b/>
                <w:color w:val="000000"/>
                <w:sz w:val="20"/>
                <w:szCs w:val="20"/>
              </w:rPr>
              <w:t>99,9</w:t>
            </w:r>
          </w:p>
        </w:tc>
        <w:tc>
          <w:tcPr>
            <w:tcW w:w="850"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rPr>
            </w:pPr>
            <w:r w:rsidRPr="00D64D16">
              <w:rPr>
                <w:rFonts w:asciiTheme="majorHAnsi" w:hAnsiTheme="majorHAnsi" w:cstheme="majorHAnsi"/>
                <w:b/>
                <w:bCs/>
                <w:color w:val="000000"/>
                <w:sz w:val="20"/>
                <w:szCs w:val="20"/>
              </w:rPr>
              <w:t>3,3</w:t>
            </w:r>
          </w:p>
        </w:tc>
        <w:tc>
          <w:tcPr>
            <w:tcW w:w="1168"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rPr>
            </w:pPr>
            <w:r w:rsidRPr="00D64D16">
              <w:rPr>
                <w:rFonts w:asciiTheme="majorHAnsi" w:hAnsiTheme="majorHAnsi" w:cstheme="majorHAnsi"/>
                <w:b/>
                <w:bCs/>
                <w:color w:val="000000"/>
                <w:sz w:val="20"/>
                <w:szCs w:val="20"/>
              </w:rPr>
              <w:t>3,6</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4390" w:type="dxa"/>
          </w:tcPr>
          <w:p w:rsidR="00E67099" w:rsidRPr="00D64D16" w:rsidRDefault="00E67099" w:rsidP="00E67099">
            <w:pPr>
              <w:jc w:val="both"/>
              <w:rPr>
                <w:rFonts w:asciiTheme="majorHAnsi" w:eastAsia="Times New Roman" w:hAnsiTheme="majorHAnsi" w:cstheme="majorHAnsi"/>
                <w:sz w:val="20"/>
                <w:szCs w:val="20"/>
                <w:lang w:eastAsia="ru-RU"/>
              </w:rPr>
            </w:pPr>
            <w:r w:rsidRPr="00D64D16">
              <w:rPr>
                <w:rFonts w:asciiTheme="majorHAnsi" w:eastAsia="Times New Roman" w:hAnsiTheme="majorHAnsi" w:cstheme="majorHAnsi"/>
                <w:sz w:val="20"/>
                <w:szCs w:val="20"/>
                <w:lang w:eastAsia="ru-RU"/>
              </w:rPr>
              <w:t>Impozit pe venitul persoanelor fizice</w:t>
            </w:r>
          </w:p>
        </w:tc>
        <w:tc>
          <w:tcPr>
            <w:tcW w:w="989" w:type="dxa"/>
          </w:tcPr>
          <w:p w:rsidR="00E67099" w:rsidRPr="00D64D16"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sidRPr="00D64D16">
              <w:rPr>
                <w:rFonts w:asciiTheme="majorHAnsi" w:eastAsia="Times New Roman" w:hAnsiTheme="majorHAnsi" w:cstheme="majorHAnsi"/>
                <w:color w:val="000000"/>
                <w:sz w:val="20"/>
                <w:szCs w:val="20"/>
                <w:lang w:eastAsia="ru-RU"/>
              </w:rPr>
              <w:t>1111</w:t>
            </w:r>
          </w:p>
        </w:tc>
        <w:tc>
          <w:tcPr>
            <w:tcW w:w="1279"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sidRPr="00D64D16">
              <w:rPr>
                <w:rFonts w:asciiTheme="majorHAnsi" w:eastAsia="Times New Roman" w:hAnsiTheme="majorHAnsi" w:cstheme="majorHAnsi"/>
                <w:color w:val="000000"/>
                <w:sz w:val="20"/>
                <w:szCs w:val="20"/>
                <w:lang w:eastAsia="ru-RU"/>
              </w:rPr>
              <w:t>1 604,1</w:t>
            </w:r>
          </w:p>
        </w:tc>
        <w:tc>
          <w:tcPr>
            <w:tcW w:w="127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D64D16">
              <w:rPr>
                <w:rFonts w:asciiTheme="majorHAnsi" w:eastAsia="Times New Roman" w:hAnsiTheme="majorHAnsi" w:cstheme="majorHAnsi"/>
                <w:sz w:val="20"/>
                <w:szCs w:val="20"/>
                <w:lang w:eastAsia="ru-RU"/>
              </w:rPr>
              <w:t>1 610,9</w:t>
            </w:r>
          </w:p>
        </w:tc>
        <w:tc>
          <w:tcPr>
            <w:tcW w:w="1241"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D64D16">
              <w:rPr>
                <w:rFonts w:asciiTheme="majorHAnsi" w:eastAsia="Times New Roman" w:hAnsiTheme="majorHAnsi" w:cstheme="majorHAnsi"/>
                <w:sz w:val="20"/>
                <w:szCs w:val="20"/>
                <w:lang w:eastAsia="ru-RU"/>
              </w:rPr>
              <w:t>1 651,5</w:t>
            </w:r>
          </w:p>
        </w:tc>
        <w:tc>
          <w:tcPr>
            <w:tcW w:w="102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D64D16">
              <w:rPr>
                <w:rFonts w:asciiTheme="majorHAnsi" w:hAnsiTheme="majorHAnsi" w:cstheme="majorHAnsi"/>
                <w:color w:val="000000"/>
                <w:sz w:val="20"/>
                <w:szCs w:val="20"/>
              </w:rPr>
              <w:t>-40,6</w:t>
            </w:r>
          </w:p>
        </w:tc>
        <w:tc>
          <w:tcPr>
            <w:tcW w:w="127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D64D16">
              <w:rPr>
                <w:rFonts w:asciiTheme="majorHAnsi" w:hAnsiTheme="majorHAnsi" w:cstheme="majorHAnsi"/>
                <w:color w:val="000000"/>
                <w:sz w:val="20"/>
                <w:szCs w:val="20"/>
              </w:rPr>
              <w:t>97,5</w:t>
            </w:r>
          </w:p>
        </w:tc>
        <w:tc>
          <w:tcPr>
            <w:tcW w:w="850"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D64D16">
              <w:rPr>
                <w:rFonts w:asciiTheme="majorHAnsi" w:hAnsiTheme="majorHAnsi" w:cstheme="majorHAnsi"/>
                <w:bCs/>
                <w:color w:val="000000"/>
                <w:sz w:val="20"/>
                <w:szCs w:val="20"/>
              </w:rPr>
              <w:t>0,8</w:t>
            </w:r>
          </w:p>
        </w:tc>
        <w:tc>
          <w:tcPr>
            <w:tcW w:w="1168"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D64D16">
              <w:rPr>
                <w:rFonts w:asciiTheme="majorHAnsi" w:hAnsiTheme="majorHAnsi" w:cstheme="majorHAnsi"/>
                <w:bCs/>
                <w:color w:val="000000"/>
                <w:sz w:val="20"/>
                <w:szCs w:val="20"/>
              </w:rPr>
              <w:t>0,9</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4390" w:type="dxa"/>
          </w:tcPr>
          <w:p w:rsidR="00E67099" w:rsidRPr="00D64D16" w:rsidRDefault="00E67099" w:rsidP="00E67099">
            <w:pPr>
              <w:jc w:val="both"/>
              <w:rPr>
                <w:rFonts w:asciiTheme="majorHAnsi" w:eastAsia="Times New Roman" w:hAnsiTheme="majorHAnsi" w:cstheme="majorHAnsi"/>
                <w:sz w:val="20"/>
                <w:szCs w:val="20"/>
                <w:lang w:eastAsia="ru-RU"/>
              </w:rPr>
            </w:pPr>
            <w:r w:rsidRPr="00D64D16">
              <w:rPr>
                <w:rFonts w:asciiTheme="majorHAnsi" w:eastAsia="Times New Roman" w:hAnsiTheme="majorHAnsi" w:cstheme="majorHAnsi"/>
                <w:sz w:val="20"/>
                <w:szCs w:val="20"/>
                <w:lang w:eastAsia="ru-RU"/>
              </w:rPr>
              <w:t>Impozit pe venitul persoanelor juridice</w:t>
            </w:r>
          </w:p>
        </w:tc>
        <w:tc>
          <w:tcPr>
            <w:tcW w:w="989" w:type="dxa"/>
          </w:tcPr>
          <w:p w:rsidR="00E67099" w:rsidRPr="00D64D16"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sidRPr="00D64D16">
              <w:rPr>
                <w:rFonts w:asciiTheme="majorHAnsi" w:eastAsia="Times New Roman" w:hAnsiTheme="majorHAnsi" w:cstheme="majorHAnsi"/>
                <w:color w:val="000000"/>
                <w:sz w:val="20"/>
                <w:szCs w:val="20"/>
                <w:lang w:eastAsia="ru-RU"/>
              </w:rPr>
              <w:t>1112</w:t>
            </w:r>
          </w:p>
        </w:tc>
        <w:tc>
          <w:tcPr>
            <w:tcW w:w="1279"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sidRPr="00D64D16">
              <w:rPr>
                <w:rFonts w:asciiTheme="majorHAnsi" w:eastAsia="Times New Roman" w:hAnsiTheme="majorHAnsi" w:cstheme="majorHAnsi"/>
                <w:color w:val="000000"/>
                <w:sz w:val="20"/>
                <w:szCs w:val="20"/>
                <w:lang w:eastAsia="ru-RU"/>
              </w:rPr>
              <w:t>5 295,1</w:t>
            </w:r>
          </w:p>
        </w:tc>
        <w:tc>
          <w:tcPr>
            <w:tcW w:w="127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D64D16">
              <w:rPr>
                <w:rFonts w:asciiTheme="majorHAnsi" w:eastAsia="Times New Roman" w:hAnsiTheme="majorHAnsi" w:cstheme="majorHAnsi"/>
                <w:sz w:val="20"/>
                <w:szCs w:val="20"/>
                <w:lang w:eastAsia="ru-RU"/>
              </w:rPr>
              <w:t>5 249,4</w:t>
            </w:r>
          </w:p>
        </w:tc>
        <w:tc>
          <w:tcPr>
            <w:tcW w:w="1241"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D64D16">
              <w:rPr>
                <w:rFonts w:asciiTheme="majorHAnsi" w:eastAsia="Times New Roman" w:hAnsiTheme="majorHAnsi" w:cstheme="majorHAnsi"/>
                <w:sz w:val="20"/>
                <w:szCs w:val="20"/>
                <w:lang w:eastAsia="ru-RU"/>
              </w:rPr>
              <w:t>5 214,4</w:t>
            </w:r>
          </w:p>
        </w:tc>
        <w:tc>
          <w:tcPr>
            <w:tcW w:w="102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D64D16">
              <w:rPr>
                <w:rFonts w:asciiTheme="majorHAnsi" w:hAnsiTheme="majorHAnsi" w:cstheme="majorHAnsi"/>
                <w:color w:val="000000"/>
                <w:sz w:val="20"/>
                <w:szCs w:val="20"/>
              </w:rPr>
              <w:t>35,0</w:t>
            </w:r>
          </w:p>
        </w:tc>
        <w:tc>
          <w:tcPr>
            <w:tcW w:w="127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D64D16">
              <w:rPr>
                <w:rFonts w:asciiTheme="majorHAnsi" w:hAnsiTheme="majorHAnsi" w:cstheme="majorHAnsi"/>
                <w:color w:val="000000"/>
                <w:sz w:val="20"/>
                <w:szCs w:val="20"/>
              </w:rPr>
              <w:t>100,7</w:t>
            </w:r>
          </w:p>
        </w:tc>
        <w:tc>
          <w:tcPr>
            <w:tcW w:w="850"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D64D16">
              <w:rPr>
                <w:rFonts w:asciiTheme="majorHAnsi" w:hAnsiTheme="majorHAnsi" w:cstheme="majorHAnsi"/>
                <w:bCs/>
                <w:color w:val="000000"/>
                <w:sz w:val="20"/>
                <w:szCs w:val="20"/>
              </w:rPr>
              <w:t>2,5</w:t>
            </w:r>
          </w:p>
        </w:tc>
        <w:tc>
          <w:tcPr>
            <w:tcW w:w="1168"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D64D16">
              <w:rPr>
                <w:rFonts w:asciiTheme="majorHAnsi" w:hAnsiTheme="majorHAnsi" w:cstheme="majorHAnsi"/>
                <w:bCs/>
                <w:color w:val="000000"/>
                <w:sz w:val="20"/>
                <w:szCs w:val="20"/>
              </w:rPr>
              <w:t>2,7</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4390" w:type="dxa"/>
          </w:tcPr>
          <w:p w:rsidR="00E67099" w:rsidRPr="00D64D16" w:rsidRDefault="00E67099" w:rsidP="00E67099">
            <w:pPr>
              <w:jc w:val="both"/>
              <w:rPr>
                <w:rFonts w:asciiTheme="majorHAnsi" w:eastAsia="Times New Roman" w:hAnsiTheme="majorHAnsi" w:cstheme="majorHAnsi"/>
                <w:sz w:val="20"/>
                <w:szCs w:val="20"/>
                <w:lang w:eastAsia="ru-RU"/>
              </w:rPr>
            </w:pPr>
            <w:r w:rsidRPr="00D64D16">
              <w:rPr>
                <w:rFonts w:asciiTheme="majorHAnsi" w:eastAsia="Times New Roman" w:hAnsiTheme="majorHAnsi" w:cstheme="majorHAnsi"/>
                <w:sz w:val="20"/>
                <w:szCs w:val="20"/>
                <w:lang w:eastAsia="ru-RU"/>
              </w:rPr>
              <w:t>Impozite pe proprietate</w:t>
            </w:r>
          </w:p>
        </w:tc>
        <w:tc>
          <w:tcPr>
            <w:tcW w:w="989" w:type="dxa"/>
          </w:tcPr>
          <w:p w:rsidR="00E67099" w:rsidRPr="00D64D16"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eastAsia="ru-RU"/>
              </w:rPr>
            </w:pPr>
            <w:r w:rsidRPr="00D64D16">
              <w:rPr>
                <w:rFonts w:asciiTheme="majorHAnsi" w:eastAsia="Times New Roman" w:hAnsiTheme="majorHAnsi" w:cstheme="majorHAnsi"/>
                <w:b/>
                <w:color w:val="000000"/>
                <w:sz w:val="20"/>
                <w:szCs w:val="20"/>
                <w:lang w:eastAsia="ru-RU"/>
              </w:rPr>
              <w:t>113</w:t>
            </w:r>
          </w:p>
        </w:tc>
        <w:tc>
          <w:tcPr>
            <w:tcW w:w="1279"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eastAsia="ru-RU"/>
              </w:rPr>
            </w:pPr>
            <w:r w:rsidRPr="00D64D16">
              <w:rPr>
                <w:rFonts w:asciiTheme="majorHAnsi" w:eastAsia="Times New Roman" w:hAnsiTheme="majorHAnsi" w:cstheme="majorHAnsi"/>
                <w:b/>
                <w:color w:val="000000"/>
                <w:sz w:val="20"/>
                <w:szCs w:val="20"/>
                <w:lang w:eastAsia="ru-RU"/>
              </w:rPr>
              <w:t>52,0</w:t>
            </w:r>
          </w:p>
        </w:tc>
        <w:tc>
          <w:tcPr>
            <w:tcW w:w="127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eastAsia="ru-RU"/>
              </w:rPr>
            </w:pPr>
            <w:r w:rsidRPr="00D64D16">
              <w:rPr>
                <w:rFonts w:asciiTheme="majorHAnsi" w:eastAsia="Times New Roman" w:hAnsiTheme="majorHAnsi" w:cstheme="majorHAnsi"/>
                <w:b/>
                <w:sz w:val="20"/>
                <w:szCs w:val="20"/>
                <w:lang w:eastAsia="ru-RU"/>
              </w:rPr>
              <w:t>50,8</w:t>
            </w:r>
          </w:p>
        </w:tc>
        <w:tc>
          <w:tcPr>
            <w:tcW w:w="1241"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eastAsia="ru-RU"/>
              </w:rPr>
            </w:pPr>
            <w:r w:rsidRPr="00D64D16">
              <w:rPr>
                <w:rFonts w:asciiTheme="majorHAnsi" w:eastAsia="Times New Roman" w:hAnsiTheme="majorHAnsi" w:cstheme="majorHAnsi"/>
                <w:b/>
                <w:sz w:val="20"/>
                <w:szCs w:val="20"/>
                <w:lang w:eastAsia="ru-RU"/>
              </w:rPr>
              <w:t>49,6</w:t>
            </w:r>
          </w:p>
        </w:tc>
        <w:tc>
          <w:tcPr>
            <w:tcW w:w="102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szCs w:val="20"/>
              </w:rPr>
            </w:pPr>
            <w:r w:rsidRPr="00D64D16">
              <w:rPr>
                <w:rFonts w:asciiTheme="majorHAnsi" w:hAnsiTheme="majorHAnsi" w:cstheme="majorHAnsi"/>
                <w:b/>
                <w:color w:val="000000"/>
                <w:sz w:val="20"/>
                <w:szCs w:val="20"/>
              </w:rPr>
              <w:t>1,2</w:t>
            </w:r>
          </w:p>
        </w:tc>
        <w:tc>
          <w:tcPr>
            <w:tcW w:w="127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szCs w:val="20"/>
              </w:rPr>
            </w:pPr>
            <w:r w:rsidRPr="00D64D16">
              <w:rPr>
                <w:rFonts w:asciiTheme="majorHAnsi" w:hAnsiTheme="majorHAnsi" w:cstheme="majorHAnsi"/>
                <w:b/>
                <w:color w:val="000000"/>
                <w:sz w:val="20"/>
                <w:szCs w:val="20"/>
              </w:rPr>
              <w:t>102,4</w:t>
            </w:r>
          </w:p>
        </w:tc>
        <w:tc>
          <w:tcPr>
            <w:tcW w:w="850"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rPr>
            </w:pPr>
            <w:r w:rsidRPr="00D64D16">
              <w:rPr>
                <w:rFonts w:asciiTheme="majorHAnsi" w:hAnsiTheme="majorHAnsi" w:cstheme="majorHAnsi"/>
                <w:b/>
                <w:bCs/>
                <w:color w:val="000000"/>
                <w:sz w:val="20"/>
                <w:szCs w:val="20"/>
              </w:rPr>
              <w:t>0,0</w:t>
            </w:r>
          </w:p>
        </w:tc>
        <w:tc>
          <w:tcPr>
            <w:tcW w:w="1168"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rPr>
            </w:pPr>
            <w:r w:rsidRPr="00D64D16">
              <w:rPr>
                <w:rFonts w:asciiTheme="majorHAnsi" w:hAnsiTheme="majorHAnsi" w:cstheme="majorHAnsi"/>
                <w:b/>
                <w:bCs/>
                <w:color w:val="000000"/>
                <w:sz w:val="20"/>
                <w:szCs w:val="20"/>
              </w:rPr>
              <w:t>0,0</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4390" w:type="dxa"/>
          </w:tcPr>
          <w:p w:rsidR="00E67099" w:rsidRPr="00D64D16" w:rsidRDefault="00E67099" w:rsidP="00E67099">
            <w:pPr>
              <w:jc w:val="both"/>
              <w:rPr>
                <w:rFonts w:asciiTheme="majorHAnsi" w:eastAsia="Times New Roman" w:hAnsiTheme="majorHAnsi" w:cstheme="majorHAnsi"/>
                <w:sz w:val="20"/>
                <w:szCs w:val="20"/>
                <w:lang w:eastAsia="ru-RU"/>
              </w:rPr>
            </w:pPr>
            <w:r w:rsidRPr="00D64D16">
              <w:rPr>
                <w:rFonts w:asciiTheme="majorHAnsi" w:eastAsia="Times New Roman" w:hAnsiTheme="majorHAnsi" w:cstheme="majorHAnsi"/>
                <w:sz w:val="20"/>
                <w:szCs w:val="20"/>
                <w:lang w:eastAsia="ru-RU"/>
              </w:rPr>
              <w:t>Impozite pe proprietate cu caracter ocazional</w:t>
            </w:r>
          </w:p>
        </w:tc>
        <w:tc>
          <w:tcPr>
            <w:tcW w:w="989" w:type="dxa"/>
          </w:tcPr>
          <w:p w:rsidR="00E67099" w:rsidRPr="00D64D16"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sidRPr="00D64D16">
              <w:rPr>
                <w:rFonts w:asciiTheme="majorHAnsi" w:eastAsia="Times New Roman" w:hAnsiTheme="majorHAnsi" w:cstheme="majorHAnsi"/>
                <w:color w:val="000000"/>
                <w:sz w:val="20"/>
                <w:szCs w:val="20"/>
                <w:lang w:eastAsia="ru-RU"/>
              </w:rPr>
              <w:t>1133</w:t>
            </w:r>
          </w:p>
        </w:tc>
        <w:tc>
          <w:tcPr>
            <w:tcW w:w="1279"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sidRPr="00D64D16">
              <w:rPr>
                <w:rFonts w:asciiTheme="majorHAnsi" w:eastAsia="Times New Roman" w:hAnsiTheme="majorHAnsi" w:cstheme="majorHAnsi"/>
                <w:color w:val="000000"/>
                <w:sz w:val="20"/>
                <w:szCs w:val="20"/>
                <w:lang w:eastAsia="ru-RU"/>
              </w:rPr>
              <w:t>10,0</w:t>
            </w:r>
          </w:p>
        </w:tc>
        <w:tc>
          <w:tcPr>
            <w:tcW w:w="127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D64D16">
              <w:rPr>
                <w:rFonts w:asciiTheme="majorHAnsi" w:eastAsia="Times New Roman" w:hAnsiTheme="majorHAnsi" w:cstheme="majorHAnsi"/>
                <w:sz w:val="20"/>
                <w:szCs w:val="20"/>
                <w:lang w:eastAsia="ru-RU"/>
              </w:rPr>
              <w:t>9,7</w:t>
            </w:r>
          </w:p>
        </w:tc>
        <w:tc>
          <w:tcPr>
            <w:tcW w:w="1241"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D64D16">
              <w:rPr>
                <w:rFonts w:asciiTheme="majorHAnsi" w:eastAsia="Times New Roman" w:hAnsiTheme="majorHAnsi" w:cstheme="majorHAnsi"/>
                <w:sz w:val="20"/>
                <w:szCs w:val="20"/>
                <w:lang w:eastAsia="ru-RU"/>
              </w:rPr>
              <w:t>8,1</w:t>
            </w:r>
          </w:p>
        </w:tc>
        <w:tc>
          <w:tcPr>
            <w:tcW w:w="102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D64D16">
              <w:rPr>
                <w:rFonts w:asciiTheme="majorHAnsi" w:hAnsiTheme="majorHAnsi" w:cstheme="majorHAnsi"/>
                <w:color w:val="000000"/>
                <w:sz w:val="20"/>
                <w:szCs w:val="20"/>
              </w:rPr>
              <w:t>1,6</w:t>
            </w:r>
          </w:p>
        </w:tc>
        <w:tc>
          <w:tcPr>
            <w:tcW w:w="127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D64D16">
              <w:rPr>
                <w:rFonts w:asciiTheme="majorHAnsi" w:hAnsiTheme="majorHAnsi" w:cstheme="majorHAnsi"/>
                <w:color w:val="000000"/>
                <w:sz w:val="20"/>
                <w:szCs w:val="20"/>
              </w:rPr>
              <w:t>119,8,</w:t>
            </w:r>
          </w:p>
        </w:tc>
        <w:tc>
          <w:tcPr>
            <w:tcW w:w="850"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D64D16">
              <w:rPr>
                <w:rFonts w:asciiTheme="majorHAnsi" w:hAnsiTheme="majorHAnsi" w:cstheme="majorHAnsi"/>
                <w:bCs/>
                <w:color w:val="000000"/>
                <w:sz w:val="20"/>
                <w:szCs w:val="20"/>
              </w:rPr>
              <w:t>0,0</w:t>
            </w:r>
          </w:p>
        </w:tc>
        <w:tc>
          <w:tcPr>
            <w:tcW w:w="1168"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D64D16">
              <w:rPr>
                <w:rFonts w:asciiTheme="majorHAnsi" w:hAnsiTheme="majorHAnsi" w:cstheme="majorHAnsi"/>
                <w:bCs/>
                <w:color w:val="000000"/>
                <w:sz w:val="20"/>
                <w:szCs w:val="20"/>
              </w:rPr>
              <w:t>0,0</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4390" w:type="dxa"/>
          </w:tcPr>
          <w:p w:rsidR="00E67099" w:rsidRPr="00D64D16" w:rsidRDefault="00E67099" w:rsidP="00E67099">
            <w:pPr>
              <w:jc w:val="both"/>
              <w:rPr>
                <w:rFonts w:asciiTheme="majorHAnsi" w:eastAsia="Times New Roman" w:hAnsiTheme="majorHAnsi" w:cstheme="majorHAnsi"/>
                <w:sz w:val="20"/>
                <w:szCs w:val="20"/>
                <w:lang w:eastAsia="ru-RU"/>
              </w:rPr>
            </w:pPr>
            <w:r w:rsidRPr="00D64D16">
              <w:rPr>
                <w:rFonts w:asciiTheme="majorHAnsi" w:eastAsia="Times New Roman" w:hAnsiTheme="majorHAnsi" w:cstheme="majorHAnsi"/>
                <w:sz w:val="20"/>
                <w:szCs w:val="20"/>
                <w:lang w:eastAsia="ru-RU"/>
              </w:rPr>
              <w:t>Alte impozite pe proprietate</w:t>
            </w:r>
          </w:p>
        </w:tc>
        <w:tc>
          <w:tcPr>
            <w:tcW w:w="989" w:type="dxa"/>
          </w:tcPr>
          <w:p w:rsidR="00E67099" w:rsidRPr="00D64D16"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sidRPr="00D64D16">
              <w:rPr>
                <w:rFonts w:asciiTheme="majorHAnsi" w:eastAsia="Times New Roman" w:hAnsiTheme="majorHAnsi" w:cstheme="majorHAnsi"/>
                <w:color w:val="000000"/>
                <w:sz w:val="20"/>
                <w:szCs w:val="20"/>
                <w:lang w:eastAsia="ru-RU"/>
              </w:rPr>
              <w:t>1136</w:t>
            </w:r>
          </w:p>
        </w:tc>
        <w:tc>
          <w:tcPr>
            <w:tcW w:w="1279"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sidRPr="00D64D16">
              <w:rPr>
                <w:rFonts w:asciiTheme="majorHAnsi" w:eastAsia="Times New Roman" w:hAnsiTheme="majorHAnsi" w:cstheme="majorHAnsi"/>
                <w:color w:val="000000"/>
                <w:sz w:val="20"/>
                <w:szCs w:val="20"/>
                <w:lang w:eastAsia="ru-RU"/>
              </w:rPr>
              <w:t>42,0</w:t>
            </w:r>
          </w:p>
        </w:tc>
        <w:tc>
          <w:tcPr>
            <w:tcW w:w="127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D64D16">
              <w:rPr>
                <w:rFonts w:asciiTheme="majorHAnsi" w:eastAsia="Times New Roman" w:hAnsiTheme="majorHAnsi" w:cstheme="majorHAnsi"/>
                <w:sz w:val="20"/>
                <w:szCs w:val="20"/>
                <w:lang w:eastAsia="ru-RU"/>
              </w:rPr>
              <w:t>41,1</w:t>
            </w:r>
          </w:p>
        </w:tc>
        <w:tc>
          <w:tcPr>
            <w:tcW w:w="1241"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D64D16">
              <w:rPr>
                <w:rFonts w:asciiTheme="majorHAnsi" w:eastAsia="Times New Roman" w:hAnsiTheme="majorHAnsi" w:cstheme="majorHAnsi"/>
                <w:sz w:val="20"/>
                <w:szCs w:val="20"/>
                <w:lang w:eastAsia="ru-RU"/>
              </w:rPr>
              <w:t>41,4</w:t>
            </w:r>
          </w:p>
        </w:tc>
        <w:tc>
          <w:tcPr>
            <w:tcW w:w="102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D64D16">
              <w:rPr>
                <w:rFonts w:asciiTheme="majorHAnsi" w:hAnsiTheme="majorHAnsi" w:cstheme="majorHAnsi"/>
                <w:color w:val="000000"/>
                <w:sz w:val="20"/>
                <w:szCs w:val="20"/>
              </w:rPr>
              <w:t>-0,3</w:t>
            </w:r>
          </w:p>
        </w:tc>
        <w:tc>
          <w:tcPr>
            <w:tcW w:w="127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D64D16">
              <w:rPr>
                <w:rFonts w:asciiTheme="majorHAnsi" w:hAnsiTheme="majorHAnsi" w:cstheme="majorHAnsi"/>
                <w:color w:val="000000"/>
                <w:sz w:val="20"/>
                <w:szCs w:val="20"/>
              </w:rPr>
              <w:t>99,3</w:t>
            </w:r>
          </w:p>
        </w:tc>
        <w:tc>
          <w:tcPr>
            <w:tcW w:w="850"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D64D16">
              <w:rPr>
                <w:rFonts w:asciiTheme="majorHAnsi" w:hAnsiTheme="majorHAnsi" w:cstheme="majorHAnsi"/>
                <w:bCs/>
                <w:color w:val="000000"/>
                <w:sz w:val="20"/>
                <w:szCs w:val="20"/>
              </w:rPr>
              <w:t>0,0</w:t>
            </w:r>
          </w:p>
        </w:tc>
        <w:tc>
          <w:tcPr>
            <w:tcW w:w="1168"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D64D16">
              <w:rPr>
                <w:rFonts w:asciiTheme="majorHAnsi" w:hAnsiTheme="majorHAnsi" w:cstheme="majorHAnsi"/>
                <w:bCs/>
                <w:color w:val="000000"/>
                <w:sz w:val="20"/>
                <w:szCs w:val="20"/>
              </w:rPr>
              <w:t>0,0</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4390" w:type="dxa"/>
          </w:tcPr>
          <w:p w:rsidR="00E67099" w:rsidRPr="00D64D16" w:rsidRDefault="00E67099" w:rsidP="00E67099">
            <w:pPr>
              <w:jc w:val="both"/>
              <w:rPr>
                <w:rFonts w:asciiTheme="majorHAnsi" w:eastAsia="Times New Roman" w:hAnsiTheme="majorHAnsi" w:cstheme="majorHAnsi"/>
                <w:sz w:val="20"/>
                <w:szCs w:val="20"/>
                <w:lang w:eastAsia="ru-RU"/>
              </w:rPr>
            </w:pPr>
            <w:r w:rsidRPr="00D64D16">
              <w:rPr>
                <w:rFonts w:asciiTheme="majorHAnsi" w:eastAsia="Times New Roman" w:hAnsiTheme="majorHAnsi" w:cstheme="majorHAnsi"/>
                <w:sz w:val="20"/>
                <w:szCs w:val="20"/>
                <w:lang w:eastAsia="ru-RU"/>
              </w:rPr>
              <w:t>Impozite și taxe pe mărfuri și servicii</w:t>
            </w:r>
          </w:p>
        </w:tc>
        <w:tc>
          <w:tcPr>
            <w:tcW w:w="989" w:type="dxa"/>
          </w:tcPr>
          <w:p w:rsidR="00E67099" w:rsidRPr="00D64D16"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eastAsia="ru-RU"/>
              </w:rPr>
            </w:pPr>
            <w:r w:rsidRPr="00D64D16">
              <w:rPr>
                <w:rFonts w:asciiTheme="majorHAnsi" w:eastAsia="Times New Roman" w:hAnsiTheme="majorHAnsi" w:cstheme="majorHAnsi"/>
                <w:b/>
                <w:color w:val="000000"/>
                <w:sz w:val="20"/>
                <w:szCs w:val="20"/>
                <w:lang w:eastAsia="ru-RU"/>
              </w:rPr>
              <w:t>114</w:t>
            </w:r>
          </w:p>
        </w:tc>
        <w:tc>
          <w:tcPr>
            <w:tcW w:w="1279"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eastAsia="ru-RU"/>
              </w:rPr>
            </w:pPr>
            <w:r w:rsidRPr="00D64D16">
              <w:rPr>
                <w:rFonts w:asciiTheme="majorHAnsi" w:eastAsia="Times New Roman" w:hAnsiTheme="majorHAnsi" w:cstheme="majorHAnsi"/>
                <w:b/>
                <w:color w:val="000000"/>
                <w:sz w:val="20"/>
                <w:szCs w:val="20"/>
                <w:lang w:eastAsia="ru-RU"/>
              </w:rPr>
              <w:t>28 217,2</w:t>
            </w:r>
          </w:p>
        </w:tc>
        <w:tc>
          <w:tcPr>
            <w:tcW w:w="127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eastAsia="ru-RU"/>
              </w:rPr>
            </w:pPr>
            <w:r w:rsidRPr="00D64D16">
              <w:rPr>
                <w:rFonts w:asciiTheme="majorHAnsi" w:eastAsia="Times New Roman" w:hAnsiTheme="majorHAnsi" w:cstheme="majorHAnsi"/>
                <w:b/>
                <w:sz w:val="20"/>
                <w:szCs w:val="20"/>
                <w:lang w:eastAsia="ru-RU"/>
              </w:rPr>
              <w:t>27 707,6</w:t>
            </w:r>
          </w:p>
        </w:tc>
        <w:tc>
          <w:tcPr>
            <w:tcW w:w="1241"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eastAsia="ru-RU"/>
              </w:rPr>
            </w:pPr>
            <w:r w:rsidRPr="00D64D16">
              <w:rPr>
                <w:rFonts w:asciiTheme="majorHAnsi" w:eastAsia="Times New Roman" w:hAnsiTheme="majorHAnsi" w:cstheme="majorHAnsi"/>
                <w:b/>
                <w:sz w:val="20"/>
                <w:szCs w:val="20"/>
                <w:lang w:eastAsia="ru-RU"/>
              </w:rPr>
              <w:t>25 476,7</w:t>
            </w:r>
          </w:p>
        </w:tc>
        <w:tc>
          <w:tcPr>
            <w:tcW w:w="102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szCs w:val="20"/>
              </w:rPr>
            </w:pPr>
            <w:r w:rsidRPr="00D64D16">
              <w:rPr>
                <w:rFonts w:asciiTheme="majorHAnsi" w:hAnsiTheme="majorHAnsi" w:cstheme="majorHAnsi"/>
                <w:b/>
                <w:color w:val="000000"/>
                <w:sz w:val="20"/>
                <w:szCs w:val="20"/>
              </w:rPr>
              <w:t>2 230,9</w:t>
            </w:r>
          </w:p>
        </w:tc>
        <w:tc>
          <w:tcPr>
            <w:tcW w:w="127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szCs w:val="20"/>
              </w:rPr>
            </w:pPr>
            <w:r w:rsidRPr="00D64D16">
              <w:rPr>
                <w:rFonts w:asciiTheme="majorHAnsi" w:hAnsiTheme="majorHAnsi" w:cstheme="majorHAnsi"/>
                <w:b/>
                <w:color w:val="000000"/>
                <w:sz w:val="20"/>
                <w:szCs w:val="20"/>
              </w:rPr>
              <w:t>108,8</w:t>
            </w:r>
          </w:p>
        </w:tc>
        <w:tc>
          <w:tcPr>
            <w:tcW w:w="850"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rPr>
            </w:pPr>
            <w:r w:rsidRPr="00D64D16">
              <w:rPr>
                <w:rFonts w:asciiTheme="majorHAnsi" w:hAnsiTheme="majorHAnsi" w:cstheme="majorHAnsi"/>
                <w:b/>
                <w:bCs/>
                <w:color w:val="000000"/>
                <w:sz w:val="20"/>
                <w:szCs w:val="20"/>
              </w:rPr>
              <w:t>13,2</w:t>
            </w:r>
          </w:p>
        </w:tc>
        <w:tc>
          <w:tcPr>
            <w:tcW w:w="1168"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rPr>
            </w:pPr>
            <w:r w:rsidRPr="00D64D16">
              <w:rPr>
                <w:rFonts w:asciiTheme="majorHAnsi" w:hAnsiTheme="majorHAnsi" w:cstheme="majorHAnsi"/>
                <w:b/>
                <w:bCs/>
                <w:color w:val="000000"/>
                <w:sz w:val="20"/>
                <w:szCs w:val="20"/>
              </w:rPr>
              <w:t>13,4</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4390" w:type="dxa"/>
          </w:tcPr>
          <w:p w:rsidR="00E67099" w:rsidRPr="00D64D16" w:rsidRDefault="00E67099" w:rsidP="00E67099">
            <w:pPr>
              <w:jc w:val="both"/>
              <w:rPr>
                <w:rFonts w:asciiTheme="majorHAnsi" w:eastAsia="Times New Roman" w:hAnsiTheme="majorHAnsi" w:cstheme="majorHAnsi"/>
                <w:sz w:val="20"/>
                <w:szCs w:val="20"/>
                <w:lang w:eastAsia="ru-RU"/>
              </w:rPr>
            </w:pPr>
            <w:r w:rsidRPr="00D64D16">
              <w:rPr>
                <w:rFonts w:asciiTheme="majorHAnsi" w:eastAsia="Times New Roman" w:hAnsiTheme="majorHAnsi" w:cstheme="majorHAnsi"/>
                <w:sz w:val="20"/>
                <w:szCs w:val="20"/>
                <w:lang w:eastAsia="ru-RU"/>
              </w:rPr>
              <w:t>Taxa pe valoarea adăugată</w:t>
            </w:r>
          </w:p>
        </w:tc>
        <w:tc>
          <w:tcPr>
            <w:tcW w:w="989" w:type="dxa"/>
          </w:tcPr>
          <w:p w:rsidR="00E67099" w:rsidRPr="00D64D16"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sidRPr="00D64D16">
              <w:rPr>
                <w:rFonts w:asciiTheme="majorHAnsi" w:eastAsia="Times New Roman" w:hAnsiTheme="majorHAnsi" w:cstheme="majorHAnsi"/>
                <w:color w:val="000000"/>
                <w:sz w:val="20"/>
                <w:szCs w:val="20"/>
                <w:lang w:eastAsia="ru-RU"/>
              </w:rPr>
              <w:t>1141</w:t>
            </w:r>
          </w:p>
        </w:tc>
        <w:tc>
          <w:tcPr>
            <w:tcW w:w="1279"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sidRPr="00D64D16">
              <w:rPr>
                <w:rFonts w:asciiTheme="majorHAnsi" w:eastAsia="Times New Roman" w:hAnsiTheme="majorHAnsi" w:cstheme="majorHAnsi"/>
                <w:color w:val="000000"/>
                <w:sz w:val="20"/>
                <w:szCs w:val="20"/>
                <w:lang w:eastAsia="ru-RU"/>
              </w:rPr>
              <w:t>20 588,6</w:t>
            </w:r>
          </w:p>
        </w:tc>
        <w:tc>
          <w:tcPr>
            <w:tcW w:w="127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D64D16">
              <w:rPr>
                <w:rFonts w:asciiTheme="majorHAnsi" w:eastAsia="Times New Roman" w:hAnsiTheme="majorHAnsi" w:cstheme="majorHAnsi"/>
                <w:sz w:val="20"/>
                <w:szCs w:val="20"/>
                <w:lang w:eastAsia="ru-RU"/>
              </w:rPr>
              <w:t>20 096,6</w:t>
            </w:r>
          </w:p>
        </w:tc>
        <w:tc>
          <w:tcPr>
            <w:tcW w:w="1241"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D64D16">
              <w:rPr>
                <w:rFonts w:asciiTheme="majorHAnsi" w:eastAsia="Times New Roman" w:hAnsiTheme="majorHAnsi" w:cstheme="majorHAnsi"/>
                <w:sz w:val="20"/>
                <w:szCs w:val="20"/>
                <w:lang w:eastAsia="ru-RU"/>
              </w:rPr>
              <w:t>18 527,3</w:t>
            </w:r>
          </w:p>
        </w:tc>
        <w:tc>
          <w:tcPr>
            <w:tcW w:w="102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D64D16">
              <w:rPr>
                <w:rFonts w:asciiTheme="majorHAnsi" w:hAnsiTheme="majorHAnsi" w:cstheme="majorHAnsi"/>
                <w:color w:val="000000"/>
                <w:sz w:val="20"/>
                <w:szCs w:val="20"/>
              </w:rPr>
              <w:t>1 569,3</w:t>
            </w:r>
          </w:p>
        </w:tc>
        <w:tc>
          <w:tcPr>
            <w:tcW w:w="127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D64D16">
              <w:rPr>
                <w:rFonts w:asciiTheme="majorHAnsi" w:hAnsiTheme="majorHAnsi" w:cstheme="majorHAnsi"/>
                <w:color w:val="000000"/>
                <w:sz w:val="20"/>
                <w:szCs w:val="20"/>
              </w:rPr>
              <w:t>108,5</w:t>
            </w:r>
          </w:p>
        </w:tc>
        <w:tc>
          <w:tcPr>
            <w:tcW w:w="850"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D64D16">
              <w:rPr>
                <w:rFonts w:asciiTheme="majorHAnsi" w:hAnsiTheme="majorHAnsi" w:cstheme="majorHAnsi"/>
                <w:bCs/>
                <w:color w:val="000000"/>
                <w:sz w:val="20"/>
                <w:szCs w:val="20"/>
              </w:rPr>
              <w:t>9,6</w:t>
            </w:r>
          </w:p>
        </w:tc>
        <w:tc>
          <w:tcPr>
            <w:tcW w:w="1168"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D64D16">
              <w:rPr>
                <w:rFonts w:asciiTheme="majorHAnsi" w:hAnsiTheme="majorHAnsi" w:cstheme="majorHAnsi"/>
                <w:bCs/>
                <w:color w:val="000000"/>
                <w:sz w:val="20"/>
                <w:szCs w:val="20"/>
              </w:rPr>
              <w:t>9,8</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4390" w:type="dxa"/>
          </w:tcPr>
          <w:p w:rsidR="00E67099" w:rsidRPr="00D64D16" w:rsidRDefault="00E67099" w:rsidP="00E67099">
            <w:pPr>
              <w:jc w:val="both"/>
              <w:rPr>
                <w:rFonts w:asciiTheme="majorHAnsi" w:eastAsia="Times New Roman" w:hAnsiTheme="majorHAnsi" w:cstheme="majorHAnsi"/>
                <w:sz w:val="20"/>
                <w:szCs w:val="20"/>
                <w:lang w:eastAsia="ru-RU"/>
              </w:rPr>
            </w:pPr>
            <w:r w:rsidRPr="00D64D16">
              <w:rPr>
                <w:rFonts w:asciiTheme="majorHAnsi" w:eastAsia="Times New Roman" w:hAnsiTheme="majorHAnsi" w:cstheme="majorHAnsi"/>
                <w:sz w:val="20"/>
                <w:szCs w:val="20"/>
                <w:lang w:eastAsia="ru-RU"/>
              </w:rPr>
              <w:t>Accize</w:t>
            </w:r>
          </w:p>
        </w:tc>
        <w:tc>
          <w:tcPr>
            <w:tcW w:w="989" w:type="dxa"/>
          </w:tcPr>
          <w:p w:rsidR="00E67099" w:rsidRPr="00D64D16"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sidRPr="00D64D16">
              <w:rPr>
                <w:rFonts w:asciiTheme="majorHAnsi" w:eastAsia="Times New Roman" w:hAnsiTheme="majorHAnsi" w:cstheme="majorHAnsi"/>
                <w:color w:val="000000"/>
                <w:sz w:val="20"/>
                <w:szCs w:val="20"/>
                <w:lang w:eastAsia="ru-RU"/>
              </w:rPr>
              <w:t>1142</w:t>
            </w:r>
          </w:p>
        </w:tc>
        <w:tc>
          <w:tcPr>
            <w:tcW w:w="1279"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sidRPr="00D64D16">
              <w:rPr>
                <w:rFonts w:asciiTheme="majorHAnsi" w:eastAsia="Times New Roman" w:hAnsiTheme="majorHAnsi" w:cstheme="majorHAnsi"/>
                <w:color w:val="000000"/>
                <w:sz w:val="20"/>
                <w:szCs w:val="20"/>
                <w:lang w:eastAsia="ru-RU"/>
              </w:rPr>
              <w:t>6 294,3</w:t>
            </w:r>
          </w:p>
        </w:tc>
        <w:tc>
          <w:tcPr>
            <w:tcW w:w="127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D64D16">
              <w:rPr>
                <w:rFonts w:asciiTheme="majorHAnsi" w:eastAsia="Times New Roman" w:hAnsiTheme="majorHAnsi" w:cstheme="majorHAnsi"/>
                <w:sz w:val="20"/>
                <w:szCs w:val="20"/>
                <w:lang w:eastAsia="ru-RU"/>
              </w:rPr>
              <w:t>6 220,1</w:t>
            </w:r>
          </w:p>
        </w:tc>
        <w:tc>
          <w:tcPr>
            <w:tcW w:w="1241"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D64D16">
              <w:rPr>
                <w:rFonts w:asciiTheme="majorHAnsi" w:eastAsia="Times New Roman" w:hAnsiTheme="majorHAnsi" w:cstheme="majorHAnsi"/>
                <w:sz w:val="20"/>
                <w:szCs w:val="20"/>
                <w:lang w:eastAsia="ru-RU"/>
              </w:rPr>
              <w:t>5 682,8</w:t>
            </w:r>
          </w:p>
        </w:tc>
        <w:tc>
          <w:tcPr>
            <w:tcW w:w="102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D64D16">
              <w:rPr>
                <w:rFonts w:asciiTheme="majorHAnsi" w:hAnsiTheme="majorHAnsi" w:cstheme="majorHAnsi"/>
                <w:color w:val="000000"/>
                <w:sz w:val="20"/>
                <w:szCs w:val="20"/>
              </w:rPr>
              <w:t>537,3</w:t>
            </w:r>
          </w:p>
        </w:tc>
        <w:tc>
          <w:tcPr>
            <w:tcW w:w="127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D64D16">
              <w:rPr>
                <w:rFonts w:asciiTheme="majorHAnsi" w:hAnsiTheme="majorHAnsi" w:cstheme="majorHAnsi"/>
                <w:color w:val="000000"/>
                <w:sz w:val="20"/>
                <w:szCs w:val="20"/>
              </w:rPr>
              <w:t>109,5</w:t>
            </w:r>
          </w:p>
        </w:tc>
        <w:tc>
          <w:tcPr>
            <w:tcW w:w="850"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D64D16">
              <w:rPr>
                <w:rFonts w:asciiTheme="majorHAnsi" w:hAnsiTheme="majorHAnsi" w:cstheme="majorHAnsi"/>
                <w:bCs/>
                <w:color w:val="000000"/>
                <w:sz w:val="20"/>
                <w:szCs w:val="20"/>
              </w:rPr>
              <w:t>3,0</w:t>
            </w:r>
          </w:p>
        </w:tc>
        <w:tc>
          <w:tcPr>
            <w:tcW w:w="1168"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D64D16">
              <w:rPr>
                <w:rFonts w:asciiTheme="majorHAnsi" w:hAnsiTheme="majorHAnsi" w:cstheme="majorHAnsi"/>
                <w:bCs/>
                <w:color w:val="000000"/>
                <w:sz w:val="20"/>
                <w:szCs w:val="20"/>
              </w:rPr>
              <w:t>3,0</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4390" w:type="dxa"/>
          </w:tcPr>
          <w:p w:rsidR="00E67099" w:rsidRPr="00D64D16" w:rsidRDefault="00E67099" w:rsidP="00E67099">
            <w:pPr>
              <w:jc w:val="both"/>
              <w:rPr>
                <w:rFonts w:asciiTheme="majorHAnsi" w:eastAsia="Times New Roman" w:hAnsiTheme="majorHAnsi" w:cstheme="majorHAnsi"/>
                <w:sz w:val="20"/>
                <w:szCs w:val="20"/>
                <w:lang w:eastAsia="ru-RU"/>
              </w:rPr>
            </w:pPr>
            <w:r w:rsidRPr="00D64D16">
              <w:rPr>
                <w:rFonts w:asciiTheme="majorHAnsi" w:eastAsia="Times New Roman" w:hAnsiTheme="majorHAnsi" w:cstheme="majorHAnsi"/>
                <w:sz w:val="20"/>
                <w:szCs w:val="20"/>
                <w:lang w:eastAsia="ru-RU"/>
              </w:rPr>
              <w:t xml:space="preserve">Taxe pentru servicii specifice </w:t>
            </w:r>
          </w:p>
        </w:tc>
        <w:tc>
          <w:tcPr>
            <w:tcW w:w="989" w:type="dxa"/>
          </w:tcPr>
          <w:p w:rsidR="00E67099" w:rsidRPr="00D64D16"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sidRPr="00D64D16">
              <w:rPr>
                <w:rFonts w:asciiTheme="majorHAnsi" w:eastAsia="Times New Roman" w:hAnsiTheme="majorHAnsi" w:cstheme="majorHAnsi"/>
                <w:color w:val="000000"/>
                <w:sz w:val="20"/>
                <w:szCs w:val="20"/>
                <w:lang w:eastAsia="ru-RU"/>
              </w:rPr>
              <w:t>1144</w:t>
            </w:r>
          </w:p>
        </w:tc>
        <w:tc>
          <w:tcPr>
            <w:tcW w:w="1279"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sidRPr="00D64D16">
              <w:rPr>
                <w:rFonts w:asciiTheme="majorHAnsi" w:eastAsia="Times New Roman" w:hAnsiTheme="majorHAnsi" w:cstheme="majorHAnsi"/>
                <w:color w:val="000000"/>
                <w:sz w:val="20"/>
                <w:szCs w:val="20"/>
                <w:lang w:eastAsia="ru-RU"/>
              </w:rPr>
              <w:t>10,8</w:t>
            </w:r>
          </w:p>
        </w:tc>
        <w:tc>
          <w:tcPr>
            <w:tcW w:w="127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D64D16">
              <w:rPr>
                <w:rFonts w:asciiTheme="majorHAnsi" w:eastAsia="Times New Roman" w:hAnsiTheme="majorHAnsi" w:cstheme="majorHAnsi"/>
                <w:sz w:val="20"/>
                <w:szCs w:val="20"/>
                <w:lang w:eastAsia="ru-RU"/>
              </w:rPr>
              <w:t>7,8</w:t>
            </w:r>
          </w:p>
        </w:tc>
        <w:tc>
          <w:tcPr>
            <w:tcW w:w="1241"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D64D16">
              <w:rPr>
                <w:rFonts w:asciiTheme="majorHAnsi" w:eastAsia="Times New Roman" w:hAnsiTheme="majorHAnsi" w:cstheme="majorHAnsi"/>
                <w:sz w:val="20"/>
                <w:szCs w:val="20"/>
                <w:lang w:eastAsia="ru-RU"/>
              </w:rPr>
              <w:t>9,7</w:t>
            </w:r>
          </w:p>
        </w:tc>
        <w:tc>
          <w:tcPr>
            <w:tcW w:w="102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D64D16">
              <w:rPr>
                <w:rFonts w:asciiTheme="majorHAnsi" w:hAnsiTheme="majorHAnsi" w:cstheme="majorHAnsi"/>
                <w:color w:val="000000"/>
                <w:sz w:val="20"/>
                <w:szCs w:val="20"/>
              </w:rPr>
              <w:t>-1,9</w:t>
            </w:r>
          </w:p>
        </w:tc>
        <w:tc>
          <w:tcPr>
            <w:tcW w:w="127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D64D16">
              <w:rPr>
                <w:rFonts w:asciiTheme="majorHAnsi" w:hAnsiTheme="majorHAnsi" w:cstheme="majorHAnsi"/>
                <w:color w:val="000000"/>
                <w:sz w:val="20"/>
                <w:szCs w:val="20"/>
              </w:rPr>
              <w:t>80,4</w:t>
            </w:r>
          </w:p>
        </w:tc>
        <w:tc>
          <w:tcPr>
            <w:tcW w:w="850"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D64D16">
              <w:rPr>
                <w:rFonts w:asciiTheme="majorHAnsi" w:hAnsiTheme="majorHAnsi" w:cstheme="majorHAnsi"/>
                <w:bCs/>
                <w:color w:val="000000"/>
                <w:sz w:val="20"/>
                <w:szCs w:val="20"/>
              </w:rPr>
              <w:t>0,0</w:t>
            </w:r>
          </w:p>
        </w:tc>
        <w:tc>
          <w:tcPr>
            <w:tcW w:w="1168"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D64D16">
              <w:rPr>
                <w:rFonts w:asciiTheme="majorHAnsi" w:hAnsiTheme="majorHAnsi" w:cstheme="majorHAnsi"/>
                <w:bCs/>
                <w:color w:val="000000"/>
                <w:sz w:val="20"/>
                <w:szCs w:val="20"/>
              </w:rPr>
              <w:t>0,0</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4390" w:type="dxa"/>
          </w:tcPr>
          <w:p w:rsidR="00E67099" w:rsidRPr="00D64D16" w:rsidRDefault="00E67099" w:rsidP="00E67099">
            <w:pPr>
              <w:jc w:val="both"/>
              <w:rPr>
                <w:rFonts w:asciiTheme="majorHAnsi" w:eastAsia="Times New Roman" w:hAnsiTheme="majorHAnsi" w:cstheme="majorHAnsi"/>
                <w:sz w:val="20"/>
                <w:szCs w:val="20"/>
                <w:lang w:eastAsia="ru-RU"/>
              </w:rPr>
            </w:pPr>
            <w:r w:rsidRPr="00D64D16">
              <w:rPr>
                <w:rFonts w:asciiTheme="majorHAnsi" w:eastAsia="Times New Roman" w:hAnsiTheme="majorHAnsi" w:cstheme="majorHAnsi"/>
                <w:sz w:val="20"/>
                <w:szCs w:val="20"/>
                <w:lang w:eastAsia="ru-RU"/>
              </w:rPr>
              <w:t>Taxe și plăți pentru utilizarea mărfurilor și pentru practicarea unor genuri de activitate</w:t>
            </w:r>
          </w:p>
        </w:tc>
        <w:tc>
          <w:tcPr>
            <w:tcW w:w="989" w:type="dxa"/>
          </w:tcPr>
          <w:p w:rsidR="00E67099" w:rsidRPr="00D64D16"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sidRPr="00D64D16">
              <w:rPr>
                <w:rFonts w:asciiTheme="majorHAnsi" w:eastAsia="Times New Roman" w:hAnsiTheme="majorHAnsi" w:cstheme="majorHAnsi"/>
                <w:color w:val="000000"/>
                <w:sz w:val="20"/>
                <w:szCs w:val="20"/>
                <w:lang w:eastAsia="ru-RU"/>
              </w:rPr>
              <w:t>1145</w:t>
            </w:r>
          </w:p>
        </w:tc>
        <w:tc>
          <w:tcPr>
            <w:tcW w:w="1279"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sidRPr="00D64D16">
              <w:rPr>
                <w:rFonts w:asciiTheme="majorHAnsi" w:eastAsia="Times New Roman" w:hAnsiTheme="majorHAnsi" w:cstheme="majorHAnsi"/>
                <w:color w:val="000000"/>
                <w:sz w:val="20"/>
                <w:szCs w:val="20"/>
                <w:lang w:eastAsia="ru-RU"/>
              </w:rPr>
              <w:t>388,0</w:t>
            </w:r>
          </w:p>
        </w:tc>
        <w:tc>
          <w:tcPr>
            <w:tcW w:w="127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D64D16">
              <w:rPr>
                <w:rFonts w:asciiTheme="majorHAnsi" w:eastAsia="Times New Roman" w:hAnsiTheme="majorHAnsi" w:cstheme="majorHAnsi"/>
                <w:sz w:val="20"/>
                <w:szCs w:val="20"/>
                <w:lang w:eastAsia="ru-RU"/>
              </w:rPr>
              <w:t>397,8</w:t>
            </w:r>
          </w:p>
        </w:tc>
        <w:tc>
          <w:tcPr>
            <w:tcW w:w="1241"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D64D16">
              <w:rPr>
                <w:rFonts w:asciiTheme="majorHAnsi" w:eastAsia="Times New Roman" w:hAnsiTheme="majorHAnsi" w:cstheme="majorHAnsi"/>
                <w:sz w:val="20"/>
                <w:szCs w:val="20"/>
                <w:lang w:eastAsia="ru-RU"/>
              </w:rPr>
              <w:t>327,9</w:t>
            </w:r>
          </w:p>
        </w:tc>
        <w:tc>
          <w:tcPr>
            <w:tcW w:w="102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D64D16">
              <w:rPr>
                <w:rFonts w:asciiTheme="majorHAnsi" w:hAnsiTheme="majorHAnsi" w:cstheme="majorHAnsi"/>
                <w:color w:val="000000"/>
                <w:sz w:val="20"/>
                <w:szCs w:val="20"/>
              </w:rPr>
              <w:t>69,9</w:t>
            </w:r>
          </w:p>
        </w:tc>
        <w:tc>
          <w:tcPr>
            <w:tcW w:w="127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D64D16">
              <w:rPr>
                <w:rFonts w:asciiTheme="majorHAnsi" w:hAnsiTheme="majorHAnsi" w:cstheme="majorHAnsi"/>
                <w:color w:val="000000"/>
                <w:sz w:val="20"/>
                <w:szCs w:val="20"/>
              </w:rPr>
              <w:t>121,3</w:t>
            </w:r>
          </w:p>
        </w:tc>
        <w:tc>
          <w:tcPr>
            <w:tcW w:w="850"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D64D16">
              <w:rPr>
                <w:rFonts w:asciiTheme="majorHAnsi" w:hAnsiTheme="majorHAnsi" w:cstheme="majorHAnsi"/>
                <w:bCs/>
                <w:color w:val="000000"/>
                <w:sz w:val="20"/>
                <w:szCs w:val="20"/>
              </w:rPr>
              <w:t>0,2</w:t>
            </w:r>
          </w:p>
        </w:tc>
        <w:tc>
          <w:tcPr>
            <w:tcW w:w="1168"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D64D16">
              <w:rPr>
                <w:rFonts w:asciiTheme="majorHAnsi" w:hAnsiTheme="majorHAnsi" w:cstheme="majorHAnsi"/>
                <w:bCs/>
                <w:color w:val="000000"/>
                <w:sz w:val="20"/>
                <w:szCs w:val="20"/>
              </w:rPr>
              <w:t>0,2</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4390" w:type="dxa"/>
          </w:tcPr>
          <w:p w:rsidR="00E67099" w:rsidRPr="00D64D16" w:rsidRDefault="00E67099" w:rsidP="00E67099">
            <w:pPr>
              <w:jc w:val="both"/>
              <w:rPr>
                <w:rFonts w:asciiTheme="majorHAnsi" w:eastAsia="Times New Roman" w:hAnsiTheme="majorHAnsi" w:cstheme="majorHAnsi"/>
                <w:sz w:val="20"/>
                <w:szCs w:val="20"/>
                <w:lang w:eastAsia="ru-RU"/>
              </w:rPr>
            </w:pPr>
            <w:r w:rsidRPr="00D64D16">
              <w:rPr>
                <w:rFonts w:asciiTheme="majorHAnsi" w:eastAsia="Times New Roman" w:hAnsiTheme="majorHAnsi" w:cstheme="majorHAnsi"/>
                <w:sz w:val="20"/>
                <w:szCs w:val="20"/>
                <w:lang w:eastAsia="ru-RU"/>
              </w:rPr>
              <w:t>Alte taxe pentru mărfuri și servicii</w:t>
            </w:r>
          </w:p>
        </w:tc>
        <w:tc>
          <w:tcPr>
            <w:tcW w:w="989" w:type="dxa"/>
          </w:tcPr>
          <w:p w:rsidR="00E67099" w:rsidRPr="00D64D16"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sidRPr="00D64D16">
              <w:rPr>
                <w:rFonts w:asciiTheme="majorHAnsi" w:eastAsia="Times New Roman" w:hAnsiTheme="majorHAnsi" w:cstheme="majorHAnsi"/>
                <w:color w:val="000000"/>
                <w:sz w:val="20"/>
                <w:szCs w:val="20"/>
                <w:lang w:eastAsia="ru-RU"/>
              </w:rPr>
              <w:t>1146</w:t>
            </w:r>
          </w:p>
        </w:tc>
        <w:tc>
          <w:tcPr>
            <w:tcW w:w="1279"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sidRPr="00D64D16">
              <w:rPr>
                <w:rFonts w:asciiTheme="majorHAnsi" w:eastAsia="Times New Roman" w:hAnsiTheme="majorHAnsi" w:cstheme="majorHAnsi"/>
                <w:color w:val="000000"/>
                <w:sz w:val="20"/>
                <w:szCs w:val="20"/>
                <w:lang w:eastAsia="ru-RU"/>
              </w:rPr>
              <w:t>935,5</w:t>
            </w:r>
          </w:p>
        </w:tc>
        <w:tc>
          <w:tcPr>
            <w:tcW w:w="127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D64D16">
              <w:rPr>
                <w:rFonts w:asciiTheme="majorHAnsi" w:eastAsia="Times New Roman" w:hAnsiTheme="majorHAnsi" w:cstheme="majorHAnsi"/>
                <w:sz w:val="20"/>
                <w:szCs w:val="20"/>
                <w:lang w:eastAsia="ru-RU"/>
              </w:rPr>
              <w:t>985,3</w:t>
            </w:r>
          </w:p>
        </w:tc>
        <w:tc>
          <w:tcPr>
            <w:tcW w:w="1241"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D64D16">
              <w:rPr>
                <w:rFonts w:asciiTheme="majorHAnsi" w:eastAsia="Times New Roman" w:hAnsiTheme="majorHAnsi" w:cstheme="majorHAnsi"/>
                <w:sz w:val="20"/>
                <w:szCs w:val="20"/>
                <w:lang w:eastAsia="ru-RU"/>
              </w:rPr>
              <w:t>928,9</w:t>
            </w:r>
          </w:p>
        </w:tc>
        <w:tc>
          <w:tcPr>
            <w:tcW w:w="102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D64D16">
              <w:rPr>
                <w:rFonts w:asciiTheme="majorHAnsi" w:hAnsiTheme="majorHAnsi" w:cstheme="majorHAnsi"/>
                <w:color w:val="000000"/>
                <w:sz w:val="20"/>
                <w:szCs w:val="20"/>
              </w:rPr>
              <w:t>56,4</w:t>
            </w:r>
          </w:p>
        </w:tc>
        <w:tc>
          <w:tcPr>
            <w:tcW w:w="127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D64D16">
              <w:rPr>
                <w:rFonts w:asciiTheme="majorHAnsi" w:hAnsiTheme="majorHAnsi" w:cstheme="majorHAnsi"/>
                <w:color w:val="000000"/>
                <w:sz w:val="20"/>
                <w:szCs w:val="20"/>
              </w:rPr>
              <w:t>106,1</w:t>
            </w:r>
          </w:p>
        </w:tc>
        <w:tc>
          <w:tcPr>
            <w:tcW w:w="850"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D64D16">
              <w:rPr>
                <w:rFonts w:asciiTheme="majorHAnsi" w:hAnsiTheme="majorHAnsi" w:cstheme="majorHAnsi"/>
                <w:bCs/>
                <w:color w:val="000000"/>
                <w:sz w:val="20"/>
                <w:szCs w:val="20"/>
              </w:rPr>
              <w:t>0,5</w:t>
            </w:r>
          </w:p>
        </w:tc>
        <w:tc>
          <w:tcPr>
            <w:tcW w:w="1168"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D64D16">
              <w:rPr>
                <w:rFonts w:asciiTheme="majorHAnsi" w:hAnsiTheme="majorHAnsi" w:cstheme="majorHAnsi"/>
                <w:bCs/>
                <w:color w:val="000000"/>
                <w:sz w:val="20"/>
                <w:szCs w:val="20"/>
              </w:rPr>
              <w:t>0,5</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4390" w:type="dxa"/>
          </w:tcPr>
          <w:p w:rsidR="00E67099" w:rsidRPr="00D64D16" w:rsidRDefault="00E67099" w:rsidP="00E67099">
            <w:pPr>
              <w:jc w:val="both"/>
              <w:rPr>
                <w:rFonts w:asciiTheme="majorHAnsi" w:eastAsia="Times New Roman" w:hAnsiTheme="majorHAnsi" w:cstheme="majorHAnsi"/>
                <w:sz w:val="20"/>
                <w:szCs w:val="20"/>
                <w:lang w:eastAsia="ru-RU"/>
              </w:rPr>
            </w:pPr>
            <w:r w:rsidRPr="00D64D16">
              <w:rPr>
                <w:rFonts w:asciiTheme="majorHAnsi" w:eastAsia="Times New Roman" w:hAnsiTheme="majorHAnsi" w:cstheme="majorHAnsi"/>
                <w:sz w:val="20"/>
                <w:szCs w:val="20"/>
                <w:lang w:eastAsia="ru-RU"/>
              </w:rPr>
              <w:t>Taxa asupra comerțului exterior și operațiunilor externe</w:t>
            </w:r>
          </w:p>
        </w:tc>
        <w:tc>
          <w:tcPr>
            <w:tcW w:w="989" w:type="dxa"/>
          </w:tcPr>
          <w:p w:rsidR="00E67099" w:rsidRPr="00D64D16"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eastAsia="ru-RU"/>
              </w:rPr>
            </w:pPr>
            <w:r w:rsidRPr="00D64D16">
              <w:rPr>
                <w:rFonts w:asciiTheme="majorHAnsi" w:eastAsia="Times New Roman" w:hAnsiTheme="majorHAnsi" w:cstheme="majorHAnsi"/>
                <w:b/>
                <w:color w:val="000000"/>
                <w:sz w:val="20"/>
                <w:szCs w:val="20"/>
                <w:lang w:eastAsia="ru-RU"/>
              </w:rPr>
              <w:t>115</w:t>
            </w:r>
          </w:p>
        </w:tc>
        <w:tc>
          <w:tcPr>
            <w:tcW w:w="1279"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eastAsia="ru-RU"/>
              </w:rPr>
            </w:pPr>
            <w:r w:rsidRPr="00D64D16">
              <w:rPr>
                <w:rFonts w:asciiTheme="majorHAnsi" w:eastAsia="Times New Roman" w:hAnsiTheme="majorHAnsi" w:cstheme="majorHAnsi"/>
                <w:b/>
                <w:color w:val="000000"/>
                <w:sz w:val="20"/>
                <w:szCs w:val="20"/>
                <w:lang w:eastAsia="ru-RU"/>
              </w:rPr>
              <w:t>1 861,7</w:t>
            </w:r>
          </w:p>
        </w:tc>
        <w:tc>
          <w:tcPr>
            <w:tcW w:w="127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eastAsia="ru-RU"/>
              </w:rPr>
            </w:pPr>
            <w:r w:rsidRPr="00D64D16">
              <w:rPr>
                <w:rFonts w:asciiTheme="majorHAnsi" w:eastAsia="Times New Roman" w:hAnsiTheme="majorHAnsi" w:cstheme="majorHAnsi"/>
                <w:b/>
                <w:sz w:val="20"/>
                <w:szCs w:val="20"/>
                <w:lang w:eastAsia="ru-RU"/>
              </w:rPr>
              <w:t>1 798,4</w:t>
            </w:r>
          </w:p>
        </w:tc>
        <w:tc>
          <w:tcPr>
            <w:tcW w:w="1241"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eastAsia="ru-RU"/>
              </w:rPr>
            </w:pPr>
            <w:r w:rsidRPr="00D64D16">
              <w:rPr>
                <w:rFonts w:asciiTheme="majorHAnsi" w:eastAsia="Times New Roman" w:hAnsiTheme="majorHAnsi" w:cstheme="majorHAnsi"/>
                <w:b/>
                <w:sz w:val="20"/>
                <w:szCs w:val="20"/>
                <w:lang w:eastAsia="ru-RU"/>
              </w:rPr>
              <w:t>1 665,8</w:t>
            </w:r>
          </w:p>
        </w:tc>
        <w:tc>
          <w:tcPr>
            <w:tcW w:w="102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szCs w:val="20"/>
              </w:rPr>
            </w:pPr>
            <w:r w:rsidRPr="00D64D16">
              <w:rPr>
                <w:rFonts w:asciiTheme="majorHAnsi" w:hAnsiTheme="majorHAnsi" w:cstheme="majorHAnsi"/>
                <w:b/>
                <w:color w:val="000000"/>
                <w:sz w:val="20"/>
                <w:szCs w:val="20"/>
              </w:rPr>
              <w:t>132,5</w:t>
            </w:r>
          </w:p>
        </w:tc>
        <w:tc>
          <w:tcPr>
            <w:tcW w:w="127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szCs w:val="20"/>
              </w:rPr>
            </w:pPr>
            <w:r w:rsidRPr="00D64D16">
              <w:rPr>
                <w:rFonts w:asciiTheme="majorHAnsi" w:hAnsiTheme="majorHAnsi" w:cstheme="majorHAnsi"/>
                <w:b/>
                <w:color w:val="000000"/>
                <w:sz w:val="20"/>
                <w:szCs w:val="20"/>
              </w:rPr>
              <w:t>108,0</w:t>
            </w:r>
          </w:p>
        </w:tc>
        <w:tc>
          <w:tcPr>
            <w:tcW w:w="850"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rPr>
            </w:pPr>
            <w:r w:rsidRPr="00D64D16">
              <w:rPr>
                <w:rFonts w:asciiTheme="majorHAnsi" w:hAnsiTheme="majorHAnsi" w:cstheme="majorHAnsi"/>
                <w:b/>
                <w:bCs/>
                <w:color w:val="000000"/>
                <w:sz w:val="20"/>
                <w:szCs w:val="20"/>
              </w:rPr>
              <w:t>0,9</w:t>
            </w:r>
          </w:p>
        </w:tc>
        <w:tc>
          <w:tcPr>
            <w:tcW w:w="1168"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rPr>
            </w:pPr>
            <w:r w:rsidRPr="00D64D16">
              <w:rPr>
                <w:rFonts w:asciiTheme="majorHAnsi" w:hAnsiTheme="majorHAnsi" w:cstheme="majorHAnsi"/>
                <w:b/>
                <w:bCs/>
                <w:color w:val="000000"/>
                <w:sz w:val="20"/>
                <w:szCs w:val="20"/>
              </w:rPr>
              <w:t>0,9</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4390" w:type="dxa"/>
          </w:tcPr>
          <w:p w:rsidR="00E67099" w:rsidRPr="00D64D16" w:rsidRDefault="00E67099" w:rsidP="00E67099">
            <w:pPr>
              <w:jc w:val="both"/>
              <w:rPr>
                <w:rFonts w:asciiTheme="majorHAnsi" w:eastAsia="Times New Roman" w:hAnsiTheme="majorHAnsi" w:cstheme="majorHAnsi"/>
                <w:sz w:val="20"/>
                <w:szCs w:val="20"/>
                <w:lang w:eastAsia="ru-RU"/>
              </w:rPr>
            </w:pPr>
            <w:r w:rsidRPr="00D64D16">
              <w:rPr>
                <w:rFonts w:asciiTheme="majorHAnsi" w:eastAsia="Times New Roman" w:hAnsiTheme="majorHAnsi" w:cstheme="majorHAnsi"/>
                <w:sz w:val="20"/>
                <w:szCs w:val="20"/>
                <w:lang w:eastAsia="ru-RU"/>
              </w:rPr>
              <w:t>Taxe vamale și alte taxe de import</w:t>
            </w:r>
          </w:p>
        </w:tc>
        <w:tc>
          <w:tcPr>
            <w:tcW w:w="989" w:type="dxa"/>
          </w:tcPr>
          <w:p w:rsidR="00E67099" w:rsidRPr="00D64D16"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sidRPr="00D64D16">
              <w:rPr>
                <w:rFonts w:asciiTheme="majorHAnsi" w:eastAsia="Times New Roman" w:hAnsiTheme="majorHAnsi" w:cstheme="majorHAnsi"/>
                <w:color w:val="000000"/>
                <w:sz w:val="20"/>
                <w:szCs w:val="20"/>
                <w:lang w:eastAsia="ru-RU"/>
              </w:rPr>
              <w:t>1151</w:t>
            </w:r>
          </w:p>
        </w:tc>
        <w:tc>
          <w:tcPr>
            <w:tcW w:w="1279"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sidRPr="00D64D16">
              <w:rPr>
                <w:rFonts w:asciiTheme="majorHAnsi" w:eastAsia="Times New Roman" w:hAnsiTheme="majorHAnsi" w:cstheme="majorHAnsi"/>
                <w:color w:val="000000"/>
                <w:sz w:val="20"/>
                <w:szCs w:val="20"/>
                <w:lang w:eastAsia="ru-RU"/>
              </w:rPr>
              <w:t>1 231,9</w:t>
            </w:r>
          </w:p>
        </w:tc>
        <w:tc>
          <w:tcPr>
            <w:tcW w:w="127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D64D16">
              <w:rPr>
                <w:rFonts w:asciiTheme="majorHAnsi" w:eastAsia="Times New Roman" w:hAnsiTheme="majorHAnsi" w:cstheme="majorHAnsi"/>
                <w:sz w:val="20"/>
                <w:szCs w:val="20"/>
                <w:lang w:eastAsia="ru-RU"/>
              </w:rPr>
              <w:t>1 197,1</w:t>
            </w:r>
          </w:p>
        </w:tc>
        <w:tc>
          <w:tcPr>
            <w:tcW w:w="1241"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D64D16">
              <w:rPr>
                <w:rFonts w:asciiTheme="majorHAnsi" w:eastAsia="Times New Roman" w:hAnsiTheme="majorHAnsi" w:cstheme="majorHAnsi"/>
                <w:sz w:val="20"/>
                <w:szCs w:val="20"/>
                <w:lang w:eastAsia="ru-RU"/>
              </w:rPr>
              <w:t>1 109,9</w:t>
            </w:r>
          </w:p>
        </w:tc>
        <w:tc>
          <w:tcPr>
            <w:tcW w:w="102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D64D16">
              <w:rPr>
                <w:rFonts w:asciiTheme="majorHAnsi" w:hAnsiTheme="majorHAnsi" w:cstheme="majorHAnsi"/>
                <w:color w:val="000000"/>
                <w:sz w:val="20"/>
                <w:szCs w:val="20"/>
              </w:rPr>
              <w:t>87,2</w:t>
            </w:r>
          </w:p>
        </w:tc>
        <w:tc>
          <w:tcPr>
            <w:tcW w:w="127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D64D16">
              <w:rPr>
                <w:rFonts w:asciiTheme="majorHAnsi" w:hAnsiTheme="majorHAnsi" w:cstheme="majorHAnsi"/>
                <w:color w:val="000000"/>
                <w:sz w:val="20"/>
                <w:szCs w:val="20"/>
              </w:rPr>
              <w:t>107,9</w:t>
            </w:r>
          </w:p>
        </w:tc>
        <w:tc>
          <w:tcPr>
            <w:tcW w:w="850"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D64D16">
              <w:rPr>
                <w:rFonts w:asciiTheme="majorHAnsi" w:hAnsiTheme="majorHAnsi" w:cstheme="majorHAnsi"/>
                <w:bCs/>
                <w:color w:val="000000"/>
                <w:sz w:val="20"/>
                <w:szCs w:val="20"/>
              </w:rPr>
              <w:t>0,6</w:t>
            </w:r>
          </w:p>
        </w:tc>
        <w:tc>
          <w:tcPr>
            <w:tcW w:w="1168"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D64D16">
              <w:rPr>
                <w:rFonts w:asciiTheme="majorHAnsi" w:hAnsiTheme="majorHAnsi" w:cstheme="majorHAnsi"/>
                <w:bCs/>
                <w:color w:val="000000"/>
                <w:sz w:val="20"/>
                <w:szCs w:val="20"/>
              </w:rPr>
              <w:t>0,6</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4390" w:type="dxa"/>
          </w:tcPr>
          <w:p w:rsidR="00E67099" w:rsidRPr="00D64D16" w:rsidRDefault="00E67099" w:rsidP="00E67099">
            <w:pPr>
              <w:jc w:val="both"/>
              <w:rPr>
                <w:rFonts w:asciiTheme="majorHAnsi" w:eastAsia="Times New Roman" w:hAnsiTheme="majorHAnsi" w:cstheme="majorHAnsi"/>
                <w:sz w:val="20"/>
                <w:szCs w:val="20"/>
                <w:lang w:eastAsia="ru-RU"/>
              </w:rPr>
            </w:pPr>
            <w:r w:rsidRPr="00D64D16">
              <w:rPr>
                <w:rFonts w:asciiTheme="majorHAnsi" w:eastAsia="Times New Roman" w:hAnsiTheme="majorHAnsi" w:cstheme="majorHAnsi"/>
                <w:sz w:val="20"/>
                <w:szCs w:val="20"/>
                <w:lang w:eastAsia="ru-RU"/>
              </w:rPr>
              <w:t>Alte taxe asupra comerțului exterior și operațiunilor externe</w:t>
            </w:r>
          </w:p>
        </w:tc>
        <w:tc>
          <w:tcPr>
            <w:tcW w:w="989" w:type="dxa"/>
          </w:tcPr>
          <w:p w:rsidR="00E67099" w:rsidRPr="00D64D16"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sidRPr="00D64D16">
              <w:rPr>
                <w:rFonts w:asciiTheme="majorHAnsi" w:eastAsia="Times New Roman" w:hAnsiTheme="majorHAnsi" w:cstheme="majorHAnsi"/>
                <w:color w:val="000000"/>
                <w:sz w:val="20"/>
                <w:szCs w:val="20"/>
                <w:lang w:eastAsia="ru-RU"/>
              </w:rPr>
              <w:t>1156</w:t>
            </w:r>
          </w:p>
        </w:tc>
        <w:tc>
          <w:tcPr>
            <w:tcW w:w="1279"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sidRPr="00D64D16">
              <w:rPr>
                <w:rFonts w:asciiTheme="majorHAnsi" w:eastAsia="Times New Roman" w:hAnsiTheme="majorHAnsi" w:cstheme="majorHAnsi"/>
                <w:color w:val="000000"/>
                <w:sz w:val="20"/>
                <w:szCs w:val="20"/>
                <w:lang w:eastAsia="ru-RU"/>
              </w:rPr>
              <w:t>629,8</w:t>
            </w:r>
          </w:p>
        </w:tc>
        <w:tc>
          <w:tcPr>
            <w:tcW w:w="127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D64D16">
              <w:rPr>
                <w:rFonts w:asciiTheme="majorHAnsi" w:eastAsia="Times New Roman" w:hAnsiTheme="majorHAnsi" w:cstheme="majorHAnsi"/>
                <w:sz w:val="20"/>
                <w:szCs w:val="20"/>
                <w:lang w:eastAsia="ru-RU"/>
              </w:rPr>
              <w:t>601,2</w:t>
            </w:r>
          </w:p>
        </w:tc>
        <w:tc>
          <w:tcPr>
            <w:tcW w:w="1241"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D64D16">
              <w:rPr>
                <w:rFonts w:asciiTheme="majorHAnsi" w:eastAsia="Times New Roman" w:hAnsiTheme="majorHAnsi" w:cstheme="majorHAnsi"/>
                <w:sz w:val="20"/>
                <w:szCs w:val="20"/>
                <w:lang w:eastAsia="ru-RU"/>
              </w:rPr>
              <w:t>555,8</w:t>
            </w:r>
          </w:p>
        </w:tc>
        <w:tc>
          <w:tcPr>
            <w:tcW w:w="102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D64D16">
              <w:rPr>
                <w:rFonts w:asciiTheme="majorHAnsi" w:hAnsiTheme="majorHAnsi" w:cstheme="majorHAnsi"/>
                <w:color w:val="000000"/>
                <w:sz w:val="20"/>
                <w:szCs w:val="20"/>
              </w:rPr>
              <w:t>45,4</w:t>
            </w:r>
          </w:p>
        </w:tc>
        <w:tc>
          <w:tcPr>
            <w:tcW w:w="127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D64D16">
              <w:rPr>
                <w:rFonts w:asciiTheme="majorHAnsi" w:hAnsiTheme="majorHAnsi" w:cstheme="majorHAnsi"/>
                <w:color w:val="000000"/>
                <w:sz w:val="20"/>
                <w:szCs w:val="20"/>
              </w:rPr>
              <w:t>108,2</w:t>
            </w:r>
          </w:p>
        </w:tc>
        <w:tc>
          <w:tcPr>
            <w:tcW w:w="850"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D64D16">
              <w:rPr>
                <w:rFonts w:asciiTheme="majorHAnsi" w:hAnsiTheme="majorHAnsi" w:cstheme="majorHAnsi"/>
                <w:bCs/>
                <w:color w:val="000000"/>
                <w:sz w:val="20"/>
                <w:szCs w:val="20"/>
              </w:rPr>
              <w:t>0,3</w:t>
            </w:r>
          </w:p>
        </w:tc>
        <w:tc>
          <w:tcPr>
            <w:tcW w:w="1168"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D64D16">
              <w:rPr>
                <w:rFonts w:asciiTheme="majorHAnsi" w:hAnsiTheme="majorHAnsi" w:cstheme="majorHAnsi"/>
                <w:bCs/>
                <w:color w:val="000000"/>
                <w:sz w:val="20"/>
                <w:szCs w:val="20"/>
              </w:rPr>
              <w:t>0,3</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4390" w:type="dxa"/>
          </w:tcPr>
          <w:p w:rsidR="00E67099" w:rsidRPr="00D64D16" w:rsidRDefault="00E67099" w:rsidP="00E67099">
            <w:pPr>
              <w:jc w:val="both"/>
              <w:rPr>
                <w:rFonts w:asciiTheme="majorHAnsi" w:eastAsia="Times New Roman" w:hAnsiTheme="majorHAnsi" w:cstheme="majorHAnsi"/>
                <w:sz w:val="20"/>
                <w:szCs w:val="20"/>
                <w:lang w:eastAsia="ru-RU"/>
              </w:rPr>
            </w:pPr>
            <w:r w:rsidRPr="00D64D16">
              <w:rPr>
                <w:rFonts w:asciiTheme="majorHAnsi" w:eastAsia="Times New Roman" w:hAnsiTheme="majorHAnsi" w:cstheme="majorHAnsi"/>
                <w:sz w:val="20"/>
                <w:szCs w:val="20"/>
                <w:lang w:eastAsia="ru-RU"/>
              </w:rPr>
              <w:t>Granturi primite</w:t>
            </w:r>
          </w:p>
        </w:tc>
        <w:tc>
          <w:tcPr>
            <w:tcW w:w="989" w:type="dxa"/>
          </w:tcPr>
          <w:p w:rsidR="00E67099" w:rsidRPr="00D64D16"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eastAsia="ru-RU"/>
              </w:rPr>
            </w:pPr>
            <w:r w:rsidRPr="00D64D16">
              <w:rPr>
                <w:rFonts w:asciiTheme="majorHAnsi" w:eastAsia="Times New Roman" w:hAnsiTheme="majorHAnsi" w:cstheme="majorHAnsi"/>
                <w:b/>
                <w:color w:val="000000"/>
                <w:sz w:val="20"/>
                <w:szCs w:val="20"/>
                <w:lang w:eastAsia="ru-RU"/>
              </w:rPr>
              <w:t>13</w:t>
            </w:r>
          </w:p>
        </w:tc>
        <w:tc>
          <w:tcPr>
            <w:tcW w:w="1279"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eastAsia="ru-RU"/>
              </w:rPr>
            </w:pPr>
            <w:r w:rsidRPr="00D64D16">
              <w:rPr>
                <w:rFonts w:asciiTheme="majorHAnsi" w:eastAsia="Times New Roman" w:hAnsiTheme="majorHAnsi" w:cstheme="majorHAnsi"/>
                <w:b/>
                <w:color w:val="000000"/>
                <w:sz w:val="20"/>
                <w:szCs w:val="20"/>
                <w:lang w:eastAsia="ru-RU"/>
              </w:rPr>
              <w:t>1 793,8</w:t>
            </w:r>
          </w:p>
        </w:tc>
        <w:tc>
          <w:tcPr>
            <w:tcW w:w="127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eastAsia="ru-RU"/>
              </w:rPr>
            </w:pPr>
            <w:r w:rsidRPr="00D64D16">
              <w:rPr>
                <w:rFonts w:asciiTheme="majorHAnsi" w:eastAsia="Times New Roman" w:hAnsiTheme="majorHAnsi" w:cstheme="majorHAnsi"/>
                <w:b/>
                <w:sz w:val="20"/>
                <w:szCs w:val="20"/>
                <w:lang w:eastAsia="ru-RU"/>
              </w:rPr>
              <w:t>1 540,5</w:t>
            </w:r>
          </w:p>
        </w:tc>
        <w:tc>
          <w:tcPr>
            <w:tcW w:w="1241"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eastAsia="ru-RU"/>
              </w:rPr>
            </w:pPr>
            <w:r w:rsidRPr="00D64D16">
              <w:rPr>
                <w:rFonts w:asciiTheme="majorHAnsi" w:eastAsia="Times New Roman" w:hAnsiTheme="majorHAnsi" w:cstheme="majorHAnsi"/>
                <w:b/>
                <w:sz w:val="20"/>
                <w:szCs w:val="20"/>
                <w:lang w:eastAsia="ru-RU"/>
              </w:rPr>
              <w:t>335,4</w:t>
            </w:r>
          </w:p>
        </w:tc>
        <w:tc>
          <w:tcPr>
            <w:tcW w:w="102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szCs w:val="20"/>
              </w:rPr>
            </w:pPr>
            <w:r w:rsidRPr="00D64D16">
              <w:rPr>
                <w:rFonts w:asciiTheme="majorHAnsi" w:hAnsiTheme="majorHAnsi" w:cstheme="majorHAnsi"/>
                <w:b/>
                <w:color w:val="000000"/>
                <w:sz w:val="20"/>
                <w:szCs w:val="20"/>
              </w:rPr>
              <w:t>1 205,1</w:t>
            </w:r>
          </w:p>
        </w:tc>
        <w:tc>
          <w:tcPr>
            <w:tcW w:w="127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szCs w:val="20"/>
              </w:rPr>
            </w:pPr>
            <w:r w:rsidRPr="00D64D16">
              <w:rPr>
                <w:rFonts w:asciiTheme="majorHAnsi" w:hAnsiTheme="majorHAnsi" w:cstheme="majorHAnsi"/>
                <w:b/>
                <w:color w:val="000000"/>
                <w:sz w:val="20"/>
                <w:szCs w:val="20"/>
              </w:rPr>
              <w:t>459,3</w:t>
            </w:r>
          </w:p>
        </w:tc>
        <w:tc>
          <w:tcPr>
            <w:tcW w:w="850"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rPr>
            </w:pPr>
            <w:r w:rsidRPr="00D64D16">
              <w:rPr>
                <w:rFonts w:asciiTheme="majorHAnsi" w:hAnsiTheme="majorHAnsi" w:cstheme="majorHAnsi"/>
                <w:b/>
                <w:bCs/>
                <w:color w:val="000000"/>
                <w:sz w:val="20"/>
                <w:szCs w:val="20"/>
              </w:rPr>
              <w:t>0,7</w:t>
            </w:r>
          </w:p>
        </w:tc>
        <w:tc>
          <w:tcPr>
            <w:tcW w:w="1168"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rPr>
            </w:pPr>
            <w:r w:rsidRPr="00D64D16">
              <w:rPr>
                <w:rFonts w:asciiTheme="majorHAnsi" w:hAnsiTheme="majorHAnsi" w:cstheme="majorHAnsi"/>
                <w:b/>
                <w:bCs/>
                <w:color w:val="000000"/>
                <w:sz w:val="20"/>
                <w:szCs w:val="20"/>
              </w:rPr>
              <w:t>0,2</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4390" w:type="dxa"/>
          </w:tcPr>
          <w:p w:rsidR="00E67099" w:rsidRPr="00D64D16" w:rsidRDefault="00E67099" w:rsidP="00E67099">
            <w:pPr>
              <w:jc w:val="both"/>
              <w:rPr>
                <w:rFonts w:asciiTheme="majorHAnsi" w:eastAsia="Times New Roman" w:hAnsiTheme="majorHAnsi" w:cstheme="majorHAnsi"/>
                <w:sz w:val="20"/>
                <w:szCs w:val="20"/>
                <w:lang w:eastAsia="ru-RU"/>
              </w:rPr>
            </w:pPr>
            <w:r w:rsidRPr="00D64D16">
              <w:rPr>
                <w:rFonts w:asciiTheme="majorHAnsi" w:eastAsia="Times New Roman" w:hAnsiTheme="majorHAnsi" w:cstheme="majorHAnsi"/>
                <w:sz w:val="20"/>
                <w:szCs w:val="20"/>
                <w:lang w:eastAsia="ru-RU"/>
              </w:rPr>
              <w:t>Granturi primite de la guvernele altor state</w:t>
            </w:r>
          </w:p>
        </w:tc>
        <w:tc>
          <w:tcPr>
            <w:tcW w:w="989" w:type="dxa"/>
          </w:tcPr>
          <w:p w:rsidR="00E67099" w:rsidRPr="00D64D16"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eastAsia="ru-RU"/>
              </w:rPr>
            </w:pPr>
            <w:r w:rsidRPr="00D64D16">
              <w:rPr>
                <w:rFonts w:asciiTheme="majorHAnsi" w:eastAsia="Times New Roman" w:hAnsiTheme="majorHAnsi" w:cstheme="majorHAnsi"/>
                <w:b/>
                <w:color w:val="000000"/>
                <w:sz w:val="20"/>
                <w:szCs w:val="20"/>
                <w:lang w:eastAsia="ru-RU"/>
              </w:rPr>
              <w:t>131</w:t>
            </w:r>
          </w:p>
        </w:tc>
        <w:tc>
          <w:tcPr>
            <w:tcW w:w="1279"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eastAsia="ru-RU"/>
              </w:rPr>
            </w:pPr>
            <w:r w:rsidRPr="00D64D16">
              <w:rPr>
                <w:rFonts w:asciiTheme="majorHAnsi" w:eastAsia="Times New Roman" w:hAnsiTheme="majorHAnsi" w:cstheme="majorHAnsi"/>
                <w:b/>
                <w:color w:val="000000"/>
                <w:sz w:val="20"/>
                <w:szCs w:val="20"/>
                <w:lang w:eastAsia="ru-RU"/>
              </w:rPr>
              <w:t>40,1</w:t>
            </w:r>
          </w:p>
        </w:tc>
        <w:tc>
          <w:tcPr>
            <w:tcW w:w="127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eastAsia="ru-RU"/>
              </w:rPr>
            </w:pPr>
            <w:r w:rsidRPr="00D64D16">
              <w:rPr>
                <w:rFonts w:asciiTheme="majorHAnsi" w:eastAsia="Times New Roman" w:hAnsiTheme="majorHAnsi" w:cstheme="majorHAnsi"/>
                <w:b/>
                <w:sz w:val="20"/>
                <w:szCs w:val="20"/>
                <w:lang w:eastAsia="ru-RU"/>
              </w:rPr>
              <w:t>25,7</w:t>
            </w:r>
          </w:p>
        </w:tc>
        <w:tc>
          <w:tcPr>
            <w:tcW w:w="1241"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eastAsia="ru-RU"/>
              </w:rPr>
            </w:pPr>
            <w:r w:rsidRPr="00D64D16">
              <w:rPr>
                <w:rFonts w:asciiTheme="majorHAnsi" w:eastAsia="Times New Roman" w:hAnsiTheme="majorHAnsi" w:cstheme="majorHAnsi"/>
                <w:b/>
                <w:sz w:val="20"/>
                <w:szCs w:val="20"/>
                <w:lang w:eastAsia="ru-RU"/>
              </w:rPr>
              <w:t>80,1</w:t>
            </w:r>
          </w:p>
        </w:tc>
        <w:tc>
          <w:tcPr>
            <w:tcW w:w="102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szCs w:val="20"/>
              </w:rPr>
            </w:pPr>
            <w:r w:rsidRPr="00D64D16">
              <w:rPr>
                <w:rFonts w:asciiTheme="majorHAnsi" w:hAnsiTheme="majorHAnsi" w:cstheme="majorHAnsi"/>
                <w:b/>
                <w:color w:val="000000"/>
                <w:sz w:val="20"/>
                <w:szCs w:val="20"/>
              </w:rPr>
              <w:t>-54,4</w:t>
            </w:r>
          </w:p>
        </w:tc>
        <w:tc>
          <w:tcPr>
            <w:tcW w:w="127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szCs w:val="20"/>
              </w:rPr>
            </w:pPr>
            <w:r w:rsidRPr="00D64D16">
              <w:rPr>
                <w:rFonts w:asciiTheme="majorHAnsi" w:hAnsiTheme="majorHAnsi" w:cstheme="majorHAnsi"/>
                <w:b/>
                <w:color w:val="000000"/>
                <w:sz w:val="20"/>
                <w:szCs w:val="20"/>
              </w:rPr>
              <w:t>32,1</w:t>
            </w:r>
          </w:p>
        </w:tc>
        <w:tc>
          <w:tcPr>
            <w:tcW w:w="850"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rPr>
            </w:pPr>
            <w:r w:rsidRPr="00D64D16">
              <w:rPr>
                <w:rFonts w:asciiTheme="majorHAnsi" w:hAnsiTheme="majorHAnsi" w:cstheme="majorHAnsi"/>
                <w:b/>
                <w:bCs/>
                <w:color w:val="000000"/>
                <w:sz w:val="20"/>
                <w:szCs w:val="20"/>
              </w:rPr>
              <w:t>0,0</w:t>
            </w:r>
          </w:p>
        </w:tc>
        <w:tc>
          <w:tcPr>
            <w:tcW w:w="1168"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rPr>
            </w:pPr>
            <w:r w:rsidRPr="00D64D16">
              <w:rPr>
                <w:rFonts w:asciiTheme="majorHAnsi" w:hAnsiTheme="majorHAnsi" w:cstheme="majorHAnsi"/>
                <w:b/>
                <w:bCs/>
                <w:color w:val="000000"/>
                <w:sz w:val="20"/>
                <w:szCs w:val="20"/>
              </w:rPr>
              <w:t>0,0</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4390" w:type="dxa"/>
          </w:tcPr>
          <w:p w:rsidR="00E67099" w:rsidRPr="00D64D16" w:rsidRDefault="00E67099" w:rsidP="00E67099">
            <w:pPr>
              <w:jc w:val="both"/>
              <w:rPr>
                <w:rFonts w:asciiTheme="majorHAnsi" w:eastAsia="Times New Roman" w:hAnsiTheme="majorHAnsi" w:cstheme="majorHAnsi"/>
                <w:sz w:val="20"/>
                <w:szCs w:val="20"/>
                <w:lang w:eastAsia="ru-RU"/>
              </w:rPr>
            </w:pPr>
            <w:r w:rsidRPr="00D64D16">
              <w:rPr>
                <w:rFonts w:asciiTheme="majorHAnsi" w:eastAsia="Times New Roman" w:hAnsiTheme="majorHAnsi" w:cstheme="majorHAnsi"/>
                <w:sz w:val="20"/>
                <w:szCs w:val="20"/>
                <w:lang w:eastAsia="ru-RU"/>
              </w:rPr>
              <w:t>Granturi primite de la organizațiile internaționale</w:t>
            </w:r>
          </w:p>
        </w:tc>
        <w:tc>
          <w:tcPr>
            <w:tcW w:w="989" w:type="dxa"/>
          </w:tcPr>
          <w:p w:rsidR="00E67099" w:rsidRPr="00D64D16"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eastAsia="ru-RU"/>
              </w:rPr>
            </w:pPr>
            <w:r w:rsidRPr="00D64D16">
              <w:rPr>
                <w:rFonts w:asciiTheme="majorHAnsi" w:eastAsia="Times New Roman" w:hAnsiTheme="majorHAnsi" w:cstheme="majorHAnsi"/>
                <w:b/>
                <w:color w:val="000000"/>
                <w:sz w:val="20"/>
                <w:szCs w:val="20"/>
                <w:lang w:eastAsia="ru-RU"/>
              </w:rPr>
              <w:t>132</w:t>
            </w:r>
          </w:p>
        </w:tc>
        <w:tc>
          <w:tcPr>
            <w:tcW w:w="1279"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eastAsia="ru-RU"/>
              </w:rPr>
            </w:pPr>
            <w:r w:rsidRPr="00D64D16">
              <w:rPr>
                <w:rFonts w:asciiTheme="majorHAnsi" w:eastAsia="Times New Roman" w:hAnsiTheme="majorHAnsi" w:cstheme="majorHAnsi"/>
                <w:b/>
                <w:color w:val="000000"/>
                <w:sz w:val="20"/>
                <w:szCs w:val="20"/>
                <w:lang w:eastAsia="ru-RU"/>
              </w:rPr>
              <w:t>1 753,8</w:t>
            </w:r>
          </w:p>
        </w:tc>
        <w:tc>
          <w:tcPr>
            <w:tcW w:w="127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eastAsia="ru-RU"/>
              </w:rPr>
            </w:pPr>
            <w:r w:rsidRPr="00D64D16">
              <w:rPr>
                <w:rFonts w:asciiTheme="majorHAnsi" w:eastAsia="Times New Roman" w:hAnsiTheme="majorHAnsi" w:cstheme="majorHAnsi"/>
                <w:b/>
                <w:sz w:val="20"/>
                <w:szCs w:val="20"/>
                <w:lang w:eastAsia="ru-RU"/>
              </w:rPr>
              <w:t>1 514,8</w:t>
            </w:r>
          </w:p>
        </w:tc>
        <w:tc>
          <w:tcPr>
            <w:tcW w:w="1241"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eastAsia="ru-RU"/>
              </w:rPr>
            </w:pPr>
            <w:r w:rsidRPr="00D64D16">
              <w:rPr>
                <w:rFonts w:asciiTheme="majorHAnsi" w:eastAsia="Times New Roman" w:hAnsiTheme="majorHAnsi" w:cstheme="majorHAnsi"/>
                <w:b/>
                <w:sz w:val="20"/>
                <w:szCs w:val="20"/>
                <w:lang w:eastAsia="ru-RU"/>
              </w:rPr>
              <w:t>255,3</w:t>
            </w:r>
          </w:p>
        </w:tc>
        <w:tc>
          <w:tcPr>
            <w:tcW w:w="102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szCs w:val="20"/>
              </w:rPr>
            </w:pPr>
            <w:r w:rsidRPr="00D64D16">
              <w:rPr>
                <w:rFonts w:asciiTheme="majorHAnsi" w:hAnsiTheme="majorHAnsi" w:cstheme="majorHAnsi"/>
                <w:b/>
                <w:color w:val="000000"/>
                <w:sz w:val="20"/>
                <w:szCs w:val="20"/>
              </w:rPr>
              <w:t>1 259,5</w:t>
            </w:r>
          </w:p>
        </w:tc>
        <w:tc>
          <w:tcPr>
            <w:tcW w:w="127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szCs w:val="20"/>
              </w:rPr>
            </w:pPr>
            <w:r w:rsidRPr="00D64D16">
              <w:rPr>
                <w:rFonts w:asciiTheme="majorHAnsi" w:hAnsiTheme="majorHAnsi" w:cstheme="majorHAnsi"/>
                <w:b/>
                <w:color w:val="000000"/>
                <w:sz w:val="20"/>
                <w:szCs w:val="20"/>
              </w:rPr>
              <w:t>593,3</w:t>
            </w:r>
          </w:p>
        </w:tc>
        <w:tc>
          <w:tcPr>
            <w:tcW w:w="850"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rPr>
            </w:pPr>
            <w:r w:rsidRPr="00D64D16">
              <w:rPr>
                <w:rFonts w:asciiTheme="majorHAnsi" w:hAnsiTheme="majorHAnsi" w:cstheme="majorHAnsi"/>
                <w:b/>
                <w:bCs/>
                <w:color w:val="000000"/>
                <w:sz w:val="20"/>
                <w:szCs w:val="20"/>
              </w:rPr>
              <w:t>0,7</w:t>
            </w:r>
          </w:p>
        </w:tc>
        <w:tc>
          <w:tcPr>
            <w:tcW w:w="1168"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rPr>
            </w:pPr>
            <w:r w:rsidRPr="00D64D16">
              <w:rPr>
                <w:rFonts w:asciiTheme="majorHAnsi" w:hAnsiTheme="majorHAnsi" w:cstheme="majorHAnsi"/>
                <w:b/>
                <w:bCs/>
                <w:color w:val="000000"/>
                <w:sz w:val="20"/>
                <w:szCs w:val="20"/>
              </w:rPr>
              <w:t>0,1</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4390" w:type="dxa"/>
          </w:tcPr>
          <w:p w:rsidR="00E67099" w:rsidRPr="00D64D16" w:rsidRDefault="00E67099" w:rsidP="00E67099">
            <w:pPr>
              <w:jc w:val="both"/>
              <w:rPr>
                <w:rFonts w:asciiTheme="majorHAnsi" w:eastAsia="Times New Roman" w:hAnsiTheme="majorHAnsi" w:cstheme="majorHAnsi"/>
                <w:sz w:val="20"/>
                <w:szCs w:val="20"/>
                <w:lang w:eastAsia="ru-RU"/>
              </w:rPr>
            </w:pPr>
            <w:r w:rsidRPr="00D64D16">
              <w:rPr>
                <w:rFonts w:asciiTheme="majorHAnsi" w:eastAsia="Times New Roman" w:hAnsiTheme="majorHAnsi" w:cstheme="majorHAnsi"/>
                <w:sz w:val="20"/>
                <w:szCs w:val="20"/>
                <w:lang w:eastAsia="ru-RU"/>
              </w:rPr>
              <w:t>Alte venituri</w:t>
            </w:r>
          </w:p>
        </w:tc>
        <w:tc>
          <w:tcPr>
            <w:tcW w:w="989" w:type="dxa"/>
          </w:tcPr>
          <w:p w:rsidR="00E67099" w:rsidRPr="00D64D16"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eastAsia="ru-RU"/>
              </w:rPr>
            </w:pPr>
            <w:r w:rsidRPr="00D64D16">
              <w:rPr>
                <w:rFonts w:asciiTheme="majorHAnsi" w:eastAsia="Times New Roman" w:hAnsiTheme="majorHAnsi" w:cstheme="majorHAnsi"/>
                <w:b/>
                <w:color w:val="000000"/>
                <w:sz w:val="20"/>
                <w:szCs w:val="20"/>
                <w:lang w:eastAsia="ru-RU"/>
              </w:rPr>
              <w:t>14</w:t>
            </w:r>
          </w:p>
        </w:tc>
        <w:tc>
          <w:tcPr>
            <w:tcW w:w="1279"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eastAsia="ru-RU"/>
              </w:rPr>
            </w:pPr>
            <w:r w:rsidRPr="00D64D16">
              <w:rPr>
                <w:rFonts w:asciiTheme="majorHAnsi" w:eastAsia="Times New Roman" w:hAnsiTheme="majorHAnsi" w:cstheme="majorHAnsi"/>
                <w:b/>
                <w:color w:val="000000"/>
                <w:sz w:val="20"/>
                <w:szCs w:val="20"/>
                <w:lang w:eastAsia="ru-RU"/>
              </w:rPr>
              <w:t>1 784,3</w:t>
            </w:r>
          </w:p>
        </w:tc>
        <w:tc>
          <w:tcPr>
            <w:tcW w:w="127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eastAsia="ru-RU"/>
              </w:rPr>
            </w:pPr>
            <w:r w:rsidRPr="00D64D16">
              <w:rPr>
                <w:rFonts w:asciiTheme="majorHAnsi" w:eastAsia="Times New Roman" w:hAnsiTheme="majorHAnsi" w:cstheme="majorHAnsi"/>
                <w:b/>
                <w:sz w:val="20"/>
                <w:szCs w:val="20"/>
                <w:lang w:eastAsia="ru-RU"/>
              </w:rPr>
              <w:t>1 986,7</w:t>
            </w:r>
          </w:p>
        </w:tc>
        <w:tc>
          <w:tcPr>
            <w:tcW w:w="1241"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eastAsia="ru-RU"/>
              </w:rPr>
            </w:pPr>
            <w:r w:rsidRPr="00D64D16">
              <w:rPr>
                <w:rFonts w:asciiTheme="majorHAnsi" w:eastAsia="Times New Roman" w:hAnsiTheme="majorHAnsi" w:cstheme="majorHAnsi"/>
                <w:b/>
                <w:sz w:val="20"/>
                <w:szCs w:val="20"/>
                <w:lang w:eastAsia="ru-RU"/>
              </w:rPr>
              <w:t>2013,4</w:t>
            </w:r>
          </w:p>
        </w:tc>
        <w:tc>
          <w:tcPr>
            <w:tcW w:w="102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szCs w:val="20"/>
              </w:rPr>
            </w:pPr>
            <w:r w:rsidRPr="00D64D16">
              <w:rPr>
                <w:rFonts w:asciiTheme="majorHAnsi" w:hAnsiTheme="majorHAnsi" w:cstheme="majorHAnsi"/>
                <w:b/>
                <w:color w:val="000000"/>
                <w:sz w:val="20"/>
                <w:szCs w:val="20"/>
              </w:rPr>
              <w:t>-26,7</w:t>
            </w:r>
          </w:p>
        </w:tc>
        <w:tc>
          <w:tcPr>
            <w:tcW w:w="127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szCs w:val="20"/>
              </w:rPr>
            </w:pPr>
            <w:r w:rsidRPr="00D64D16">
              <w:rPr>
                <w:rFonts w:asciiTheme="majorHAnsi" w:hAnsiTheme="majorHAnsi" w:cstheme="majorHAnsi"/>
                <w:b/>
                <w:color w:val="000000"/>
                <w:sz w:val="20"/>
                <w:szCs w:val="20"/>
              </w:rPr>
              <w:t>98,7</w:t>
            </w:r>
          </w:p>
        </w:tc>
        <w:tc>
          <w:tcPr>
            <w:tcW w:w="850"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rPr>
            </w:pPr>
            <w:r w:rsidRPr="00D64D16">
              <w:rPr>
                <w:rFonts w:asciiTheme="majorHAnsi" w:hAnsiTheme="majorHAnsi" w:cstheme="majorHAnsi"/>
                <w:b/>
                <w:bCs/>
                <w:color w:val="000000"/>
                <w:sz w:val="20"/>
                <w:szCs w:val="20"/>
              </w:rPr>
              <w:t>0,9</w:t>
            </w:r>
          </w:p>
        </w:tc>
        <w:tc>
          <w:tcPr>
            <w:tcW w:w="1168"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rPr>
            </w:pPr>
            <w:r w:rsidRPr="00D64D16">
              <w:rPr>
                <w:rFonts w:asciiTheme="majorHAnsi" w:hAnsiTheme="majorHAnsi" w:cstheme="majorHAnsi"/>
                <w:b/>
                <w:bCs/>
                <w:color w:val="000000"/>
                <w:sz w:val="20"/>
                <w:szCs w:val="20"/>
              </w:rPr>
              <w:t>1,1</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4390" w:type="dxa"/>
          </w:tcPr>
          <w:p w:rsidR="00E67099" w:rsidRPr="00D64D16" w:rsidRDefault="00E67099" w:rsidP="00E67099">
            <w:pPr>
              <w:jc w:val="both"/>
              <w:rPr>
                <w:rFonts w:asciiTheme="majorHAnsi" w:eastAsia="Times New Roman" w:hAnsiTheme="majorHAnsi" w:cstheme="majorHAnsi"/>
                <w:sz w:val="20"/>
                <w:szCs w:val="20"/>
                <w:lang w:eastAsia="ru-RU"/>
              </w:rPr>
            </w:pPr>
            <w:r w:rsidRPr="00D64D16">
              <w:rPr>
                <w:rFonts w:asciiTheme="majorHAnsi" w:eastAsia="Times New Roman" w:hAnsiTheme="majorHAnsi" w:cstheme="majorHAnsi"/>
                <w:sz w:val="20"/>
                <w:szCs w:val="20"/>
                <w:lang w:eastAsia="ru-RU"/>
              </w:rPr>
              <w:t>Venituri din proprietate</w:t>
            </w:r>
          </w:p>
        </w:tc>
        <w:tc>
          <w:tcPr>
            <w:tcW w:w="989" w:type="dxa"/>
          </w:tcPr>
          <w:p w:rsidR="00E67099" w:rsidRPr="00D64D16"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eastAsia="ru-RU"/>
              </w:rPr>
            </w:pPr>
            <w:r w:rsidRPr="00D64D16">
              <w:rPr>
                <w:rFonts w:asciiTheme="majorHAnsi" w:eastAsia="Times New Roman" w:hAnsiTheme="majorHAnsi" w:cstheme="majorHAnsi"/>
                <w:b/>
                <w:color w:val="000000"/>
                <w:sz w:val="20"/>
                <w:szCs w:val="20"/>
                <w:lang w:eastAsia="ru-RU"/>
              </w:rPr>
              <w:t>141</w:t>
            </w:r>
          </w:p>
        </w:tc>
        <w:tc>
          <w:tcPr>
            <w:tcW w:w="1279"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eastAsia="ru-RU"/>
              </w:rPr>
            </w:pPr>
            <w:r w:rsidRPr="00D64D16">
              <w:rPr>
                <w:rFonts w:asciiTheme="majorHAnsi" w:eastAsia="Times New Roman" w:hAnsiTheme="majorHAnsi" w:cstheme="majorHAnsi"/>
                <w:b/>
                <w:color w:val="000000"/>
                <w:sz w:val="20"/>
                <w:szCs w:val="20"/>
                <w:lang w:eastAsia="ru-RU"/>
              </w:rPr>
              <w:t>285,2</w:t>
            </w:r>
          </w:p>
        </w:tc>
        <w:tc>
          <w:tcPr>
            <w:tcW w:w="127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eastAsia="ru-RU"/>
              </w:rPr>
            </w:pPr>
            <w:r w:rsidRPr="00D64D16">
              <w:rPr>
                <w:rFonts w:asciiTheme="majorHAnsi" w:eastAsia="Times New Roman" w:hAnsiTheme="majorHAnsi" w:cstheme="majorHAnsi"/>
                <w:b/>
                <w:sz w:val="20"/>
                <w:szCs w:val="20"/>
                <w:lang w:eastAsia="ru-RU"/>
              </w:rPr>
              <w:t>312,3</w:t>
            </w:r>
          </w:p>
        </w:tc>
        <w:tc>
          <w:tcPr>
            <w:tcW w:w="1241"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eastAsia="ru-RU"/>
              </w:rPr>
            </w:pPr>
            <w:r w:rsidRPr="00D64D16">
              <w:rPr>
                <w:rFonts w:asciiTheme="majorHAnsi" w:eastAsia="Times New Roman" w:hAnsiTheme="majorHAnsi" w:cstheme="majorHAnsi"/>
                <w:b/>
                <w:sz w:val="20"/>
                <w:szCs w:val="20"/>
                <w:lang w:eastAsia="ru-RU"/>
              </w:rPr>
              <w:t>406,5</w:t>
            </w:r>
          </w:p>
        </w:tc>
        <w:tc>
          <w:tcPr>
            <w:tcW w:w="102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szCs w:val="20"/>
              </w:rPr>
            </w:pPr>
            <w:r w:rsidRPr="00D64D16">
              <w:rPr>
                <w:rFonts w:asciiTheme="majorHAnsi" w:hAnsiTheme="majorHAnsi" w:cstheme="majorHAnsi"/>
                <w:b/>
                <w:color w:val="000000"/>
                <w:sz w:val="20"/>
                <w:szCs w:val="20"/>
              </w:rPr>
              <w:t>-94,2</w:t>
            </w:r>
          </w:p>
        </w:tc>
        <w:tc>
          <w:tcPr>
            <w:tcW w:w="127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szCs w:val="20"/>
              </w:rPr>
            </w:pPr>
            <w:r w:rsidRPr="00D64D16">
              <w:rPr>
                <w:rFonts w:asciiTheme="majorHAnsi" w:hAnsiTheme="majorHAnsi" w:cstheme="majorHAnsi"/>
                <w:b/>
                <w:color w:val="000000"/>
                <w:sz w:val="20"/>
                <w:szCs w:val="20"/>
              </w:rPr>
              <w:t>76,8</w:t>
            </w:r>
          </w:p>
        </w:tc>
        <w:tc>
          <w:tcPr>
            <w:tcW w:w="850"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rPr>
            </w:pPr>
            <w:r w:rsidRPr="00D64D16">
              <w:rPr>
                <w:rFonts w:asciiTheme="majorHAnsi" w:hAnsiTheme="majorHAnsi" w:cstheme="majorHAnsi"/>
                <w:b/>
                <w:bCs/>
                <w:color w:val="000000"/>
                <w:sz w:val="20"/>
                <w:szCs w:val="20"/>
              </w:rPr>
              <w:t>0,1</w:t>
            </w:r>
          </w:p>
        </w:tc>
        <w:tc>
          <w:tcPr>
            <w:tcW w:w="1168"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rPr>
            </w:pPr>
            <w:r w:rsidRPr="00D64D16">
              <w:rPr>
                <w:rFonts w:asciiTheme="majorHAnsi" w:hAnsiTheme="majorHAnsi" w:cstheme="majorHAnsi"/>
                <w:b/>
                <w:bCs/>
                <w:color w:val="000000"/>
                <w:sz w:val="20"/>
                <w:szCs w:val="20"/>
              </w:rPr>
              <w:t>0,2</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4390" w:type="dxa"/>
          </w:tcPr>
          <w:p w:rsidR="00E67099" w:rsidRPr="00D64D16" w:rsidRDefault="00E67099" w:rsidP="00E67099">
            <w:pPr>
              <w:jc w:val="both"/>
              <w:rPr>
                <w:rFonts w:asciiTheme="majorHAnsi" w:eastAsia="Times New Roman" w:hAnsiTheme="majorHAnsi" w:cstheme="majorHAnsi"/>
                <w:sz w:val="20"/>
                <w:szCs w:val="20"/>
                <w:lang w:eastAsia="ru-RU"/>
              </w:rPr>
            </w:pPr>
            <w:r w:rsidRPr="00D64D16">
              <w:rPr>
                <w:rFonts w:asciiTheme="majorHAnsi" w:eastAsia="Times New Roman" w:hAnsiTheme="majorHAnsi" w:cstheme="majorHAnsi"/>
                <w:sz w:val="20"/>
                <w:szCs w:val="20"/>
                <w:lang w:eastAsia="ru-RU"/>
              </w:rPr>
              <w:t>Dobânzi încasate</w:t>
            </w:r>
          </w:p>
        </w:tc>
        <w:tc>
          <w:tcPr>
            <w:tcW w:w="989" w:type="dxa"/>
          </w:tcPr>
          <w:p w:rsidR="00E67099" w:rsidRPr="00D64D16"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sidRPr="00D64D16">
              <w:rPr>
                <w:rFonts w:asciiTheme="majorHAnsi" w:eastAsia="Times New Roman" w:hAnsiTheme="majorHAnsi" w:cstheme="majorHAnsi"/>
                <w:color w:val="000000"/>
                <w:sz w:val="20"/>
                <w:szCs w:val="20"/>
                <w:lang w:eastAsia="ru-RU"/>
              </w:rPr>
              <w:t>1411</w:t>
            </w:r>
          </w:p>
        </w:tc>
        <w:tc>
          <w:tcPr>
            <w:tcW w:w="1279"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sidRPr="00D64D16">
              <w:rPr>
                <w:rFonts w:asciiTheme="majorHAnsi" w:eastAsia="Times New Roman" w:hAnsiTheme="majorHAnsi" w:cstheme="majorHAnsi"/>
                <w:color w:val="000000"/>
                <w:sz w:val="20"/>
                <w:szCs w:val="20"/>
                <w:lang w:eastAsia="ru-RU"/>
              </w:rPr>
              <w:t>150,5</w:t>
            </w:r>
          </w:p>
        </w:tc>
        <w:tc>
          <w:tcPr>
            <w:tcW w:w="127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D64D16">
              <w:rPr>
                <w:rFonts w:asciiTheme="majorHAnsi" w:eastAsia="Times New Roman" w:hAnsiTheme="majorHAnsi" w:cstheme="majorHAnsi"/>
                <w:sz w:val="20"/>
                <w:szCs w:val="20"/>
                <w:lang w:eastAsia="ru-RU"/>
              </w:rPr>
              <w:t>171,8</w:t>
            </w:r>
          </w:p>
        </w:tc>
        <w:tc>
          <w:tcPr>
            <w:tcW w:w="1241"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D64D16">
              <w:rPr>
                <w:rFonts w:asciiTheme="majorHAnsi" w:eastAsia="Times New Roman" w:hAnsiTheme="majorHAnsi" w:cstheme="majorHAnsi"/>
                <w:sz w:val="20"/>
                <w:szCs w:val="20"/>
                <w:lang w:eastAsia="ru-RU"/>
              </w:rPr>
              <w:t>203,4</w:t>
            </w:r>
          </w:p>
        </w:tc>
        <w:tc>
          <w:tcPr>
            <w:tcW w:w="102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D64D16">
              <w:rPr>
                <w:rFonts w:asciiTheme="majorHAnsi" w:hAnsiTheme="majorHAnsi" w:cstheme="majorHAnsi"/>
                <w:color w:val="000000"/>
                <w:sz w:val="20"/>
                <w:szCs w:val="20"/>
              </w:rPr>
              <w:t>-31,6</w:t>
            </w:r>
          </w:p>
        </w:tc>
        <w:tc>
          <w:tcPr>
            <w:tcW w:w="127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D64D16">
              <w:rPr>
                <w:rFonts w:asciiTheme="majorHAnsi" w:hAnsiTheme="majorHAnsi" w:cstheme="majorHAnsi"/>
                <w:color w:val="000000"/>
                <w:sz w:val="20"/>
                <w:szCs w:val="20"/>
              </w:rPr>
              <w:t>84,5</w:t>
            </w:r>
          </w:p>
        </w:tc>
        <w:tc>
          <w:tcPr>
            <w:tcW w:w="850"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D64D16">
              <w:rPr>
                <w:rFonts w:asciiTheme="majorHAnsi" w:hAnsiTheme="majorHAnsi" w:cstheme="majorHAnsi"/>
                <w:bCs/>
                <w:color w:val="000000"/>
                <w:sz w:val="20"/>
                <w:szCs w:val="20"/>
              </w:rPr>
              <w:t>0,1</w:t>
            </w:r>
          </w:p>
        </w:tc>
        <w:tc>
          <w:tcPr>
            <w:tcW w:w="1168"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D64D16">
              <w:rPr>
                <w:rFonts w:asciiTheme="majorHAnsi" w:hAnsiTheme="majorHAnsi" w:cstheme="majorHAnsi"/>
                <w:bCs/>
                <w:color w:val="000000"/>
                <w:sz w:val="20"/>
                <w:szCs w:val="20"/>
              </w:rPr>
              <w:t>0,1</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4390" w:type="dxa"/>
          </w:tcPr>
          <w:p w:rsidR="00E67099" w:rsidRPr="00D64D16" w:rsidRDefault="00E67099" w:rsidP="00E67099">
            <w:pPr>
              <w:jc w:val="both"/>
              <w:rPr>
                <w:rFonts w:asciiTheme="majorHAnsi" w:eastAsia="Times New Roman" w:hAnsiTheme="majorHAnsi" w:cstheme="majorHAnsi"/>
                <w:sz w:val="20"/>
                <w:szCs w:val="20"/>
                <w:lang w:eastAsia="ru-RU"/>
              </w:rPr>
            </w:pPr>
            <w:r w:rsidRPr="00D64D16">
              <w:rPr>
                <w:rFonts w:asciiTheme="majorHAnsi" w:eastAsia="Times New Roman" w:hAnsiTheme="majorHAnsi" w:cstheme="majorHAnsi"/>
                <w:sz w:val="20"/>
                <w:szCs w:val="20"/>
                <w:lang w:eastAsia="ru-RU"/>
              </w:rPr>
              <w:t>Dividende primite</w:t>
            </w:r>
          </w:p>
        </w:tc>
        <w:tc>
          <w:tcPr>
            <w:tcW w:w="989" w:type="dxa"/>
          </w:tcPr>
          <w:p w:rsidR="00E67099" w:rsidRPr="00D64D16"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sidRPr="00D64D16">
              <w:rPr>
                <w:rFonts w:asciiTheme="majorHAnsi" w:eastAsia="Times New Roman" w:hAnsiTheme="majorHAnsi" w:cstheme="majorHAnsi"/>
                <w:color w:val="000000"/>
                <w:sz w:val="20"/>
                <w:szCs w:val="20"/>
                <w:lang w:eastAsia="ru-RU"/>
              </w:rPr>
              <w:t>1412</w:t>
            </w:r>
          </w:p>
        </w:tc>
        <w:tc>
          <w:tcPr>
            <w:tcW w:w="1279"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sidRPr="00D64D16">
              <w:rPr>
                <w:rFonts w:asciiTheme="majorHAnsi" w:eastAsia="Times New Roman" w:hAnsiTheme="majorHAnsi" w:cstheme="majorHAnsi"/>
                <w:color w:val="000000"/>
                <w:sz w:val="20"/>
                <w:szCs w:val="20"/>
                <w:lang w:eastAsia="ru-RU"/>
              </w:rPr>
              <w:t>131,3</w:t>
            </w:r>
          </w:p>
        </w:tc>
        <w:tc>
          <w:tcPr>
            <w:tcW w:w="127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D64D16">
              <w:rPr>
                <w:rFonts w:asciiTheme="majorHAnsi" w:eastAsia="Times New Roman" w:hAnsiTheme="majorHAnsi" w:cstheme="majorHAnsi"/>
                <w:sz w:val="20"/>
                <w:szCs w:val="20"/>
                <w:lang w:eastAsia="ru-RU"/>
              </w:rPr>
              <w:t>137,5</w:t>
            </w:r>
          </w:p>
        </w:tc>
        <w:tc>
          <w:tcPr>
            <w:tcW w:w="1241"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D64D16">
              <w:rPr>
                <w:rFonts w:asciiTheme="majorHAnsi" w:eastAsia="Times New Roman" w:hAnsiTheme="majorHAnsi" w:cstheme="majorHAnsi"/>
                <w:sz w:val="20"/>
                <w:szCs w:val="20"/>
                <w:lang w:eastAsia="ru-RU"/>
              </w:rPr>
              <w:t>202,7</w:t>
            </w:r>
          </w:p>
        </w:tc>
        <w:tc>
          <w:tcPr>
            <w:tcW w:w="102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D64D16">
              <w:rPr>
                <w:rFonts w:asciiTheme="majorHAnsi" w:hAnsiTheme="majorHAnsi" w:cstheme="majorHAnsi"/>
                <w:color w:val="000000"/>
                <w:sz w:val="20"/>
                <w:szCs w:val="20"/>
              </w:rPr>
              <w:t>-65,2</w:t>
            </w:r>
          </w:p>
        </w:tc>
        <w:tc>
          <w:tcPr>
            <w:tcW w:w="127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D64D16">
              <w:rPr>
                <w:rFonts w:asciiTheme="majorHAnsi" w:hAnsiTheme="majorHAnsi" w:cstheme="majorHAnsi"/>
                <w:color w:val="000000"/>
                <w:sz w:val="20"/>
                <w:szCs w:val="20"/>
              </w:rPr>
              <w:t>67,8</w:t>
            </w:r>
          </w:p>
        </w:tc>
        <w:tc>
          <w:tcPr>
            <w:tcW w:w="850"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D64D16">
              <w:rPr>
                <w:rFonts w:asciiTheme="majorHAnsi" w:hAnsiTheme="majorHAnsi" w:cstheme="majorHAnsi"/>
                <w:bCs/>
                <w:color w:val="000000"/>
                <w:sz w:val="20"/>
                <w:szCs w:val="20"/>
              </w:rPr>
              <w:t>0,1</w:t>
            </w:r>
          </w:p>
        </w:tc>
        <w:tc>
          <w:tcPr>
            <w:tcW w:w="1168"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D64D16">
              <w:rPr>
                <w:rFonts w:asciiTheme="majorHAnsi" w:hAnsiTheme="majorHAnsi" w:cstheme="majorHAnsi"/>
                <w:bCs/>
                <w:color w:val="000000"/>
                <w:sz w:val="20"/>
                <w:szCs w:val="20"/>
              </w:rPr>
              <w:t>0,1</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4390" w:type="dxa"/>
          </w:tcPr>
          <w:p w:rsidR="00E67099" w:rsidRPr="00D64D16" w:rsidRDefault="00E67099" w:rsidP="00E67099">
            <w:pPr>
              <w:jc w:val="both"/>
              <w:rPr>
                <w:rFonts w:asciiTheme="majorHAnsi" w:eastAsia="Times New Roman" w:hAnsiTheme="majorHAnsi" w:cstheme="majorHAnsi"/>
                <w:sz w:val="20"/>
                <w:szCs w:val="20"/>
                <w:lang w:eastAsia="ru-RU"/>
              </w:rPr>
            </w:pPr>
            <w:r w:rsidRPr="00D64D16">
              <w:rPr>
                <w:rFonts w:asciiTheme="majorHAnsi" w:eastAsia="Times New Roman" w:hAnsiTheme="majorHAnsi" w:cstheme="majorHAnsi"/>
                <w:sz w:val="20"/>
                <w:szCs w:val="20"/>
                <w:lang w:eastAsia="ru-RU"/>
              </w:rPr>
              <w:t>Renta</w:t>
            </w:r>
          </w:p>
        </w:tc>
        <w:tc>
          <w:tcPr>
            <w:tcW w:w="989" w:type="dxa"/>
          </w:tcPr>
          <w:p w:rsidR="00E67099" w:rsidRPr="00D64D16"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sidRPr="00D64D16">
              <w:rPr>
                <w:rFonts w:asciiTheme="majorHAnsi" w:eastAsia="Times New Roman" w:hAnsiTheme="majorHAnsi" w:cstheme="majorHAnsi"/>
                <w:color w:val="000000"/>
                <w:sz w:val="20"/>
                <w:szCs w:val="20"/>
                <w:lang w:eastAsia="ru-RU"/>
              </w:rPr>
              <w:t>1415</w:t>
            </w:r>
          </w:p>
        </w:tc>
        <w:tc>
          <w:tcPr>
            <w:tcW w:w="1279"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sidRPr="00D64D16">
              <w:rPr>
                <w:rFonts w:asciiTheme="majorHAnsi" w:eastAsia="Times New Roman" w:hAnsiTheme="majorHAnsi" w:cstheme="majorHAnsi"/>
                <w:color w:val="000000"/>
                <w:sz w:val="20"/>
                <w:szCs w:val="20"/>
                <w:lang w:eastAsia="ru-RU"/>
              </w:rPr>
              <w:t>3,4</w:t>
            </w:r>
          </w:p>
        </w:tc>
        <w:tc>
          <w:tcPr>
            <w:tcW w:w="127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D64D16">
              <w:rPr>
                <w:rFonts w:asciiTheme="majorHAnsi" w:eastAsia="Times New Roman" w:hAnsiTheme="majorHAnsi" w:cstheme="majorHAnsi"/>
                <w:sz w:val="20"/>
                <w:szCs w:val="20"/>
                <w:lang w:eastAsia="ru-RU"/>
              </w:rPr>
              <w:t>3,0</w:t>
            </w:r>
          </w:p>
        </w:tc>
        <w:tc>
          <w:tcPr>
            <w:tcW w:w="1241"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D64D16">
              <w:rPr>
                <w:rFonts w:asciiTheme="majorHAnsi" w:eastAsia="Times New Roman" w:hAnsiTheme="majorHAnsi" w:cstheme="majorHAnsi"/>
                <w:sz w:val="20"/>
                <w:szCs w:val="20"/>
                <w:lang w:eastAsia="ru-RU"/>
              </w:rPr>
              <w:t>0,4</w:t>
            </w:r>
          </w:p>
        </w:tc>
        <w:tc>
          <w:tcPr>
            <w:tcW w:w="102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D64D16">
              <w:rPr>
                <w:rFonts w:asciiTheme="majorHAnsi" w:hAnsiTheme="majorHAnsi" w:cstheme="majorHAnsi"/>
                <w:color w:val="000000"/>
                <w:sz w:val="20"/>
                <w:szCs w:val="20"/>
              </w:rPr>
              <w:t>2,6</w:t>
            </w:r>
          </w:p>
        </w:tc>
        <w:tc>
          <w:tcPr>
            <w:tcW w:w="127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D64D16">
              <w:rPr>
                <w:rFonts w:asciiTheme="majorHAnsi" w:hAnsiTheme="majorHAnsi" w:cstheme="majorHAnsi"/>
                <w:color w:val="000000"/>
                <w:sz w:val="20"/>
                <w:szCs w:val="20"/>
              </w:rPr>
              <w:t>750,0</w:t>
            </w:r>
          </w:p>
        </w:tc>
        <w:tc>
          <w:tcPr>
            <w:tcW w:w="850"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D64D16">
              <w:rPr>
                <w:rFonts w:asciiTheme="majorHAnsi" w:hAnsiTheme="majorHAnsi" w:cstheme="majorHAnsi"/>
                <w:bCs/>
                <w:color w:val="000000"/>
                <w:sz w:val="20"/>
                <w:szCs w:val="20"/>
              </w:rPr>
              <w:t>0,0</w:t>
            </w:r>
          </w:p>
        </w:tc>
        <w:tc>
          <w:tcPr>
            <w:tcW w:w="1168"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D64D16">
              <w:rPr>
                <w:rFonts w:asciiTheme="majorHAnsi" w:hAnsiTheme="majorHAnsi" w:cstheme="majorHAnsi"/>
                <w:bCs/>
                <w:color w:val="000000"/>
                <w:sz w:val="20"/>
                <w:szCs w:val="20"/>
              </w:rPr>
              <w:t>0,0</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4390" w:type="dxa"/>
          </w:tcPr>
          <w:p w:rsidR="00E67099" w:rsidRPr="00D64D16" w:rsidRDefault="00E67099" w:rsidP="00E67099">
            <w:pPr>
              <w:jc w:val="both"/>
              <w:rPr>
                <w:rFonts w:asciiTheme="majorHAnsi" w:eastAsia="Times New Roman" w:hAnsiTheme="majorHAnsi" w:cstheme="majorHAnsi"/>
                <w:sz w:val="20"/>
                <w:szCs w:val="20"/>
                <w:lang w:eastAsia="ru-RU"/>
              </w:rPr>
            </w:pPr>
            <w:r w:rsidRPr="00D64D16">
              <w:rPr>
                <w:rFonts w:asciiTheme="majorHAnsi" w:eastAsia="Times New Roman" w:hAnsiTheme="majorHAnsi" w:cstheme="majorHAnsi"/>
                <w:sz w:val="20"/>
                <w:szCs w:val="20"/>
                <w:lang w:eastAsia="ru-RU"/>
              </w:rPr>
              <w:t>Venituri din vânzarea mărfurilor și serviciilor</w:t>
            </w:r>
          </w:p>
        </w:tc>
        <w:tc>
          <w:tcPr>
            <w:tcW w:w="989" w:type="dxa"/>
          </w:tcPr>
          <w:p w:rsidR="00E67099" w:rsidRPr="00D64D16"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eastAsia="ru-RU"/>
              </w:rPr>
            </w:pPr>
            <w:r w:rsidRPr="00D64D16">
              <w:rPr>
                <w:rFonts w:asciiTheme="majorHAnsi" w:eastAsia="Times New Roman" w:hAnsiTheme="majorHAnsi" w:cstheme="majorHAnsi"/>
                <w:b/>
                <w:color w:val="000000"/>
                <w:sz w:val="20"/>
                <w:szCs w:val="20"/>
                <w:lang w:eastAsia="ru-RU"/>
              </w:rPr>
              <w:t>142</w:t>
            </w:r>
          </w:p>
        </w:tc>
        <w:tc>
          <w:tcPr>
            <w:tcW w:w="1279"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eastAsia="ru-RU"/>
              </w:rPr>
            </w:pPr>
            <w:r w:rsidRPr="00D64D16">
              <w:rPr>
                <w:rFonts w:asciiTheme="majorHAnsi" w:eastAsia="Times New Roman" w:hAnsiTheme="majorHAnsi" w:cstheme="majorHAnsi"/>
                <w:b/>
                <w:color w:val="000000"/>
                <w:sz w:val="20"/>
                <w:szCs w:val="20"/>
                <w:lang w:eastAsia="ru-RU"/>
              </w:rPr>
              <w:t>999,2</w:t>
            </w:r>
          </w:p>
        </w:tc>
        <w:tc>
          <w:tcPr>
            <w:tcW w:w="127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eastAsia="ru-RU"/>
              </w:rPr>
            </w:pPr>
            <w:r w:rsidRPr="00D64D16">
              <w:rPr>
                <w:rFonts w:asciiTheme="majorHAnsi" w:eastAsia="Times New Roman" w:hAnsiTheme="majorHAnsi" w:cstheme="majorHAnsi"/>
                <w:b/>
                <w:sz w:val="20"/>
                <w:szCs w:val="20"/>
                <w:lang w:eastAsia="ru-RU"/>
              </w:rPr>
              <w:t>1 183,5</w:t>
            </w:r>
          </w:p>
        </w:tc>
        <w:tc>
          <w:tcPr>
            <w:tcW w:w="1241"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eastAsia="ru-RU"/>
              </w:rPr>
            </w:pPr>
            <w:r w:rsidRPr="00D64D16">
              <w:rPr>
                <w:rFonts w:asciiTheme="majorHAnsi" w:eastAsia="Times New Roman" w:hAnsiTheme="majorHAnsi" w:cstheme="majorHAnsi"/>
                <w:b/>
                <w:sz w:val="20"/>
                <w:szCs w:val="20"/>
                <w:lang w:eastAsia="ru-RU"/>
              </w:rPr>
              <w:t>935,0</w:t>
            </w:r>
          </w:p>
        </w:tc>
        <w:tc>
          <w:tcPr>
            <w:tcW w:w="102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szCs w:val="20"/>
              </w:rPr>
            </w:pPr>
            <w:r w:rsidRPr="00D64D16">
              <w:rPr>
                <w:rFonts w:asciiTheme="majorHAnsi" w:hAnsiTheme="majorHAnsi" w:cstheme="majorHAnsi"/>
                <w:b/>
                <w:color w:val="000000"/>
                <w:sz w:val="20"/>
                <w:szCs w:val="20"/>
              </w:rPr>
              <w:t>248,5</w:t>
            </w:r>
          </w:p>
        </w:tc>
        <w:tc>
          <w:tcPr>
            <w:tcW w:w="127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szCs w:val="20"/>
              </w:rPr>
            </w:pPr>
            <w:r w:rsidRPr="00D64D16">
              <w:rPr>
                <w:rFonts w:asciiTheme="majorHAnsi" w:hAnsiTheme="majorHAnsi" w:cstheme="majorHAnsi"/>
                <w:b/>
                <w:color w:val="000000"/>
                <w:sz w:val="20"/>
                <w:szCs w:val="20"/>
              </w:rPr>
              <w:t>126,6</w:t>
            </w:r>
          </w:p>
        </w:tc>
        <w:tc>
          <w:tcPr>
            <w:tcW w:w="850"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rPr>
            </w:pPr>
            <w:r w:rsidRPr="00D64D16">
              <w:rPr>
                <w:rFonts w:asciiTheme="majorHAnsi" w:hAnsiTheme="majorHAnsi" w:cstheme="majorHAnsi"/>
                <w:b/>
                <w:bCs/>
                <w:color w:val="000000"/>
                <w:sz w:val="20"/>
                <w:szCs w:val="20"/>
              </w:rPr>
              <w:t>0,6</w:t>
            </w:r>
          </w:p>
        </w:tc>
        <w:tc>
          <w:tcPr>
            <w:tcW w:w="1168"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rPr>
            </w:pPr>
            <w:r w:rsidRPr="00D64D16">
              <w:rPr>
                <w:rFonts w:asciiTheme="majorHAnsi" w:hAnsiTheme="majorHAnsi" w:cstheme="majorHAnsi"/>
                <w:b/>
                <w:bCs/>
                <w:color w:val="000000"/>
                <w:sz w:val="20"/>
                <w:szCs w:val="20"/>
              </w:rPr>
              <w:t>0,5</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4390" w:type="dxa"/>
          </w:tcPr>
          <w:p w:rsidR="00E67099" w:rsidRPr="00D64D16" w:rsidRDefault="00E67099" w:rsidP="00E67099">
            <w:pPr>
              <w:jc w:val="both"/>
              <w:rPr>
                <w:rFonts w:asciiTheme="majorHAnsi" w:eastAsia="Times New Roman" w:hAnsiTheme="majorHAnsi" w:cstheme="majorHAnsi"/>
                <w:sz w:val="20"/>
                <w:szCs w:val="20"/>
                <w:lang w:eastAsia="ru-RU"/>
              </w:rPr>
            </w:pPr>
            <w:r w:rsidRPr="00D64D16">
              <w:rPr>
                <w:rFonts w:asciiTheme="majorHAnsi" w:eastAsia="Times New Roman" w:hAnsiTheme="majorHAnsi" w:cstheme="majorHAnsi"/>
                <w:sz w:val="20"/>
                <w:szCs w:val="20"/>
                <w:lang w:eastAsia="ru-RU"/>
              </w:rPr>
              <w:t>Taxe și plăți administrative</w:t>
            </w:r>
          </w:p>
        </w:tc>
        <w:tc>
          <w:tcPr>
            <w:tcW w:w="989" w:type="dxa"/>
          </w:tcPr>
          <w:p w:rsidR="00E67099" w:rsidRPr="00D64D16"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sidRPr="00D64D16">
              <w:rPr>
                <w:rFonts w:asciiTheme="majorHAnsi" w:eastAsia="Times New Roman" w:hAnsiTheme="majorHAnsi" w:cstheme="majorHAnsi"/>
                <w:color w:val="000000"/>
                <w:sz w:val="20"/>
                <w:szCs w:val="20"/>
                <w:lang w:eastAsia="ru-RU"/>
              </w:rPr>
              <w:t>1422</w:t>
            </w:r>
          </w:p>
        </w:tc>
        <w:tc>
          <w:tcPr>
            <w:tcW w:w="1279"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sidRPr="00D64D16">
              <w:rPr>
                <w:rFonts w:asciiTheme="majorHAnsi" w:eastAsia="Times New Roman" w:hAnsiTheme="majorHAnsi" w:cstheme="majorHAnsi"/>
                <w:color w:val="000000"/>
                <w:sz w:val="20"/>
                <w:szCs w:val="20"/>
                <w:lang w:eastAsia="ru-RU"/>
              </w:rPr>
              <w:t>298,6</w:t>
            </w:r>
          </w:p>
        </w:tc>
        <w:tc>
          <w:tcPr>
            <w:tcW w:w="127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D64D16">
              <w:rPr>
                <w:rFonts w:asciiTheme="majorHAnsi" w:eastAsia="Times New Roman" w:hAnsiTheme="majorHAnsi" w:cstheme="majorHAnsi"/>
                <w:sz w:val="20"/>
                <w:szCs w:val="20"/>
                <w:lang w:eastAsia="ru-RU"/>
              </w:rPr>
              <w:t>348,0</w:t>
            </w:r>
          </w:p>
        </w:tc>
        <w:tc>
          <w:tcPr>
            <w:tcW w:w="1241"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D64D16">
              <w:rPr>
                <w:rFonts w:asciiTheme="majorHAnsi" w:eastAsia="Times New Roman" w:hAnsiTheme="majorHAnsi" w:cstheme="majorHAnsi"/>
                <w:sz w:val="20"/>
                <w:szCs w:val="20"/>
                <w:lang w:eastAsia="ru-RU"/>
              </w:rPr>
              <w:t>300,2</w:t>
            </w:r>
          </w:p>
        </w:tc>
        <w:tc>
          <w:tcPr>
            <w:tcW w:w="102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D64D16">
              <w:rPr>
                <w:rFonts w:asciiTheme="majorHAnsi" w:hAnsiTheme="majorHAnsi" w:cstheme="majorHAnsi"/>
                <w:color w:val="000000"/>
                <w:sz w:val="20"/>
                <w:szCs w:val="20"/>
              </w:rPr>
              <w:t>47,8</w:t>
            </w:r>
          </w:p>
        </w:tc>
        <w:tc>
          <w:tcPr>
            <w:tcW w:w="127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D64D16">
              <w:rPr>
                <w:rFonts w:asciiTheme="majorHAnsi" w:hAnsiTheme="majorHAnsi" w:cstheme="majorHAnsi"/>
                <w:color w:val="000000"/>
                <w:sz w:val="20"/>
                <w:szCs w:val="20"/>
              </w:rPr>
              <w:t>115,9</w:t>
            </w:r>
          </w:p>
        </w:tc>
        <w:tc>
          <w:tcPr>
            <w:tcW w:w="850"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D64D16">
              <w:rPr>
                <w:rFonts w:asciiTheme="majorHAnsi" w:hAnsiTheme="majorHAnsi" w:cstheme="majorHAnsi"/>
                <w:bCs/>
                <w:color w:val="000000"/>
                <w:sz w:val="20"/>
                <w:szCs w:val="20"/>
              </w:rPr>
              <w:t>0,2</w:t>
            </w:r>
          </w:p>
        </w:tc>
        <w:tc>
          <w:tcPr>
            <w:tcW w:w="1168"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D64D16">
              <w:rPr>
                <w:rFonts w:asciiTheme="majorHAnsi" w:hAnsiTheme="majorHAnsi" w:cstheme="majorHAnsi"/>
                <w:bCs/>
                <w:color w:val="000000"/>
                <w:sz w:val="20"/>
                <w:szCs w:val="20"/>
              </w:rPr>
              <w:t>0,2</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4390" w:type="dxa"/>
          </w:tcPr>
          <w:p w:rsidR="00E67099" w:rsidRPr="00D64D16" w:rsidRDefault="00E67099" w:rsidP="00E67099">
            <w:pPr>
              <w:jc w:val="both"/>
              <w:rPr>
                <w:rFonts w:asciiTheme="majorHAnsi" w:eastAsia="Times New Roman" w:hAnsiTheme="majorHAnsi" w:cstheme="majorHAnsi"/>
                <w:sz w:val="20"/>
                <w:szCs w:val="20"/>
                <w:lang w:eastAsia="ru-RU"/>
              </w:rPr>
            </w:pPr>
            <w:r w:rsidRPr="00D64D16">
              <w:rPr>
                <w:rFonts w:asciiTheme="majorHAnsi" w:eastAsia="Times New Roman" w:hAnsiTheme="majorHAnsi" w:cstheme="majorHAnsi"/>
                <w:sz w:val="20"/>
                <w:szCs w:val="20"/>
                <w:lang w:eastAsia="ru-RU"/>
              </w:rPr>
              <w:t>Comercializarea mărfurilor și serviciilor de către instituțiile bugetare</w:t>
            </w:r>
          </w:p>
        </w:tc>
        <w:tc>
          <w:tcPr>
            <w:tcW w:w="989" w:type="dxa"/>
          </w:tcPr>
          <w:p w:rsidR="00E67099" w:rsidRPr="00D64D16"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sidRPr="00D64D16">
              <w:rPr>
                <w:rFonts w:asciiTheme="majorHAnsi" w:eastAsia="Times New Roman" w:hAnsiTheme="majorHAnsi" w:cstheme="majorHAnsi"/>
                <w:color w:val="000000"/>
                <w:sz w:val="20"/>
                <w:szCs w:val="20"/>
                <w:lang w:eastAsia="ru-RU"/>
              </w:rPr>
              <w:t>1423</w:t>
            </w:r>
          </w:p>
        </w:tc>
        <w:tc>
          <w:tcPr>
            <w:tcW w:w="1279"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sidRPr="00D64D16">
              <w:rPr>
                <w:rFonts w:asciiTheme="majorHAnsi" w:eastAsia="Times New Roman" w:hAnsiTheme="majorHAnsi" w:cstheme="majorHAnsi"/>
                <w:color w:val="000000"/>
                <w:sz w:val="20"/>
                <w:szCs w:val="20"/>
                <w:lang w:eastAsia="ru-RU"/>
              </w:rPr>
              <w:t>700,7</w:t>
            </w:r>
          </w:p>
        </w:tc>
        <w:tc>
          <w:tcPr>
            <w:tcW w:w="127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D64D16">
              <w:rPr>
                <w:rFonts w:asciiTheme="majorHAnsi" w:eastAsia="Times New Roman" w:hAnsiTheme="majorHAnsi" w:cstheme="majorHAnsi"/>
                <w:sz w:val="20"/>
                <w:szCs w:val="20"/>
                <w:lang w:eastAsia="ru-RU"/>
              </w:rPr>
              <w:t>835,5</w:t>
            </w:r>
          </w:p>
        </w:tc>
        <w:tc>
          <w:tcPr>
            <w:tcW w:w="1241"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D64D16">
              <w:rPr>
                <w:rFonts w:asciiTheme="majorHAnsi" w:eastAsia="Times New Roman" w:hAnsiTheme="majorHAnsi" w:cstheme="majorHAnsi"/>
                <w:sz w:val="20"/>
                <w:szCs w:val="20"/>
                <w:lang w:eastAsia="ru-RU"/>
              </w:rPr>
              <w:t>634,8</w:t>
            </w:r>
          </w:p>
        </w:tc>
        <w:tc>
          <w:tcPr>
            <w:tcW w:w="102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D64D16">
              <w:rPr>
                <w:rFonts w:asciiTheme="majorHAnsi" w:hAnsiTheme="majorHAnsi" w:cstheme="majorHAnsi"/>
                <w:color w:val="000000"/>
                <w:sz w:val="20"/>
                <w:szCs w:val="20"/>
              </w:rPr>
              <w:t>200,7</w:t>
            </w:r>
          </w:p>
        </w:tc>
        <w:tc>
          <w:tcPr>
            <w:tcW w:w="127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D64D16">
              <w:rPr>
                <w:rFonts w:asciiTheme="majorHAnsi" w:hAnsiTheme="majorHAnsi" w:cstheme="majorHAnsi"/>
                <w:color w:val="000000"/>
                <w:sz w:val="20"/>
                <w:szCs w:val="20"/>
              </w:rPr>
              <w:t>131,6</w:t>
            </w:r>
          </w:p>
        </w:tc>
        <w:tc>
          <w:tcPr>
            <w:tcW w:w="850"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D64D16">
              <w:rPr>
                <w:rFonts w:asciiTheme="majorHAnsi" w:hAnsiTheme="majorHAnsi" w:cstheme="majorHAnsi"/>
                <w:bCs/>
                <w:color w:val="000000"/>
                <w:sz w:val="20"/>
                <w:szCs w:val="20"/>
              </w:rPr>
              <w:t>0,4</w:t>
            </w:r>
          </w:p>
        </w:tc>
        <w:tc>
          <w:tcPr>
            <w:tcW w:w="1168"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D64D16">
              <w:rPr>
                <w:rFonts w:asciiTheme="majorHAnsi" w:hAnsiTheme="majorHAnsi" w:cstheme="majorHAnsi"/>
                <w:bCs/>
                <w:color w:val="000000"/>
                <w:sz w:val="20"/>
                <w:szCs w:val="20"/>
              </w:rPr>
              <w:t>0,3</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4390" w:type="dxa"/>
          </w:tcPr>
          <w:p w:rsidR="00E67099" w:rsidRPr="00D64D16" w:rsidRDefault="00E67099" w:rsidP="00E67099">
            <w:pPr>
              <w:jc w:val="both"/>
              <w:rPr>
                <w:rFonts w:asciiTheme="majorHAnsi" w:eastAsia="Times New Roman" w:hAnsiTheme="majorHAnsi" w:cstheme="majorHAnsi"/>
                <w:sz w:val="20"/>
                <w:szCs w:val="20"/>
                <w:lang w:eastAsia="ru-RU"/>
              </w:rPr>
            </w:pPr>
            <w:r w:rsidRPr="00D64D16">
              <w:rPr>
                <w:rFonts w:asciiTheme="majorHAnsi" w:eastAsia="Times New Roman" w:hAnsiTheme="majorHAnsi" w:cstheme="majorHAnsi"/>
                <w:sz w:val="20"/>
                <w:szCs w:val="20"/>
                <w:lang w:eastAsia="ru-RU"/>
              </w:rPr>
              <w:t>Amenzi și sancțiuni</w:t>
            </w:r>
          </w:p>
        </w:tc>
        <w:tc>
          <w:tcPr>
            <w:tcW w:w="989" w:type="dxa"/>
          </w:tcPr>
          <w:p w:rsidR="00E67099" w:rsidRPr="00D64D16"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eastAsia="ru-RU"/>
              </w:rPr>
            </w:pPr>
            <w:r w:rsidRPr="00D64D16">
              <w:rPr>
                <w:rFonts w:asciiTheme="majorHAnsi" w:eastAsia="Times New Roman" w:hAnsiTheme="majorHAnsi" w:cstheme="majorHAnsi"/>
                <w:b/>
                <w:color w:val="000000"/>
                <w:sz w:val="20"/>
                <w:szCs w:val="20"/>
                <w:lang w:eastAsia="ru-RU"/>
              </w:rPr>
              <w:t>143</w:t>
            </w:r>
          </w:p>
        </w:tc>
        <w:tc>
          <w:tcPr>
            <w:tcW w:w="1279"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eastAsia="ru-RU"/>
              </w:rPr>
            </w:pPr>
            <w:r w:rsidRPr="00D64D16">
              <w:rPr>
                <w:rFonts w:asciiTheme="majorHAnsi" w:eastAsia="Times New Roman" w:hAnsiTheme="majorHAnsi" w:cstheme="majorHAnsi"/>
                <w:b/>
                <w:color w:val="000000"/>
                <w:sz w:val="20"/>
                <w:szCs w:val="20"/>
                <w:lang w:eastAsia="ru-RU"/>
              </w:rPr>
              <w:t>386,5</w:t>
            </w:r>
          </w:p>
        </w:tc>
        <w:tc>
          <w:tcPr>
            <w:tcW w:w="127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eastAsia="ru-RU"/>
              </w:rPr>
            </w:pPr>
            <w:r w:rsidRPr="00D64D16">
              <w:rPr>
                <w:rFonts w:asciiTheme="majorHAnsi" w:eastAsia="Times New Roman" w:hAnsiTheme="majorHAnsi" w:cstheme="majorHAnsi"/>
                <w:b/>
                <w:sz w:val="20"/>
                <w:szCs w:val="20"/>
                <w:lang w:eastAsia="ru-RU"/>
              </w:rPr>
              <w:t>365,3</w:t>
            </w:r>
          </w:p>
        </w:tc>
        <w:tc>
          <w:tcPr>
            <w:tcW w:w="1241"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eastAsia="ru-RU"/>
              </w:rPr>
            </w:pPr>
            <w:r w:rsidRPr="00D64D16">
              <w:rPr>
                <w:rFonts w:asciiTheme="majorHAnsi" w:eastAsia="Times New Roman" w:hAnsiTheme="majorHAnsi" w:cstheme="majorHAnsi"/>
                <w:b/>
                <w:sz w:val="20"/>
                <w:szCs w:val="20"/>
                <w:lang w:eastAsia="ru-RU"/>
              </w:rPr>
              <w:t>374,1</w:t>
            </w:r>
          </w:p>
        </w:tc>
        <w:tc>
          <w:tcPr>
            <w:tcW w:w="102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szCs w:val="20"/>
              </w:rPr>
            </w:pPr>
            <w:r w:rsidRPr="00D64D16">
              <w:rPr>
                <w:rFonts w:asciiTheme="majorHAnsi" w:hAnsiTheme="majorHAnsi" w:cstheme="majorHAnsi"/>
                <w:b/>
                <w:color w:val="000000"/>
                <w:sz w:val="20"/>
                <w:szCs w:val="20"/>
              </w:rPr>
              <w:t>-8,8</w:t>
            </w:r>
          </w:p>
        </w:tc>
        <w:tc>
          <w:tcPr>
            <w:tcW w:w="127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szCs w:val="20"/>
              </w:rPr>
            </w:pPr>
            <w:r w:rsidRPr="00D64D16">
              <w:rPr>
                <w:rFonts w:asciiTheme="majorHAnsi" w:hAnsiTheme="majorHAnsi" w:cstheme="majorHAnsi"/>
                <w:b/>
                <w:color w:val="000000"/>
                <w:sz w:val="20"/>
                <w:szCs w:val="20"/>
              </w:rPr>
              <w:t>97,6</w:t>
            </w:r>
          </w:p>
        </w:tc>
        <w:tc>
          <w:tcPr>
            <w:tcW w:w="850"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rPr>
            </w:pPr>
            <w:r w:rsidRPr="00D64D16">
              <w:rPr>
                <w:rFonts w:asciiTheme="majorHAnsi" w:hAnsiTheme="majorHAnsi" w:cstheme="majorHAnsi"/>
                <w:b/>
                <w:bCs/>
                <w:color w:val="000000"/>
                <w:sz w:val="20"/>
                <w:szCs w:val="20"/>
              </w:rPr>
              <w:t>0,2</w:t>
            </w:r>
          </w:p>
        </w:tc>
        <w:tc>
          <w:tcPr>
            <w:tcW w:w="1168"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rPr>
            </w:pPr>
            <w:r w:rsidRPr="00D64D16">
              <w:rPr>
                <w:rFonts w:asciiTheme="majorHAnsi" w:hAnsiTheme="majorHAnsi" w:cstheme="majorHAnsi"/>
                <w:b/>
                <w:bCs/>
                <w:color w:val="000000"/>
                <w:sz w:val="20"/>
                <w:szCs w:val="20"/>
              </w:rPr>
              <w:t>0,2</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4390" w:type="dxa"/>
          </w:tcPr>
          <w:p w:rsidR="00E67099" w:rsidRPr="00D64D16" w:rsidRDefault="00E67099" w:rsidP="00E67099">
            <w:pPr>
              <w:jc w:val="both"/>
              <w:rPr>
                <w:rFonts w:asciiTheme="majorHAnsi" w:eastAsia="Times New Roman" w:hAnsiTheme="majorHAnsi" w:cstheme="majorHAnsi"/>
                <w:sz w:val="20"/>
                <w:szCs w:val="20"/>
                <w:lang w:eastAsia="ru-RU"/>
              </w:rPr>
            </w:pPr>
            <w:r w:rsidRPr="00D64D16">
              <w:rPr>
                <w:rFonts w:asciiTheme="majorHAnsi" w:eastAsia="Times New Roman" w:hAnsiTheme="majorHAnsi" w:cstheme="majorHAnsi"/>
                <w:sz w:val="20"/>
                <w:szCs w:val="20"/>
                <w:lang w:eastAsia="ru-RU"/>
              </w:rPr>
              <w:t>Donații voluntare</w:t>
            </w:r>
          </w:p>
        </w:tc>
        <w:tc>
          <w:tcPr>
            <w:tcW w:w="989" w:type="dxa"/>
          </w:tcPr>
          <w:p w:rsidR="00E67099" w:rsidRPr="00D64D16"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eastAsia="ru-RU"/>
              </w:rPr>
            </w:pPr>
            <w:r w:rsidRPr="00D64D16">
              <w:rPr>
                <w:rFonts w:asciiTheme="majorHAnsi" w:eastAsia="Times New Roman" w:hAnsiTheme="majorHAnsi" w:cstheme="majorHAnsi"/>
                <w:b/>
                <w:color w:val="000000"/>
                <w:sz w:val="20"/>
                <w:szCs w:val="20"/>
                <w:lang w:eastAsia="ru-RU"/>
              </w:rPr>
              <w:t>144</w:t>
            </w:r>
          </w:p>
        </w:tc>
        <w:tc>
          <w:tcPr>
            <w:tcW w:w="1279"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eastAsia="ru-RU"/>
              </w:rPr>
            </w:pPr>
            <w:r w:rsidRPr="00D64D16">
              <w:rPr>
                <w:rFonts w:asciiTheme="majorHAnsi" w:eastAsia="Times New Roman" w:hAnsiTheme="majorHAnsi" w:cstheme="majorHAnsi"/>
                <w:b/>
                <w:color w:val="000000"/>
                <w:sz w:val="20"/>
                <w:szCs w:val="20"/>
                <w:lang w:eastAsia="ru-RU"/>
              </w:rPr>
              <w:t>24,2</w:t>
            </w:r>
          </w:p>
        </w:tc>
        <w:tc>
          <w:tcPr>
            <w:tcW w:w="127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eastAsia="ru-RU"/>
              </w:rPr>
            </w:pPr>
            <w:r w:rsidRPr="00D64D16">
              <w:rPr>
                <w:rFonts w:asciiTheme="majorHAnsi" w:eastAsia="Times New Roman" w:hAnsiTheme="majorHAnsi" w:cstheme="majorHAnsi"/>
                <w:b/>
                <w:sz w:val="20"/>
                <w:szCs w:val="20"/>
                <w:lang w:eastAsia="ru-RU"/>
              </w:rPr>
              <w:t>22,2</w:t>
            </w:r>
          </w:p>
        </w:tc>
        <w:tc>
          <w:tcPr>
            <w:tcW w:w="1241"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eastAsia="ru-RU"/>
              </w:rPr>
            </w:pPr>
            <w:r w:rsidRPr="00D64D16">
              <w:rPr>
                <w:rFonts w:asciiTheme="majorHAnsi" w:eastAsia="Times New Roman" w:hAnsiTheme="majorHAnsi" w:cstheme="majorHAnsi"/>
                <w:b/>
                <w:sz w:val="20"/>
                <w:szCs w:val="20"/>
                <w:lang w:eastAsia="ru-RU"/>
              </w:rPr>
              <w:t>32,8</w:t>
            </w:r>
          </w:p>
        </w:tc>
        <w:tc>
          <w:tcPr>
            <w:tcW w:w="102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szCs w:val="20"/>
              </w:rPr>
            </w:pPr>
            <w:r w:rsidRPr="00D64D16">
              <w:rPr>
                <w:rFonts w:asciiTheme="majorHAnsi" w:hAnsiTheme="majorHAnsi" w:cstheme="majorHAnsi"/>
                <w:b/>
                <w:color w:val="000000"/>
                <w:sz w:val="20"/>
                <w:szCs w:val="20"/>
              </w:rPr>
              <w:t>-10,6</w:t>
            </w:r>
          </w:p>
        </w:tc>
        <w:tc>
          <w:tcPr>
            <w:tcW w:w="127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szCs w:val="20"/>
              </w:rPr>
            </w:pPr>
            <w:r w:rsidRPr="00D64D16">
              <w:rPr>
                <w:rFonts w:asciiTheme="majorHAnsi" w:hAnsiTheme="majorHAnsi" w:cstheme="majorHAnsi"/>
                <w:b/>
                <w:color w:val="000000"/>
                <w:sz w:val="20"/>
                <w:szCs w:val="20"/>
              </w:rPr>
              <w:t>67,7</w:t>
            </w:r>
          </w:p>
        </w:tc>
        <w:tc>
          <w:tcPr>
            <w:tcW w:w="850"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rPr>
            </w:pPr>
            <w:r w:rsidRPr="00D64D16">
              <w:rPr>
                <w:rFonts w:asciiTheme="majorHAnsi" w:hAnsiTheme="majorHAnsi" w:cstheme="majorHAnsi"/>
                <w:b/>
                <w:bCs/>
                <w:color w:val="000000"/>
                <w:sz w:val="20"/>
                <w:szCs w:val="20"/>
              </w:rPr>
              <w:t>0,0</w:t>
            </w:r>
          </w:p>
        </w:tc>
        <w:tc>
          <w:tcPr>
            <w:tcW w:w="1168"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rPr>
            </w:pPr>
            <w:r w:rsidRPr="00D64D16">
              <w:rPr>
                <w:rFonts w:asciiTheme="majorHAnsi" w:hAnsiTheme="majorHAnsi" w:cstheme="majorHAnsi"/>
                <w:b/>
                <w:bCs/>
                <w:color w:val="000000"/>
                <w:sz w:val="20"/>
                <w:szCs w:val="20"/>
              </w:rPr>
              <w:t>0,0</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4390" w:type="dxa"/>
          </w:tcPr>
          <w:p w:rsidR="00E67099" w:rsidRPr="00D64D16" w:rsidRDefault="00E67099" w:rsidP="00E67099">
            <w:pPr>
              <w:jc w:val="both"/>
              <w:rPr>
                <w:rFonts w:asciiTheme="majorHAnsi" w:eastAsia="Times New Roman" w:hAnsiTheme="majorHAnsi" w:cstheme="majorHAnsi"/>
                <w:sz w:val="20"/>
                <w:szCs w:val="20"/>
                <w:lang w:eastAsia="ru-RU"/>
              </w:rPr>
            </w:pPr>
            <w:r w:rsidRPr="00D64D16">
              <w:rPr>
                <w:rFonts w:asciiTheme="majorHAnsi" w:eastAsia="Times New Roman" w:hAnsiTheme="majorHAnsi" w:cstheme="majorHAnsi"/>
                <w:sz w:val="20"/>
                <w:szCs w:val="20"/>
                <w:lang w:eastAsia="ru-RU"/>
              </w:rPr>
              <w:t>Alte venituri și venituri neidentificate</w:t>
            </w:r>
          </w:p>
        </w:tc>
        <w:tc>
          <w:tcPr>
            <w:tcW w:w="989" w:type="dxa"/>
          </w:tcPr>
          <w:p w:rsidR="00E67099" w:rsidRPr="00D64D16"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eastAsia="ru-RU"/>
              </w:rPr>
            </w:pPr>
            <w:r w:rsidRPr="00D64D16">
              <w:rPr>
                <w:rFonts w:asciiTheme="majorHAnsi" w:eastAsia="Times New Roman" w:hAnsiTheme="majorHAnsi" w:cstheme="majorHAnsi"/>
                <w:b/>
                <w:color w:val="000000"/>
                <w:sz w:val="20"/>
                <w:szCs w:val="20"/>
                <w:lang w:eastAsia="ru-RU"/>
              </w:rPr>
              <w:t>145</w:t>
            </w:r>
          </w:p>
        </w:tc>
        <w:tc>
          <w:tcPr>
            <w:tcW w:w="1279"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eastAsia="ru-RU"/>
              </w:rPr>
            </w:pPr>
            <w:r w:rsidRPr="00D64D16">
              <w:rPr>
                <w:rFonts w:asciiTheme="majorHAnsi" w:eastAsia="Times New Roman" w:hAnsiTheme="majorHAnsi" w:cstheme="majorHAnsi"/>
                <w:b/>
                <w:color w:val="000000"/>
                <w:sz w:val="20"/>
                <w:szCs w:val="20"/>
                <w:lang w:eastAsia="ru-RU"/>
              </w:rPr>
              <w:t>89,1</w:t>
            </w:r>
          </w:p>
        </w:tc>
        <w:tc>
          <w:tcPr>
            <w:tcW w:w="127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eastAsia="ru-RU"/>
              </w:rPr>
            </w:pPr>
            <w:r w:rsidRPr="00D64D16">
              <w:rPr>
                <w:rFonts w:asciiTheme="majorHAnsi" w:eastAsia="Times New Roman" w:hAnsiTheme="majorHAnsi" w:cstheme="majorHAnsi"/>
                <w:b/>
                <w:sz w:val="20"/>
                <w:szCs w:val="20"/>
                <w:lang w:eastAsia="ru-RU"/>
              </w:rPr>
              <w:t>103,3</w:t>
            </w:r>
          </w:p>
        </w:tc>
        <w:tc>
          <w:tcPr>
            <w:tcW w:w="1241"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eastAsia="ru-RU"/>
              </w:rPr>
            </w:pPr>
            <w:r w:rsidRPr="00D64D16">
              <w:rPr>
                <w:rFonts w:asciiTheme="majorHAnsi" w:eastAsia="Times New Roman" w:hAnsiTheme="majorHAnsi" w:cstheme="majorHAnsi"/>
                <w:b/>
                <w:sz w:val="20"/>
                <w:szCs w:val="20"/>
                <w:lang w:eastAsia="ru-RU"/>
              </w:rPr>
              <w:t>264,9</w:t>
            </w:r>
          </w:p>
        </w:tc>
        <w:tc>
          <w:tcPr>
            <w:tcW w:w="102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szCs w:val="20"/>
              </w:rPr>
            </w:pPr>
            <w:r w:rsidRPr="00D64D16">
              <w:rPr>
                <w:rFonts w:asciiTheme="majorHAnsi" w:hAnsiTheme="majorHAnsi" w:cstheme="majorHAnsi"/>
                <w:b/>
                <w:color w:val="000000"/>
                <w:sz w:val="20"/>
                <w:szCs w:val="20"/>
              </w:rPr>
              <w:t>-161,6</w:t>
            </w:r>
          </w:p>
        </w:tc>
        <w:tc>
          <w:tcPr>
            <w:tcW w:w="127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szCs w:val="20"/>
              </w:rPr>
            </w:pPr>
            <w:r w:rsidRPr="00D64D16">
              <w:rPr>
                <w:rFonts w:asciiTheme="majorHAnsi" w:hAnsiTheme="majorHAnsi" w:cstheme="majorHAnsi"/>
                <w:b/>
                <w:color w:val="000000"/>
                <w:sz w:val="20"/>
                <w:szCs w:val="20"/>
              </w:rPr>
              <w:t>39,0</w:t>
            </w:r>
          </w:p>
        </w:tc>
        <w:tc>
          <w:tcPr>
            <w:tcW w:w="850"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rPr>
            </w:pPr>
            <w:r w:rsidRPr="00D64D16">
              <w:rPr>
                <w:rFonts w:asciiTheme="majorHAnsi" w:hAnsiTheme="majorHAnsi" w:cstheme="majorHAnsi"/>
                <w:b/>
                <w:bCs/>
                <w:color w:val="000000"/>
                <w:sz w:val="20"/>
                <w:szCs w:val="20"/>
              </w:rPr>
              <w:t>0,0</w:t>
            </w:r>
          </w:p>
        </w:tc>
        <w:tc>
          <w:tcPr>
            <w:tcW w:w="1168"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rPr>
            </w:pPr>
            <w:r w:rsidRPr="00D64D16">
              <w:rPr>
                <w:rFonts w:asciiTheme="majorHAnsi" w:hAnsiTheme="majorHAnsi" w:cstheme="majorHAnsi"/>
                <w:b/>
                <w:bCs/>
                <w:color w:val="000000"/>
                <w:sz w:val="20"/>
                <w:szCs w:val="20"/>
              </w:rPr>
              <w:t>0,1</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4390" w:type="dxa"/>
          </w:tcPr>
          <w:p w:rsidR="00E67099" w:rsidRPr="00D64D16" w:rsidRDefault="00E67099" w:rsidP="00E67099">
            <w:pPr>
              <w:jc w:val="both"/>
              <w:rPr>
                <w:rFonts w:asciiTheme="majorHAnsi" w:eastAsia="Times New Roman" w:hAnsiTheme="majorHAnsi" w:cstheme="majorHAnsi"/>
                <w:sz w:val="20"/>
                <w:szCs w:val="20"/>
                <w:lang w:eastAsia="ru-RU"/>
              </w:rPr>
            </w:pPr>
            <w:r w:rsidRPr="00D64D16">
              <w:rPr>
                <w:rFonts w:asciiTheme="majorHAnsi" w:eastAsia="Times New Roman" w:hAnsiTheme="majorHAnsi" w:cstheme="majorHAnsi"/>
                <w:sz w:val="20"/>
                <w:szCs w:val="20"/>
                <w:lang w:eastAsia="ru-RU"/>
              </w:rPr>
              <w:t>Transferuri primite în cadrul bugetului public național</w:t>
            </w:r>
          </w:p>
        </w:tc>
        <w:tc>
          <w:tcPr>
            <w:tcW w:w="989" w:type="dxa"/>
          </w:tcPr>
          <w:p w:rsidR="00E67099" w:rsidRPr="00D64D16"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eastAsia="ru-RU"/>
              </w:rPr>
            </w:pPr>
            <w:r w:rsidRPr="00D64D16">
              <w:rPr>
                <w:rFonts w:asciiTheme="majorHAnsi" w:eastAsia="Times New Roman" w:hAnsiTheme="majorHAnsi" w:cstheme="majorHAnsi"/>
                <w:b/>
                <w:color w:val="000000"/>
                <w:sz w:val="20"/>
                <w:szCs w:val="20"/>
                <w:lang w:eastAsia="ru-RU"/>
              </w:rPr>
              <w:t>19</w:t>
            </w:r>
          </w:p>
        </w:tc>
        <w:tc>
          <w:tcPr>
            <w:tcW w:w="1279"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eastAsia="ru-RU"/>
              </w:rPr>
            </w:pPr>
            <w:r w:rsidRPr="00D64D16">
              <w:rPr>
                <w:rFonts w:asciiTheme="majorHAnsi" w:eastAsia="Times New Roman" w:hAnsiTheme="majorHAnsi" w:cstheme="majorHAnsi"/>
                <w:b/>
                <w:color w:val="000000"/>
                <w:sz w:val="20"/>
                <w:szCs w:val="20"/>
                <w:lang w:eastAsia="ru-RU"/>
              </w:rPr>
              <w:t>34,7</w:t>
            </w:r>
          </w:p>
        </w:tc>
        <w:tc>
          <w:tcPr>
            <w:tcW w:w="127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eastAsia="ru-RU"/>
              </w:rPr>
            </w:pPr>
            <w:r w:rsidRPr="00D64D16">
              <w:rPr>
                <w:rFonts w:asciiTheme="majorHAnsi" w:eastAsia="Times New Roman" w:hAnsiTheme="majorHAnsi" w:cstheme="majorHAnsi"/>
                <w:b/>
                <w:sz w:val="20"/>
                <w:szCs w:val="20"/>
                <w:lang w:eastAsia="ru-RU"/>
              </w:rPr>
              <w:t>23,5</w:t>
            </w:r>
          </w:p>
        </w:tc>
        <w:tc>
          <w:tcPr>
            <w:tcW w:w="1241"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eastAsia="ru-RU"/>
              </w:rPr>
            </w:pPr>
            <w:r w:rsidRPr="00D64D16">
              <w:rPr>
                <w:rFonts w:asciiTheme="majorHAnsi" w:eastAsia="Times New Roman" w:hAnsiTheme="majorHAnsi" w:cstheme="majorHAnsi"/>
                <w:b/>
                <w:sz w:val="20"/>
                <w:szCs w:val="20"/>
                <w:lang w:eastAsia="ru-RU"/>
              </w:rPr>
              <w:t>26,0</w:t>
            </w:r>
          </w:p>
        </w:tc>
        <w:tc>
          <w:tcPr>
            <w:tcW w:w="102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szCs w:val="20"/>
              </w:rPr>
            </w:pPr>
            <w:r w:rsidRPr="00D64D16">
              <w:rPr>
                <w:rFonts w:asciiTheme="majorHAnsi" w:hAnsiTheme="majorHAnsi" w:cstheme="majorHAnsi"/>
                <w:b/>
                <w:color w:val="000000"/>
                <w:sz w:val="20"/>
                <w:szCs w:val="20"/>
              </w:rPr>
              <w:t>-2,5</w:t>
            </w:r>
          </w:p>
        </w:tc>
        <w:tc>
          <w:tcPr>
            <w:tcW w:w="127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szCs w:val="20"/>
              </w:rPr>
            </w:pPr>
            <w:r w:rsidRPr="00D64D16">
              <w:rPr>
                <w:rFonts w:asciiTheme="majorHAnsi" w:hAnsiTheme="majorHAnsi" w:cstheme="majorHAnsi"/>
                <w:b/>
                <w:color w:val="000000"/>
                <w:sz w:val="20"/>
                <w:szCs w:val="20"/>
              </w:rPr>
              <w:t>90,4</w:t>
            </w:r>
          </w:p>
        </w:tc>
        <w:tc>
          <w:tcPr>
            <w:tcW w:w="850"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rPr>
            </w:pPr>
            <w:r w:rsidRPr="00D64D16">
              <w:rPr>
                <w:rFonts w:asciiTheme="majorHAnsi" w:hAnsiTheme="majorHAnsi" w:cstheme="majorHAnsi"/>
                <w:b/>
                <w:bCs/>
                <w:color w:val="000000"/>
                <w:sz w:val="20"/>
                <w:szCs w:val="20"/>
              </w:rPr>
              <w:t>0,0</w:t>
            </w:r>
          </w:p>
        </w:tc>
        <w:tc>
          <w:tcPr>
            <w:tcW w:w="1168"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rPr>
            </w:pPr>
            <w:r w:rsidRPr="00D64D16">
              <w:rPr>
                <w:rFonts w:asciiTheme="majorHAnsi" w:hAnsiTheme="majorHAnsi" w:cstheme="majorHAnsi"/>
                <w:b/>
                <w:bCs/>
                <w:color w:val="000000"/>
                <w:sz w:val="20"/>
                <w:szCs w:val="20"/>
              </w:rPr>
              <w:t>0,0</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4390" w:type="dxa"/>
          </w:tcPr>
          <w:p w:rsidR="00E67099" w:rsidRPr="00D64D16" w:rsidRDefault="00E67099" w:rsidP="00E67099">
            <w:pPr>
              <w:jc w:val="both"/>
              <w:rPr>
                <w:rFonts w:asciiTheme="majorHAnsi" w:eastAsia="Times New Roman" w:hAnsiTheme="majorHAnsi" w:cstheme="majorHAnsi"/>
                <w:sz w:val="20"/>
                <w:szCs w:val="20"/>
                <w:lang w:eastAsia="ru-RU"/>
              </w:rPr>
            </w:pPr>
            <w:r w:rsidRPr="00D64D16">
              <w:rPr>
                <w:rFonts w:asciiTheme="majorHAnsi" w:eastAsia="Times New Roman" w:hAnsiTheme="majorHAnsi" w:cstheme="majorHAnsi"/>
                <w:sz w:val="20"/>
                <w:szCs w:val="20"/>
                <w:lang w:eastAsia="ru-RU"/>
              </w:rPr>
              <w:t>Transferuri primite între bugetul de stat și bugetele locale</w:t>
            </w:r>
          </w:p>
        </w:tc>
        <w:tc>
          <w:tcPr>
            <w:tcW w:w="989" w:type="dxa"/>
          </w:tcPr>
          <w:p w:rsidR="00E67099" w:rsidRPr="00D64D16"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eastAsia="ru-RU"/>
              </w:rPr>
            </w:pPr>
            <w:r w:rsidRPr="00D64D16">
              <w:rPr>
                <w:rFonts w:asciiTheme="majorHAnsi" w:eastAsia="Times New Roman" w:hAnsiTheme="majorHAnsi" w:cstheme="majorHAnsi"/>
                <w:b/>
                <w:color w:val="000000"/>
                <w:sz w:val="20"/>
                <w:szCs w:val="20"/>
                <w:lang w:eastAsia="ru-RU"/>
              </w:rPr>
              <w:t>191</w:t>
            </w:r>
          </w:p>
        </w:tc>
        <w:tc>
          <w:tcPr>
            <w:tcW w:w="1279"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eastAsia="ru-RU"/>
              </w:rPr>
            </w:pPr>
            <w:r w:rsidRPr="00D64D16">
              <w:rPr>
                <w:rFonts w:asciiTheme="majorHAnsi" w:eastAsia="Times New Roman" w:hAnsiTheme="majorHAnsi" w:cstheme="majorHAnsi"/>
                <w:b/>
                <w:color w:val="000000"/>
                <w:sz w:val="20"/>
                <w:szCs w:val="20"/>
                <w:lang w:eastAsia="ru-RU"/>
              </w:rPr>
              <w:t>34,697.7</w:t>
            </w:r>
          </w:p>
        </w:tc>
        <w:tc>
          <w:tcPr>
            <w:tcW w:w="127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eastAsia="ru-RU"/>
              </w:rPr>
            </w:pPr>
            <w:r w:rsidRPr="00D64D16">
              <w:rPr>
                <w:rFonts w:asciiTheme="majorHAnsi" w:eastAsia="Times New Roman" w:hAnsiTheme="majorHAnsi" w:cstheme="majorHAnsi"/>
                <w:b/>
                <w:sz w:val="20"/>
                <w:szCs w:val="20"/>
                <w:lang w:eastAsia="ru-RU"/>
              </w:rPr>
              <w:t>23,5</w:t>
            </w:r>
          </w:p>
        </w:tc>
        <w:tc>
          <w:tcPr>
            <w:tcW w:w="1241"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eastAsia="ru-RU"/>
              </w:rPr>
            </w:pPr>
            <w:r w:rsidRPr="00D64D16">
              <w:rPr>
                <w:rFonts w:asciiTheme="majorHAnsi" w:eastAsia="Times New Roman" w:hAnsiTheme="majorHAnsi" w:cstheme="majorHAnsi"/>
                <w:b/>
                <w:sz w:val="20"/>
                <w:szCs w:val="20"/>
                <w:lang w:eastAsia="ru-RU"/>
              </w:rPr>
              <w:t>26,0</w:t>
            </w:r>
          </w:p>
        </w:tc>
        <w:tc>
          <w:tcPr>
            <w:tcW w:w="102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szCs w:val="20"/>
              </w:rPr>
            </w:pPr>
            <w:r w:rsidRPr="00D64D16">
              <w:rPr>
                <w:rFonts w:asciiTheme="majorHAnsi" w:hAnsiTheme="majorHAnsi" w:cstheme="majorHAnsi"/>
                <w:b/>
                <w:color w:val="000000"/>
                <w:sz w:val="20"/>
                <w:szCs w:val="20"/>
              </w:rPr>
              <w:t>-2,5</w:t>
            </w:r>
          </w:p>
        </w:tc>
        <w:tc>
          <w:tcPr>
            <w:tcW w:w="1276"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szCs w:val="20"/>
              </w:rPr>
            </w:pPr>
            <w:r w:rsidRPr="00D64D16">
              <w:rPr>
                <w:rFonts w:asciiTheme="majorHAnsi" w:hAnsiTheme="majorHAnsi" w:cstheme="majorHAnsi"/>
                <w:b/>
                <w:color w:val="000000"/>
                <w:sz w:val="20"/>
                <w:szCs w:val="20"/>
              </w:rPr>
              <w:t>90,4</w:t>
            </w:r>
          </w:p>
        </w:tc>
        <w:tc>
          <w:tcPr>
            <w:tcW w:w="850"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rPr>
            </w:pPr>
            <w:r w:rsidRPr="00D64D16">
              <w:rPr>
                <w:rFonts w:asciiTheme="majorHAnsi" w:hAnsiTheme="majorHAnsi" w:cstheme="majorHAnsi"/>
                <w:b/>
                <w:bCs/>
                <w:color w:val="000000"/>
                <w:sz w:val="20"/>
                <w:szCs w:val="20"/>
              </w:rPr>
              <w:t>0,0</w:t>
            </w:r>
          </w:p>
        </w:tc>
        <w:tc>
          <w:tcPr>
            <w:tcW w:w="1168" w:type="dxa"/>
          </w:tcPr>
          <w:p w:rsidR="00E67099" w:rsidRPr="00D64D16"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rPr>
            </w:pPr>
            <w:r w:rsidRPr="00D64D16">
              <w:rPr>
                <w:rFonts w:asciiTheme="majorHAnsi" w:hAnsiTheme="majorHAnsi" w:cstheme="majorHAnsi"/>
                <w:b/>
                <w:bCs/>
                <w:color w:val="000000"/>
                <w:sz w:val="20"/>
                <w:szCs w:val="20"/>
              </w:rPr>
              <w:t>0,0</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13495" w:type="dxa"/>
            <w:gridSpan w:val="9"/>
          </w:tcPr>
          <w:p w:rsidR="00E67099" w:rsidRPr="00D64D16" w:rsidRDefault="00E67099" w:rsidP="00E67099">
            <w:pPr>
              <w:ind w:left="22"/>
              <w:jc w:val="both"/>
              <w:rPr>
                <w:rFonts w:asciiTheme="majorHAnsi" w:eastAsia="Times New Roman" w:hAnsiTheme="majorHAnsi" w:cstheme="majorHAnsi"/>
                <w:sz w:val="20"/>
                <w:szCs w:val="20"/>
                <w:lang w:eastAsia="ru-RU"/>
              </w:rPr>
            </w:pPr>
            <w:r w:rsidRPr="00D64D16">
              <w:rPr>
                <w:rFonts w:asciiTheme="majorHAnsi" w:eastAsia="Times New Roman" w:hAnsiTheme="majorHAnsi" w:cstheme="majorHAnsi"/>
                <w:sz w:val="20"/>
                <w:szCs w:val="20"/>
                <w:lang w:eastAsia="ru-RU"/>
              </w:rPr>
              <w:t>* Produsul intern brut luat în calcul pentru anul 2019, conform datelor preliminare ale BNS, este de 210 019 mil. lei</w:t>
            </w:r>
          </w:p>
          <w:p w:rsidR="00E67099" w:rsidRPr="00D64D16" w:rsidRDefault="00E67099" w:rsidP="00E67099">
            <w:pPr>
              <w:rPr>
                <w:rFonts w:asciiTheme="majorHAnsi" w:eastAsia="Times New Roman" w:hAnsiTheme="majorHAnsi" w:cstheme="majorHAnsi"/>
                <w:sz w:val="20"/>
                <w:szCs w:val="20"/>
                <w:lang w:eastAsia="ru-RU"/>
              </w:rPr>
            </w:pPr>
            <w:r w:rsidRPr="00D64D16">
              <w:rPr>
                <w:rFonts w:asciiTheme="majorHAnsi" w:eastAsia="Times New Roman" w:hAnsiTheme="majorHAnsi" w:cstheme="majorHAnsi"/>
                <w:sz w:val="20"/>
                <w:szCs w:val="20"/>
                <w:lang w:eastAsia="ru-RU"/>
              </w:rPr>
              <w:t>** Produsul intern brut luat în calcul pentru anul 2018, conform datelor BNS, este de 190 016 mil. lei</w:t>
            </w:r>
          </w:p>
        </w:tc>
      </w:tr>
    </w:tbl>
    <w:p w:rsidR="00E67099" w:rsidRPr="00A15068" w:rsidRDefault="00E67099" w:rsidP="00A15068">
      <w:pPr>
        <w:spacing w:after="120" w:line="276" w:lineRule="auto"/>
        <w:jc w:val="both"/>
        <w:rPr>
          <w:rFonts w:asciiTheme="majorHAnsi" w:eastAsia="Times New Roman" w:hAnsiTheme="majorHAnsi" w:cstheme="majorHAnsi"/>
          <w:sz w:val="28"/>
          <w:szCs w:val="24"/>
          <w:lang w:eastAsia="ru-RU"/>
        </w:rPr>
      </w:pPr>
      <w:r w:rsidRPr="00E67099">
        <w:rPr>
          <w:rFonts w:asciiTheme="majorHAnsi" w:eastAsia="Times New Roman" w:hAnsiTheme="majorHAnsi" w:cstheme="majorHAnsi"/>
          <w:sz w:val="28"/>
          <w:szCs w:val="24"/>
          <w:lang w:eastAsia="ru-RU"/>
        </w:rPr>
        <w:t xml:space="preserve"> </w:t>
      </w:r>
      <w:r w:rsidRPr="00E67099">
        <w:rPr>
          <w:rFonts w:asciiTheme="majorHAnsi" w:eastAsia="Times New Roman" w:hAnsiTheme="majorHAnsi" w:cstheme="majorHAnsi"/>
          <w:b/>
          <w:i/>
          <w:sz w:val="20"/>
          <w:szCs w:val="24"/>
          <w:lang w:eastAsia="ru-RU"/>
        </w:rPr>
        <w:t>Sursă:</w:t>
      </w:r>
      <w:r w:rsidRPr="00E67099">
        <w:rPr>
          <w:rFonts w:asciiTheme="majorHAnsi" w:eastAsia="Times New Roman" w:hAnsiTheme="majorHAnsi" w:cstheme="majorHAnsi"/>
          <w:i/>
          <w:sz w:val="20"/>
          <w:szCs w:val="24"/>
          <w:lang w:eastAsia="ru-RU"/>
        </w:rPr>
        <w:t xml:space="preserve"> Date generalizate de echipa de audit conform Rapoartelor privind executarea bugetului de stat pe anii 2018 și 2019, Formularul nr.2.</w:t>
      </w:r>
    </w:p>
    <w:p w:rsidR="00F71B6E" w:rsidRDefault="00F71B6E" w:rsidP="00E67099">
      <w:pPr>
        <w:spacing w:after="0" w:line="240" w:lineRule="auto"/>
        <w:contextualSpacing/>
        <w:jc w:val="right"/>
        <w:rPr>
          <w:rFonts w:asciiTheme="majorHAnsi" w:eastAsia="Times New Roman" w:hAnsiTheme="majorHAnsi" w:cstheme="majorHAnsi"/>
          <w:b/>
          <w:i/>
          <w:sz w:val="24"/>
          <w:szCs w:val="24"/>
          <w:lang w:val="ro-MD"/>
        </w:rPr>
      </w:pPr>
    </w:p>
    <w:p w:rsidR="00E67099" w:rsidRPr="00E67099" w:rsidRDefault="00E67099" w:rsidP="00E67099">
      <w:pPr>
        <w:spacing w:after="0" w:line="240" w:lineRule="auto"/>
        <w:contextualSpacing/>
        <w:jc w:val="right"/>
        <w:rPr>
          <w:rFonts w:asciiTheme="majorHAnsi" w:hAnsiTheme="majorHAnsi" w:cstheme="majorHAnsi"/>
          <w:b/>
          <w:i/>
          <w:sz w:val="24"/>
          <w:szCs w:val="24"/>
          <w:lang w:val="ro-MD"/>
        </w:rPr>
      </w:pPr>
      <w:r w:rsidRPr="00E67099">
        <w:rPr>
          <w:rFonts w:asciiTheme="majorHAnsi" w:eastAsia="Times New Roman" w:hAnsiTheme="majorHAnsi" w:cstheme="majorHAnsi"/>
          <w:b/>
          <w:i/>
          <w:sz w:val="24"/>
          <w:szCs w:val="24"/>
          <w:lang w:val="ro-MD"/>
        </w:rPr>
        <w:t>Anexa nr.6</w:t>
      </w:r>
    </w:p>
    <w:p w:rsidR="00E67099" w:rsidRPr="00E67099" w:rsidRDefault="00E67099" w:rsidP="008B3719">
      <w:pPr>
        <w:spacing w:after="0" w:line="240" w:lineRule="auto"/>
        <w:jc w:val="center"/>
        <w:rPr>
          <w:rFonts w:asciiTheme="majorHAnsi" w:hAnsiTheme="majorHAnsi" w:cstheme="majorHAnsi"/>
          <w:b/>
          <w:sz w:val="24"/>
          <w:szCs w:val="24"/>
          <w:lang w:val="ro-MD"/>
        </w:rPr>
      </w:pPr>
      <w:r w:rsidRPr="00E67099">
        <w:rPr>
          <w:rFonts w:asciiTheme="majorHAnsi" w:hAnsiTheme="majorHAnsi" w:cstheme="majorHAnsi"/>
          <w:b/>
          <w:sz w:val="24"/>
          <w:szCs w:val="24"/>
          <w:lang w:val="ro-MD"/>
        </w:rPr>
        <w:t>Sinteza dobânzilor încasate în BS în anul 2019</w:t>
      </w:r>
    </w:p>
    <w:p w:rsidR="00E67099" w:rsidRPr="00E67099" w:rsidRDefault="00E67099" w:rsidP="00E67099">
      <w:pPr>
        <w:spacing w:after="0" w:line="240" w:lineRule="auto"/>
        <w:ind w:left="720" w:right="1097"/>
        <w:contextualSpacing/>
        <w:jc w:val="right"/>
        <w:rPr>
          <w:rFonts w:asciiTheme="majorHAnsi" w:hAnsiTheme="majorHAnsi" w:cstheme="majorHAnsi"/>
          <w:b/>
          <w:sz w:val="24"/>
          <w:szCs w:val="24"/>
          <w:lang w:val="ro-MD"/>
        </w:rPr>
      </w:pPr>
      <w:r w:rsidRPr="00E67099">
        <w:rPr>
          <w:rFonts w:asciiTheme="majorHAnsi" w:hAnsiTheme="majorHAnsi" w:cstheme="majorHAnsi"/>
          <w:b/>
          <w:sz w:val="24"/>
          <w:szCs w:val="24"/>
          <w:lang w:val="ro-MD"/>
        </w:rPr>
        <w:t>(mil. lei)</w:t>
      </w:r>
    </w:p>
    <w:tbl>
      <w:tblPr>
        <w:tblStyle w:val="GridTable1Light4"/>
        <w:tblW w:w="11352" w:type="dxa"/>
        <w:jc w:val="center"/>
        <w:tblLook w:val="04A0" w:firstRow="1" w:lastRow="0" w:firstColumn="1" w:lastColumn="0" w:noHBand="0" w:noVBand="1"/>
      </w:tblPr>
      <w:tblGrid>
        <w:gridCol w:w="6091"/>
        <w:gridCol w:w="936"/>
        <w:gridCol w:w="918"/>
        <w:gridCol w:w="982"/>
        <w:gridCol w:w="676"/>
        <w:gridCol w:w="829"/>
        <w:gridCol w:w="920"/>
      </w:tblGrid>
      <w:tr w:rsidR="00E67099" w:rsidRPr="00E67099" w:rsidTr="00A3673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91" w:type="dxa"/>
            <w:vMerge w:val="restart"/>
            <w:vAlign w:val="center"/>
          </w:tcPr>
          <w:p w:rsidR="00E67099" w:rsidRPr="00A15068" w:rsidRDefault="00E67099" w:rsidP="00E67099">
            <w:pPr>
              <w:contextualSpacing/>
              <w:jc w:val="center"/>
              <w:rPr>
                <w:rFonts w:asciiTheme="majorHAnsi" w:hAnsiTheme="majorHAnsi" w:cstheme="majorHAnsi"/>
                <w:sz w:val="20"/>
                <w:szCs w:val="20"/>
              </w:rPr>
            </w:pPr>
            <w:r w:rsidRPr="00A15068">
              <w:rPr>
                <w:rFonts w:asciiTheme="majorHAnsi" w:hAnsiTheme="majorHAnsi" w:cstheme="majorHAnsi"/>
                <w:sz w:val="20"/>
                <w:szCs w:val="20"/>
              </w:rPr>
              <w:t>Indicatori</w:t>
            </w:r>
          </w:p>
        </w:tc>
        <w:tc>
          <w:tcPr>
            <w:tcW w:w="936" w:type="dxa"/>
            <w:vMerge w:val="restart"/>
            <w:vAlign w:val="center"/>
          </w:tcPr>
          <w:p w:rsidR="00E67099" w:rsidRPr="00A15068" w:rsidRDefault="00E67099" w:rsidP="00E67099">
            <w:pPr>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15068">
              <w:rPr>
                <w:rFonts w:asciiTheme="majorHAnsi" w:hAnsiTheme="majorHAnsi" w:cstheme="majorHAnsi"/>
                <w:sz w:val="20"/>
                <w:szCs w:val="20"/>
              </w:rPr>
              <w:t>Aprobat</w:t>
            </w:r>
          </w:p>
        </w:tc>
        <w:tc>
          <w:tcPr>
            <w:tcW w:w="918" w:type="dxa"/>
            <w:vMerge w:val="restart"/>
            <w:vAlign w:val="center"/>
          </w:tcPr>
          <w:p w:rsidR="00E67099" w:rsidRPr="00A15068" w:rsidRDefault="00E67099" w:rsidP="00E67099">
            <w:pPr>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15068">
              <w:rPr>
                <w:rFonts w:asciiTheme="majorHAnsi" w:hAnsiTheme="majorHAnsi" w:cstheme="majorHAnsi"/>
                <w:sz w:val="20"/>
                <w:szCs w:val="20"/>
              </w:rPr>
              <w:t>Precizat</w:t>
            </w:r>
          </w:p>
        </w:tc>
        <w:tc>
          <w:tcPr>
            <w:tcW w:w="982" w:type="dxa"/>
            <w:vMerge w:val="restart"/>
            <w:vAlign w:val="center"/>
          </w:tcPr>
          <w:p w:rsidR="00E67099" w:rsidRPr="00A15068" w:rsidRDefault="00E67099" w:rsidP="00E67099">
            <w:pPr>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15068">
              <w:rPr>
                <w:rFonts w:asciiTheme="majorHAnsi" w:hAnsiTheme="majorHAnsi" w:cstheme="majorHAnsi"/>
                <w:sz w:val="20"/>
                <w:szCs w:val="20"/>
              </w:rPr>
              <w:t>Executat</w:t>
            </w:r>
          </w:p>
        </w:tc>
        <w:tc>
          <w:tcPr>
            <w:tcW w:w="2425" w:type="dxa"/>
            <w:gridSpan w:val="3"/>
            <w:vAlign w:val="center"/>
          </w:tcPr>
          <w:p w:rsidR="00E67099" w:rsidRPr="00A15068" w:rsidRDefault="00E67099" w:rsidP="00E67099">
            <w:pPr>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15068">
              <w:rPr>
                <w:rFonts w:asciiTheme="majorHAnsi" w:hAnsiTheme="majorHAnsi" w:cstheme="majorHAnsi"/>
                <w:sz w:val="20"/>
                <w:szCs w:val="20"/>
              </w:rPr>
              <w:t>Devieri</w:t>
            </w:r>
          </w:p>
        </w:tc>
      </w:tr>
      <w:tr w:rsidR="00E67099" w:rsidRPr="00E67099" w:rsidTr="00A36731">
        <w:trPr>
          <w:jc w:val="center"/>
        </w:trPr>
        <w:tc>
          <w:tcPr>
            <w:cnfStyle w:val="001000000000" w:firstRow="0" w:lastRow="0" w:firstColumn="1" w:lastColumn="0" w:oddVBand="0" w:evenVBand="0" w:oddHBand="0" w:evenHBand="0" w:firstRowFirstColumn="0" w:firstRowLastColumn="0" w:lastRowFirstColumn="0" w:lastRowLastColumn="0"/>
            <w:tcW w:w="6091" w:type="dxa"/>
            <w:vMerge/>
            <w:vAlign w:val="center"/>
          </w:tcPr>
          <w:p w:rsidR="00E67099" w:rsidRPr="00A15068" w:rsidRDefault="00E67099" w:rsidP="00E67099">
            <w:pPr>
              <w:contextualSpacing/>
              <w:jc w:val="both"/>
              <w:rPr>
                <w:rFonts w:asciiTheme="majorHAnsi" w:hAnsiTheme="majorHAnsi" w:cstheme="majorHAnsi"/>
                <w:sz w:val="20"/>
                <w:szCs w:val="20"/>
              </w:rPr>
            </w:pPr>
          </w:p>
        </w:tc>
        <w:tc>
          <w:tcPr>
            <w:tcW w:w="936" w:type="dxa"/>
            <w:vMerge/>
            <w:vAlign w:val="center"/>
          </w:tcPr>
          <w:p w:rsidR="00E67099" w:rsidRPr="00A15068" w:rsidRDefault="00E67099" w:rsidP="00E67099">
            <w:pPr>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p>
        </w:tc>
        <w:tc>
          <w:tcPr>
            <w:tcW w:w="918" w:type="dxa"/>
            <w:vMerge/>
            <w:vAlign w:val="center"/>
          </w:tcPr>
          <w:p w:rsidR="00E67099" w:rsidRPr="00A15068" w:rsidRDefault="00E67099" w:rsidP="00E67099">
            <w:pPr>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p>
        </w:tc>
        <w:tc>
          <w:tcPr>
            <w:tcW w:w="982" w:type="dxa"/>
            <w:vMerge/>
            <w:vAlign w:val="center"/>
          </w:tcPr>
          <w:p w:rsidR="00E67099" w:rsidRPr="00A15068" w:rsidRDefault="00E67099" w:rsidP="00E67099">
            <w:pPr>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p>
        </w:tc>
        <w:tc>
          <w:tcPr>
            <w:tcW w:w="676" w:type="dxa"/>
            <w:vAlign w:val="center"/>
          </w:tcPr>
          <w:p w:rsidR="00E67099" w:rsidRPr="00A15068" w:rsidRDefault="00E67099" w:rsidP="00E67099">
            <w:pPr>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A15068">
              <w:rPr>
                <w:rFonts w:asciiTheme="majorHAnsi" w:hAnsiTheme="majorHAnsi" w:cstheme="majorHAnsi"/>
                <w:b/>
                <w:sz w:val="20"/>
                <w:szCs w:val="20"/>
              </w:rPr>
              <w:t>(+/-)</w:t>
            </w:r>
          </w:p>
        </w:tc>
        <w:tc>
          <w:tcPr>
            <w:tcW w:w="829" w:type="dxa"/>
            <w:vAlign w:val="center"/>
          </w:tcPr>
          <w:p w:rsidR="00E67099" w:rsidRPr="00A15068" w:rsidRDefault="00E67099" w:rsidP="00E67099">
            <w:pPr>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A15068">
              <w:rPr>
                <w:rFonts w:asciiTheme="majorHAnsi" w:hAnsiTheme="majorHAnsi" w:cstheme="majorHAnsi"/>
                <w:b/>
                <w:sz w:val="20"/>
                <w:szCs w:val="20"/>
              </w:rPr>
              <w:t>(+/-)</w:t>
            </w:r>
          </w:p>
        </w:tc>
        <w:tc>
          <w:tcPr>
            <w:tcW w:w="920" w:type="dxa"/>
            <w:vAlign w:val="center"/>
          </w:tcPr>
          <w:p w:rsidR="00E67099" w:rsidRPr="00A15068" w:rsidRDefault="00E67099" w:rsidP="00E67099">
            <w:pPr>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A15068">
              <w:rPr>
                <w:rFonts w:asciiTheme="majorHAnsi" w:hAnsiTheme="majorHAnsi" w:cstheme="majorHAnsi"/>
                <w:b/>
                <w:sz w:val="20"/>
                <w:szCs w:val="20"/>
              </w:rPr>
              <w:t>(%)</w:t>
            </w:r>
          </w:p>
        </w:tc>
      </w:tr>
      <w:tr w:rsidR="00E67099" w:rsidRPr="00E67099" w:rsidTr="00A36731">
        <w:trPr>
          <w:jc w:val="center"/>
        </w:trPr>
        <w:tc>
          <w:tcPr>
            <w:cnfStyle w:val="001000000000" w:firstRow="0" w:lastRow="0" w:firstColumn="1" w:lastColumn="0" w:oddVBand="0" w:evenVBand="0" w:oddHBand="0" w:evenHBand="0" w:firstRowFirstColumn="0" w:firstRowLastColumn="0" w:lastRowFirstColumn="0" w:lastRowLastColumn="0"/>
            <w:tcW w:w="6091" w:type="dxa"/>
          </w:tcPr>
          <w:p w:rsidR="00E67099" w:rsidRPr="00E67099" w:rsidRDefault="00E67099" w:rsidP="00E67099">
            <w:pPr>
              <w:contextualSpacing/>
              <w:jc w:val="center"/>
              <w:rPr>
                <w:rFonts w:asciiTheme="majorHAnsi" w:hAnsiTheme="majorHAnsi" w:cstheme="majorHAnsi"/>
                <w:i/>
                <w:sz w:val="16"/>
                <w:szCs w:val="16"/>
              </w:rPr>
            </w:pPr>
            <w:r w:rsidRPr="00E67099">
              <w:rPr>
                <w:rFonts w:asciiTheme="majorHAnsi" w:hAnsiTheme="majorHAnsi" w:cstheme="majorHAnsi"/>
                <w:i/>
                <w:sz w:val="16"/>
                <w:szCs w:val="16"/>
              </w:rPr>
              <w:t>1</w:t>
            </w:r>
          </w:p>
        </w:tc>
        <w:tc>
          <w:tcPr>
            <w:tcW w:w="936" w:type="dxa"/>
          </w:tcPr>
          <w:p w:rsidR="00E67099" w:rsidRPr="00E67099" w:rsidRDefault="00E67099" w:rsidP="00E67099">
            <w:pPr>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rPr>
            </w:pPr>
            <w:r w:rsidRPr="00E67099">
              <w:rPr>
                <w:rFonts w:asciiTheme="majorHAnsi" w:hAnsiTheme="majorHAnsi" w:cstheme="majorHAnsi"/>
                <w:i/>
                <w:sz w:val="16"/>
                <w:szCs w:val="16"/>
              </w:rPr>
              <w:t>2</w:t>
            </w:r>
          </w:p>
        </w:tc>
        <w:tc>
          <w:tcPr>
            <w:tcW w:w="918" w:type="dxa"/>
          </w:tcPr>
          <w:p w:rsidR="00E67099" w:rsidRPr="00E67099" w:rsidRDefault="00E67099" w:rsidP="00E67099">
            <w:pPr>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rPr>
            </w:pPr>
            <w:r w:rsidRPr="00E67099">
              <w:rPr>
                <w:rFonts w:asciiTheme="majorHAnsi" w:hAnsiTheme="majorHAnsi" w:cstheme="majorHAnsi"/>
                <w:i/>
                <w:sz w:val="16"/>
                <w:szCs w:val="16"/>
              </w:rPr>
              <w:t>3</w:t>
            </w:r>
          </w:p>
        </w:tc>
        <w:tc>
          <w:tcPr>
            <w:tcW w:w="982" w:type="dxa"/>
          </w:tcPr>
          <w:p w:rsidR="00E67099" w:rsidRPr="00E67099" w:rsidRDefault="00E67099" w:rsidP="00E67099">
            <w:pPr>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rPr>
            </w:pPr>
            <w:r w:rsidRPr="00E67099">
              <w:rPr>
                <w:rFonts w:asciiTheme="majorHAnsi" w:hAnsiTheme="majorHAnsi" w:cstheme="majorHAnsi"/>
                <w:i/>
                <w:sz w:val="16"/>
                <w:szCs w:val="16"/>
              </w:rPr>
              <w:t>4</w:t>
            </w:r>
          </w:p>
        </w:tc>
        <w:tc>
          <w:tcPr>
            <w:tcW w:w="676" w:type="dxa"/>
          </w:tcPr>
          <w:p w:rsidR="00E67099" w:rsidRPr="00E67099" w:rsidRDefault="00E67099" w:rsidP="00E67099">
            <w:pPr>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rPr>
            </w:pPr>
            <w:r w:rsidRPr="00E67099">
              <w:rPr>
                <w:rFonts w:asciiTheme="majorHAnsi" w:hAnsiTheme="majorHAnsi" w:cstheme="majorHAnsi"/>
                <w:i/>
                <w:sz w:val="16"/>
                <w:szCs w:val="16"/>
              </w:rPr>
              <w:t>5=4-3</w:t>
            </w:r>
          </w:p>
        </w:tc>
        <w:tc>
          <w:tcPr>
            <w:tcW w:w="829" w:type="dxa"/>
          </w:tcPr>
          <w:p w:rsidR="00E67099" w:rsidRPr="00E67099" w:rsidRDefault="00E67099" w:rsidP="00E67099">
            <w:pPr>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rPr>
            </w:pPr>
            <w:r w:rsidRPr="00E67099">
              <w:rPr>
                <w:rFonts w:asciiTheme="majorHAnsi" w:hAnsiTheme="majorHAnsi" w:cstheme="majorHAnsi"/>
                <w:i/>
                <w:sz w:val="16"/>
                <w:szCs w:val="16"/>
              </w:rPr>
              <w:t>6=4-2</w:t>
            </w:r>
          </w:p>
        </w:tc>
        <w:tc>
          <w:tcPr>
            <w:tcW w:w="920" w:type="dxa"/>
          </w:tcPr>
          <w:p w:rsidR="00E67099" w:rsidRPr="00E67099" w:rsidRDefault="00E67099" w:rsidP="00E67099">
            <w:pPr>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rPr>
            </w:pPr>
            <w:r w:rsidRPr="00E67099">
              <w:rPr>
                <w:rFonts w:asciiTheme="majorHAnsi" w:hAnsiTheme="majorHAnsi" w:cstheme="majorHAnsi"/>
                <w:i/>
                <w:sz w:val="16"/>
                <w:szCs w:val="16"/>
              </w:rPr>
              <w:t>7=4/3*100</w:t>
            </w:r>
          </w:p>
        </w:tc>
      </w:tr>
      <w:tr w:rsidR="00E67099" w:rsidRPr="00E67099" w:rsidTr="00A36731">
        <w:trPr>
          <w:jc w:val="center"/>
        </w:trPr>
        <w:tc>
          <w:tcPr>
            <w:cnfStyle w:val="001000000000" w:firstRow="0" w:lastRow="0" w:firstColumn="1" w:lastColumn="0" w:oddVBand="0" w:evenVBand="0" w:oddHBand="0" w:evenHBand="0" w:firstRowFirstColumn="0" w:firstRowLastColumn="0" w:lastRowFirstColumn="0" w:lastRowLastColumn="0"/>
            <w:tcW w:w="6091" w:type="dxa"/>
          </w:tcPr>
          <w:p w:rsidR="00E67099" w:rsidRPr="00A15068" w:rsidRDefault="00E67099" w:rsidP="00E67099">
            <w:pPr>
              <w:contextualSpacing/>
              <w:jc w:val="both"/>
              <w:rPr>
                <w:rFonts w:asciiTheme="majorHAnsi" w:hAnsiTheme="majorHAnsi" w:cstheme="majorHAnsi"/>
                <w:sz w:val="20"/>
                <w:szCs w:val="20"/>
              </w:rPr>
            </w:pPr>
            <w:r w:rsidRPr="00A15068">
              <w:rPr>
                <w:rFonts w:asciiTheme="majorHAnsi" w:hAnsiTheme="majorHAnsi" w:cstheme="majorHAnsi"/>
                <w:sz w:val="20"/>
                <w:szCs w:val="20"/>
              </w:rPr>
              <w:t>Dobânzi încasate și alte plăți încasate la:</w:t>
            </w:r>
          </w:p>
        </w:tc>
        <w:tc>
          <w:tcPr>
            <w:tcW w:w="936" w:type="dxa"/>
            <w:vAlign w:val="center"/>
          </w:tcPr>
          <w:p w:rsidR="00E67099" w:rsidRPr="00A15068" w:rsidRDefault="00E67099" w:rsidP="00E67099">
            <w:pPr>
              <w:contextualSpacing/>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A15068">
              <w:rPr>
                <w:rFonts w:asciiTheme="majorHAnsi" w:hAnsiTheme="majorHAnsi" w:cstheme="majorHAnsi"/>
                <w:b/>
                <w:sz w:val="20"/>
                <w:szCs w:val="20"/>
              </w:rPr>
              <w:t>295,7</w:t>
            </w:r>
          </w:p>
        </w:tc>
        <w:tc>
          <w:tcPr>
            <w:tcW w:w="918" w:type="dxa"/>
            <w:vAlign w:val="center"/>
          </w:tcPr>
          <w:p w:rsidR="00E67099" w:rsidRPr="00A15068" w:rsidRDefault="00E67099" w:rsidP="00E67099">
            <w:pPr>
              <w:contextualSpacing/>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A15068">
              <w:rPr>
                <w:rFonts w:asciiTheme="majorHAnsi" w:hAnsiTheme="majorHAnsi" w:cstheme="majorHAnsi"/>
                <w:b/>
                <w:sz w:val="20"/>
                <w:szCs w:val="20"/>
              </w:rPr>
              <w:t>150,6</w:t>
            </w:r>
          </w:p>
        </w:tc>
        <w:tc>
          <w:tcPr>
            <w:tcW w:w="982" w:type="dxa"/>
            <w:vAlign w:val="center"/>
          </w:tcPr>
          <w:p w:rsidR="00E67099" w:rsidRPr="00A15068" w:rsidRDefault="00E67099" w:rsidP="00E67099">
            <w:pPr>
              <w:contextualSpacing/>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A15068">
              <w:rPr>
                <w:rFonts w:asciiTheme="majorHAnsi" w:hAnsiTheme="majorHAnsi" w:cstheme="majorHAnsi"/>
                <w:b/>
                <w:sz w:val="20"/>
                <w:szCs w:val="20"/>
              </w:rPr>
              <w:t>171,8</w:t>
            </w:r>
          </w:p>
        </w:tc>
        <w:tc>
          <w:tcPr>
            <w:tcW w:w="676" w:type="dxa"/>
            <w:vAlign w:val="center"/>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szCs w:val="20"/>
                <w:lang w:val="en-US"/>
              </w:rPr>
            </w:pPr>
            <w:r w:rsidRPr="00A15068">
              <w:rPr>
                <w:rFonts w:asciiTheme="majorHAnsi" w:hAnsiTheme="majorHAnsi" w:cstheme="majorHAnsi"/>
                <w:b/>
                <w:color w:val="000000"/>
                <w:sz w:val="20"/>
                <w:szCs w:val="20"/>
              </w:rPr>
              <w:t>21,2</w:t>
            </w:r>
          </w:p>
        </w:tc>
        <w:tc>
          <w:tcPr>
            <w:tcW w:w="829" w:type="dxa"/>
            <w:vAlign w:val="center"/>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szCs w:val="20"/>
              </w:rPr>
            </w:pPr>
            <w:r w:rsidRPr="00A15068">
              <w:rPr>
                <w:rFonts w:asciiTheme="majorHAnsi" w:hAnsiTheme="majorHAnsi" w:cstheme="majorHAnsi"/>
                <w:b/>
                <w:color w:val="000000"/>
                <w:sz w:val="20"/>
                <w:szCs w:val="20"/>
              </w:rPr>
              <w:t>-123,9</w:t>
            </w:r>
          </w:p>
        </w:tc>
        <w:tc>
          <w:tcPr>
            <w:tcW w:w="920" w:type="dxa"/>
            <w:vAlign w:val="center"/>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szCs w:val="20"/>
              </w:rPr>
            </w:pPr>
            <w:r w:rsidRPr="00A15068">
              <w:rPr>
                <w:rFonts w:asciiTheme="majorHAnsi" w:hAnsiTheme="majorHAnsi" w:cstheme="majorHAnsi"/>
                <w:b/>
                <w:color w:val="000000"/>
                <w:sz w:val="20"/>
                <w:szCs w:val="20"/>
              </w:rPr>
              <w:t>114,1%</w:t>
            </w:r>
          </w:p>
        </w:tc>
      </w:tr>
      <w:tr w:rsidR="00E67099" w:rsidRPr="00E67099" w:rsidTr="00A36731">
        <w:trPr>
          <w:jc w:val="center"/>
        </w:trPr>
        <w:tc>
          <w:tcPr>
            <w:cnfStyle w:val="001000000000" w:firstRow="0" w:lastRow="0" w:firstColumn="1" w:lastColumn="0" w:oddVBand="0" w:evenVBand="0" w:oddHBand="0" w:evenHBand="0" w:firstRowFirstColumn="0" w:firstRowLastColumn="0" w:lastRowFirstColumn="0" w:lastRowLastColumn="0"/>
            <w:tcW w:w="6091" w:type="dxa"/>
          </w:tcPr>
          <w:p w:rsidR="00E67099" w:rsidRPr="00A15068" w:rsidRDefault="00E67099" w:rsidP="00E67099">
            <w:pPr>
              <w:contextualSpacing/>
              <w:jc w:val="both"/>
              <w:rPr>
                <w:rFonts w:asciiTheme="majorHAnsi" w:hAnsiTheme="majorHAnsi" w:cstheme="majorHAnsi"/>
                <w:sz w:val="20"/>
                <w:szCs w:val="20"/>
              </w:rPr>
            </w:pPr>
            <w:r w:rsidRPr="00A15068">
              <w:rPr>
                <w:rFonts w:asciiTheme="majorHAnsi" w:hAnsiTheme="majorHAnsi" w:cstheme="majorHAnsi"/>
                <w:sz w:val="20"/>
                <w:szCs w:val="20"/>
              </w:rPr>
              <w:t>soldurile mijloacelor bugetare</w:t>
            </w:r>
          </w:p>
        </w:tc>
        <w:tc>
          <w:tcPr>
            <w:tcW w:w="936" w:type="dxa"/>
            <w:vAlign w:val="center"/>
          </w:tcPr>
          <w:p w:rsidR="00E67099" w:rsidRPr="00A15068" w:rsidRDefault="00E67099" w:rsidP="00E67099">
            <w:pPr>
              <w:contextualSpacing/>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15068">
              <w:rPr>
                <w:rFonts w:asciiTheme="majorHAnsi" w:hAnsiTheme="majorHAnsi" w:cstheme="majorHAnsi"/>
                <w:sz w:val="20"/>
                <w:szCs w:val="20"/>
              </w:rPr>
              <w:t>37,3</w:t>
            </w:r>
          </w:p>
        </w:tc>
        <w:tc>
          <w:tcPr>
            <w:tcW w:w="918" w:type="dxa"/>
            <w:vAlign w:val="center"/>
          </w:tcPr>
          <w:p w:rsidR="00E67099" w:rsidRPr="00A15068" w:rsidRDefault="00E67099" w:rsidP="00E67099">
            <w:pPr>
              <w:contextualSpacing/>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15068">
              <w:rPr>
                <w:rFonts w:asciiTheme="majorHAnsi" w:hAnsiTheme="majorHAnsi" w:cstheme="majorHAnsi"/>
                <w:sz w:val="20"/>
                <w:szCs w:val="20"/>
              </w:rPr>
              <w:t>28,1</w:t>
            </w:r>
          </w:p>
        </w:tc>
        <w:tc>
          <w:tcPr>
            <w:tcW w:w="982" w:type="dxa"/>
            <w:vAlign w:val="center"/>
          </w:tcPr>
          <w:p w:rsidR="00E67099" w:rsidRPr="00A15068" w:rsidRDefault="00E67099" w:rsidP="00E67099">
            <w:pPr>
              <w:contextualSpacing/>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15068">
              <w:rPr>
                <w:rFonts w:asciiTheme="majorHAnsi" w:hAnsiTheme="majorHAnsi" w:cstheme="majorHAnsi"/>
                <w:sz w:val="20"/>
                <w:szCs w:val="20"/>
              </w:rPr>
              <w:t>40,7</w:t>
            </w:r>
          </w:p>
        </w:tc>
        <w:tc>
          <w:tcPr>
            <w:tcW w:w="676" w:type="dxa"/>
            <w:vAlign w:val="center"/>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A15068">
              <w:rPr>
                <w:rFonts w:asciiTheme="majorHAnsi" w:hAnsiTheme="majorHAnsi" w:cstheme="majorHAnsi"/>
                <w:color w:val="000000"/>
                <w:sz w:val="20"/>
                <w:szCs w:val="20"/>
              </w:rPr>
              <w:t>12,6</w:t>
            </w:r>
          </w:p>
        </w:tc>
        <w:tc>
          <w:tcPr>
            <w:tcW w:w="829" w:type="dxa"/>
            <w:vAlign w:val="center"/>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A15068">
              <w:rPr>
                <w:rFonts w:asciiTheme="majorHAnsi" w:hAnsiTheme="majorHAnsi" w:cstheme="majorHAnsi"/>
                <w:color w:val="000000"/>
                <w:sz w:val="20"/>
                <w:szCs w:val="20"/>
              </w:rPr>
              <w:t>3,4</w:t>
            </w:r>
          </w:p>
        </w:tc>
        <w:tc>
          <w:tcPr>
            <w:tcW w:w="920" w:type="dxa"/>
            <w:vAlign w:val="center"/>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A15068">
              <w:rPr>
                <w:rFonts w:asciiTheme="majorHAnsi" w:hAnsiTheme="majorHAnsi" w:cstheme="majorHAnsi"/>
                <w:color w:val="000000"/>
                <w:sz w:val="20"/>
                <w:szCs w:val="20"/>
              </w:rPr>
              <w:t>144,8%</w:t>
            </w:r>
          </w:p>
        </w:tc>
      </w:tr>
      <w:tr w:rsidR="00E67099" w:rsidRPr="00E67099" w:rsidTr="00A36731">
        <w:trPr>
          <w:jc w:val="center"/>
        </w:trPr>
        <w:tc>
          <w:tcPr>
            <w:cnfStyle w:val="001000000000" w:firstRow="0" w:lastRow="0" w:firstColumn="1" w:lastColumn="0" w:oddVBand="0" w:evenVBand="0" w:oddHBand="0" w:evenHBand="0" w:firstRowFirstColumn="0" w:firstRowLastColumn="0" w:lastRowFirstColumn="0" w:lastRowLastColumn="0"/>
            <w:tcW w:w="6091" w:type="dxa"/>
          </w:tcPr>
          <w:p w:rsidR="00E67099" w:rsidRPr="00A15068" w:rsidRDefault="00E67099" w:rsidP="00E67099">
            <w:pPr>
              <w:contextualSpacing/>
              <w:jc w:val="both"/>
              <w:rPr>
                <w:rFonts w:asciiTheme="majorHAnsi" w:hAnsiTheme="majorHAnsi" w:cstheme="majorHAnsi"/>
                <w:sz w:val="20"/>
                <w:szCs w:val="20"/>
              </w:rPr>
            </w:pPr>
            <w:r w:rsidRPr="00A15068">
              <w:rPr>
                <w:rFonts w:asciiTheme="majorHAnsi" w:hAnsiTheme="majorHAnsi" w:cstheme="majorHAnsi"/>
                <w:sz w:val="20"/>
                <w:szCs w:val="20"/>
              </w:rPr>
              <w:t>soldurile mijloacelor bugetare depozitate</w:t>
            </w:r>
          </w:p>
        </w:tc>
        <w:tc>
          <w:tcPr>
            <w:tcW w:w="936" w:type="dxa"/>
            <w:vAlign w:val="center"/>
          </w:tcPr>
          <w:p w:rsidR="00E67099" w:rsidRPr="00A15068" w:rsidRDefault="00E67099" w:rsidP="00E67099">
            <w:pPr>
              <w:contextualSpacing/>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15068">
              <w:rPr>
                <w:rFonts w:asciiTheme="majorHAnsi" w:hAnsiTheme="majorHAnsi" w:cstheme="majorHAnsi"/>
                <w:sz w:val="20"/>
                <w:szCs w:val="20"/>
              </w:rPr>
              <w:t>150,0</w:t>
            </w:r>
          </w:p>
        </w:tc>
        <w:tc>
          <w:tcPr>
            <w:tcW w:w="918" w:type="dxa"/>
            <w:vAlign w:val="center"/>
          </w:tcPr>
          <w:p w:rsidR="00E67099" w:rsidRPr="00A15068" w:rsidRDefault="00E67099" w:rsidP="00E67099">
            <w:pPr>
              <w:contextualSpacing/>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15068">
              <w:rPr>
                <w:rFonts w:asciiTheme="majorHAnsi" w:hAnsiTheme="majorHAnsi" w:cstheme="majorHAnsi"/>
                <w:sz w:val="20"/>
                <w:szCs w:val="20"/>
              </w:rPr>
              <w:t>29,1</w:t>
            </w:r>
          </w:p>
        </w:tc>
        <w:tc>
          <w:tcPr>
            <w:tcW w:w="982" w:type="dxa"/>
            <w:vAlign w:val="center"/>
          </w:tcPr>
          <w:p w:rsidR="00E67099" w:rsidRPr="00A15068" w:rsidRDefault="00E67099" w:rsidP="00E67099">
            <w:pPr>
              <w:contextualSpacing/>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15068">
              <w:rPr>
                <w:rFonts w:asciiTheme="majorHAnsi" w:hAnsiTheme="majorHAnsi" w:cstheme="majorHAnsi"/>
                <w:sz w:val="20"/>
                <w:szCs w:val="20"/>
              </w:rPr>
              <w:t>29,1</w:t>
            </w:r>
          </w:p>
        </w:tc>
        <w:tc>
          <w:tcPr>
            <w:tcW w:w="676" w:type="dxa"/>
            <w:vAlign w:val="center"/>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A15068">
              <w:rPr>
                <w:rFonts w:asciiTheme="majorHAnsi" w:hAnsiTheme="majorHAnsi" w:cstheme="majorHAnsi"/>
                <w:color w:val="000000"/>
                <w:sz w:val="20"/>
                <w:szCs w:val="20"/>
              </w:rPr>
              <w:t>0</w:t>
            </w:r>
          </w:p>
        </w:tc>
        <w:tc>
          <w:tcPr>
            <w:tcW w:w="829" w:type="dxa"/>
            <w:vAlign w:val="center"/>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A15068">
              <w:rPr>
                <w:rFonts w:asciiTheme="majorHAnsi" w:hAnsiTheme="majorHAnsi" w:cstheme="majorHAnsi"/>
                <w:color w:val="000000"/>
                <w:sz w:val="20"/>
                <w:szCs w:val="20"/>
              </w:rPr>
              <w:t>-120,9</w:t>
            </w:r>
          </w:p>
        </w:tc>
        <w:tc>
          <w:tcPr>
            <w:tcW w:w="920" w:type="dxa"/>
            <w:vAlign w:val="center"/>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A15068">
              <w:rPr>
                <w:rFonts w:asciiTheme="majorHAnsi" w:hAnsiTheme="majorHAnsi" w:cstheme="majorHAnsi"/>
                <w:color w:val="000000"/>
                <w:sz w:val="20"/>
                <w:szCs w:val="20"/>
              </w:rPr>
              <w:t>100,0%</w:t>
            </w:r>
          </w:p>
        </w:tc>
      </w:tr>
      <w:tr w:rsidR="00E67099" w:rsidRPr="00E67099" w:rsidTr="00A36731">
        <w:trPr>
          <w:jc w:val="center"/>
        </w:trPr>
        <w:tc>
          <w:tcPr>
            <w:cnfStyle w:val="001000000000" w:firstRow="0" w:lastRow="0" w:firstColumn="1" w:lastColumn="0" w:oddVBand="0" w:evenVBand="0" w:oddHBand="0" w:evenHBand="0" w:firstRowFirstColumn="0" w:firstRowLastColumn="0" w:lastRowFirstColumn="0" w:lastRowLastColumn="0"/>
            <w:tcW w:w="6091" w:type="dxa"/>
          </w:tcPr>
          <w:p w:rsidR="00E67099" w:rsidRPr="00A15068" w:rsidRDefault="00E67099" w:rsidP="00E67099">
            <w:pPr>
              <w:contextualSpacing/>
              <w:jc w:val="both"/>
              <w:rPr>
                <w:rFonts w:asciiTheme="majorHAnsi" w:hAnsiTheme="majorHAnsi" w:cstheme="majorHAnsi"/>
                <w:sz w:val="20"/>
                <w:szCs w:val="20"/>
              </w:rPr>
            </w:pPr>
            <w:r w:rsidRPr="00A15068">
              <w:rPr>
                <w:rFonts w:asciiTheme="majorHAnsi" w:hAnsiTheme="majorHAnsi" w:cstheme="majorHAnsi"/>
                <w:sz w:val="20"/>
                <w:szCs w:val="20"/>
              </w:rPr>
              <w:t>împrumuturile acordate, împrumuturile recreditate și mijloacele dezafectate de la buget pentru onorarea garanțiilor în afara sistemului bugetar</w:t>
            </w:r>
          </w:p>
        </w:tc>
        <w:tc>
          <w:tcPr>
            <w:tcW w:w="936" w:type="dxa"/>
            <w:vAlign w:val="center"/>
          </w:tcPr>
          <w:p w:rsidR="00E67099" w:rsidRPr="00A15068" w:rsidRDefault="00E67099" w:rsidP="00E67099">
            <w:pPr>
              <w:contextualSpacing/>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15068">
              <w:rPr>
                <w:rFonts w:asciiTheme="majorHAnsi" w:hAnsiTheme="majorHAnsi" w:cstheme="majorHAnsi"/>
                <w:sz w:val="20"/>
                <w:szCs w:val="20"/>
              </w:rPr>
              <w:t>102,5</w:t>
            </w:r>
          </w:p>
        </w:tc>
        <w:tc>
          <w:tcPr>
            <w:tcW w:w="918" w:type="dxa"/>
            <w:vAlign w:val="center"/>
          </w:tcPr>
          <w:p w:rsidR="00E67099" w:rsidRPr="00A15068" w:rsidRDefault="00E67099" w:rsidP="00E67099">
            <w:pPr>
              <w:contextualSpacing/>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15068">
              <w:rPr>
                <w:rFonts w:asciiTheme="majorHAnsi" w:hAnsiTheme="majorHAnsi" w:cstheme="majorHAnsi"/>
                <w:sz w:val="20"/>
                <w:szCs w:val="20"/>
              </w:rPr>
              <w:t>87,4</w:t>
            </w:r>
          </w:p>
        </w:tc>
        <w:tc>
          <w:tcPr>
            <w:tcW w:w="982" w:type="dxa"/>
            <w:vAlign w:val="center"/>
          </w:tcPr>
          <w:p w:rsidR="00E67099" w:rsidRPr="00A15068" w:rsidRDefault="00E67099" w:rsidP="00E67099">
            <w:pPr>
              <w:contextualSpacing/>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15068">
              <w:rPr>
                <w:rFonts w:asciiTheme="majorHAnsi" w:hAnsiTheme="majorHAnsi" w:cstheme="majorHAnsi"/>
                <w:sz w:val="20"/>
                <w:szCs w:val="20"/>
              </w:rPr>
              <w:t>96,6</w:t>
            </w:r>
          </w:p>
        </w:tc>
        <w:tc>
          <w:tcPr>
            <w:tcW w:w="676" w:type="dxa"/>
            <w:vAlign w:val="center"/>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A15068">
              <w:rPr>
                <w:rFonts w:asciiTheme="majorHAnsi" w:hAnsiTheme="majorHAnsi" w:cstheme="majorHAnsi"/>
                <w:color w:val="000000"/>
                <w:sz w:val="20"/>
                <w:szCs w:val="20"/>
              </w:rPr>
              <w:t>9,2</w:t>
            </w:r>
          </w:p>
        </w:tc>
        <w:tc>
          <w:tcPr>
            <w:tcW w:w="829" w:type="dxa"/>
            <w:vAlign w:val="center"/>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A15068">
              <w:rPr>
                <w:rFonts w:asciiTheme="majorHAnsi" w:hAnsiTheme="majorHAnsi" w:cstheme="majorHAnsi"/>
                <w:color w:val="000000"/>
                <w:sz w:val="20"/>
                <w:szCs w:val="20"/>
              </w:rPr>
              <w:t>-5,9</w:t>
            </w:r>
          </w:p>
        </w:tc>
        <w:tc>
          <w:tcPr>
            <w:tcW w:w="920" w:type="dxa"/>
            <w:vAlign w:val="center"/>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A15068">
              <w:rPr>
                <w:rFonts w:asciiTheme="majorHAnsi" w:hAnsiTheme="majorHAnsi" w:cstheme="majorHAnsi"/>
                <w:color w:val="000000"/>
                <w:sz w:val="20"/>
                <w:szCs w:val="20"/>
              </w:rPr>
              <w:t>110,5%</w:t>
            </w:r>
          </w:p>
        </w:tc>
      </w:tr>
      <w:tr w:rsidR="00E67099" w:rsidRPr="00E67099" w:rsidTr="00A36731">
        <w:trPr>
          <w:jc w:val="center"/>
        </w:trPr>
        <w:tc>
          <w:tcPr>
            <w:cnfStyle w:val="001000000000" w:firstRow="0" w:lastRow="0" w:firstColumn="1" w:lastColumn="0" w:oddVBand="0" w:evenVBand="0" w:oddHBand="0" w:evenHBand="0" w:firstRowFirstColumn="0" w:firstRowLastColumn="0" w:lastRowFirstColumn="0" w:lastRowLastColumn="0"/>
            <w:tcW w:w="6091" w:type="dxa"/>
          </w:tcPr>
          <w:p w:rsidR="00E67099" w:rsidRPr="00A15068" w:rsidRDefault="00E67099" w:rsidP="00E67099">
            <w:pPr>
              <w:contextualSpacing/>
              <w:jc w:val="both"/>
              <w:rPr>
                <w:rFonts w:asciiTheme="majorHAnsi" w:hAnsiTheme="majorHAnsi" w:cstheme="majorHAnsi"/>
                <w:sz w:val="20"/>
                <w:szCs w:val="20"/>
              </w:rPr>
            </w:pPr>
            <w:r w:rsidRPr="00A15068">
              <w:rPr>
                <w:rFonts w:asciiTheme="majorHAnsi" w:hAnsiTheme="majorHAnsi" w:cstheme="majorHAnsi"/>
                <w:sz w:val="20"/>
                <w:szCs w:val="20"/>
              </w:rPr>
              <w:t>împrumuturile acordate și împrumuturile recreditate în interiorul sistemului bugetar</w:t>
            </w:r>
          </w:p>
        </w:tc>
        <w:tc>
          <w:tcPr>
            <w:tcW w:w="936" w:type="dxa"/>
            <w:vAlign w:val="center"/>
          </w:tcPr>
          <w:p w:rsidR="00E67099" w:rsidRPr="00A15068" w:rsidRDefault="00E67099" w:rsidP="00E67099">
            <w:pPr>
              <w:contextualSpacing/>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15068">
              <w:rPr>
                <w:rFonts w:asciiTheme="majorHAnsi" w:hAnsiTheme="majorHAnsi" w:cstheme="majorHAnsi"/>
                <w:sz w:val="20"/>
                <w:szCs w:val="20"/>
              </w:rPr>
              <w:t>6,0</w:t>
            </w:r>
          </w:p>
        </w:tc>
        <w:tc>
          <w:tcPr>
            <w:tcW w:w="918" w:type="dxa"/>
            <w:vAlign w:val="center"/>
          </w:tcPr>
          <w:p w:rsidR="00E67099" w:rsidRPr="00A15068" w:rsidRDefault="00E67099" w:rsidP="00E67099">
            <w:pPr>
              <w:contextualSpacing/>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15068">
              <w:rPr>
                <w:rFonts w:asciiTheme="majorHAnsi" w:hAnsiTheme="majorHAnsi" w:cstheme="majorHAnsi"/>
                <w:sz w:val="20"/>
                <w:szCs w:val="20"/>
              </w:rPr>
              <w:t>5,9</w:t>
            </w:r>
          </w:p>
        </w:tc>
        <w:tc>
          <w:tcPr>
            <w:tcW w:w="982" w:type="dxa"/>
            <w:vAlign w:val="center"/>
          </w:tcPr>
          <w:p w:rsidR="00E67099" w:rsidRPr="00A15068" w:rsidRDefault="00E67099" w:rsidP="00E67099">
            <w:pPr>
              <w:contextualSpacing/>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15068">
              <w:rPr>
                <w:rFonts w:asciiTheme="majorHAnsi" w:hAnsiTheme="majorHAnsi" w:cstheme="majorHAnsi"/>
                <w:sz w:val="20"/>
                <w:szCs w:val="20"/>
              </w:rPr>
              <w:t>5,4</w:t>
            </w:r>
          </w:p>
        </w:tc>
        <w:tc>
          <w:tcPr>
            <w:tcW w:w="676" w:type="dxa"/>
            <w:vAlign w:val="center"/>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A15068">
              <w:rPr>
                <w:rFonts w:asciiTheme="majorHAnsi" w:hAnsiTheme="majorHAnsi" w:cstheme="majorHAnsi"/>
                <w:color w:val="000000"/>
                <w:sz w:val="20"/>
                <w:szCs w:val="20"/>
              </w:rPr>
              <w:t>-0,5</w:t>
            </w:r>
          </w:p>
        </w:tc>
        <w:tc>
          <w:tcPr>
            <w:tcW w:w="829" w:type="dxa"/>
            <w:vAlign w:val="center"/>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A15068">
              <w:rPr>
                <w:rFonts w:asciiTheme="majorHAnsi" w:hAnsiTheme="majorHAnsi" w:cstheme="majorHAnsi"/>
                <w:color w:val="000000"/>
                <w:sz w:val="20"/>
                <w:szCs w:val="20"/>
              </w:rPr>
              <w:t>-0,6</w:t>
            </w:r>
          </w:p>
        </w:tc>
        <w:tc>
          <w:tcPr>
            <w:tcW w:w="920" w:type="dxa"/>
            <w:vAlign w:val="center"/>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A15068">
              <w:rPr>
                <w:rFonts w:asciiTheme="majorHAnsi" w:hAnsiTheme="majorHAnsi" w:cstheme="majorHAnsi"/>
                <w:color w:val="000000"/>
                <w:sz w:val="20"/>
                <w:szCs w:val="20"/>
              </w:rPr>
              <w:t>91,5%</w:t>
            </w:r>
          </w:p>
        </w:tc>
      </w:tr>
    </w:tbl>
    <w:p w:rsidR="00E67099" w:rsidRPr="00E67099" w:rsidRDefault="00E67099" w:rsidP="00E67099">
      <w:pPr>
        <w:spacing w:after="0" w:line="276" w:lineRule="auto"/>
        <w:ind w:left="993"/>
        <w:contextualSpacing/>
        <w:jc w:val="both"/>
        <w:rPr>
          <w:rFonts w:asciiTheme="majorHAnsi" w:hAnsiTheme="majorHAnsi" w:cstheme="majorHAnsi"/>
          <w:i/>
          <w:sz w:val="20"/>
          <w:szCs w:val="20"/>
        </w:rPr>
      </w:pPr>
      <w:r w:rsidRPr="00E67099">
        <w:rPr>
          <w:rFonts w:asciiTheme="majorHAnsi" w:hAnsiTheme="majorHAnsi" w:cstheme="majorHAnsi"/>
          <w:b/>
          <w:i/>
          <w:sz w:val="20"/>
          <w:szCs w:val="20"/>
        </w:rPr>
        <w:t>Sursă:</w:t>
      </w:r>
      <w:r w:rsidRPr="00E67099">
        <w:rPr>
          <w:rFonts w:asciiTheme="majorHAnsi" w:hAnsiTheme="majorHAnsi" w:cstheme="majorHAnsi"/>
          <w:i/>
          <w:sz w:val="20"/>
          <w:szCs w:val="20"/>
        </w:rPr>
        <w:t xml:space="preserve"> Raportul privind executarea bugetului conform clasificației economice la situația din 31.12.2019.</w:t>
      </w:r>
    </w:p>
    <w:p w:rsidR="00422E79" w:rsidRDefault="00422E79" w:rsidP="00E67099">
      <w:pPr>
        <w:shd w:val="clear" w:color="auto" w:fill="FFFFFF" w:themeFill="background1"/>
        <w:tabs>
          <w:tab w:val="left" w:pos="284"/>
          <w:tab w:val="left" w:pos="567"/>
          <w:tab w:val="left" w:pos="6237"/>
          <w:tab w:val="left" w:pos="6379"/>
        </w:tabs>
        <w:spacing w:after="0" w:line="276" w:lineRule="auto"/>
        <w:contextualSpacing/>
        <w:jc w:val="right"/>
        <w:rPr>
          <w:rFonts w:asciiTheme="majorHAnsi" w:eastAsia="Times New Roman" w:hAnsiTheme="majorHAnsi" w:cstheme="majorHAnsi"/>
          <w:b/>
          <w:i/>
          <w:sz w:val="24"/>
          <w:szCs w:val="24"/>
        </w:rPr>
      </w:pPr>
    </w:p>
    <w:p w:rsidR="00F71B6E" w:rsidRDefault="00F71B6E" w:rsidP="00E67099">
      <w:pPr>
        <w:shd w:val="clear" w:color="auto" w:fill="FFFFFF" w:themeFill="background1"/>
        <w:tabs>
          <w:tab w:val="left" w:pos="284"/>
          <w:tab w:val="left" w:pos="567"/>
          <w:tab w:val="left" w:pos="6237"/>
          <w:tab w:val="left" w:pos="6379"/>
        </w:tabs>
        <w:spacing w:after="0" w:line="276" w:lineRule="auto"/>
        <w:contextualSpacing/>
        <w:jc w:val="right"/>
        <w:rPr>
          <w:rFonts w:asciiTheme="majorHAnsi" w:eastAsia="Times New Roman" w:hAnsiTheme="majorHAnsi" w:cstheme="majorHAnsi"/>
          <w:b/>
          <w:i/>
          <w:sz w:val="24"/>
          <w:szCs w:val="24"/>
        </w:rPr>
      </w:pPr>
    </w:p>
    <w:p w:rsidR="00F71B6E" w:rsidRDefault="00F71B6E" w:rsidP="00E67099">
      <w:pPr>
        <w:shd w:val="clear" w:color="auto" w:fill="FFFFFF" w:themeFill="background1"/>
        <w:tabs>
          <w:tab w:val="left" w:pos="284"/>
          <w:tab w:val="left" w:pos="567"/>
          <w:tab w:val="left" w:pos="6237"/>
          <w:tab w:val="left" w:pos="6379"/>
        </w:tabs>
        <w:spacing w:after="0" w:line="276" w:lineRule="auto"/>
        <w:contextualSpacing/>
        <w:jc w:val="right"/>
        <w:rPr>
          <w:rFonts w:asciiTheme="majorHAnsi" w:eastAsia="Times New Roman" w:hAnsiTheme="majorHAnsi" w:cstheme="majorHAnsi"/>
          <w:b/>
          <w:i/>
          <w:sz w:val="24"/>
          <w:szCs w:val="24"/>
        </w:rPr>
      </w:pPr>
    </w:p>
    <w:p w:rsidR="00F71B6E" w:rsidRDefault="00F71B6E" w:rsidP="00E67099">
      <w:pPr>
        <w:shd w:val="clear" w:color="auto" w:fill="FFFFFF" w:themeFill="background1"/>
        <w:tabs>
          <w:tab w:val="left" w:pos="284"/>
          <w:tab w:val="left" w:pos="567"/>
          <w:tab w:val="left" w:pos="6237"/>
          <w:tab w:val="left" w:pos="6379"/>
        </w:tabs>
        <w:spacing w:after="0" w:line="276" w:lineRule="auto"/>
        <w:contextualSpacing/>
        <w:jc w:val="right"/>
        <w:rPr>
          <w:rFonts w:asciiTheme="majorHAnsi" w:eastAsia="Times New Roman" w:hAnsiTheme="majorHAnsi" w:cstheme="majorHAnsi"/>
          <w:b/>
          <w:i/>
          <w:sz w:val="24"/>
          <w:szCs w:val="24"/>
        </w:rPr>
      </w:pPr>
    </w:p>
    <w:p w:rsidR="00F71B6E" w:rsidRDefault="00F71B6E" w:rsidP="00E67099">
      <w:pPr>
        <w:shd w:val="clear" w:color="auto" w:fill="FFFFFF" w:themeFill="background1"/>
        <w:tabs>
          <w:tab w:val="left" w:pos="284"/>
          <w:tab w:val="left" w:pos="567"/>
          <w:tab w:val="left" w:pos="6237"/>
          <w:tab w:val="left" w:pos="6379"/>
        </w:tabs>
        <w:spacing w:after="0" w:line="276" w:lineRule="auto"/>
        <w:contextualSpacing/>
        <w:jc w:val="right"/>
        <w:rPr>
          <w:rFonts w:asciiTheme="majorHAnsi" w:eastAsia="Times New Roman" w:hAnsiTheme="majorHAnsi" w:cstheme="majorHAnsi"/>
          <w:b/>
          <w:i/>
          <w:sz w:val="24"/>
          <w:szCs w:val="24"/>
        </w:rPr>
      </w:pPr>
    </w:p>
    <w:p w:rsidR="00F71B6E" w:rsidRDefault="00F71B6E" w:rsidP="00E67099">
      <w:pPr>
        <w:shd w:val="clear" w:color="auto" w:fill="FFFFFF" w:themeFill="background1"/>
        <w:tabs>
          <w:tab w:val="left" w:pos="284"/>
          <w:tab w:val="left" w:pos="567"/>
          <w:tab w:val="left" w:pos="6237"/>
          <w:tab w:val="left" w:pos="6379"/>
        </w:tabs>
        <w:spacing w:after="0" w:line="276" w:lineRule="auto"/>
        <w:contextualSpacing/>
        <w:jc w:val="right"/>
        <w:rPr>
          <w:rFonts w:asciiTheme="majorHAnsi" w:eastAsia="Times New Roman" w:hAnsiTheme="majorHAnsi" w:cstheme="majorHAnsi"/>
          <w:b/>
          <w:i/>
          <w:sz w:val="24"/>
          <w:szCs w:val="24"/>
        </w:rPr>
      </w:pPr>
    </w:p>
    <w:p w:rsidR="00E67099" w:rsidRPr="00E67099" w:rsidRDefault="00E67099" w:rsidP="00E67099">
      <w:pPr>
        <w:shd w:val="clear" w:color="auto" w:fill="FFFFFF" w:themeFill="background1"/>
        <w:tabs>
          <w:tab w:val="left" w:pos="284"/>
          <w:tab w:val="left" w:pos="567"/>
          <w:tab w:val="left" w:pos="6237"/>
          <w:tab w:val="left" w:pos="6379"/>
        </w:tabs>
        <w:spacing w:after="0" w:line="276" w:lineRule="auto"/>
        <w:contextualSpacing/>
        <w:jc w:val="right"/>
        <w:rPr>
          <w:rFonts w:asciiTheme="majorHAnsi" w:eastAsia="Times New Roman" w:hAnsiTheme="majorHAnsi" w:cstheme="majorHAnsi"/>
          <w:b/>
          <w:i/>
          <w:sz w:val="24"/>
          <w:szCs w:val="24"/>
        </w:rPr>
      </w:pPr>
      <w:r w:rsidRPr="00E67099">
        <w:rPr>
          <w:rFonts w:asciiTheme="majorHAnsi" w:eastAsia="Times New Roman" w:hAnsiTheme="majorHAnsi" w:cstheme="majorHAnsi"/>
          <w:b/>
          <w:i/>
          <w:sz w:val="24"/>
          <w:szCs w:val="24"/>
        </w:rPr>
        <w:t>Anexa nr.7</w:t>
      </w:r>
    </w:p>
    <w:p w:rsidR="00E67099" w:rsidRPr="00E67099" w:rsidRDefault="00E67099" w:rsidP="00E67099">
      <w:pPr>
        <w:spacing w:after="0" w:line="276" w:lineRule="auto"/>
        <w:ind w:firstLine="720"/>
        <w:jc w:val="center"/>
        <w:rPr>
          <w:rFonts w:asciiTheme="majorHAnsi" w:hAnsiTheme="majorHAnsi" w:cstheme="majorHAnsi"/>
          <w:b/>
          <w:sz w:val="24"/>
          <w:szCs w:val="24"/>
        </w:rPr>
      </w:pPr>
      <w:r w:rsidRPr="00E67099">
        <w:rPr>
          <w:rFonts w:asciiTheme="majorHAnsi" w:hAnsiTheme="majorHAnsi" w:cstheme="majorHAnsi"/>
          <w:b/>
          <w:sz w:val="24"/>
          <w:szCs w:val="24"/>
        </w:rPr>
        <w:t xml:space="preserve">Sinteza veniturilor bugetului de stat executate și raportate de către Ministerul Finanțelor și Serviciul Fiscal de Stat pentru anul 2019, la care echipa de audit a solicitat confirmarea veniturilor executate de la administratorii de venituri care au calculat veniturile la BS </w:t>
      </w:r>
    </w:p>
    <w:p w:rsidR="00E67099" w:rsidRPr="00E67099" w:rsidRDefault="00E67099" w:rsidP="00E67099">
      <w:pPr>
        <w:shd w:val="clear" w:color="auto" w:fill="FFFFFF" w:themeFill="background1"/>
        <w:tabs>
          <w:tab w:val="left" w:pos="284"/>
          <w:tab w:val="left" w:pos="993"/>
          <w:tab w:val="left" w:pos="6663"/>
        </w:tabs>
        <w:spacing w:after="0" w:line="276" w:lineRule="auto"/>
        <w:jc w:val="right"/>
        <w:rPr>
          <w:rFonts w:asciiTheme="majorHAnsi" w:eastAsia="Times New Roman" w:hAnsiTheme="majorHAnsi" w:cstheme="majorHAnsi"/>
          <w:b/>
          <w:i/>
          <w:sz w:val="24"/>
          <w:szCs w:val="24"/>
        </w:rPr>
      </w:pPr>
    </w:p>
    <w:tbl>
      <w:tblPr>
        <w:tblStyle w:val="GridTable1Light4"/>
        <w:tblW w:w="13745" w:type="dxa"/>
        <w:tblLook w:val="04A0" w:firstRow="1" w:lastRow="0" w:firstColumn="1" w:lastColumn="0" w:noHBand="0" w:noVBand="1"/>
      </w:tblPr>
      <w:tblGrid>
        <w:gridCol w:w="584"/>
        <w:gridCol w:w="971"/>
        <w:gridCol w:w="3260"/>
        <w:gridCol w:w="1176"/>
        <w:gridCol w:w="1450"/>
        <w:gridCol w:w="1202"/>
        <w:gridCol w:w="1450"/>
        <w:gridCol w:w="1450"/>
        <w:gridCol w:w="2202"/>
      </w:tblGrid>
      <w:tr w:rsidR="00E67099" w:rsidRPr="00E67099" w:rsidTr="00A36731">
        <w:trPr>
          <w:cnfStyle w:val="100000000000" w:firstRow="1" w:lastRow="0" w:firstColumn="0" w:lastColumn="0" w:oddVBand="0" w:evenVBand="0" w:oddHBand="0" w:evenHBand="0" w:firstRowFirstColumn="0" w:firstRowLastColumn="0" w:lastRowFirstColumn="0" w:lastRowLastColumn="0"/>
          <w:trHeight w:val="1595"/>
        </w:trPr>
        <w:tc>
          <w:tcPr>
            <w:cnfStyle w:val="001000000000" w:firstRow="0" w:lastRow="0" w:firstColumn="1" w:lastColumn="0" w:oddVBand="0" w:evenVBand="0" w:oddHBand="0" w:evenHBand="0" w:firstRowFirstColumn="0" w:firstRowLastColumn="0" w:lastRowFirstColumn="0" w:lastRowLastColumn="0"/>
            <w:tcW w:w="584" w:type="dxa"/>
            <w:vAlign w:val="center"/>
          </w:tcPr>
          <w:p w:rsidR="00E67099" w:rsidRPr="00E67099" w:rsidRDefault="00E67099" w:rsidP="00E67099">
            <w:pPr>
              <w:jc w:val="center"/>
              <w:rPr>
                <w:rFonts w:asciiTheme="majorHAnsi" w:hAnsiTheme="majorHAnsi" w:cstheme="majorHAnsi"/>
                <w:sz w:val="20"/>
                <w:szCs w:val="20"/>
              </w:rPr>
            </w:pPr>
            <w:r w:rsidRPr="00E67099">
              <w:rPr>
                <w:rFonts w:asciiTheme="majorHAnsi" w:hAnsiTheme="majorHAnsi" w:cstheme="majorHAnsi"/>
                <w:sz w:val="20"/>
                <w:szCs w:val="20"/>
              </w:rPr>
              <w:t>Nr. d/o</w:t>
            </w:r>
          </w:p>
        </w:tc>
        <w:tc>
          <w:tcPr>
            <w:tcW w:w="971" w:type="dxa"/>
            <w:vAlign w:val="center"/>
          </w:tcPr>
          <w:p w:rsidR="00E67099" w:rsidRPr="00E67099" w:rsidRDefault="00E67099" w:rsidP="00E6709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Cod ECO</w:t>
            </w:r>
          </w:p>
        </w:tc>
        <w:tc>
          <w:tcPr>
            <w:tcW w:w="3260" w:type="dxa"/>
            <w:vAlign w:val="center"/>
          </w:tcPr>
          <w:p w:rsidR="00E67099" w:rsidRPr="00E67099" w:rsidRDefault="00E67099" w:rsidP="00E6709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Denumirea clasificației economice</w:t>
            </w:r>
          </w:p>
        </w:tc>
        <w:tc>
          <w:tcPr>
            <w:tcW w:w="1176" w:type="dxa"/>
            <w:vAlign w:val="center"/>
          </w:tcPr>
          <w:p w:rsidR="00E67099" w:rsidRPr="00E67099" w:rsidRDefault="00E67099" w:rsidP="00E6709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Suma executată conform datelor MF, mii lei</w:t>
            </w:r>
          </w:p>
        </w:tc>
        <w:tc>
          <w:tcPr>
            <w:tcW w:w="1450" w:type="dxa"/>
            <w:vAlign w:val="center"/>
          </w:tcPr>
          <w:p w:rsidR="00E67099" w:rsidRPr="00E67099" w:rsidRDefault="00E67099" w:rsidP="00E6709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Suma executată confirmată de administratori, la solicitarea echipei de audit</w:t>
            </w:r>
          </w:p>
          <w:p w:rsidR="00E67099" w:rsidRPr="00E67099" w:rsidRDefault="00E67099" w:rsidP="00E6709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202" w:type="dxa"/>
            <w:vAlign w:val="center"/>
          </w:tcPr>
          <w:p w:rsidR="00E67099" w:rsidRPr="00E67099" w:rsidRDefault="00E67099" w:rsidP="00E6709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Devieri</w:t>
            </w:r>
          </w:p>
          <w:p w:rsidR="00E67099" w:rsidRPr="00E67099" w:rsidRDefault="00E67099" w:rsidP="00E6709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w:t>
            </w:r>
          </w:p>
        </w:tc>
        <w:tc>
          <w:tcPr>
            <w:tcW w:w="1450" w:type="dxa"/>
            <w:vAlign w:val="center"/>
          </w:tcPr>
          <w:p w:rsidR="00E67099" w:rsidRPr="00E67099" w:rsidRDefault="00E67099" w:rsidP="00E6709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Devieri</w:t>
            </w:r>
          </w:p>
          <w:p w:rsidR="00E67099" w:rsidRPr="00E67099" w:rsidRDefault="00E67099" w:rsidP="00E6709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w:t>
            </w:r>
          </w:p>
        </w:tc>
        <w:tc>
          <w:tcPr>
            <w:tcW w:w="1450" w:type="dxa"/>
            <w:vAlign w:val="center"/>
          </w:tcPr>
          <w:p w:rsidR="00E67099" w:rsidRPr="00E67099" w:rsidRDefault="00E67099" w:rsidP="00E6709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Administrator de venituri conform Ordinului MF nr.205 din 21.12.2018</w:t>
            </w:r>
          </w:p>
        </w:tc>
        <w:tc>
          <w:tcPr>
            <w:tcW w:w="2202" w:type="dxa"/>
            <w:vAlign w:val="center"/>
          </w:tcPr>
          <w:p w:rsidR="00E67099" w:rsidRPr="00E67099" w:rsidRDefault="00E67099" w:rsidP="00E6709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Administrator de venituri conform cadrului legal</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584" w:type="dxa"/>
          </w:tcPr>
          <w:p w:rsidR="00E67099" w:rsidRPr="00E67099" w:rsidRDefault="00E67099" w:rsidP="00E67099">
            <w:pPr>
              <w:jc w:val="center"/>
              <w:rPr>
                <w:rFonts w:asciiTheme="majorHAnsi" w:hAnsiTheme="majorHAnsi" w:cstheme="majorHAnsi"/>
                <w:sz w:val="20"/>
                <w:szCs w:val="20"/>
              </w:rPr>
            </w:pPr>
            <w:r w:rsidRPr="00E67099">
              <w:rPr>
                <w:rFonts w:asciiTheme="majorHAnsi" w:hAnsiTheme="majorHAnsi" w:cstheme="majorHAnsi"/>
                <w:sz w:val="20"/>
                <w:szCs w:val="20"/>
              </w:rPr>
              <w:t>1</w:t>
            </w:r>
          </w:p>
        </w:tc>
        <w:tc>
          <w:tcPr>
            <w:tcW w:w="971"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114632</w:t>
            </w:r>
          </w:p>
        </w:tc>
        <w:tc>
          <w:tcPr>
            <w:tcW w:w="3260" w:type="dxa"/>
          </w:tcPr>
          <w:p w:rsidR="00E67099" w:rsidRPr="00E67099" w:rsidRDefault="00E67099" w:rsidP="00E6709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Taxa pentru folosirea drumurilor de către autovehiculele neînmatriculate în RM ale căror masă totală, sarcină masică pe axă sau ale căror dimensiuni depășesc limitele admise</w:t>
            </w:r>
          </w:p>
        </w:tc>
        <w:tc>
          <w:tcPr>
            <w:tcW w:w="1176" w:type="dxa"/>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11021,89</w:t>
            </w:r>
          </w:p>
        </w:tc>
        <w:tc>
          <w:tcPr>
            <w:tcW w:w="1450"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3847,9</w:t>
            </w:r>
          </w:p>
        </w:tc>
        <w:tc>
          <w:tcPr>
            <w:tcW w:w="1202"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7174,0</w:t>
            </w:r>
          </w:p>
        </w:tc>
        <w:tc>
          <w:tcPr>
            <w:tcW w:w="1450"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50"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MF</w:t>
            </w:r>
          </w:p>
        </w:tc>
        <w:tc>
          <w:tcPr>
            <w:tcW w:w="2202" w:type="dxa"/>
          </w:tcPr>
          <w:p w:rsidR="00E67099" w:rsidRPr="00E67099" w:rsidRDefault="00E67099" w:rsidP="00E6709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Agenția Națională Transport Auto</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584" w:type="dxa"/>
          </w:tcPr>
          <w:p w:rsidR="00E67099" w:rsidRPr="00E67099" w:rsidRDefault="00E67099" w:rsidP="00E67099">
            <w:pPr>
              <w:jc w:val="center"/>
              <w:rPr>
                <w:rFonts w:asciiTheme="majorHAnsi" w:hAnsiTheme="majorHAnsi" w:cstheme="majorHAnsi"/>
                <w:sz w:val="20"/>
                <w:szCs w:val="20"/>
              </w:rPr>
            </w:pPr>
            <w:r w:rsidRPr="00E67099">
              <w:rPr>
                <w:rFonts w:asciiTheme="majorHAnsi" w:hAnsiTheme="majorHAnsi" w:cstheme="majorHAnsi"/>
                <w:sz w:val="20"/>
                <w:szCs w:val="20"/>
              </w:rPr>
              <w:t>2</w:t>
            </w:r>
          </w:p>
        </w:tc>
        <w:tc>
          <w:tcPr>
            <w:tcW w:w="971"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141541</w:t>
            </w:r>
          </w:p>
        </w:tc>
        <w:tc>
          <w:tcPr>
            <w:tcW w:w="3260" w:type="dxa"/>
          </w:tcPr>
          <w:p w:rsidR="00E67099" w:rsidRPr="00E67099" w:rsidRDefault="00E67099" w:rsidP="00E6709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Redevența din concesionarea activelor și terenurilor aferente</w:t>
            </w:r>
          </w:p>
        </w:tc>
        <w:tc>
          <w:tcPr>
            <w:tcW w:w="1176" w:type="dxa"/>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2727,88</w:t>
            </w:r>
          </w:p>
        </w:tc>
        <w:tc>
          <w:tcPr>
            <w:tcW w:w="1450"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2727,25</w:t>
            </w:r>
          </w:p>
        </w:tc>
        <w:tc>
          <w:tcPr>
            <w:tcW w:w="1202"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0,6</w:t>
            </w:r>
          </w:p>
        </w:tc>
        <w:tc>
          <w:tcPr>
            <w:tcW w:w="1450"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50"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MF</w:t>
            </w:r>
          </w:p>
        </w:tc>
        <w:tc>
          <w:tcPr>
            <w:tcW w:w="2202" w:type="dxa"/>
          </w:tcPr>
          <w:p w:rsidR="00E67099" w:rsidRPr="00E67099" w:rsidRDefault="00E67099" w:rsidP="00E6709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Ministerul Economiei și Infrastructurii</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584" w:type="dxa"/>
          </w:tcPr>
          <w:p w:rsidR="00E67099" w:rsidRPr="00E67099" w:rsidRDefault="00E67099" w:rsidP="00E67099">
            <w:pPr>
              <w:jc w:val="center"/>
              <w:rPr>
                <w:rFonts w:asciiTheme="majorHAnsi" w:hAnsiTheme="majorHAnsi" w:cstheme="majorHAnsi"/>
                <w:sz w:val="20"/>
                <w:szCs w:val="20"/>
              </w:rPr>
            </w:pPr>
            <w:r w:rsidRPr="00E67099">
              <w:rPr>
                <w:rFonts w:asciiTheme="majorHAnsi" w:hAnsiTheme="majorHAnsi" w:cstheme="majorHAnsi"/>
                <w:sz w:val="20"/>
                <w:szCs w:val="20"/>
              </w:rPr>
              <w:t>3</w:t>
            </w:r>
          </w:p>
        </w:tc>
        <w:tc>
          <w:tcPr>
            <w:tcW w:w="971"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142219</w:t>
            </w:r>
          </w:p>
        </w:tc>
        <w:tc>
          <w:tcPr>
            <w:tcW w:w="3260" w:type="dxa"/>
          </w:tcPr>
          <w:p w:rsidR="00E67099" w:rsidRPr="00E67099" w:rsidRDefault="00E67099" w:rsidP="00E6709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Taxele percepute de la participanții privați pentru schimbul de date prin platforma interoperabilitate</w:t>
            </w:r>
          </w:p>
        </w:tc>
        <w:tc>
          <w:tcPr>
            <w:tcW w:w="1176" w:type="dxa"/>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63,01</w:t>
            </w:r>
          </w:p>
        </w:tc>
        <w:tc>
          <w:tcPr>
            <w:tcW w:w="1450"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63,01</w:t>
            </w:r>
          </w:p>
        </w:tc>
        <w:tc>
          <w:tcPr>
            <w:tcW w:w="1202"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0,0</w:t>
            </w:r>
          </w:p>
        </w:tc>
        <w:tc>
          <w:tcPr>
            <w:tcW w:w="1450"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50"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MF</w:t>
            </w:r>
          </w:p>
        </w:tc>
        <w:tc>
          <w:tcPr>
            <w:tcW w:w="2202" w:type="dxa"/>
          </w:tcPr>
          <w:p w:rsidR="00E67099" w:rsidRPr="00E67099" w:rsidRDefault="00E67099" w:rsidP="00E6709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Agenția de Guvernare Electronică</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584" w:type="dxa"/>
          </w:tcPr>
          <w:p w:rsidR="00E67099" w:rsidRPr="00E67099" w:rsidRDefault="00E67099" w:rsidP="00E67099">
            <w:pPr>
              <w:jc w:val="center"/>
              <w:rPr>
                <w:rFonts w:asciiTheme="majorHAnsi" w:hAnsiTheme="majorHAnsi" w:cstheme="majorHAnsi"/>
                <w:sz w:val="20"/>
                <w:szCs w:val="20"/>
              </w:rPr>
            </w:pPr>
            <w:r w:rsidRPr="00E67099">
              <w:rPr>
                <w:rFonts w:asciiTheme="majorHAnsi" w:hAnsiTheme="majorHAnsi" w:cstheme="majorHAnsi"/>
                <w:sz w:val="20"/>
                <w:szCs w:val="20"/>
              </w:rPr>
              <w:t>4</w:t>
            </w:r>
          </w:p>
        </w:tc>
        <w:tc>
          <w:tcPr>
            <w:tcW w:w="971"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143112</w:t>
            </w:r>
          </w:p>
        </w:tc>
        <w:tc>
          <w:tcPr>
            <w:tcW w:w="3260" w:type="dxa"/>
          </w:tcPr>
          <w:p w:rsidR="00E67099" w:rsidRPr="00E67099" w:rsidRDefault="00E67099" w:rsidP="00E6709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Amenzi și sancțiuni contravenționale, aplicate pentru neachitarea vinietei, încasate în bugetul de stat</w:t>
            </w:r>
          </w:p>
        </w:tc>
        <w:tc>
          <w:tcPr>
            <w:tcW w:w="1176" w:type="dxa"/>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1860,44</w:t>
            </w:r>
          </w:p>
        </w:tc>
        <w:tc>
          <w:tcPr>
            <w:tcW w:w="1450"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3108,9</w:t>
            </w:r>
          </w:p>
        </w:tc>
        <w:tc>
          <w:tcPr>
            <w:tcW w:w="1202"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50"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-1248,5</w:t>
            </w:r>
          </w:p>
        </w:tc>
        <w:tc>
          <w:tcPr>
            <w:tcW w:w="1450"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MF</w:t>
            </w:r>
          </w:p>
        </w:tc>
        <w:tc>
          <w:tcPr>
            <w:tcW w:w="2202" w:type="dxa"/>
          </w:tcPr>
          <w:p w:rsidR="00E67099" w:rsidRPr="00E67099" w:rsidRDefault="00E67099" w:rsidP="00E6709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Inspectoratul General al Poliției și Poliția de Frontieră</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584" w:type="dxa"/>
          </w:tcPr>
          <w:p w:rsidR="00E67099" w:rsidRPr="00E67099" w:rsidRDefault="00E67099" w:rsidP="00E67099">
            <w:pPr>
              <w:jc w:val="center"/>
              <w:rPr>
                <w:rFonts w:asciiTheme="majorHAnsi" w:hAnsiTheme="majorHAnsi" w:cstheme="majorHAnsi"/>
                <w:sz w:val="20"/>
                <w:szCs w:val="20"/>
              </w:rPr>
            </w:pPr>
            <w:r w:rsidRPr="00E67099">
              <w:rPr>
                <w:rFonts w:asciiTheme="majorHAnsi" w:hAnsiTheme="majorHAnsi" w:cstheme="majorHAnsi"/>
                <w:sz w:val="20"/>
                <w:szCs w:val="20"/>
              </w:rPr>
              <w:t>5</w:t>
            </w:r>
          </w:p>
        </w:tc>
        <w:tc>
          <w:tcPr>
            <w:tcW w:w="971"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143115</w:t>
            </w:r>
          </w:p>
        </w:tc>
        <w:tc>
          <w:tcPr>
            <w:tcW w:w="3260" w:type="dxa"/>
          </w:tcPr>
          <w:p w:rsidR="00E67099" w:rsidRPr="00E67099" w:rsidRDefault="00E67099" w:rsidP="00E6709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Amenzi aplicate de către Agenția Achiziții Publice</w:t>
            </w:r>
          </w:p>
        </w:tc>
        <w:tc>
          <w:tcPr>
            <w:tcW w:w="1176" w:type="dxa"/>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0,68</w:t>
            </w:r>
          </w:p>
        </w:tc>
        <w:tc>
          <w:tcPr>
            <w:tcW w:w="1450"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2,1</w:t>
            </w:r>
          </w:p>
        </w:tc>
        <w:tc>
          <w:tcPr>
            <w:tcW w:w="1202"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50"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-1,4</w:t>
            </w:r>
          </w:p>
        </w:tc>
        <w:tc>
          <w:tcPr>
            <w:tcW w:w="1450"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MF</w:t>
            </w:r>
          </w:p>
        </w:tc>
        <w:tc>
          <w:tcPr>
            <w:tcW w:w="2202" w:type="dxa"/>
          </w:tcPr>
          <w:p w:rsidR="00E67099" w:rsidRPr="00E67099" w:rsidRDefault="00E67099" w:rsidP="00E6709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Agenția Achiziții Publice</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584" w:type="dxa"/>
          </w:tcPr>
          <w:p w:rsidR="00E67099" w:rsidRPr="00E67099" w:rsidRDefault="00E67099" w:rsidP="00E67099">
            <w:pPr>
              <w:jc w:val="center"/>
              <w:rPr>
                <w:rFonts w:asciiTheme="majorHAnsi" w:hAnsiTheme="majorHAnsi" w:cstheme="majorHAnsi"/>
                <w:sz w:val="20"/>
                <w:szCs w:val="20"/>
              </w:rPr>
            </w:pPr>
            <w:r w:rsidRPr="00E67099">
              <w:rPr>
                <w:rFonts w:asciiTheme="majorHAnsi" w:hAnsiTheme="majorHAnsi" w:cstheme="majorHAnsi"/>
                <w:sz w:val="20"/>
                <w:szCs w:val="20"/>
              </w:rPr>
              <w:t>6</w:t>
            </w:r>
          </w:p>
        </w:tc>
        <w:tc>
          <w:tcPr>
            <w:tcW w:w="971"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143460</w:t>
            </w:r>
          </w:p>
        </w:tc>
        <w:tc>
          <w:tcPr>
            <w:tcW w:w="3260" w:type="dxa"/>
          </w:tcPr>
          <w:p w:rsidR="00E67099" w:rsidRPr="00E67099" w:rsidRDefault="00E67099" w:rsidP="00E6709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Amenzi aplicate de Agenția pentru Protecția Consumatorilor și Supravegherea Pieței</w:t>
            </w:r>
          </w:p>
        </w:tc>
        <w:tc>
          <w:tcPr>
            <w:tcW w:w="1176" w:type="dxa"/>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444,92</w:t>
            </w:r>
          </w:p>
        </w:tc>
        <w:tc>
          <w:tcPr>
            <w:tcW w:w="1450"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445,4</w:t>
            </w:r>
          </w:p>
        </w:tc>
        <w:tc>
          <w:tcPr>
            <w:tcW w:w="1202"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50"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-0,5</w:t>
            </w:r>
          </w:p>
        </w:tc>
        <w:tc>
          <w:tcPr>
            <w:tcW w:w="1450"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MF</w:t>
            </w:r>
          </w:p>
        </w:tc>
        <w:tc>
          <w:tcPr>
            <w:tcW w:w="2202" w:type="dxa"/>
          </w:tcPr>
          <w:p w:rsidR="00E67099" w:rsidRPr="00E67099" w:rsidRDefault="00E67099" w:rsidP="00E6709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Agenția pentru Protecția Consumatorilor și Supravegherea Pieței</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4815" w:type="dxa"/>
            <w:gridSpan w:val="3"/>
            <w:shd w:val="clear" w:color="auto" w:fill="F2F2F2" w:themeFill="background1" w:themeFillShade="F2"/>
          </w:tcPr>
          <w:p w:rsidR="00E67099" w:rsidRPr="00E67099" w:rsidRDefault="00E67099" w:rsidP="00E67099">
            <w:pPr>
              <w:spacing w:line="276" w:lineRule="auto"/>
              <w:jc w:val="both"/>
              <w:rPr>
                <w:rFonts w:asciiTheme="majorHAnsi" w:hAnsiTheme="majorHAnsi" w:cstheme="majorHAnsi"/>
                <w:sz w:val="20"/>
                <w:szCs w:val="20"/>
              </w:rPr>
            </w:pPr>
            <w:r w:rsidRPr="00E67099">
              <w:rPr>
                <w:rFonts w:asciiTheme="majorHAnsi" w:hAnsiTheme="majorHAnsi" w:cstheme="majorHAnsi"/>
                <w:sz w:val="20"/>
                <w:szCs w:val="20"/>
              </w:rPr>
              <w:t>Total</w:t>
            </w:r>
          </w:p>
        </w:tc>
        <w:tc>
          <w:tcPr>
            <w:tcW w:w="1176" w:type="dxa"/>
            <w:shd w:val="clear" w:color="auto" w:fill="F2F2F2" w:themeFill="background1" w:themeFillShade="F2"/>
          </w:tcPr>
          <w:p w:rsidR="00E67099" w:rsidRPr="00E67099" w:rsidRDefault="00E67099" w:rsidP="00E67099">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E67099">
              <w:rPr>
                <w:rFonts w:asciiTheme="majorHAnsi" w:hAnsiTheme="majorHAnsi" w:cstheme="majorHAnsi"/>
                <w:b/>
                <w:sz w:val="20"/>
                <w:szCs w:val="20"/>
              </w:rPr>
              <w:t>16 118,8</w:t>
            </w:r>
          </w:p>
        </w:tc>
        <w:tc>
          <w:tcPr>
            <w:tcW w:w="1450" w:type="dxa"/>
            <w:shd w:val="clear" w:color="auto" w:fill="F2F2F2" w:themeFill="background1" w:themeFillShade="F2"/>
          </w:tcPr>
          <w:p w:rsidR="00E67099" w:rsidRPr="00E67099" w:rsidRDefault="00E67099" w:rsidP="00E670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E67099">
              <w:rPr>
                <w:rFonts w:asciiTheme="majorHAnsi" w:hAnsiTheme="majorHAnsi" w:cstheme="majorHAnsi"/>
                <w:b/>
                <w:sz w:val="20"/>
                <w:szCs w:val="20"/>
              </w:rPr>
              <w:t>10 194,6</w:t>
            </w:r>
          </w:p>
        </w:tc>
        <w:tc>
          <w:tcPr>
            <w:tcW w:w="1202" w:type="dxa"/>
            <w:shd w:val="clear" w:color="auto" w:fill="F2F2F2" w:themeFill="background1" w:themeFillShade="F2"/>
          </w:tcPr>
          <w:p w:rsidR="00E67099" w:rsidRPr="00E67099" w:rsidRDefault="00E67099" w:rsidP="00E670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E67099">
              <w:rPr>
                <w:rFonts w:asciiTheme="majorHAnsi" w:hAnsiTheme="majorHAnsi" w:cstheme="majorHAnsi"/>
                <w:b/>
                <w:sz w:val="20"/>
                <w:szCs w:val="20"/>
              </w:rPr>
              <w:t>7 174,6</w:t>
            </w:r>
          </w:p>
        </w:tc>
        <w:tc>
          <w:tcPr>
            <w:tcW w:w="1450" w:type="dxa"/>
            <w:shd w:val="clear" w:color="auto" w:fill="F2F2F2" w:themeFill="background1" w:themeFillShade="F2"/>
          </w:tcPr>
          <w:p w:rsidR="00E67099" w:rsidRPr="00E67099" w:rsidRDefault="00E67099" w:rsidP="00E670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E67099">
              <w:rPr>
                <w:rFonts w:asciiTheme="majorHAnsi" w:hAnsiTheme="majorHAnsi" w:cstheme="majorHAnsi"/>
                <w:b/>
                <w:sz w:val="20"/>
                <w:szCs w:val="20"/>
              </w:rPr>
              <w:t>-1 250,4</w:t>
            </w:r>
          </w:p>
        </w:tc>
        <w:tc>
          <w:tcPr>
            <w:tcW w:w="1450" w:type="dxa"/>
            <w:shd w:val="clear" w:color="auto" w:fill="F2F2F2" w:themeFill="background1" w:themeFillShade="F2"/>
          </w:tcPr>
          <w:p w:rsidR="00E67099" w:rsidRPr="00E67099" w:rsidRDefault="00E67099" w:rsidP="00E670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E67099">
              <w:rPr>
                <w:rFonts w:asciiTheme="majorHAnsi" w:hAnsiTheme="majorHAnsi" w:cstheme="majorHAnsi"/>
                <w:b/>
                <w:sz w:val="20"/>
                <w:szCs w:val="20"/>
              </w:rPr>
              <w:t>X</w:t>
            </w:r>
          </w:p>
        </w:tc>
        <w:tc>
          <w:tcPr>
            <w:tcW w:w="2202" w:type="dxa"/>
            <w:shd w:val="clear" w:color="auto" w:fill="F2F2F2" w:themeFill="background1" w:themeFillShade="F2"/>
          </w:tcPr>
          <w:p w:rsidR="00E67099" w:rsidRPr="00E67099" w:rsidRDefault="00E67099" w:rsidP="00E670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E67099">
              <w:rPr>
                <w:rFonts w:asciiTheme="majorHAnsi" w:hAnsiTheme="majorHAnsi" w:cstheme="majorHAnsi"/>
                <w:b/>
                <w:sz w:val="20"/>
                <w:szCs w:val="20"/>
              </w:rPr>
              <w:t>X</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584" w:type="dxa"/>
          </w:tcPr>
          <w:p w:rsidR="00E67099" w:rsidRPr="00E67099" w:rsidRDefault="00E67099" w:rsidP="00E67099">
            <w:pPr>
              <w:jc w:val="center"/>
              <w:rPr>
                <w:rFonts w:asciiTheme="majorHAnsi" w:hAnsiTheme="majorHAnsi" w:cstheme="majorHAnsi"/>
                <w:sz w:val="20"/>
                <w:szCs w:val="20"/>
              </w:rPr>
            </w:pPr>
            <w:r w:rsidRPr="00E67099">
              <w:rPr>
                <w:rFonts w:asciiTheme="majorHAnsi" w:hAnsiTheme="majorHAnsi" w:cstheme="majorHAnsi"/>
                <w:sz w:val="20"/>
                <w:szCs w:val="20"/>
              </w:rPr>
              <w:t>1</w:t>
            </w:r>
          </w:p>
        </w:tc>
        <w:tc>
          <w:tcPr>
            <w:tcW w:w="971"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114640</w:t>
            </w:r>
          </w:p>
        </w:tc>
        <w:tc>
          <w:tcPr>
            <w:tcW w:w="3260" w:type="dxa"/>
          </w:tcPr>
          <w:p w:rsidR="00E67099" w:rsidRPr="00E67099" w:rsidRDefault="00E67099" w:rsidP="00E6709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Plata obligatorie a producătorilor de produse vitivinicole</w:t>
            </w:r>
          </w:p>
        </w:tc>
        <w:tc>
          <w:tcPr>
            <w:tcW w:w="1176" w:type="dxa"/>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26101,96</w:t>
            </w:r>
          </w:p>
        </w:tc>
        <w:tc>
          <w:tcPr>
            <w:tcW w:w="1450"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E67099">
              <w:rPr>
                <w:rFonts w:asciiTheme="majorHAnsi" w:hAnsiTheme="majorHAnsi" w:cstheme="majorHAnsi"/>
                <w:sz w:val="20"/>
                <w:szCs w:val="20"/>
              </w:rPr>
              <w:t>26101,96</w:t>
            </w:r>
          </w:p>
        </w:tc>
        <w:tc>
          <w:tcPr>
            <w:tcW w:w="1202"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0,0</w:t>
            </w:r>
          </w:p>
        </w:tc>
        <w:tc>
          <w:tcPr>
            <w:tcW w:w="1450"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p>
        </w:tc>
        <w:tc>
          <w:tcPr>
            <w:tcW w:w="1450"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E67099">
              <w:rPr>
                <w:rFonts w:asciiTheme="majorHAnsi" w:hAnsiTheme="majorHAnsi" w:cstheme="majorHAnsi"/>
                <w:b/>
                <w:sz w:val="20"/>
                <w:szCs w:val="20"/>
              </w:rPr>
              <w:t>-</w:t>
            </w:r>
          </w:p>
        </w:tc>
        <w:tc>
          <w:tcPr>
            <w:tcW w:w="2202" w:type="dxa"/>
          </w:tcPr>
          <w:p w:rsidR="00E67099" w:rsidRPr="00E67099" w:rsidRDefault="00E67099" w:rsidP="00E6709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Fondul Viei și Vinului</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584" w:type="dxa"/>
          </w:tcPr>
          <w:p w:rsidR="00E67099" w:rsidRPr="00E67099" w:rsidRDefault="00E67099" w:rsidP="00E67099">
            <w:pPr>
              <w:jc w:val="center"/>
              <w:rPr>
                <w:rFonts w:asciiTheme="majorHAnsi" w:hAnsiTheme="majorHAnsi" w:cstheme="majorHAnsi"/>
                <w:sz w:val="20"/>
                <w:szCs w:val="20"/>
              </w:rPr>
            </w:pPr>
            <w:r w:rsidRPr="00E67099">
              <w:rPr>
                <w:rFonts w:asciiTheme="majorHAnsi" w:hAnsiTheme="majorHAnsi" w:cstheme="majorHAnsi"/>
                <w:sz w:val="20"/>
                <w:szCs w:val="20"/>
              </w:rPr>
              <w:t>2</w:t>
            </w:r>
          </w:p>
        </w:tc>
        <w:tc>
          <w:tcPr>
            <w:tcW w:w="971"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142241</w:t>
            </w:r>
          </w:p>
        </w:tc>
        <w:tc>
          <w:tcPr>
            <w:tcW w:w="3260" w:type="dxa"/>
          </w:tcPr>
          <w:p w:rsidR="00E67099" w:rsidRPr="00E67099" w:rsidRDefault="00E67099" w:rsidP="00E6709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Plata lunară pentru prestarea serviciilor de telefonie mobilă</w:t>
            </w:r>
          </w:p>
        </w:tc>
        <w:tc>
          <w:tcPr>
            <w:tcW w:w="1176" w:type="dxa"/>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83592,32</w:t>
            </w:r>
          </w:p>
        </w:tc>
        <w:tc>
          <w:tcPr>
            <w:tcW w:w="1450"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83592,32</w:t>
            </w:r>
          </w:p>
        </w:tc>
        <w:tc>
          <w:tcPr>
            <w:tcW w:w="1202"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0,0</w:t>
            </w:r>
          </w:p>
        </w:tc>
        <w:tc>
          <w:tcPr>
            <w:tcW w:w="1450"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50"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Instituția</w:t>
            </w:r>
          </w:p>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E67099">
              <w:rPr>
                <w:rFonts w:asciiTheme="majorHAnsi" w:hAnsiTheme="majorHAnsi" w:cstheme="majorHAnsi"/>
                <w:sz w:val="20"/>
                <w:szCs w:val="20"/>
                <w:lang w:val="ro-MD"/>
              </w:rPr>
              <w:t>bugetară</w:t>
            </w:r>
          </w:p>
        </w:tc>
        <w:tc>
          <w:tcPr>
            <w:tcW w:w="2202" w:type="dxa"/>
          </w:tcPr>
          <w:p w:rsidR="00E67099" w:rsidRPr="00E67099" w:rsidRDefault="00E67099" w:rsidP="00E6709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Fondul de susținere a populației, Agenția Națională Asistență Socială</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584" w:type="dxa"/>
          </w:tcPr>
          <w:p w:rsidR="00E67099" w:rsidRPr="00E67099" w:rsidRDefault="00E67099" w:rsidP="00E67099">
            <w:pPr>
              <w:jc w:val="center"/>
              <w:rPr>
                <w:rFonts w:asciiTheme="majorHAnsi" w:hAnsiTheme="majorHAnsi" w:cstheme="majorHAnsi"/>
                <w:sz w:val="20"/>
                <w:szCs w:val="20"/>
              </w:rPr>
            </w:pPr>
            <w:r w:rsidRPr="00E67099">
              <w:rPr>
                <w:rFonts w:asciiTheme="majorHAnsi" w:hAnsiTheme="majorHAnsi" w:cstheme="majorHAnsi"/>
                <w:sz w:val="20"/>
                <w:szCs w:val="20"/>
              </w:rPr>
              <w:t>3</w:t>
            </w:r>
          </w:p>
        </w:tc>
        <w:tc>
          <w:tcPr>
            <w:tcW w:w="971"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145111</w:t>
            </w:r>
          </w:p>
        </w:tc>
        <w:tc>
          <w:tcPr>
            <w:tcW w:w="3260" w:type="dxa"/>
          </w:tcPr>
          <w:p w:rsidR="00E67099" w:rsidRPr="00E67099" w:rsidRDefault="00E67099" w:rsidP="00E6709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Alte venituri încasate în BS</w:t>
            </w:r>
          </w:p>
        </w:tc>
        <w:tc>
          <w:tcPr>
            <w:tcW w:w="1176" w:type="dxa"/>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1657,27</w:t>
            </w:r>
          </w:p>
        </w:tc>
        <w:tc>
          <w:tcPr>
            <w:tcW w:w="1450"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1724,7</w:t>
            </w:r>
          </w:p>
        </w:tc>
        <w:tc>
          <w:tcPr>
            <w:tcW w:w="1202"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50"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-67,4</w:t>
            </w:r>
          </w:p>
        </w:tc>
        <w:tc>
          <w:tcPr>
            <w:tcW w:w="1450"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SFS</w:t>
            </w:r>
          </w:p>
        </w:tc>
        <w:tc>
          <w:tcPr>
            <w:tcW w:w="2202" w:type="dxa"/>
          </w:tcPr>
          <w:p w:rsidR="00E67099" w:rsidRPr="00E67099" w:rsidRDefault="00E67099" w:rsidP="00E6709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Ministerul Finanțelor /Serviciul Fiscal de Stat</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584" w:type="dxa"/>
          </w:tcPr>
          <w:p w:rsidR="00E67099" w:rsidRPr="00E67099" w:rsidRDefault="00E67099" w:rsidP="00E67099">
            <w:pPr>
              <w:jc w:val="center"/>
              <w:rPr>
                <w:rFonts w:asciiTheme="majorHAnsi" w:hAnsiTheme="majorHAnsi" w:cstheme="majorHAnsi"/>
                <w:sz w:val="20"/>
                <w:szCs w:val="20"/>
              </w:rPr>
            </w:pPr>
            <w:r w:rsidRPr="00E67099">
              <w:rPr>
                <w:rFonts w:asciiTheme="majorHAnsi" w:hAnsiTheme="majorHAnsi" w:cstheme="majorHAnsi"/>
                <w:sz w:val="20"/>
                <w:szCs w:val="20"/>
              </w:rPr>
              <w:t>4</w:t>
            </w:r>
          </w:p>
        </w:tc>
        <w:tc>
          <w:tcPr>
            <w:tcW w:w="971"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114525</w:t>
            </w:r>
          </w:p>
        </w:tc>
        <w:tc>
          <w:tcPr>
            <w:tcW w:w="3260" w:type="dxa"/>
          </w:tcPr>
          <w:p w:rsidR="00E67099" w:rsidRPr="00E67099" w:rsidRDefault="00E67099" w:rsidP="00E6709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Taxa de eliberare a autorizațiilor pentru transporturi rutiere internaționale</w:t>
            </w:r>
          </w:p>
        </w:tc>
        <w:tc>
          <w:tcPr>
            <w:tcW w:w="1176" w:type="dxa"/>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58642,76</w:t>
            </w:r>
          </w:p>
        </w:tc>
        <w:tc>
          <w:tcPr>
            <w:tcW w:w="1450"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46491,7</w:t>
            </w:r>
          </w:p>
        </w:tc>
        <w:tc>
          <w:tcPr>
            <w:tcW w:w="1202"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12151,1</w:t>
            </w:r>
          </w:p>
        </w:tc>
        <w:tc>
          <w:tcPr>
            <w:tcW w:w="1450"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50"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SFS</w:t>
            </w:r>
          </w:p>
        </w:tc>
        <w:tc>
          <w:tcPr>
            <w:tcW w:w="2202" w:type="dxa"/>
          </w:tcPr>
          <w:p w:rsidR="00E67099" w:rsidRPr="00E67099" w:rsidRDefault="00E67099" w:rsidP="00E6709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Agenția Națională Transport Auto</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584" w:type="dxa"/>
          </w:tcPr>
          <w:p w:rsidR="00E67099" w:rsidRPr="00E67099" w:rsidRDefault="00E67099" w:rsidP="00E67099">
            <w:pPr>
              <w:jc w:val="center"/>
              <w:rPr>
                <w:rFonts w:asciiTheme="majorHAnsi" w:hAnsiTheme="majorHAnsi" w:cstheme="majorHAnsi"/>
                <w:sz w:val="20"/>
                <w:szCs w:val="20"/>
              </w:rPr>
            </w:pPr>
            <w:r w:rsidRPr="00E67099">
              <w:rPr>
                <w:rFonts w:asciiTheme="majorHAnsi" w:hAnsiTheme="majorHAnsi" w:cstheme="majorHAnsi"/>
                <w:sz w:val="20"/>
                <w:szCs w:val="20"/>
              </w:rPr>
              <w:t>5</w:t>
            </w:r>
          </w:p>
        </w:tc>
        <w:tc>
          <w:tcPr>
            <w:tcW w:w="971"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114634</w:t>
            </w:r>
          </w:p>
        </w:tc>
        <w:tc>
          <w:tcPr>
            <w:tcW w:w="3260" w:type="dxa"/>
          </w:tcPr>
          <w:p w:rsidR="00E67099" w:rsidRPr="00E67099" w:rsidRDefault="00E67099" w:rsidP="00E6709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Taxa pentru folosirea drumurilor de către autovehiculele înmatriculate în Republica Moldova ale căror masă  totală, sarcină masică pe axă sau ale căror dimensiuni depășesc limitele admise</w:t>
            </w:r>
          </w:p>
        </w:tc>
        <w:tc>
          <w:tcPr>
            <w:tcW w:w="1176" w:type="dxa"/>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6336,22</w:t>
            </w:r>
          </w:p>
        </w:tc>
        <w:tc>
          <w:tcPr>
            <w:tcW w:w="1450"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10731,1</w:t>
            </w:r>
          </w:p>
        </w:tc>
        <w:tc>
          <w:tcPr>
            <w:tcW w:w="1202"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50"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-4394,9</w:t>
            </w:r>
          </w:p>
        </w:tc>
        <w:tc>
          <w:tcPr>
            <w:tcW w:w="1450"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SFS</w:t>
            </w:r>
          </w:p>
        </w:tc>
        <w:tc>
          <w:tcPr>
            <w:tcW w:w="2202" w:type="dxa"/>
          </w:tcPr>
          <w:p w:rsidR="00E67099" w:rsidRPr="00E67099" w:rsidRDefault="00E67099" w:rsidP="00E6709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Agenția Națională Transport Auto</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584" w:type="dxa"/>
          </w:tcPr>
          <w:p w:rsidR="00E67099" w:rsidRPr="00E67099" w:rsidRDefault="00E67099" w:rsidP="00E67099">
            <w:pPr>
              <w:jc w:val="center"/>
              <w:rPr>
                <w:rFonts w:asciiTheme="majorHAnsi" w:hAnsiTheme="majorHAnsi" w:cstheme="majorHAnsi"/>
                <w:sz w:val="20"/>
                <w:szCs w:val="20"/>
              </w:rPr>
            </w:pPr>
            <w:r w:rsidRPr="00E67099">
              <w:rPr>
                <w:rFonts w:asciiTheme="majorHAnsi" w:hAnsiTheme="majorHAnsi" w:cstheme="majorHAnsi"/>
                <w:sz w:val="20"/>
                <w:szCs w:val="20"/>
              </w:rPr>
              <w:t>6</w:t>
            </w:r>
          </w:p>
        </w:tc>
        <w:tc>
          <w:tcPr>
            <w:tcW w:w="971"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143113</w:t>
            </w:r>
          </w:p>
        </w:tc>
        <w:tc>
          <w:tcPr>
            <w:tcW w:w="3260" w:type="dxa"/>
          </w:tcPr>
          <w:p w:rsidR="00E67099" w:rsidRPr="00E67099" w:rsidRDefault="00E67099" w:rsidP="00E6709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Amenzi aplicate de către agenții constatatori din cadrul subdiviziunilor Inspectoratului General al Poliției</w:t>
            </w:r>
          </w:p>
        </w:tc>
        <w:tc>
          <w:tcPr>
            <w:tcW w:w="1176" w:type="dxa"/>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43656,76</w:t>
            </w:r>
          </w:p>
        </w:tc>
        <w:tc>
          <w:tcPr>
            <w:tcW w:w="1450"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43135,9</w:t>
            </w:r>
          </w:p>
        </w:tc>
        <w:tc>
          <w:tcPr>
            <w:tcW w:w="1202"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520,9</w:t>
            </w:r>
          </w:p>
        </w:tc>
        <w:tc>
          <w:tcPr>
            <w:tcW w:w="1450"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50"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SFS</w:t>
            </w:r>
          </w:p>
        </w:tc>
        <w:tc>
          <w:tcPr>
            <w:tcW w:w="2202" w:type="dxa"/>
          </w:tcPr>
          <w:p w:rsidR="00E67099" w:rsidRPr="00E67099" w:rsidRDefault="00E67099" w:rsidP="00E6709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Inspectoratul General al Politiei</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584" w:type="dxa"/>
          </w:tcPr>
          <w:p w:rsidR="00E67099" w:rsidRPr="00E67099" w:rsidRDefault="00E67099" w:rsidP="00E67099">
            <w:pPr>
              <w:jc w:val="center"/>
              <w:rPr>
                <w:rFonts w:asciiTheme="majorHAnsi" w:hAnsiTheme="majorHAnsi" w:cstheme="majorHAnsi"/>
                <w:sz w:val="20"/>
                <w:szCs w:val="20"/>
              </w:rPr>
            </w:pPr>
            <w:r w:rsidRPr="00E67099">
              <w:rPr>
                <w:rFonts w:asciiTheme="majorHAnsi" w:hAnsiTheme="majorHAnsi" w:cstheme="majorHAnsi"/>
                <w:sz w:val="20"/>
                <w:szCs w:val="20"/>
              </w:rPr>
              <w:t>7</w:t>
            </w:r>
          </w:p>
        </w:tc>
        <w:tc>
          <w:tcPr>
            <w:tcW w:w="971"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143114</w:t>
            </w:r>
          </w:p>
        </w:tc>
        <w:tc>
          <w:tcPr>
            <w:tcW w:w="3260" w:type="dxa"/>
          </w:tcPr>
          <w:p w:rsidR="00E67099" w:rsidRPr="00E67099" w:rsidRDefault="00E67099" w:rsidP="00E6709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Amenzi aplicate de către agenții  constatatori din cadrul Autorității Administrative „Agenția Națională Transport Auto ”</w:t>
            </w:r>
          </w:p>
        </w:tc>
        <w:tc>
          <w:tcPr>
            <w:tcW w:w="1176" w:type="dxa"/>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13384,92</w:t>
            </w:r>
          </w:p>
        </w:tc>
        <w:tc>
          <w:tcPr>
            <w:tcW w:w="1450"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12092,9</w:t>
            </w:r>
          </w:p>
        </w:tc>
        <w:tc>
          <w:tcPr>
            <w:tcW w:w="1202"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1292,0</w:t>
            </w:r>
          </w:p>
        </w:tc>
        <w:tc>
          <w:tcPr>
            <w:tcW w:w="1450"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50"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SFS</w:t>
            </w:r>
          </w:p>
        </w:tc>
        <w:tc>
          <w:tcPr>
            <w:tcW w:w="2202" w:type="dxa"/>
          </w:tcPr>
          <w:p w:rsidR="00E67099" w:rsidRPr="00E67099" w:rsidRDefault="00E67099" w:rsidP="00E6709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Agenția Națională Transport Auto</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584" w:type="dxa"/>
          </w:tcPr>
          <w:p w:rsidR="00E67099" w:rsidRPr="00E67099" w:rsidRDefault="00E67099" w:rsidP="00E67099">
            <w:pPr>
              <w:jc w:val="center"/>
              <w:rPr>
                <w:rFonts w:asciiTheme="majorHAnsi" w:hAnsiTheme="majorHAnsi" w:cstheme="majorHAnsi"/>
                <w:sz w:val="20"/>
                <w:szCs w:val="20"/>
              </w:rPr>
            </w:pPr>
            <w:r w:rsidRPr="00E67099">
              <w:rPr>
                <w:rFonts w:asciiTheme="majorHAnsi" w:hAnsiTheme="majorHAnsi" w:cstheme="majorHAnsi"/>
                <w:sz w:val="20"/>
                <w:szCs w:val="20"/>
              </w:rPr>
              <w:t>8</w:t>
            </w:r>
          </w:p>
        </w:tc>
        <w:tc>
          <w:tcPr>
            <w:tcW w:w="971"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143116</w:t>
            </w:r>
          </w:p>
        </w:tc>
        <w:tc>
          <w:tcPr>
            <w:tcW w:w="3260" w:type="dxa"/>
          </w:tcPr>
          <w:p w:rsidR="00E67099" w:rsidRPr="00E67099" w:rsidRDefault="00E67099" w:rsidP="00E6709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Amenzi aplicate de Inspectoratul pentru Protecția Mediului</w:t>
            </w:r>
          </w:p>
        </w:tc>
        <w:tc>
          <w:tcPr>
            <w:tcW w:w="1176" w:type="dxa"/>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4785,67</w:t>
            </w:r>
          </w:p>
        </w:tc>
        <w:tc>
          <w:tcPr>
            <w:tcW w:w="1450"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3185,6</w:t>
            </w:r>
          </w:p>
        </w:tc>
        <w:tc>
          <w:tcPr>
            <w:tcW w:w="1202"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1600,1</w:t>
            </w:r>
          </w:p>
        </w:tc>
        <w:tc>
          <w:tcPr>
            <w:tcW w:w="1450"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50"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SFS</w:t>
            </w:r>
          </w:p>
        </w:tc>
        <w:tc>
          <w:tcPr>
            <w:tcW w:w="2202" w:type="dxa"/>
          </w:tcPr>
          <w:p w:rsidR="00E67099" w:rsidRPr="00E67099" w:rsidRDefault="00E67099" w:rsidP="00E6709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Inspectoratul pentru Protecția Mediului</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584" w:type="dxa"/>
          </w:tcPr>
          <w:p w:rsidR="00E67099" w:rsidRPr="00E67099" w:rsidRDefault="00E67099" w:rsidP="00E67099">
            <w:pPr>
              <w:jc w:val="center"/>
              <w:rPr>
                <w:rFonts w:asciiTheme="majorHAnsi" w:hAnsiTheme="majorHAnsi" w:cstheme="majorHAnsi"/>
                <w:sz w:val="20"/>
                <w:szCs w:val="20"/>
              </w:rPr>
            </w:pPr>
            <w:r w:rsidRPr="00E67099">
              <w:rPr>
                <w:rFonts w:asciiTheme="majorHAnsi" w:hAnsiTheme="majorHAnsi" w:cstheme="majorHAnsi"/>
                <w:sz w:val="20"/>
                <w:szCs w:val="20"/>
              </w:rPr>
              <w:t>9</w:t>
            </w:r>
          </w:p>
        </w:tc>
        <w:tc>
          <w:tcPr>
            <w:tcW w:w="971"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143117</w:t>
            </w:r>
          </w:p>
        </w:tc>
        <w:tc>
          <w:tcPr>
            <w:tcW w:w="3260" w:type="dxa"/>
          </w:tcPr>
          <w:p w:rsidR="00E67099" w:rsidRPr="00E67099" w:rsidRDefault="00E67099" w:rsidP="00E6709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Amenzi aplicate de Consiliul Concurenței</w:t>
            </w:r>
          </w:p>
        </w:tc>
        <w:tc>
          <w:tcPr>
            <w:tcW w:w="1176" w:type="dxa"/>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4148,59</w:t>
            </w:r>
          </w:p>
        </w:tc>
        <w:tc>
          <w:tcPr>
            <w:tcW w:w="1450"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5717,6</w:t>
            </w:r>
          </w:p>
        </w:tc>
        <w:tc>
          <w:tcPr>
            <w:tcW w:w="1202"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50"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-1569,0</w:t>
            </w:r>
          </w:p>
        </w:tc>
        <w:tc>
          <w:tcPr>
            <w:tcW w:w="1450"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SFS</w:t>
            </w:r>
          </w:p>
        </w:tc>
        <w:tc>
          <w:tcPr>
            <w:tcW w:w="2202" w:type="dxa"/>
          </w:tcPr>
          <w:p w:rsidR="00E67099" w:rsidRPr="00E67099" w:rsidRDefault="00E67099" w:rsidP="00E6709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Consiliul Concurenței</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584" w:type="dxa"/>
          </w:tcPr>
          <w:p w:rsidR="00E67099" w:rsidRPr="00E67099" w:rsidRDefault="00E67099" w:rsidP="00E67099">
            <w:pPr>
              <w:jc w:val="center"/>
              <w:rPr>
                <w:rFonts w:asciiTheme="majorHAnsi" w:hAnsiTheme="majorHAnsi" w:cstheme="majorHAnsi"/>
                <w:sz w:val="20"/>
                <w:szCs w:val="20"/>
              </w:rPr>
            </w:pPr>
            <w:r w:rsidRPr="00E67099">
              <w:rPr>
                <w:rFonts w:asciiTheme="majorHAnsi" w:hAnsiTheme="majorHAnsi" w:cstheme="majorHAnsi"/>
                <w:sz w:val="20"/>
                <w:szCs w:val="20"/>
              </w:rPr>
              <w:t>10</w:t>
            </w:r>
          </w:p>
        </w:tc>
        <w:tc>
          <w:tcPr>
            <w:tcW w:w="971"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143210</w:t>
            </w:r>
          </w:p>
        </w:tc>
        <w:tc>
          <w:tcPr>
            <w:tcW w:w="3260" w:type="dxa"/>
          </w:tcPr>
          <w:p w:rsidR="00E67099" w:rsidRPr="00E67099" w:rsidRDefault="00E67099" w:rsidP="00E6709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Amenzi aplicate de Inspectoratul Național de Patrulare</w:t>
            </w:r>
          </w:p>
        </w:tc>
        <w:tc>
          <w:tcPr>
            <w:tcW w:w="1176" w:type="dxa"/>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59640,62</w:t>
            </w:r>
          </w:p>
        </w:tc>
        <w:tc>
          <w:tcPr>
            <w:tcW w:w="1450"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65034,7</w:t>
            </w:r>
          </w:p>
        </w:tc>
        <w:tc>
          <w:tcPr>
            <w:tcW w:w="1202"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50"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-5394,1</w:t>
            </w:r>
          </w:p>
        </w:tc>
        <w:tc>
          <w:tcPr>
            <w:tcW w:w="1450"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SFS</w:t>
            </w:r>
          </w:p>
        </w:tc>
        <w:tc>
          <w:tcPr>
            <w:tcW w:w="2202" w:type="dxa"/>
          </w:tcPr>
          <w:p w:rsidR="00E67099" w:rsidRPr="00E67099" w:rsidRDefault="00E67099" w:rsidP="00E6709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Inspectoratul Național de Patrulare</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584" w:type="dxa"/>
          </w:tcPr>
          <w:p w:rsidR="00E67099" w:rsidRPr="00E67099" w:rsidRDefault="00E67099" w:rsidP="00E67099">
            <w:pPr>
              <w:jc w:val="center"/>
              <w:rPr>
                <w:rFonts w:asciiTheme="majorHAnsi" w:hAnsiTheme="majorHAnsi" w:cstheme="majorHAnsi"/>
                <w:sz w:val="20"/>
                <w:szCs w:val="20"/>
              </w:rPr>
            </w:pPr>
            <w:r w:rsidRPr="00E67099">
              <w:rPr>
                <w:rFonts w:asciiTheme="majorHAnsi" w:hAnsiTheme="majorHAnsi" w:cstheme="majorHAnsi"/>
                <w:sz w:val="20"/>
                <w:szCs w:val="20"/>
              </w:rPr>
              <w:t>11</w:t>
            </w:r>
          </w:p>
        </w:tc>
        <w:tc>
          <w:tcPr>
            <w:tcW w:w="971"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143230</w:t>
            </w:r>
          </w:p>
        </w:tc>
        <w:tc>
          <w:tcPr>
            <w:tcW w:w="3260" w:type="dxa"/>
          </w:tcPr>
          <w:p w:rsidR="00E67099" w:rsidRPr="00E67099" w:rsidRDefault="00E67099" w:rsidP="00E6709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Amenzi aplicate de Inspectoratul Național de Patrulare pentru încălcarea traficului rutier, constatate cu ajutorul mijloacelor foto-video</w:t>
            </w:r>
          </w:p>
        </w:tc>
        <w:tc>
          <w:tcPr>
            <w:tcW w:w="1176" w:type="dxa"/>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15200,05</w:t>
            </w:r>
          </w:p>
        </w:tc>
        <w:tc>
          <w:tcPr>
            <w:tcW w:w="1450"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12477,6</w:t>
            </w:r>
          </w:p>
        </w:tc>
        <w:tc>
          <w:tcPr>
            <w:tcW w:w="1202"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2722,5</w:t>
            </w:r>
          </w:p>
        </w:tc>
        <w:tc>
          <w:tcPr>
            <w:tcW w:w="1450"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50"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SFS</w:t>
            </w:r>
          </w:p>
        </w:tc>
        <w:tc>
          <w:tcPr>
            <w:tcW w:w="2202" w:type="dxa"/>
          </w:tcPr>
          <w:p w:rsidR="00E67099" w:rsidRPr="00E67099" w:rsidRDefault="00E67099" w:rsidP="00E6709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Inspectoratul Național de Patrulare</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584" w:type="dxa"/>
          </w:tcPr>
          <w:p w:rsidR="00E67099" w:rsidRPr="00E67099" w:rsidRDefault="00E67099" w:rsidP="00E67099">
            <w:pPr>
              <w:jc w:val="center"/>
              <w:rPr>
                <w:rFonts w:asciiTheme="majorHAnsi" w:hAnsiTheme="majorHAnsi" w:cstheme="majorHAnsi"/>
                <w:sz w:val="20"/>
                <w:szCs w:val="20"/>
              </w:rPr>
            </w:pPr>
            <w:r w:rsidRPr="00E67099">
              <w:rPr>
                <w:rFonts w:asciiTheme="majorHAnsi" w:hAnsiTheme="majorHAnsi" w:cstheme="majorHAnsi"/>
                <w:sz w:val="20"/>
                <w:szCs w:val="20"/>
              </w:rPr>
              <w:t>12</w:t>
            </w:r>
          </w:p>
        </w:tc>
        <w:tc>
          <w:tcPr>
            <w:tcW w:w="971"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143311</w:t>
            </w:r>
          </w:p>
        </w:tc>
        <w:tc>
          <w:tcPr>
            <w:tcW w:w="3260" w:type="dxa"/>
          </w:tcPr>
          <w:p w:rsidR="00E67099" w:rsidRPr="00E67099" w:rsidRDefault="00E67099" w:rsidP="00E6709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Amenzi aplicate de Inspecția Financiara, încasate în bugetul de stat</w:t>
            </w:r>
          </w:p>
        </w:tc>
        <w:tc>
          <w:tcPr>
            <w:tcW w:w="1176" w:type="dxa"/>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43279,27</w:t>
            </w:r>
          </w:p>
        </w:tc>
        <w:tc>
          <w:tcPr>
            <w:tcW w:w="1450"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1221,0</w:t>
            </w:r>
          </w:p>
        </w:tc>
        <w:tc>
          <w:tcPr>
            <w:tcW w:w="1202"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42058,3</w:t>
            </w:r>
          </w:p>
        </w:tc>
        <w:tc>
          <w:tcPr>
            <w:tcW w:w="1450"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50"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SFS</w:t>
            </w:r>
          </w:p>
        </w:tc>
        <w:tc>
          <w:tcPr>
            <w:tcW w:w="2202" w:type="dxa"/>
          </w:tcPr>
          <w:p w:rsidR="00E67099" w:rsidRPr="00E67099" w:rsidRDefault="00E67099" w:rsidP="00E6709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Inspecția Financiară</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584" w:type="dxa"/>
          </w:tcPr>
          <w:p w:rsidR="00E67099" w:rsidRPr="00E67099" w:rsidRDefault="00E67099" w:rsidP="00E67099">
            <w:pPr>
              <w:jc w:val="center"/>
              <w:rPr>
                <w:rFonts w:asciiTheme="majorHAnsi" w:hAnsiTheme="majorHAnsi" w:cstheme="majorHAnsi"/>
                <w:sz w:val="20"/>
                <w:szCs w:val="20"/>
              </w:rPr>
            </w:pPr>
            <w:r w:rsidRPr="00E67099">
              <w:rPr>
                <w:rFonts w:asciiTheme="majorHAnsi" w:hAnsiTheme="majorHAnsi" w:cstheme="majorHAnsi"/>
                <w:sz w:val="20"/>
                <w:szCs w:val="20"/>
              </w:rPr>
              <w:t>13</w:t>
            </w:r>
          </w:p>
        </w:tc>
        <w:tc>
          <w:tcPr>
            <w:tcW w:w="971"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143350</w:t>
            </w:r>
          </w:p>
        </w:tc>
        <w:tc>
          <w:tcPr>
            <w:tcW w:w="3260" w:type="dxa"/>
          </w:tcPr>
          <w:p w:rsidR="00E67099" w:rsidRPr="00E67099" w:rsidRDefault="00E67099" w:rsidP="00E6709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Amenzi aplicate de Centrele de medicină preventivă</w:t>
            </w:r>
          </w:p>
        </w:tc>
        <w:tc>
          <w:tcPr>
            <w:tcW w:w="1176" w:type="dxa"/>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1403,99</w:t>
            </w:r>
          </w:p>
        </w:tc>
        <w:tc>
          <w:tcPr>
            <w:tcW w:w="1450"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1348,0</w:t>
            </w:r>
          </w:p>
        </w:tc>
        <w:tc>
          <w:tcPr>
            <w:tcW w:w="1202"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56,0</w:t>
            </w:r>
          </w:p>
        </w:tc>
        <w:tc>
          <w:tcPr>
            <w:tcW w:w="1450"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50"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SFS</w:t>
            </w:r>
          </w:p>
        </w:tc>
        <w:tc>
          <w:tcPr>
            <w:tcW w:w="2202" w:type="dxa"/>
          </w:tcPr>
          <w:p w:rsidR="00E67099" w:rsidRPr="00E67099" w:rsidRDefault="00E67099" w:rsidP="00E6709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Inspectoratul General al Poliției de Frontieră</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584" w:type="dxa"/>
          </w:tcPr>
          <w:p w:rsidR="00E67099" w:rsidRPr="00E67099" w:rsidRDefault="00E67099" w:rsidP="00E67099">
            <w:pPr>
              <w:jc w:val="center"/>
              <w:rPr>
                <w:rFonts w:asciiTheme="majorHAnsi" w:hAnsiTheme="majorHAnsi" w:cstheme="majorHAnsi"/>
                <w:sz w:val="20"/>
                <w:szCs w:val="20"/>
              </w:rPr>
            </w:pPr>
            <w:r w:rsidRPr="00E67099">
              <w:rPr>
                <w:rFonts w:asciiTheme="majorHAnsi" w:hAnsiTheme="majorHAnsi" w:cstheme="majorHAnsi"/>
                <w:sz w:val="20"/>
                <w:szCs w:val="20"/>
              </w:rPr>
              <w:t>14</w:t>
            </w:r>
          </w:p>
        </w:tc>
        <w:tc>
          <w:tcPr>
            <w:tcW w:w="971"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143410</w:t>
            </w:r>
          </w:p>
        </w:tc>
        <w:tc>
          <w:tcPr>
            <w:tcW w:w="3260" w:type="dxa"/>
          </w:tcPr>
          <w:p w:rsidR="00E67099" w:rsidRPr="00E67099" w:rsidRDefault="00E67099" w:rsidP="00E6709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Amenzi aplicate de Agenția pentru Supraveghere Tehnică</w:t>
            </w:r>
          </w:p>
        </w:tc>
        <w:tc>
          <w:tcPr>
            <w:tcW w:w="1176" w:type="dxa"/>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1539,67</w:t>
            </w:r>
          </w:p>
        </w:tc>
        <w:tc>
          <w:tcPr>
            <w:tcW w:w="1450"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3876,1</w:t>
            </w:r>
          </w:p>
        </w:tc>
        <w:tc>
          <w:tcPr>
            <w:tcW w:w="1202"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50"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-2336,4</w:t>
            </w:r>
          </w:p>
        </w:tc>
        <w:tc>
          <w:tcPr>
            <w:tcW w:w="1450"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SFS</w:t>
            </w:r>
          </w:p>
        </w:tc>
        <w:tc>
          <w:tcPr>
            <w:tcW w:w="2202" w:type="dxa"/>
          </w:tcPr>
          <w:p w:rsidR="00E67099" w:rsidRPr="00E67099" w:rsidRDefault="00E67099" w:rsidP="00E6709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67099">
              <w:rPr>
                <w:rFonts w:asciiTheme="majorHAnsi" w:hAnsiTheme="majorHAnsi" w:cstheme="majorHAnsi"/>
                <w:sz w:val="20"/>
                <w:szCs w:val="20"/>
              </w:rPr>
              <w:t>Agenția pentru Supraveghere Tehnică</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4815" w:type="dxa"/>
            <w:gridSpan w:val="3"/>
            <w:shd w:val="clear" w:color="auto" w:fill="F2F2F2" w:themeFill="background1" w:themeFillShade="F2"/>
          </w:tcPr>
          <w:p w:rsidR="00E67099" w:rsidRPr="00E67099" w:rsidRDefault="00E67099" w:rsidP="00E67099">
            <w:pPr>
              <w:jc w:val="both"/>
              <w:rPr>
                <w:rFonts w:asciiTheme="majorHAnsi" w:hAnsiTheme="majorHAnsi" w:cstheme="majorHAnsi"/>
                <w:sz w:val="20"/>
                <w:szCs w:val="20"/>
              </w:rPr>
            </w:pPr>
            <w:r w:rsidRPr="00E67099">
              <w:rPr>
                <w:rFonts w:asciiTheme="majorHAnsi" w:hAnsiTheme="majorHAnsi" w:cstheme="majorHAnsi"/>
                <w:sz w:val="20"/>
                <w:szCs w:val="20"/>
              </w:rPr>
              <w:t>Total</w:t>
            </w:r>
          </w:p>
        </w:tc>
        <w:tc>
          <w:tcPr>
            <w:tcW w:w="1176" w:type="dxa"/>
            <w:shd w:val="clear" w:color="auto" w:fill="F2F2F2" w:themeFill="background1" w:themeFillShade="F2"/>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E67099">
              <w:rPr>
                <w:rFonts w:asciiTheme="majorHAnsi" w:hAnsiTheme="majorHAnsi" w:cstheme="majorHAnsi"/>
                <w:b/>
                <w:sz w:val="20"/>
                <w:szCs w:val="20"/>
              </w:rPr>
              <w:t>363 370,1</w:t>
            </w:r>
          </w:p>
        </w:tc>
        <w:tc>
          <w:tcPr>
            <w:tcW w:w="1450" w:type="dxa"/>
            <w:shd w:val="clear" w:color="auto" w:fill="F2F2F2" w:themeFill="background1" w:themeFillShade="F2"/>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E67099">
              <w:rPr>
                <w:rFonts w:asciiTheme="majorHAnsi" w:hAnsiTheme="majorHAnsi" w:cstheme="majorHAnsi"/>
                <w:b/>
                <w:sz w:val="20"/>
                <w:szCs w:val="20"/>
              </w:rPr>
              <w:t>316 731,2</w:t>
            </w:r>
          </w:p>
        </w:tc>
        <w:tc>
          <w:tcPr>
            <w:tcW w:w="1202" w:type="dxa"/>
            <w:shd w:val="clear" w:color="auto" w:fill="F2F2F2" w:themeFill="background1" w:themeFillShade="F2"/>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E67099">
              <w:rPr>
                <w:rFonts w:asciiTheme="majorHAnsi" w:hAnsiTheme="majorHAnsi" w:cstheme="majorHAnsi"/>
                <w:b/>
                <w:sz w:val="20"/>
                <w:szCs w:val="20"/>
              </w:rPr>
              <w:t>60 400,9</w:t>
            </w:r>
          </w:p>
        </w:tc>
        <w:tc>
          <w:tcPr>
            <w:tcW w:w="1450" w:type="dxa"/>
            <w:shd w:val="clear" w:color="auto" w:fill="F2F2F2" w:themeFill="background1" w:themeFillShade="F2"/>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E67099">
              <w:rPr>
                <w:rFonts w:asciiTheme="majorHAnsi" w:hAnsiTheme="majorHAnsi" w:cstheme="majorHAnsi"/>
                <w:b/>
                <w:sz w:val="20"/>
                <w:szCs w:val="20"/>
              </w:rPr>
              <w:t>-13 761,8</w:t>
            </w:r>
          </w:p>
        </w:tc>
        <w:tc>
          <w:tcPr>
            <w:tcW w:w="1450" w:type="dxa"/>
            <w:shd w:val="clear" w:color="auto" w:fill="F2F2F2" w:themeFill="background1" w:themeFillShade="F2"/>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E67099">
              <w:rPr>
                <w:rFonts w:asciiTheme="majorHAnsi" w:hAnsiTheme="majorHAnsi" w:cstheme="majorHAnsi"/>
                <w:b/>
                <w:sz w:val="20"/>
                <w:szCs w:val="20"/>
              </w:rPr>
              <w:t>X</w:t>
            </w:r>
          </w:p>
        </w:tc>
        <w:tc>
          <w:tcPr>
            <w:tcW w:w="2202" w:type="dxa"/>
            <w:shd w:val="clear" w:color="auto" w:fill="F2F2F2" w:themeFill="background1" w:themeFillShade="F2"/>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E67099">
              <w:rPr>
                <w:rFonts w:asciiTheme="majorHAnsi" w:hAnsiTheme="majorHAnsi" w:cstheme="majorHAnsi"/>
                <w:b/>
                <w:sz w:val="20"/>
                <w:szCs w:val="20"/>
              </w:rPr>
              <w:t>x</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4815" w:type="dxa"/>
            <w:gridSpan w:val="3"/>
            <w:shd w:val="clear" w:color="auto" w:fill="D5DCE4" w:themeFill="text2" w:themeFillTint="33"/>
          </w:tcPr>
          <w:p w:rsidR="00E67099" w:rsidRPr="00E67099" w:rsidRDefault="00E67099" w:rsidP="00E67099">
            <w:pPr>
              <w:jc w:val="both"/>
              <w:rPr>
                <w:rFonts w:asciiTheme="majorHAnsi" w:hAnsiTheme="majorHAnsi" w:cstheme="majorHAnsi"/>
                <w:sz w:val="20"/>
                <w:szCs w:val="20"/>
              </w:rPr>
            </w:pPr>
            <w:r w:rsidRPr="00E67099">
              <w:rPr>
                <w:rFonts w:asciiTheme="majorHAnsi" w:hAnsiTheme="majorHAnsi" w:cstheme="majorHAnsi"/>
                <w:sz w:val="20"/>
                <w:szCs w:val="20"/>
              </w:rPr>
              <w:t>Total General</w:t>
            </w:r>
          </w:p>
        </w:tc>
        <w:tc>
          <w:tcPr>
            <w:tcW w:w="1176" w:type="dxa"/>
            <w:shd w:val="clear" w:color="auto" w:fill="D5DCE4" w:themeFill="text2" w:themeFillTint="33"/>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E67099">
              <w:rPr>
                <w:rFonts w:asciiTheme="majorHAnsi" w:hAnsiTheme="majorHAnsi" w:cstheme="majorHAnsi"/>
                <w:b/>
                <w:sz w:val="20"/>
                <w:szCs w:val="20"/>
              </w:rPr>
              <w:t>379 488,9</w:t>
            </w:r>
          </w:p>
        </w:tc>
        <w:tc>
          <w:tcPr>
            <w:tcW w:w="1450" w:type="dxa"/>
            <w:shd w:val="clear" w:color="auto" w:fill="D5DCE4" w:themeFill="text2" w:themeFillTint="33"/>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E67099">
              <w:rPr>
                <w:rFonts w:asciiTheme="majorHAnsi" w:hAnsiTheme="majorHAnsi" w:cstheme="majorHAnsi"/>
                <w:b/>
                <w:sz w:val="20"/>
                <w:szCs w:val="20"/>
              </w:rPr>
              <w:t>326 925,7</w:t>
            </w:r>
          </w:p>
        </w:tc>
        <w:tc>
          <w:tcPr>
            <w:tcW w:w="1202" w:type="dxa"/>
            <w:shd w:val="clear" w:color="auto" w:fill="D5DCE4" w:themeFill="text2" w:themeFillTint="33"/>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E67099">
              <w:rPr>
                <w:rFonts w:asciiTheme="majorHAnsi" w:hAnsiTheme="majorHAnsi" w:cstheme="majorHAnsi"/>
                <w:b/>
                <w:sz w:val="20"/>
                <w:szCs w:val="20"/>
              </w:rPr>
              <w:t>67 575,5</w:t>
            </w:r>
          </w:p>
        </w:tc>
        <w:tc>
          <w:tcPr>
            <w:tcW w:w="1450" w:type="dxa"/>
            <w:shd w:val="clear" w:color="auto" w:fill="D5DCE4" w:themeFill="text2" w:themeFillTint="33"/>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E67099">
              <w:rPr>
                <w:rFonts w:asciiTheme="majorHAnsi" w:hAnsiTheme="majorHAnsi" w:cstheme="majorHAnsi"/>
                <w:b/>
                <w:sz w:val="20"/>
                <w:szCs w:val="20"/>
              </w:rPr>
              <w:t>-15 012,2</w:t>
            </w:r>
          </w:p>
        </w:tc>
        <w:tc>
          <w:tcPr>
            <w:tcW w:w="1450" w:type="dxa"/>
            <w:shd w:val="clear" w:color="auto" w:fill="D5DCE4" w:themeFill="text2" w:themeFillTint="33"/>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E67099">
              <w:rPr>
                <w:rFonts w:asciiTheme="majorHAnsi" w:hAnsiTheme="majorHAnsi" w:cstheme="majorHAnsi"/>
                <w:b/>
                <w:sz w:val="20"/>
                <w:szCs w:val="20"/>
              </w:rPr>
              <w:t>X</w:t>
            </w:r>
          </w:p>
        </w:tc>
        <w:tc>
          <w:tcPr>
            <w:tcW w:w="2202" w:type="dxa"/>
            <w:shd w:val="clear" w:color="auto" w:fill="D5DCE4" w:themeFill="text2" w:themeFillTint="33"/>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E67099">
              <w:rPr>
                <w:rFonts w:asciiTheme="majorHAnsi" w:hAnsiTheme="majorHAnsi" w:cstheme="majorHAnsi"/>
                <w:b/>
                <w:sz w:val="20"/>
                <w:szCs w:val="20"/>
              </w:rPr>
              <w:t>x</w:t>
            </w:r>
          </w:p>
        </w:tc>
      </w:tr>
    </w:tbl>
    <w:p w:rsidR="00E67099" w:rsidRDefault="00E67099" w:rsidP="008B3719">
      <w:pPr>
        <w:spacing w:after="0" w:line="276" w:lineRule="auto"/>
        <w:jc w:val="both"/>
        <w:rPr>
          <w:rFonts w:asciiTheme="majorHAnsi" w:hAnsiTheme="majorHAnsi" w:cstheme="majorHAnsi"/>
          <w:i/>
          <w:sz w:val="20"/>
          <w:szCs w:val="20"/>
        </w:rPr>
      </w:pPr>
      <w:r w:rsidRPr="00E67099">
        <w:rPr>
          <w:rFonts w:asciiTheme="majorHAnsi" w:hAnsiTheme="majorHAnsi" w:cstheme="majorHAnsi"/>
          <w:b/>
          <w:i/>
          <w:sz w:val="20"/>
          <w:szCs w:val="20"/>
        </w:rPr>
        <w:t>Sursă:</w:t>
      </w:r>
      <w:r w:rsidRPr="00E67099">
        <w:rPr>
          <w:rFonts w:asciiTheme="majorHAnsi" w:hAnsiTheme="majorHAnsi" w:cstheme="majorHAnsi"/>
          <w:i/>
          <w:sz w:val="20"/>
          <w:szCs w:val="20"/>
        </w:rPr>
        <w:t xml:space="preserve"> Datele sistematizate de către echipa de audit.</w:t>
      </w:r>
    </w:p>
    <w:p w:rsidR="008B3719" w:rsidRPr="008B3719" w:rsidRDefault="008B3719" w:rsidP="008B3719">
      <w:pPr>
        <w:spacing w:after="0" w:line="276" w:lineRule="auto"/>
        <w:jc w:val="both"/>
        <w:rPr>
          <w:rFonts w:asciiTheme="majorHAnsi" w:hAnsiTheme="majorHAnsi" w:cstheme="majorHAnsi"/>
          <w:i/>
          <w:sz w:val="20"/>
          <w:szCs w:val="20"/>
        </w:rPr>
      </w:pPr>
    </w:p>
    <w:p w:rsidR="00F71B6E" w:rsidRDefault="00F71B6E" w:rsidP="00E67099">
      <w:pPr>
        <w:shd w:val="clear" w:color="auto" w:fill="FFFFFF" w:themeFill="background1"/>
        <w:tabs>
          <w:tab w:val="left" w:pos="284"/>
          <w:tab w:val="left" w:pos="993"/>
          <w:tab w:val="left" w:pos="6663"/>
        </w:tabs>
        <w:spacing w:after="0" w:line="276" w:lineRule="auto"/>
        <w:jc w:val="right"/>
        <w:rPr>
          <w:rFonts w:asciiTheme="majorHAnsi" w:eastAsia="Times New Roman" w:hAnsiTheme="majorHAnsi" w:cstheme="majorHAnsi"/>
          <w:b/>
          <w:i/>
          <w:sz w:val="24"/>
          <w:szCs w:val="24"/>
        </w:rPr>
      </w:pPr>
    </w:p>
    <w:p w:rsidR="00F71B6E" w:rsidRDefault="00F71B6E" w:rsidP="00E67099">
      <w:pPr>
        <w:shd w:val="clear" w:color="auto" w:fill="FFFFFF" w:themeFill="background1"/>
        <w:tabs>
          <w:tab w:val="left" w:pos="284"/>
          <w:tab w:val="left" w:pos="993"/>
          <w:tab w:val="left" w:pos="6663"/>
        </w:tabs>
        <w:spacing w:after="0" w:line="276" w:lineRule="auto"/>
        <w:jc w:val="right"/>
        <w:rPr>
          <w:rFonts w:asciiTheme="majorHAnsi" w:eastAsia="Times New Roman" w:hAnsiTheme="majorHAnsi" w:cstheme="majorHAnsi"/>
          <w:b/>
          <w:i/>
          <w:sz w:val="24"/>
          <w:szCs w:val="24"/>
        </w:rPr>
      </w:pPr>
    </w:p>
    <w:p w:rsidR="00F71B6E" w:rsidRDefault="00F71B6E" w:rsidP="00E67099">
      <w:pPr>
        <w:shd w:val="clear" w:color="auto" w:fill="FFFFFF" w:themeFill="background1"/>
        <w:tabs>
          <w:tab w:val="left" w:pos="284"/>
          <w:tab w:val="left" w:pos="993"/>
          <w:tab w:val="left" w:pos="6663"/>
        </w:tabs>
        <w:spacing w:after="0" w:line="276" w:lineRule="auto"/>
        <w:jc w:val="right"/>
        <w:rPr>
          <w:rFonts w:asciiTheme="majorHAnsi" w:eastAsia="Times New Roman" w:hAnsiTheme="majorHAnsi" w:cstheme="majorHAnsi"/>
          <w:b/>
          <w:i/>
          <w:sz w:val="24"/>
          <w:szCs w:val="24"/>
        </w:rPr>
      </w:pPr>
    </w:p>
    <w:p w:rsidR="00E67099" w:rsidRPr="00E67099" w:rsidRDefault="00E67099" w:rsidP="00E67099">
      <w:pPr>
        <w:shd w:val="clear" w:color="auto" w:fill="FFFFFF" w:themeFill="background1"/>
        <w:tabs>
          <w:tab w:val="left" w:pos="284"/>
          <w:tab w:val="left" w:pos="993"/>
          <w:tab w:val="left" w:pos="6663"/>
        </w:tabs>
        <w:spacing w:after="0" w:line="276" w:lineRule="auto"/>
        <w:jc w:val="right"/>
        <w:rPr>
          <w:rFonts w:asciiTheme="majorHAnsi" w:eastAsia="Times New Roman" w:hAnsiTheme="majorHAnsi" w:cstheme="majorHAnsi"/>
          <w:b/>
          <w:i/>
          <w:sz w:val="24"/>
          <w:szCs w:val="24"/>
        </w:rPr>
      </w:pPr>
      <w:r w:rsidRPr="00E67099">
        <w:rPr>
          <w:rFonts w:asciiTheme="majorHAnsi" w:eastAsia="Times New Roman" w:hAnsiTheme="majorHAnsi" w:cstheme="majorHAnsi"/>
          <w:b/>
          <w:i/>
          <w:sz w:val="24"/>
          <w:szCs w:val="24"/>
        </w:rPr>
        <w:t>Anexa nr.8</w:t>
      </w:r>
    </w:p>
    <w:p w:rsidR="00E67099" w:rsidRPr="00E67099" w:rsidRDefault="00E67099" w:rsidP="00E67099">
      <w:pPr>
        <w:spacing w:after="0" w:line="240" w:lineRule="auto"/>
        <w:jc w:val="center"/>
        <w:rPr>
          <w:rFonts w:asciiTheme="majorHAnsi" w:hAnsiTheme="majorHAnsi" w:cstheme="majorHAnsi"/>
          <w:b/>
          <w:sz w:val="24"/>
          <w:szCs w:val="24"/>
          <w:lang w:val="ro-MD"/>
        </w:rPr>
      </w:pPr>
      <w:r w:rsidRPr="00E67099">
        <w:rPr>
          <w:rFonts w:asciiTheme="majorHAnsi" w:hAnsiTheme="majorHAnsi" w:cstheme="majorHAnsi"/>
          <w:b/>
          <w:sz w:val="24"/>
          <w:szCs w:val="24"/>
          <w:lang w:val="ro-MD"/>
        </w:rPr>
        <w:t>Executarea încasărilor din granturi pe anul 2019</w:t>
      </w:r>
    </w:p>
    <w:p w:rsidR="00E67099" w:rsidRPr="00E67099" w:rsidRDefault="00E67099" w:rsidP="00E67099">
      <w:pPr>
        <w:spacing w:after="0" w:line="240" w:lineRule="auto"/>
        <w:ind w:right="1806"/>
        <w:jc w:val="right"/>
        <w:rPr>
          <w:rFonts w:asciiTheme="majorHAnsi" w:hAnsiTheme="majorHAnsi" w:cstheme="majorHAnsi"/>
          <w:b/>
          <w:sz w:val="24"/>
          <w:szCs w:val="24"/>
          <w:lang w:val="ro-MD"/>
        </w:rPr>
      </w:pPr>
      <w:r w:rsidRPr="00E67099">
        <w:rPr>
          <w:rFonts w:asciiTheme="majorHAnsi" w:hAnsiTheme="majorHAnsi" w:cstheme="majorHAnsi"/>
          <w:b/>
          <w:sz w:val="24"/>
          <w:szCs w:val="24"/>
          <w:lang w:val="ro-MD"/>
        </w:rPr>
        <w:t>(mil. lei)</w:t>
      </w:r>
    </w:p>
    <w:tbl>
      <w:tblPr>
        <w:tblStyle w:val="GridTable1Light4"/>
        <w:tblW w:w="9832" w:type="dxa"/>
        <w:jc w:val="center"/>
        <w:tblLook w:val="04A0" w:firstRow="1" w:lastRow="0" w:firstColumn="1" w:lastColumn="0" w:noHBand="0" w:noVBand="1"/>
      </w:tblPr>
      <w:tblGrid>
        <w:gridCol w:w="5232"/>
        <w:gridCol w:w="925"/>
        <w:gridCol w:w="991"/>
        <w:gridCol w:w="983"/>
        <w:gridCol w:w="826"/>
        <w:gridCol w:w="875"/>
      </w:tblGrid>
      <w:tr w:rsidR="00E67099" w:rsidRPr="00E67099" w:rsidTr="00A3673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32" w:type="dxa"/>
            <w:vMerge w:val="restart"/>
            <w:vAlign w:val="center"/>
          </w:tcPr>
          <w:p w:rsidR="00E67099" w:rsidRPr="00A15068" w:rsidRDefault="00E67099" w:rsidP="00E67099">
            <w:pPr>
              <w:jc w:val="center"/>
              <w:rPr>
                <w:rFonts w:asciiTheme="majorHAnsi" w:hAnsiTheme="majorHAnsi" w:cstheme="majorHAnsi"/>
                <w:sz w:val="20"/>
                <w:szCs w:val="20"/>
                <w:lang w:val="ro-MD"/>
              </w:rPr>
            </w:pPr>
            <w:r w:rsidRPr="00A15068">
              <w:rPr>
                <w:rFonts w:asciiTheme="majorHAnsi" w:hAnsiTheme="majorHAnsi" w:cstheme="majorHAnsi"/>
                <w:sz w:val="20"/>
                <w:szCs w:val="20"/>
                <w:lang w:val="ro-MD"/>
              </w:rPr>
              <w:t>Indicatori</w:t>
            </w:r>
          </w:p>
        </w:tc>
        <w:tc>
          <w:tcPr>
            <w:tcW w:w="925" w:type="dxa"/>
            <w:vMerge w:val="restart"/>
            <w:vAlign w:val="center"/>
          </w:tcPr>
          <w:p w:rsidR="00E67099" w:rsidRPr="00A15068" w:rsidRDefault="00E67099" w:rsidP="00E6709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A15068">
              <w:rPr>
                <w:rFonts w:asciiTheme="majorHAnsi" w:hAnsiTheme="majorHAnsi" w:cstheme="majorHAnsi"/>
                <w:sz w:val="20"/>
                <w:szCs w:val="20"/>
                <w:lang w:val="ro-MD"/>
              </w:rPr>
              <w:t>Aprobat</w:t>
            </w:r>
          </w:p>
        </w:tc>
        <w:tc>
          <w:tcPr>
            <w:tcW w:w="991" w:type="dxa"/>
            <w:vMerge w:val="restart"/>
            <w:vAlign w:val="center"/>
          </w:tcPr>
          <w:p w:rsidR="00E67099" w:rsidRPr="00A15068" w:rsidRDefault="00E67099" w:rsidP="00E6709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A15068">
              <w:rPr>
                <w:rFonts w:asciiTheme="majorHAnsi" w:hAnsiTheme="majorHAnsi" w:cstheme="majorHAnsi"/>
                <w:sz w:val="20"/>
                <w:szCs w:val="20"/>
                <w:lang w:val="ro-MD"/>
              </w:rPr>
              <w:t>Precizat</w:t>
            </w:r>
          </w:p>
        </w:tc>
        <w:tc>
          <w:tcPr>
            <w:tcW w:w="983" w:type="dxa"/>
            <w:vMerge w:val="restart"/>
            <w:vAlign w:val="center"/>
          </w:tcPr>
          <w:p w:rsidR="00E67099" w:rsidRPr="00A15068" w:rsidRDefault="00E67099" w:rsidP="00E6709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A15068">
              <w:rPr>
                <w:rFonts w:asciiTheme="majorHAnsi" w:hAnsiTheme="majorHAnsi" w:cstheme="majorHAnsi"/>
                <w:sz w:val="20"/>
                <w:szCs w:val="20"/>
                <w:lang w:val="ro-MD"/>
              </w:rPr>
              <w:t>Executat</w:t>
            </w:r>
          </w:p>
        </w:tc>
        <w:tc>
          <w:tcPr>
            <w:tcW w:w="1701" w:type="dxa"/>
            <w:gridSpan w:val="2"/>
            <w:vAlign w:val="center"/>
          </w:tcPr>
          <w:p w:rsidR="00E67099" w:rsidRPr="00A15068" w:rsidRDefault="00E67099" w:rsidP="00E6709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A15068">
              <w:rPr>
                <w:rFonts w:asciiTheme="majorHAnsi" w:hAnsiTheme="majorHAnsi" w:cstheme="majorHAnsi"/>
                <w:sz w:val="20"/>
                <w:szCs w:val="20"/>
                <w:lang w:val="ro-MD"/>
              </w:rPr>
              <w:t>Executat față de precizat</w:t>
            </w:r>
          </w:p>
        </w:tc>
      </w:tr>
      <w:tr w:rsidR="00E67099" w:rsidRPr="00E67099" w:rsidTr="00A36731">
        <w:trPr>
          <w:jc w:val="center"/>
        </w:trPr>
        <w:tc>
          <w:tcPr>
            <w:cnfStyle w:val="001000000000" w:firstRow="0" w:lastRow="0" w:firstColumn="1" w:lastColumn="0" w:oddVBand="0" w:evenVBand="0" w:oddHBand="0" w:evenHBand="0" w:firstRowFirstColumn="0" w:firstRowLastColumn="0" w:lastRowFirstColumn="0" w:lastRowLastColumn="0"/>
            <w:tcW w:w="5232" w:type="dxa"/>
            <w:vMerge/>
            <w:vAlign w:val="center"/>
          </w:tcPr>
          <w:p w:rsidR="00E67099" w:rsidRPr="00A15068" w:rsidRDefault="00E67099" w:rsidP="00E67099">
            <w:pPr>
              <w:jc w:val="center"/>
              <w:rPr>
                <w:rFonts w:asciiTheme="majorHAnsi" w:hAnsiTheme="majorHAnsi" w:cstheme="majorHAnsi"/>
                <w:sz w:val="20"/>
                <w:szCs w:val="20"/>
                <w:lang w:val="ro-MD"/>
              </w:rPr>
            </w:pPr>
          </w:p>
        </w:tc>
        <w:tc>
          <w:tcPr>
            <w:tcW w:w="925" w:type="dxa"/>
            <w:vMerge/>
            <w:vAlign w:val="center"/>
          </w:tcPr>
          <w:p w:rsidR="00E67099" w:rsidRPr="00A15068"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p>
        </w:tc>
        <w:tc>
          <w:tcPr>
            <w:tcW w:w="991" w:type="dxa"/>
            <w:vMerge/>
            <w:vAlign w:val="center"/>
          </w:tcPr>
          <w:p w:rsidR="00E67099" w:rsidRPr="00A15068"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p>
        </w:tc>
        <w:tc>
          <w:tcPr>
            <w:tcW w:w="983" w:type="dxa"/>
            <w:vMerge/>
            <w:vAlign w:val="center"/>
          </w:tcPr>
          <w:p w:rsidR="00E67099" w:rsidRPr="00A15068"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p>
        </w:tc>
        <w:tc>
          <w:tcPr>
            <w:tcW w:w="826" w:type="dxa"/>
            <w:vAlign w:val="center"/>
          </w:tcPr>
          <w:p w:rsidR="00E67099" w:rsidRPr="00A15068"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A15068">
              <w:rPr>
                <w:rFonts w:asciiTheme="majorHAnsi" w:hAnsiTheme="majorHAnsi" w:cstheme="majorHAnsi"/>
                <w:b/>
                <w:sz w:val="20"/>
                <w:szCs w:val="20"/>
                <w:lang w:val="ro-MD"/>
              </w:rPr>
              <w:t>(+/-)</w:t>
            </w:r>
          </w:p>
        </w:tc>
        <w:tc>
          <w:tcPr>
            <w:tcW w:w="875" w:type="dxa"/>
            <w:vAlign w:val="center"/>
          </w:tcPr>
          <w:p w:rsidR="00E67099" w:rsidRPr="00A15068"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A15068">
              <w:rPr>
                <w:rFonts w:asciiTheme="majorHAnsi" w:hAnsiTheme="majorHAnsi" w:cstheme="majorHAnsi"/>
                <w:b/>
                <w:sz w:val="20"/>
                <w:szCs w:val="20"/>
                <w:lang w:val="ro-MD"/>
              </w:rPr>
              <w:t>(%)</w:t>
            </w:r>
          </w:p>
        </w:tc>
      </w:tr>
      <w:tr w:rsidR="00E67099" w:rsidRPr="00E67099" w:rsidTr="00A36731">
        <w:trPr>
          <w:jc w:val="center"/>
        </w:trPr>
        <w:tc>
          <w:tcPr>
            <w:cnfStyle w:val="001000000000" w:firstRow="0" w:lastRow="0" w:firstColumn="1" w:lastColumn="0" w:oddVBand="0" w:evenVBand="0" w:oddHBand="0" w:evenHBand="0" w:firstRowFirstColumn="0" w:firstRowLastColumn="0" w:lastRowFirstColumn="0" w:lastRowLastColumn="0"/>
            <w:tcW w:w="5232" w:type="dxa"/>
          </w:tcPr>
          <w:p w:rsidR="00E67099" w:rsidRPr="00E67099" w:rsidRDefault="00E67099" w:rsidP="00E67099">
            <w:pPr>
              <w:jc w:val="center"/>
              <w:rPr>
                <w:rFonts w:asciiTheme="majorHAnsi" w:hAnsiTheme="majorHAnsi" w:cstheme="majorHAnsi"/>
                <w:i/>
                <w:sz w:val="16"/>
                <w:szCs w:val="16"/>
                <w:lang w:val="ro-MD"/>
              </w:rPr>
            </w:pPr>
            <w:r w:rsidRPr="00E67099">
              <w:rPr>
                <w:rFonts w:asciiTheme="majorHAnsi" w:hAnsiTheme="majorHAnsi" w:cstheme="majorHAnsi"/>
                <w:i/>
                <w:sz w:val="16"/>
                <w:szCs w:val="16"/>
                <w:lang w:val="ro-MD"/>
              </w:rPr>
              <w:t>1</w:t>
            </w:r>
          </w:p>
        </w:tc>
        <w:tc>
          <w:tcPr>
            <w:tcW w:w="925"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lang w:val="ro-MD"/>
              </w:rPr>
            </w:pPr>
            <w:r w:rsidRPr="00E67099">
              <w:rPr>
                <w:rFonts w:asciiTheme="majorHAnsi" w:hAnsiTheme="majorHAnsi" w:cstheme="majorHAnsi"/>
                <w:i/>
                <w:sz w:val="16"/>
                <w:szCs w:val="16"/>
                <w:lang w:val="ro-MD"/>
              </w:rPr>
              <w:t>2</w:t>
            </w:r>
          </w:p>
        </w:tc>
        <w:tc>
          <w:tcPr>
            <w:tcW w:w="991"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lang w:val="ro-MD"/>
              </w:rPr>
            </w:pPr>
            <w:r w:rsidRPr="00E67099">
              <w:rPr>
                <w:rFonts w:asciiTheme="majorHAnsi" w:hAnsiTheme="majorHAnsi" w:cstheme="majorHAnsi"/>
                <w:i/>
                <w:sz w:val="16"/>
                <w:szCs w:val="16"/>
                <w:lang w:val="ro-MD"/>
              </w:rPr>
              <w:t>3</w:t>
            </w:r>
          </w:p>
        </w:tc>
        <w:tc>
          <w:tcPr>
            <w:tcW w:w="983"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lang w:val="ro-MD"/>
              </w:rPr>
            </w:pPr>
            <w:r w:rsidRPr="00E67099">
              <w:rPr>
                <w:rFonts w:asciiTheme="majorHAnsi" w:hAnsiTheme="majorHAnsi" w:cstheme="majorHAnsi"/>
                <w:i/>
                <w:sz w:val="16"/>
                <w:szCs w:val="16"/>
                <w:lang w:val="ro-MD"/>
              </w:rPr>
              <w:t>4</w:t>
            </w:r>
          </w:p>
        </w:tc>
        <w:tc>
          <w:tcPr>
            <w:tcW w:w="826"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lang w:val="ro-MD"/>
              </w:rPr>
            </w:pPr>
            <w:r w:rsidRPr="00E67099">
              <w:rPr>
                <w:rFonts w:asciiTheme="majorHAnsi" w:hAnsiTheme="majorHAnsi" w:cstheme="majorHAnsi"/>
                <w:i/>
                <w:sz w:val="16"/>
                <w:szCs w:val="16"/>
                <w:lang w:val="ro-MD"/>
              </w:rPr>
              <w:t>5=4-3</w:t>
            </w:r>
          </w:p>
        </w:tc>
        <w:tc>
          <w:tcPr>
            <w:tcW w:w="875"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lang w:val="ro-MD"/>
              </w:rPr>
            </w:pPr>
            <w:r w:rsidRPr="00E67099">
              <w:rPr>
                <w:rFonts w:asciiTheme="majorHAnsi" w:hAnsiTheme="majorHAnsi" w:cstheme="majorHAnsi"/>
                <w:i/>
                <w:sz w:val="16"/>
                <w:szCs w:val="16"/>
                <w:lang w:val="ro-MD"/>
              </w:rPr>
              <w:t>6=4/3</w:t>
            </w:r>
          </w:p>
        </w:tc>
      </w:tr>
      <w:tr w:rsidR="00E67099" w:rsidRPr="00E67099" w:rsidTr="00A36731">
        <w:trPr>
          <w:jc w:val="center"/>
        </w:trPr>
        <w:tc>
          <w:tcPr>
            <w:cnfStyle w:val="001000000000" w:firstRow="0" w:lastRow="0" w:firstColumn="1" w:lastColumn="0" w:oddVBand="0" w:evenVBand="0" w:oddHBand="0" w:evenHBand="0" w:firstRowFirstColumn="0" w:firstRowLastColumn="0" w:lastRowFirstColumn="0" w:lastRowLastColumn="0"/>
            <w:tcW w:w="5232" w:type="dxa"/>
          </w:tcPr>
          <w:p w:rsidR="00E67099" w:rsidRPr="00A15068" w:rsidRDefault="00E67099" w:rsidP="00E67099">
            <w:pPr>
              <w:rPr>
                <w:rFonts w:asciiTheme="majorHAnsi" w:hAnsiTheme="majorHAnsi" w:cstheme="majorHAnsi"/>
                <w:sz w:val="20"/>
                <w:szCs w:val="20"/>
                <w:lang w:val="ro-MD"/>
              </w:rPr>
            </w:pPr>
            <w:r w:rsidRPr="00A15068">
              <w:rPr>
                <w:rFonts w:asciiTheme="majorHAnsi" w:hAnsiTheme="majorHAnsi" w:cstheme="majorHAnsi"/>
                <w:sz w:val="20"/>
                <w:szCs w:val="20"/>
                <w:lang w:val="ro-MD"/>
              </w:rPr>
              <w:t>GRANTURI PRIMITE, inclusiv:</w:t>
            </w:r>
          </w:p>
        </w:tc>
        <w:tc>
          <w:tcPr>
            <w:tcW w:w="925"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A15068">
              <w:rPr>
                <w:rFonts w:asciiTheme="majorHAnsi" w:hAnsiTheme="majorHAnsi" w:cstheme="majorHAnsi"/>
                <w:b/>
                <w:sz w:val="20"/>
                <w:szCs w:val="20"/>
                <w:lang w:val="ro-MD"/>
              </w:rPr>
              <w:t>1 960,2</w:t>
            </w:r>
          </w:p>
        </w:tc>
        <w:tc>
          <w:tcPr>
            <w:tcW w:w="991"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A15068">
              <w:rPr>
                <w:rFonts w:asciiTheme="majorHAnsi" w:hAnsiTheme="majorHAnsi" w:cstheme="majorHAnsi"/>
                <w:b/>
                <w:sz w:val="20"/>
                <w:szCs w:val="20"/>
                <w:lang w:val="ro-MD"/>
              </w:rPr>
              <w:t>1 793,9</w:t>
            </w:r>
          </w:p>
        </w:tc>
        <w:tc>
          <w:tcPr>
            <w:tcW w:w="983"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A15068">
              <w:rPr>
                <w:rFonts w:asciiTheme="majorHAnsi" w:hAnsiTheme="majorHAnsi" w:cstheme="majorHAnsi"/>
                <w:b/>
                <w:sz w:val="20"/>
                <w:szCs w:val="20"/>
                <w:lang w:val="ro-MD"/>
              </w:rPr>
              <w:t>1 540,5</w:t>
            </w:r>
          </w:p>
        </w:tc>
        <w:tc>
          <w:tcPr>
            <w:tcW w:w="826"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sz w:val="20"/>
                <w:szCs w:val="20"/>
                <w:lang w:val="ro-MD"/>
              </w:rPr>
            </w:pPr>
            <w:r w:rsidRPr="00A15068">
              <w:rPr>
                <w:rFonts w:asciiTheme="majorHAnsi" w:hAnsiTheme="majorHAnsi" w:cstheme="majorHAnsi"/>
                <w:b/>
                <w:i/>
                <w:sz w:val="20"/>
                <w:szCs w:val="20"/>
                <w:lang w:val="ro-MD"/>
              </w:rPr>
              <w:t>-253,4</w:t>
            </w:r>
          </w:p>
        </w:tc>
        <w:tc>
          <w:tcPr>
            <w:tcW w:w="875"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sz w:val="20"/>
                <w:szCs w:val="20"/>
                <w:lang w:val="ro-MD"/>
              </w:rPr>
            </w:pPr>
            <w:r w:rsidRPr="00A15068">
              <w:rPr>
                <w:rFonts w:asciiTheme="majorHAnsi" w:hAnsiTheme="majorHAnsi" w:cstheme="majorHAnsi"/>
                <w:b/>
                <w:i/>
                <w:sz w:val="20"/>
                <w:szCs w:val="20"/>
                <w:lang w:val="ro-MD"/>
              </w:rPr>
              <w:t>85,9%</w:t>
            </w:r>
          </w:p>
        </w:tc>
      </w:tr>
      <w:tr w:rsidR="00E67099" w:rsidRPr="00E67099" w:rsidTr="00A36731">
        <w:trPr>
          <w:jc w:val="center"/>
        </w:trPr>
        <w:tc>
          <w:tcPr>
            <w:cnfStyle w:val="001000000000" w:firstRow="0" w:lastRow="0" w:firstColumn="1" w:lastColumn="0" w:oddVBand="0" w:evenVBand="0" w:oddHBand="0" w:evenHBand="0" w:firstRowFirstColumn="0" w:firstRowLastColumn="0" w:lastRowFirstColumn="0" w:lastRowLastColumn="0"/>
            <w:tcW w:w="5232" w:type="dxa"/>
          </w:tcPr>
          <w:p w:rsidR="00E67099" w:rsidRPr="00A15068" w:rsidRDefault="00E67099" w:rsidP="00E67099">
            <w:pPr>
              <w:rPr>
                <w:rFonts w:asciiTheme="majorHAnsi" w:hAnsiTheme="majorHAnsi" w:cstheme="majorHAnsi"/>
                <w:sz w:val="20"/>
                <w:szCs w:val="20"/>
                <w:lang w:val="ro-MD"/>
              </w:rPr>
            </w:pPr>
            <w:r w:rsidRPr="00A15068">
              <w:rPr>
                <w:rFonts w:asciiTheme="majorHAnsi" w:hAnsiTheme="majorHAnsi" w:cstheme="majorHAnsi"/>
                <w:sz w:val="20"/>
                <w:szCs w:val="20"/>
                <w:lang w:val="ro-MD"/>
              </w:rPr>
              <w:t>pentru realizarea proiectelor finanțate din surse externe</w:t>
            </w:r>
          </w:p>
        </w:tc>
        <w:tc>
          <w:tcPr>
            <w:tcW w:w="925"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A15068">
              <w:rPr>
                <w:rFonts w:asciiTheme="majorHAnsi" w:hAnsiTheme="majorHAnsi" w:cstheme="majorHAnsi"/>
                <w:b/>
                <w:sz w:val="20"/>
                <w:szCs w:val="20"/>
                <w:lang w:val="ro-MD"/>
              </w:rPr>
              <w:t>731,9</w:t>
            </w:r>
          </w:p>
        </w:tc>
        <w:tc>
          <w:tcPr>
            <w:tcW w:w="991"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A15068">
              <w:rPr>
                <w:rFonts w:asciiTheme="majorHAnsi" w:hAnsiTheme="majorHAnsi" w:cstheme="majorHAnsi"/>
                <w:b/>
                <w:sz w:val="20"/>
                <w:szCs w:val="20"/>
                <w:lang w:val="ro-MD"/>
              </w:rPr>
              <w:t>425,0</w:t>
            </w:r>
          </w:p>
        </w:tc>
        <w:tc>
          <w:tcPr>
            <w:tcW w:w="983"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A15068">
              <w:rPr>
                <w:rFonts w:asciiTheme="majorHAnsi" w:hAnsiTheme="majorHAnsi" w:cstheme="majorHAnsi"/>
                <w:b/>
                <w:sz w:val="20"/>
                <w:szCs w:val="20"/>
                <w:lang w:val="ro-MD"/>
              </w:rPr>
              <w:t>305,8</w:t>
            </w:r>
          </w:p>
        </w:tc>
        <w:tc>
          <w:tcPr>
            <w:tcW w:w="826"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sz w:val="20"/>
                <w:szCs w:val="20"/>
                <w:lang w:val="ro-MD"/>
              </w:rPr>
            </w:pPr>
            <w:r w:rsidRPr="00A15068">
              <w:rPr>
                <w:rFonts w:asciiTheme="majorHAnsi" w:hAnsiTheme="majorHAnsi" w:cstheme="majorHAnsi"/>
                <w:b/>
                <w:i/>
                <w:sz w:val="20"/>
                <w:szCs w:val="20"/>
                <w:lang w:val="ro-MD"/>
              </w:rPr>
              <w:t>-119,2</w:t>
            </w:r>
          </w:p>
        </w:tc>
        <w:tc>
          <w:tcPr>
            <w:tcW w:w="875"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sz w:val="20"/>
                <w:szCs w:val="20"/>
                <w:lang w:val="ro-MD"/>
              </w:rPr>
            </w:pPr>
            <w:r w:rsidRPr="00A15068">
              <w:rPr>
                <w:rFonts w:asciiTheme="majorHAnsi" w:hAnsiTheme="majorHAnsi" w:cstheme="majorHAnsi"/>
                <w:b/>
                <w:i/>
                <w:sz w:val="20"/>
                <w:szCs w:val="20"/>
                <w:lang w:val="ro-MD"/>
              </w:rPr>
              <w:t>72,0%</w:t>
            </w:r>
          </w:p>
        </w:tc>
      </w:tr>
      <w:tr w:rsidR="00E67099" w:rsidRPr="00E67099" w:rsidTr="00A36731">
        <w:trPr>
          <w:jc w:val="center"/>
        </w:trPr>
        <w:tc>
          <w:tcPr>
            <w:cnfStyle w:val="001000000000" w:firstRow="0" w:lastRow="0" w:firstColumn="1" w:lastColumn="0" w:oddVBand="0" w:evenVBand="0" w:oddHBand="0" w:evenHBand="0" w:firstRowFirstColumn="0" w:firstRowLastColumn="0" w:lastRowFirstColumn="0" w:lastRowLastColumn="0"/>
            <w:tcW w:w="5232" w:type="dxa"/>
          </w:tcPr>
          <w:p w:rsidR="00E67099" w:rsidRPr="00A15068" w:rsidRDefault="00E67099" w:rsidP="00E67099">
            <w:pPr>
              <w:rPr>
                <w:rFonts w:asciiTheme="majorHAnsi" w:hAnsiTheme="majorHAnsi" w:cstheme="majorHAnsi"/>
                <w:sz w:val="20"/>
                <w:szCs w:val="20"/>
                <w:lang w:val="ro-MD"/>
              </w:rPr>
            </w:pPr>
            <w:r w:rsidRPr="00A15068">
              <w:rPr>
                <w:rFonts w:asciiTheme="majorHAnsi" w:hAnsiTheme="majorHAnsi" w:cstheme="majorHAnsi"/>
                <w:sz w:val="20"/>
                <w:szCs w:val="20"/>
                <w:lang w:val="ro-MD"/>
              </w:rPr>
              <w:t>pentru susținerea bugetului:</w:t>
            </w:r>
          </w:p>
        </w:tc>
        <w:tc>
          <w:tcPr>
            <w:tcW w:w="925"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en-US"/>
              </w:rPr>
            </w:pPr>
            <w:r w:rsidRPr="00A15068">
              <w:rPr>
                <w:rFonts w:asciiTheme="majorHAnsi" w:hAnsiTheme="majorHAnsi" w:cstheme="majorHAnsi"/>
                <w:b/>
                <w:sz w:val="20"/>
                <w:szCs w:val="20"/>
              </w:rPr>
              <w:t>1 228,3</w:t>
            </w:r>
          </w:p>
        </w:tc>
        <w:tc>
          <w:tcPr>
            <w:tcW w:w="991"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A15068">
              <w:rPr>
                <w:rFonts w:asciiTheme="majorHAnsi" w:hAnsiTheme="majorHAnsi" w:cstheme="majorHAnsi"/>
                <w:b/>
                <w:sz w:val="20"/>
                <w:szCs w:val="20"/>
              </w:rPr>
              <w:t>1 368,8</w:t>
            </w:r>
          </w:p>
        </w:tc>
        <w:tc>
          <w:tcPr>
            <w:tcW w:w="983"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A15068">
              <w:rPr>
                <w:rFonts w:asciiTheme="majorHAnsi" w:hAnsiTheme="majorHAnsi" w:cstheme="majorHAnsi"/>
                <w:b/>
                <w:sz w:val="20"/>
                <w:szCs w:val="20"/>
              </w:rPr>
              <w:t>1 234,7</w:t>
            </w:r>
          </w:p>
        </w:tc>
        <w:tc>
          <w:tcPr>
            <w:tcW w:w="826"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sz w:val="20"/>
                <w:szCs w:val="20"/>
              </w:rPr>
            </w:pPr>
            <w:r w:rsidRPr="00A15068">
              <w:rPr>
                <w:rFonts w:asciiTheme="majorHAnsi" w:hAnsiTheme="majorHAnsi" w:cstheme="majorHAnsi"/>
                <w:b/>
                <w:i/>
                <w:sz w:val="20"/>
                <w:szCs w:val="20"/>
              </w:rPr>
              <w:t>-134,1</w:t>
            </w:r>
          </w:p>
        </w:tc>
        <w:tc>
          <w:tcPr>
            <w:tcW w:w="875"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sz w:val="20"/>
                <w:szCs w:val="20"/>
              </w:rPr>
            </w:pPr>
            <w:r w:rsidRPr="00A15068">
              <w:rPr>
                <w:rFonts w:asciiTheme="majorHAnsi" w:hAnsiTheme="majorHAnsi" w:cstheme="majorHAnsi"/>
                <w:b/>
                <w:i/>
                <w:sz w:val="20"/>
                <w:szCs w:val="20"/>
              </w:rPr>
              <w:t>90,2%</w:t>
            </w:r>
          </w:p>
        </w:tc>
      </w:tr>
      <w:tr w:rsidR="00E67099" w:rsidRPr="00E67099" w:rsidTr="00A36731">
        <w:trPr>
          <w:jc w:val="center"/>
        </w:trPr>
        <w:tc>
          <w:tcPr>
            <w:cnfStyle w:val="001000000000" w:firstRow="0" w:lastRow="0" w:firstColumn="1" w:lastColumn="0" w:oddVBand="0" w:evenVBand="0" w:oddHBand="0" w:evenHBand="0" w:firstRowFirstColumn="0" w:firstRowLastColumn="0" w:lastRowFirstColumn="0" w:lastRowLastColumn="0"/>
            <w:tcW w:w="5232" w:type="dxa"/>
          </w:tcPr>
          <w:p w:rsidR="00E67099" w:rsidRPr="00A15068" w:rsidRDefault="00E67099" w:rsidP="00E67099">
            <w:pPr>
              <w:ind w:firstLine="316"/>
              <w:rPr>
                <w:rFonts w:asciiTheme="majorHAnsi" w:hAnsiTheme="majorHAnsi" w:cstheme="majorHAnsi"/>
                <w:sz w:val="20"/>
                <w:szCs w:val="20"/>
                <w:lang w:val="ro-MD"/>
              </w:rPr>
            </w:pPr>
            <w:r w:rsidRPr="00A15068">
              <w:rPr>
                <w:rFonts w:asciiTheme="majorHAnsi" w:hAnsiTheme="majorHAnsi" w:cstheme="majorHAnsi"/>
                <w:sz w:val="20"/>
                <w:szCs w:val="20"/>
                <w:lang w:val="ro-MD"/>
              </w:rPr>
              <w:t>-liberalizarea regimului de vize</w:t>
            </w:r>
          </w:p>
        </w:tc>
        <w:tc>
          <w:tcPr>
            <w:tcW w:w="925"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A15068">
              <w:rPr>
                <w:rFonts w:asciiTheme="majorHAnsi" w:hAnsiTheme="majorHAnsi" w:cstheme="majorHAnsi"/>
                <w:sz w:val="20"/>
                <w:szCs w:val="20"/>
                <w:lang w:val="ro-MD"/>
              </w:rPr>
              <w:t>96,9</w:t>
            </w:r>
          </w:p>
        </w:tc>
        <w:tc>
          <w:tcPr>
            <w:tcW w:w="991"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A15068">
              <w:rPr>
                <w:rFonts w:asciiTheme="majorHAnsi" w:hAnsiTheme="majorHAnsi" w:cstheme="majorHAnsi"/>
                <w:sz w:val="20"/>
                <w:szCs w:val="20"/>
                <w:lang w:val="ro-MD"/>
              </w:rPr>
              <w:t>102,6</w:t>
            </w:r>
          </w:p>
        </w:tc>
        <w:tc>
          <w:tcPr>
            <w:tcW w:w="983"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A15068">
              <w:rPr>
                <w:rFonts w:asciiTheme="majorHAnsi" w:hAnsiTheme="majorHAnsi" w:cstheme="majorHAnsi"/>
                <w:sz w:val="20"/>
                <w:szCs w:val="20"/>
                <w:lang w:val="ro-MD"/>
              </w:rPr>
              <w:t>95,9</w:t>
            </w:r>
          </w:p>
        </w:tc>
        <w:tc>
          <w:tcPr>
            <w:tcW w:w="826"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en-US"/>
              </w:rPr>
            </w:pPr>
            <w:r w:rsidRPr="00A15068">
              <w:rPr>
                <w:rFonts w:asciiTheme="majorHAnsi" w:hAnsiTheme="majorHAnsi" w:cstheme="majorHAnsi"/>
                <w:color w:val="000000"/>
                <w:sz w:val="20"/>
                <w:szCs w:val="20"/>
              </w:rPr>
              <w:t>-6,7</w:t>
            </w:r>
          </w:p>
        </w:tc>
        <w:tc>
          <w:tcPr>
            <w:tcW w:w="875"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en-US"/>
              </w:rPr>
            </w:pPr>
            <w:r w:rsidRPr="00A15068">
              <w:rPr>
                <w:rFonts w:asciiTheme="majorHAnsi" w:hAnsiTheme="majorHAnsi" w:cstheme="majorHAnsi"/>
                <w:color w:val="000000"/>
                <w:sz w:val="20"/>
                <w:szCs w:val="20"/>
              </w:rPr>
              <w:t>93,5%</w:t>
            </w:r>
          </w:p>
        </w:tc>
      </w:tr>
      <w:tr w:rsidR="00E67099" w:rsidRPr="00E67099" w:rsidTr="00A36731">
        <w:trPr>
          <w:jc w:val="center"/>
        </w:trPr>
        <w:tc>
          <w:tcPr>
            <w:cnfStyle w:val="001000000000" w:firstRow="0" w:lastRow="0" w:firstColumn="1" w:lastColumn="0" w:oddVBand="0" w:evenVBand="0" w:oddHBand="0" w:evenHBand="0" w:firstRowFirstColumn="0" w:firstRowLastColumn="0" w:lastRowFirstColumn="0" w:lastRowLastColumn="0"/>
            <w:tcW w:w="5232" w:type="dxa"/>
          </w:tcPr>
          <w:p w:rsidR="00E67099" w:rsidRPr="00A15068" w:rsidRDefault="00E67099" w:rsidP="00E67099">
            <w:pPr>
              <w:ind w:firstLine="316"/>
              <w:rPr>
                <w:rFonts w:asciiTheme="majorHAnsi" w:hAnsiTheme="majorHAnsi" w:cstheme="majorHAnsi"/>
                <w:sz w:val="20"/>
                <w:szCs w:val="20"/>
                <w:lang w:val="ro-MD"/>
              </w:rPr>
            </w:pPr>
            <w:r w:rsidRPr="00A15068">
              <w:rPr>
                <w:rFonts w:asciiTheme="majorHAnsi" w:hAnsiTheme="majorHAnsi" w:cstheme="majorHAnsi"/>
                <w:sz w:val="20"/>
                <w:szCs w:val="20"/>
                <w:lang w:val="ro-MD"/>
              </w:rPr>
              <w:t>-educația vocațională</w:t>
            </w:r>
          </w:p>
        </w:tc>
        <w:tc>
          <w:tcPr>
            <w:tcW w:w="925"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A15068">
              <w:rPr>
                <w:rFonts w:asciiTheme="majorHAnsi" w:hAnsiTheme="majorHAnsi" w:cstheme="majorHAnsi"/>
                <w:sz w:val="20"/>
                <w:szCs w:val="20"/>
                <w:lang w:val="ro-MD"/>
              </w:rPr>
              <w:t>90,9</w:t>
            </w:r>
          </w:p>
        </w:tc>
        <w:tc>
          <w:tcPr>
            <w:tcW w:w="991"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A15068">
              <w:rPr>
                <w:rFonts w:asciiTheme="majorHAnsi" w:hAnsiTheme="majorHAnsi" w:cstheme="majorHAnsi"/>
                <w:sz w:val="20"/>
                <w:szCs w:val="20"/>
                <w:lang w:val="ro-MD"/>
              </w:rPr>
              <w:t>96,3</w:t>
            </w:r>
          </w:p>
        </w:tc>
        <w:tc>
          <w:tcPr>
            <w:tcW w:w="983"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A15068">
              <w:rPr>
                <w:rFonts w:asciiTheme="majorHAnsi" w:hAnsiTheme="majorHAnsi" w:cstheme="majorHAnsi"/>
                <w:sz w:val="20"/>
                <w:szCs w:val="20"/>
                <w:lang w:val="ro-MD"/>
              </w:rPr>
              <w:t>90,1</w:t>
            </w:r>
          </w:p>
        </w:tc>
        <w:tc>
          <w:tcPr>
            <w:tcW w:w="826"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A15068">
              <w:rPr>
                <w:rFonts w:asciiTheme="majorHAnsi" w:hAnsiTheme="majorHAnsi" w:cstheme="majorHAnsi"/>
                <w:color w:val="000000"/>
                <w:sz w:val="20"/>
                <w:szCs w:val="20"/>
              </w:rPr>
              <w:t>-6,2</w:t>
            </w:r>
          </w:p>
        </w:tc>
        <w:tc>
          <w:tcPr>
            <w:tcW w:w="875"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A15068">
              <w:rPr>
                <w:rFonts w:asciiTheme="majorHAnsi" w:hAnsiTheme="majorHAnsi" w:cstheme="majorHAnsi"/>
                <w:color w:val="000000"/>
                <w:sz w:val="20"/>
                <w:szCs w:val="20"/>
              </w:rPr>
              <w:t>93,6%</w:t>
            </w:r>
          </w:p>
        </w:tc>
      </w:tr>
      <w:tr w:rsidR="00E67099" w:rsidRPr="00E67099" w:rsidTr="00A36731">
        <w:trPr>
          <w:jc w:val="center"/>
        </w:trPr>
        <w:tc>
          <w:tcPr>
            <w:cnfStyle w:val="001000000000" w:firstRow="0" w:lastRow="0" w:firstColumn="1" w:lastColumn="0" w:oddVBand="0" w:evenVBand="0" w:oddHBand="0" w:evenHBand="0" w:firstRowFirstColumn="0" w:firstRowLastColumn="0" w:lastRowFirstColumn="0" w:lastRowLastColumn="0"/>
            <w:tcW w:w="5232" w:type="dxa"/>
          </w:tcPr>
          <w:p w:rsidR="00E67099" w:rsidRPr="00A15068" w:rsidRDefault="00E67099" w:rsidP="00E67099">
            <w:pPr>
              <w:ind w:firstLine="316"/>
              <w:rPr>
                <w:rFonts w:asciiTheme="majorHAnsi" w:hAnsiTheme="majorHAnsi" w:cstheme="majorHAnsi"/>
                <w:sz w:val="20"/>
                <w:szCs w:val="20"/>
                <w:lang w:val="ro-MD"/>
              </w:rPr>
            </w:pPr>
            <w:r w:rsidRPr="00A15068">
              <w:rPr>
                <w:rFonts w:asciiTheme="majorHAnsi" w:hAnsiTheme="majorHAnsi" w:cstheme="majorHAnsi"/>
                <w:sz w:val="20"/>
                <w:szCs w:val="20"/>
                <w:lang w:val="ro-MD"/>
              </w:rPr>
              <w:t>-reforma în domeniul finanțelor publice</w:t>
            </w:r>
          </w:p>
        </w:tc>
        <w:tc>
          <w:tcPr>
            <w:tcW w:w="925"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A15068">
              <w:rPr>
                <w:rFonts w:asciiTheme="majorHAnsi" w:hAnsiTheme="majorHAnsi" w:cstheme="majorHAnsi"/>
                <w:sz w:val="20"/>
                <w:szCs w:val="20"/>
                <w:lang w:val="ro-MD"/>
              </w:rPr>
              <w:t>138,5</w:t>
            </w:r>
          </w:p>
        </w:tc>
        <w:tc>
          <w:tcPr>
            <w:tcW w:w="991"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A15068">
              <w:rPr>
                <w:rFonts w:asciiTheme="majorHAnsi" w:hAnsiTheme="majorHAnsi" w:cstheme="majorHAnsi"/>
                <w:sz w:val="20"/>
                <w:szCs w:val="20"/>
                <w:lang w:val="ro-MD"/>
              </w:rPr>
              <w:t>146,5</w:t>
            </w:r>
          </w:p>
        </w:tc>
        <w:tc>
          <w:tcPr>
            <w:tcW w:w="983"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A15068">
              <w:rPr>
                <w:rFonts w:asciiTheme="majorHAnsi" w:hAnsiTheme="majorHAnsi" w:cstheme="majorHAnsi"/>
                <w:sz w:val="20"/>
                <w:szCs w:val="20"/>
                <w:lang w:val="ro-MD"/>
              </w:rPr>
              <w:t>125,5</w:t>
            </w:r>
          </w:p>
        </w:tc>
        <w:tc>
          <w:tcPr>
            <w:tcW w:w="826"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A15068">
              <w:rPr>
                <w:rFonts w:asciiTheme="majorHAnsi" w:hAnsiTheme="majorHAnsi" w:cstheme="majorHAnsi"/>
                <w:color w:val="000000"/>
                <w:sz w:val="20"/>
                <w:szCs w:val="20"/>
              </w:rPr>
              <w:t>-21,0</w:t>
            </w:r>
          </w:p>
        </w:tc>
        <w:tc>
          <w:tcPr>
            <w:tcW w:w="875"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A15068">
              <w:rPr>
                <w:rFonts w:asciiTheme="majorHAnsi" w:hAnsiTheme="majorHAnsi" w:cstheme="majorHAnsi"/>
                <w:color w:val="000000"/>
                <w:sz w:val="20"/>
                <w:szCs w:val="20"/>
              </w:rPr>
              <w:t>85,7%</w:t>
            </w:r>
          </w:p>
        </w:tc>
      </w:tr>
      <w:tr w:rsidR="00E67099" w:rsidRPr="00E67099" w:rsidTr="00A36731">
        <w:trPr>
          <w:jc w:val="center"/>
        </w:trPr>
        <w:tc>
          <w:tcPr>
            <w:cnfStyle w:val="001000000000" w:firstRow="0" w:lastRow="0" w:firstColumn="1" w:lastColumn="0" w:oddVBand="0" w:evenVBand="0" w:oddHBand="0" w:evenHBand="0" w:firstRowFirstColumn="0" w:firstRowLastColumn="0" w:lastRowFirstColumn="0" w:lastRowLastColumn="0"/>
            <w:tcW w:w="5232" w:type="dxa"/>
          </w:tcPr>
          <w:p w:rsidR="00E67099" w:rsidRPr="00A15068" w:rsidRDefault="00E67099" w:rsidP="00E67099">
            <w:pPr>
              <w:ind w:firstLine="316"/>
              <w:rPr>
                <w:rFonts w:asciiTheme="majorHAnsi" w:hAnsiTheme="majorHAnsi" w:cstheme="majorHAnsi"/>
                <w:sz w:val="20"/>
                <w:szCs w:val="20"/>
                <w:lang w:val="ro-MD"/>
              </w:rPr>
            </w:pPr>
            <w:r w:rsidRPr="00A15068">
              <w:rPr>
                <w:rFonts w:asciiTheme="majorHAnsi" w:hAnsiTheme="majorHAnsi" w:cstheme="majorHAnsi"/>
                <w:sz w:val="20"/>
                <w:szCs w:val="20"/>
                <w:lang w:val="ro-MD"/>
              </w:rPr>
              <w:t>-ENPARD (agricultura)</w:t>
            </w:r>
          </w:p>
        </w:tc>
        <w:tc>
          <w:tcPr>
            <w:tcW w:w="925"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A15068">
              <w:rPr>
                <w:rFonts w:asciiTheme="majorHAnsi" w:hAnsiTheme="majorHAnsi" w:cstheme="majorHAnsi"/>
                <w:sz w:val="20"/>
                <w:szCs w:val="20"/>
                <w:lang w:val="ro-MD"/>
              </w:rPr>
              <w:t>276,9</w:t>
            </w:r>
          </w:p>
        </w:tc>
        <w:tc>
          <w:tcPr>
            <w:tcW w:w="991"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A15068">
              <w:rPr>
                <w:rFonts w:asciiTheme="majorHAnsi" w:hAnsiTheme="majorHAnsi" w:cstheme="majorHAnsi"/>
                <w:sz w:val="20"/>
                <w:szCs w:val="20"/>
                <w:lang w:val="ro-MD"/>
              </w:rPr>
              <w:t>362,1</w:t>
            </w:r>
          </w:p>
        </w:tc>
        <w:tc>
          <w:tcPr>
            <w:tcW w:w="983"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A15068">
              <w:rPr>
                <w:rFonts w:asciiTheme="majorHAnsi" w:hAnsiTheme="majorHAnsi" w:cstheme="majorHAnsi"/>
                <w:sz w:val="20"/>
                <w:szCs w:val="20"/>
                <w:lang w:val="ro-MD"/>
              </w:rPr>
              <w:t>330,2</w:t>
            </w:r>
          </w:p>
        </w:tc>
        <w:tc>
          <w:tcPr>
            <w:tcW w:w="826"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A15068">
              <w:rPr>
                <w:rFonts w:asciiTheme="majorHAnsi" w:hAnsiTheme="majorHAnsi" w:cstheme="majorHAnsi"/>
                <w:color w:val="000000"/>
                <w:sz w:val="20"/>
                <w:szCs w:val="20"/>
              </w:rPr>
              <w:t>-31,9</w:t>
            </w:r>
          </w:p>
        </w:tc>
        <w:tc>
          <w:tcPr>
            <w:tcW w:w="875"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A15068">
              <w:rPr>
                <w:rFonts w:asciiTheme="majorHAnsi" w:hAnsiTheme="majorHAnsi" w:cstheme="majorHAnsi"/>
                <w:color w:val="000000"/>
                <w:sz w:val="20"/>
                <w:szCs w:val="20"/>
              </w:rPr>
              <w:t>91,2%</w:t>
            </w:r>
          </w:p>
        </w:tc>
      </w:tr>
      <w:tr w:rsidR="00E67099" w:rsidRPr="00E67099" w:rsidTr="00A36731">
        <w:trPr>
          <w:jc w:val="center"/>
        </w:trPr>
        <w:tc>
          <w:tcPr>
            <w:cnfStyle w:val="001000000000" w:firstRow="0" w:lastRow="0" w:firstColumn="1" w:lastColumn="0" w:oddVBand="0" w:evenVBand="0" w:oddHBand="0" w:evenHBand="0" w:firstRowFirstColumn="0" w:firstRowLastColumn="0" w:lastRowFirstColumn="0" w:lastRowLastColumn="0"/>
            <w:tcW w:w="5232" w:type="dxa"/>
          </w:tcPr>
          <w:p w:rsidR="00E67099" w:rsidRPr="00A15068" w:rsidRDefault="00E67099" w:rsidP="00E67099">
            <w:pPr>
              <w:ind w:firstLine="316"/>
              <w:rPr>
                <w:rFonts w:asciiTheme="majorHAnsi" w:hAnsiTheme="majorHAnsi" w:cstheme="majorHAnsi"/>
                <w:sz w:val="20"/>
                <w:szCs w:val="20"/>
                <w:lang w:val="ro-MD"/>
              </w:rPr>
            </w:pPr>
            <w:r w:rsidRPr="00A15068">
              <w:rPr>
                <w:rFonts w:asciiTheme="majorHAnsi" w:hAnsiTheme="majorHAnsi" w:cstheme="majorHAnsi"/>
                <w:sz w:val="20"/>
                <w:szCs w:val="20"/>
                <w:lang w:val="ro-MD"/>
              </w:rPr>
              <w:t>-liberalizarea comerțului</w:t>
            </w:r>
          </w:p>
        </w:tc>
        <w:tc>
          <w:tcPr>
            <w:tcW w:w="925"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A15068">
              <w:rPr>
                <w:rFonts w:asciiTheme="majorHAnsi" w:hAnsiTheme="majorHAnsi" w:cstheme="majorHAnsi"/>
                <w:sz w:val="20"/>
                <w:szCs w:val="20"/>
                <w:lang w:val="ro-MD"/>
              </w:rPr>
              <w:t>102,9</w:t>
            </w:r>
          </w:p>
        </w:tc>
        <w:tc>
          <w:tcPr>
            <w:tcW w:w="991"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A15068">
              <w:rPr>
                <w:rFonts w:asciiTheme="majorHAnsi" w:hAnsiTheme="majorHAnsi" w:cstheme="majorHAnsi"/>
                <w:sz w:val="20"/>
                <w:szCs w:val="20"/>
                <w:lang w:val="ro-MD"/>
              </w:rPr>
              <w:t>108,8</w:t>
            </w:r>
          </w:p>
        </w:tc>
        <w:tc>
          <w:tcPr>
            <w:tcW w:w="983"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A15068">
              <w:rPr>
                <w:rFonts w:asciiTheme="majorHAnsi" w:hAnsiTheme="majorHAnsi" w:cstheme="majorHAnsi"/>
                <w:sz w:val="20"/>
                <w:szCs w:val="20"/>
                <w:lang w:val="ro-MD"/>
              </w:rPr>
              <w:t>98,7</w:t>
            </w:r>
          </w:p>
        </w:tc>
        <w:tc>
          <w:tcPr>
            <w:tcW w:w="826"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A15068">
              <w:rPr>
                <w:rFonts w:asciiTheme="majorHAnsi" w:hAnsiTheme="majorHAnsi" w:cstheme="majorHAnsi"/>
                <w:color w:val="000000"/>
                <w:sz w:val="20"/>
                <w:szCs w:val="20"/>
              </w:rPr>
              <w:t>-10,1</w:t>
            </w:r>
          </w:p>
        </w:tc>
        <w:tc>
          <w:tcPr>
            <w:tcW w:w="875"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A15068">
              <w:rPr>
                <w:rFonts w:asciiTheme="majorHAnsi" w:hAnsiTheme="majorHAnsi" w:cstheme="majorHAnsi"/>
                <w:color w:val="000000"/>
                <w:sz w:val="20"/>
                <w:szCs w:val="20"/>
              </w:rPr>
              <w:t>90,7%</w:t>
            </w:r>
          </w:p>
        </w:tc>
      </w:tr>
      <w:tr w:rsidR="00E67099" w:rsidRPr="00E67099" w:rsidTr="00A36731">
        <w:trPr>
          <w:jc w:val="center"/>
        </w:trPr>
        <w:tc>
          <w:tcPr>
            <w:cnfStyle w:val="001000000000" w:firstRow="0" w:lastRow="0" w:firstColumn="1" w:lastColumn="0" w:oddVBand="0" w:evenVBand="0" w:oddHBand="0" w:evenHBand="0" w:firstRowFirstColumn="0" w:firstRowLastColumn="0" w:lastRowFirstColumn="0" w:lastRowLastColumn="0"/>
            <w:tcW w:w="5232" w:type="dxa"/>
          </w:tcPr>
          <w:p w:rsidR="00E67099" w:rsidRPr="00A15068" w:rsidRDefault="00E67099" w:rsidP="00E67099">
            <w:pPr>
              <w:ind w:firstLine="316"/>
              <w:rPr>
                <w:rFonts w:asciiTheme="majorHAnsi" w:hAnsiTheme="majorHAnsi" w:cstheme="majorHAnsi"/>
                <w:sz w:val="20"/>
                <w:szCs w:val="20"/>
                <w:lang w:val="ro-MD"/>
              </w:rPr>
            </w:pPr>
            <w:r w:rsidRPr="00A15068">
              <w:rPr>
                <w:rFonts w:asciiTheme="majorHAnsi" w:hAnsiTheme="majorHAnsi" w:cstheme="majorHAnsi"/>
                <w:sz w:val="20"/>
                <w:szCs w:val="20"/>
                <w:lang w:val="ro-MD"/>
              </w:rPr>
              <w:t>-reforma poliției</w:t>
            </w:r>
          </w:p>
        </w:tc>
        <w:tc>
          <w:tcPr>
            <w:tcW w:w="925"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A15068">
              <w:rPr>
                <w:rFonts w:asciiTheme="majorHAnsi" w:hAnsiTheme="majorHAnsi" w:cstheme="majorHAnsi"/>
                <w:sz w:val="20"/>
                <w:szCs w:val="20"/>
                <w:lang w:val="ro-MD"/>
              </w:rPr>
              <w:t>126,6</w:t>
            </w:r>
          </w:p>
        </w:tc>
        <w:tc>
          <w:tcPr>
            <w:tcW w:w="991"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A15068">
              <w:rPr>
                <w:rFonts w:asciiTheme="majorHAnsi" w:hAnsiTheme="majorHAnsi" w:cstheme="majorHAnsi"/>
                <w:sz w:val="20"/>
                <w:szCs w:val="20"/>
                <w:lang w:val="ro-MD"/>
              </w:rPr>
              <w:t>133,95</w:t>
            </w:r>
          </w:p>
        </w:tc>
        <w:tc>
          <w:tcPr>
            <w:tcW w:w="983"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A15068">
              <w:rPr>
                <w:rFonts w:asciiTheme="majorHAnsi" w:hAnsiTheme="majorHAnsi" w:cstheme="majorHAnsi"/>
                <w:sz w:val="20"/>
                <w:szCs w:val="20"/>
                <w:lang w:val="ro-MD"/>
              </w:rPr>
              <w:t>281,9</w:t>
            </w:r>
          </w:p>
        </w:tc>
        <w:tc>
          <w:tcPr>
            <w:tcW w:w="826"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A15068">
              <w:rPr>
                <w:rFonts w:asciiTheme="majorHAnsi" w:hAnsiTheme="majorHAnsi" w:cstheme="majorHAnsi"/>
                <w:color w:val="000000"/>
                <w:sz w:val="20"/>
                <w:szCs w:val="20"/>
              </w:rPr>
              <w:t>+148,0</w:t>
            </w:r>
          </w:p>
        </w:tc>
        <w:tc>
          <w:tcPr>
            <w:tcW w:w="875"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A15068">
              <w:rPr>
                <w:rFonts w:asciiTheme="majorHAnsi" w:hAnsiTheme="majorHAnsi" w:cstheme="majorHAnsi"/>
                <w:color w:val="000000"/>
                <w:sz w:val="20"/>
                <w:szCs w:val="20"/>
              </w:rPr>
              <w:t>210,5%</w:t>
            </w:r>
          </w:p>
        </w:tc>
      </w:tr>
      <w:tr w:rsidR="00E67099" w:rsidRPr="00E67099" w:rsidTr="00A36731">
        <w:trPr>
          <w:jc w:val="center"/>
        </w:trPr>
        <w:tc>
          <w:tcPr>
            <w:cnfStyle w:val="001000000000" w:firstRow="0" w:lastRow="0" w:firstColumn="1" w:lastColumn="0" w:oddVBand="0" w:evenVBand="0" w:oddHBand="0" w:evenHBand="0" w:firstRowFirstColumn="0" w:firstRowLastColumn="0" w:lastRowFirstColumn="0" w:lastRowLastColumn="0"/>
            <w:tcW w:w="5232" w:type="dxa"/>
          </w:tcPr>
          <w:p w:rsidR="00E67099" w:rsidRPr="00A15068" w:rsidRDefault="00E67099" w:rsidP="00E67099">
            <w:pPr>
              <w:ind w:firstLine="316"/>
              <w:rPr>
                <w:rFonts w:asciiTheme="majorHAnsi" w:hAnsiTheme="majorHAnsi" w:cstheme="majorHAnsi"/>
                <w:sz w:val="20"/>
                <w:szCs w:val="20"/>
                <w:lang w:val="ro-MD"/>
              </w:rPr>
            </w:pPr>
            <w:r w:rsidRPr="00A15068">
              <w:rPr>
                <w:rFonts w:asciiTheme="majorHAnsi" w:hAnsiTheme="majorHAnsi" w:cstheme="majorHAnsi"/>
                <w:sz w:val="20"/>
                <w:szCs w:val="20"/>
                <w:lang w:val="ro-MD"/>
              </w:rPr>
              <w:t>-suport macrofinanciar</w:t>
            </w:r>
          </w:p>
        </w:tc>
        <w:tc>
          <w:tcPr>
            <w:tcW w:w="925"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A15068">
              <w:rPr>
                <w:rFonts w:asciiTheme="majorHAnsi" w:hAnsiTheme="majorHAnsi" w:cstheme="majorHAnsi"/>
                <w:sz w:val="20"/>
                <w:szCs w:val="20"/>
                <w:lang w:val="ro-MD"/>
              </w:rPr>
              <w:t>395,6</w:t>
            </w:r>
          </w:p>
        </w:tc>
        <w:tc>
          <w:tcPr>
            <w:tcW w:w="991"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A15068">
              <w:rPr>
                <w:rFonts w:asciiTheme="majorHAnsi" w:hAnsiTheme="majorHAnsi" w:cstheme="majorHAnsi"/>
                <w:sz w:val="20"/>
                <w:szCs w:val="20"/>
                <w:lang w:val="ro-MD"/>
              </w:rPr>
              <w:t>418,6</w:t>
            </w:r>
          </w:p>
        </w:tc>
        <w:tc>
          <w:tcPr>
            <w:tcW w:w="983"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A15068">
              <w:rPr>
                <w:rFonts w:asciiTheme="majorHAnsi" w:hAnsiTheme="majorHAnsi" w:cstheme="majorHAnsi"/>
                <w:sz w:val="20"/>
                <w:szCs w:val="20"/>
                <w:lang w:val="ro-MD"/>
              </w:rPr>
              <w:t>193,0</w:t>
            </w:r>
          </w:p>
        </w:tc>
        <w:tc>
          <w:tcPr>
            <w:tcW w:w="826"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A15068">
              <w:rPr>
                <w:rFonts w:asciiTheme="majorHAnsi" w:hAnsiTheme="majorHAnsi" w:cstheme="majorHAnsi"/>
                <w:color w:val="000000"/>
                <w:sz w:val="20"/>
                <w:szCs w:val="20"/>
              </w:rPr>
              <w:t>-225,6</w:t>
            </w:r>
          </w:p>
        </w:tc>
        <w:tc>
          <w:tcPr>
            <w:tcW w:w="875"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A15068">
              <w:rPr>
                <w:rFonts w:asciiTheme="majorHAnsi" w:hAnsiTheme="majorHAnsi" w:cstheme="majorHAnsi"/>
                <w:color w:val="000000"/>
                <w:sz w:val="20"/>
                <w:szCs w:val="20"/>
              </w:rPr>
              <w:t>46,1%</w:t>
            </w:r>
          </w:p>
        </w:tc>
      </w:tr>
      <w:tr w:rsidR="00E67099" w:rsidRPr="00E67099" w:rsidTr="00A36731">
        <w:trPr>
          <w:jc w:val="center"/>
        </w:trPr>
        <w:tc>
          <w:tcPr>
            <w:cnfStyle w:val="001000000000" w:firstRow="0" w:lastRow="0" w:firstColumn="1" w:lastColumn="0" w:oddVBand="0" w:evenVBand="0" w:oddHBand="0" w:evenHBand="0" w:firstRowFirstColumn="0" w:firstRowLastColumn="0" w:lastRowFirstColumn="0" w:lastRowLastColumn="0"/>
            <w:tcW w:w="5232" w:type="dxa"/>
          </w:tcPr>
          <w:p w:rsidR="00E67099" w:rsidRPr="00A15068" w:rsidRDefault="00E67099" w:rsidP="00E67099">
            <w:pPr>
              <w:ind w:firstLine="316"/>
              <w:rPr>
                <w:rFonts w:asciiTheme="majorHAnsi" w:hAnsiTheme="majorHAnsi" w:cstheme="majorHAnsi"/>
                <w:sz w:val="20"/>
                <w:szCs w:val="20"/>
                <w:lang w:val="ro-MD"/>
              </w:rPr>
            </w:pPr>
            <w:r w:rsidRPr="00A15068">
              <w:rPr>
                <w:rFonts w:asciiTheme="majorHAnsi" w:hAnsiTheme="majorHAnsi" w:cstheme="majorHAnsi"/>
                <w:sz w:val="20"/>
                <w:szCs w:val="20"/>
                <w:lang w:val="ro-MD"/>
              </w:rPr>
              <w:t>-reforma în energetică</w:t>
            </w:r>
          </w:p>
        </w:tc>
        <w:tc>
          <w:tcPr>
            <w:tcW w:w="925"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A15068">
              <w:rPr>
                <w:rFonts w:asciiTheme="majorHAnsi" w:hAnsiTheme="majorHAnsi" w:cstheme="majorHAnsi"/>
                <w:sz w:val="20"/>
                <w:szCs w:val="20"/>
                <w:lang w:val="ro-MD"/>
              </w:rPr>
              <w:t>x</w:t>
            </w:r>
          </w:p>
        </w:tc>
        <w:tc>
          <w:tcPr>
            <w:tcW w:w="991"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A15068">
              <w:rPr>
                <w:rFonts w:asciiTheme="majorHAnsi" w:hAnsiTheme="majorHAnsi" w:cstheme="majorHAnsi"/>
                <w:sz w:val="20"/>
                <w:szCs w:val="20"/>
                <w:lang w:val="ro-MD"/>
              </w:rPr>
              <w:t>x</w:t>
            </w:r>
          </w:p>
        </w:tc>
        <w:tc>
          <w:tcPr>
            <w:tcW w:w="983"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A15068">
              <w:rPr>
                <w:rFonts w:asciiTheme="majorHAnsi" w:hAnsiTheme="majorHAnsi" w:cstheme="majorHAnsi"/>
                <w:sz w:val="20"/>
                <w:szCs w:val="20"/>
                <w:lang w:val="ro-MD"/>
              </w:rPr>
              <w:t>19,3</w:t>
            </w:r>
          </w:p>
        </w:tc>
        <w:tc>
          <w:tcPr>
            <w:tcW w:w="826"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A15068">
              <w:rPr>
                <w:rFonts w:asciiTheme="majorHAnsi" w:hAnsiTheme="majorHAnsi" w:cstheme="majorHAnsi"/>
                <w:color w:val="000000"/>
                <w:sz w:val="20"/>
                <w:szCs w:val="20"/>
              </w:rPr>
              <w:t>+19,3</w:t>
            </w:r>
          </w:p>
        </w:tc>
        <w:tc>
          <w:tcPr>
            <w:tcW w:w="875"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lang w:val="ro-MD"/>
              </w:rPr>
            </w:pPr>
            <w:r w:rsidRPr="00A15068">
              <w:rPr>
                <w:rFonts w:asciiTheme="majorHAnsi" w:hAnsiTheme="majorHAnsi" w:cstheme="majorHAnsi"/>
                <w:i/>
                <w:sz w:val="20"/>
                <w:szCs w:val="20"/>
                <w:lang w:val="ro-MD"/>
              </w:rPr>
              <w:t>X</w:t>
            </w:r>
          </w:p>
        </w:tc>
      </w:tr>
    </w:tbl>
    <w:p w:rsidR="00E67099" w:rsidRPr="00E67099" w:rsidRDefault="00E67099" w:rsidP="00E67099">
      <w:pPr>
        <w:ind w:left="1701"/>
        <w:jc w:val="both"/>
        <w:rPr>
          <w:rFonts w:asciiTheme="majorHAnsi" w:hAnsiTheme="majorHAnsi" w:cstheme="majorHAnsi"/>
          <w:i/>
          <w:sz w:val="20"/>
          <w:szCs w:val="20"/>
          <w:lang w:val="ro-MD"/>
        </w:rPr>
      </w:pPr>
      <w:r w:rsidRPr="00E67099">
        <w:rPr>
          <w:rFonts w:asciiTheme="majorHAnsi" w:hAnsiTheme="majorHAnsi" w:cstheme="majorHAnsi"/>
          <w:b/>
          <w:i/>
          <w:sz w:val="20"/>
          <w:szCs w:val="20"/>
          <w:lang w:val="ro-MD"/>
        </w:rPr>
        <w:t xml:space="preserve">Sursă: </w:t>
      </w:r>
      <w:r w:rsidRPr="00E67099">
        <w:rPr>
          <w:rFonts w:asciiTheme="majorHAnsi" w:hAnsiTheme="majorHAnsi" w:cstheme="majorHAnsi"/>
          <w:i/>
          <w:sz w:val="20"/>
          <w:szCs w:val="20"/>
          <w:lang w:val="ro-MD"/>
        </w:rPr>
        <w:t>Raportul privind executarea bugetului conform clasificației economice la situația din 31.12.2019.</w:t>
      </w:r>
    </w:p>
    <w:p w:rsidR="00E67099" w:rsidRPr="00E67099" w:rsidRDefault="00E67099" w:rsidP="00E67099">
      <w:pPr>
        <w:shd w:val="clear" w:color="auto" w:fill="FFFFFF" w:themeFill="background1"/>
        <w:tabs>
          <w:tab w:val="left" w:pos="284"/>
          <w:tab w:val="left" w:pos="993"/>
          <w:tab w:val="left" w:pos="6663"/>
        </w:tabs>
        <w:spacing w:after="0" w:line="276" w:lineRule="auto"/>
        <w:jc w:val="right"/>
        <w:rPr>
          <w:rFonts w:asciiTheme="majorHAnsi" w:eastAsia="Times New Roman" w:hAnsiTheme="majorHAnsi" w:cstheme="majorHAnsi"/>
          <w:b/>
          <w:i/>
          <w:sz w:val="24"/>
          <w:szCs w:val="24"/>
          <w:lang w:val="ro-MD"/>
        </w:rPr>
      </w:pPr>
      <w:r w:rsidRPr="00E67099">
        <w:rPr>
          <w:rFonts w:asciiTheme="majorHAnsi" w:eastAsia="Times New Roman" w:hAnsiTheme="majorHAnsi" w:cstheme="majorHAnsi"/>
          <w:b/>
          <w:i/>
          <w:sz w:val="24"/>
          <w:szCs w:val="24"/>
          <w:lang w:val="ro-MD"/>
        </w:rPr>
        <w:t>Anexa nr.9</w:t>
      </w:r>
    </w:p>
    <w:p w:rsidR="00E67099" w:rsidRPr="00E67099" w:rsidRDefault="00E67099" w:rsidP="00E67099">
      <w:pPr>
        <w:tabs>
          <w:tab w:val="left" w:pos="993"/>
        </w:tabs>
        <w:spacing w:after="0"/>
        <w:jc w:val="center"/>
        <w:rPr>
          <w:rFonts w:asciiTheme="majorHAnsi" w:hAnsiTheme="majorHAnsi" w:cstheme="majorHAnsi"/>
          <w:b/>
          <w:sz w:val="24"/>
          <w:szCs w:val="24"/>
        </w:rPr>
      </w:pPr>
      <w:r w:rsidRPr="00E67099">
        <w:rPr>
          <w:rFonts w:asciiTheme="majorHAnsi" w:hAnsiTheme="majorHAnsi" w:cstheme="majorHAnsi"/>
          <w:b/>
          <w:sz w:val="24"/>
          <w:szCs w:val="24"/>
        </w:rPr>
        <w:t>Informația privind executarea mijloacelor din surse externe (granturi) de către instituțiile bugetare în anul 2019</w:t>
      </w:r>
    </w:p>
    <w:p w:rsidR="00E67099" w:rsidRPr="00E67099" w:rsidRDefault="00E67099" w:rsidP="00E67099">
      <w:pPr>
        <w:tabs>
          <w:tab w:val="left" w:pos="993"/>
        </w:tabs>
        <w:spacing w:after="0"/>
        <w:jc w:val="right"/>
        <w:rPr>
          <w:rFonts w:asciiTheme="majorHAnsi" w:hAnsiTheme="majorHAnsi" w:cstheme="majorHAnsi"/>
          <w:b/>
          <w:sz w:val="24"/>
          <w:szCs w:val="24"/>
        </w:rPr>
      </w:pPr>
      <w:r w:rsidRPr="00E67099">
        <w:rPr>
          <w:rFonts w:asciiTheme="majorHAnsi" w:hAnsiTheme="majorHAnsi" w:cstheme="majorHAnsi"/>
          <w:b/>
          <w:sz w:val="24"/>
          <w:szCs w:val="24"/>
        </w:rPr>
        <w:t>(mii lei)</w:t>
      </w:r>
    </w:p>
    <w:tbl>
      <w:tblPr>
        <w:tblW w:w="13320" w:type="dxa"/>
        <w:tblLayout w:type="fixed"/>
        <w:tblLook w:val="04A0" w:firstRow="1" w:lastRow="0" w:firstColumn="1" w:lastColumn="0" w:noHBand="0" w:noVBand="1"/>
      </w:tblPr>
      <w:tblGrid>
        <w:gridCol w:w="500"/>
        <w:gridCol w:w="4315"/>
        <w:gridCol w:w="827"/>
        <w:gridCol w:w="1441"/>
        <w:gridCol w:w="1262"/>
        <w:gridCol w:w="1289"/>
        <w:gridCol w:w="1276"/>
        <w:gridCol w:w="1276"/>
        <w:gridCol w:w="1134"/>
      </w:tblGrid>
      <w:tr w:rsidR="00E67099" w:rsidRPr="00E67099" w:rsidTr="00A36731">
        <w:trPr>
          <w:trHeight w:val="1068"/>
        </w:trPr>
        <w:tc>
          <w:tcPr>
            <w:tcW w:w="500" w:type="dxa"/>
            <w:vMerge w:val="restart"/>
            <w:tcBorders>
              <w:top w:val="single" w:sz="4" w:space="0" w:color="auto"/>
              <w:left w:val="single" w:sz="4" w:space="0" w:color="auto"/>
              <w:right w:val="single" w:sz="4" w:space="0" w:color="auto"/>
            </w:tcBorders>
            <w:shd w:val="clear" w:color="auto" w:fill="auto"/>
            <w:vAlign w:val="center"/>
            <w:hideMark/>
          </w:tcPr>
          <w:p w:rsidR="00E67099" w:rsidRPr="00E67099" w:rsidRDefault="00E67099" w:rsidP="00E67099">
            <w:pPr>
              <w:spacing w:after="0" w:line="240" w:lineRule="auto"/>
              <w:jc w:val="center"/>
              <w:rPr>
                <w:rFonts w:asciiTheme="majorHAnsi" w:eastAsia="Times New Roman" w:hAnsiTheme="majorHAnsi" w:cstheme="majorHAnsi"/>
                <w:b/>
                <w:bCs/>
                <w:color w:val="000000"/>
                <w:sz w:val="20"/>
                <w:szCs w:val="20"/>
                <w:lang w:val="ro-MD"/>
              </w:rPr>
            </w:pPr>
            <w:r w:rsidRPr="00E67099">
              <w:rPr>
                <w:rFonts w:asciiTheme="majorHAnsi" w:eastAsia="Times New Roman" w:hAnsiTheme="majorHAnsi" w:cstheme="majorHAnsi"/>
                <w:b/>
                <w:bCs/>
                <w:color w:val="000000"/>
                <w:sz w:val="20"/>
                <w:szCs w:val="20"/>
                <w:lang w:val="ro-MD"/>
              </w:rPr>
              <w:t>Nr. d/o</w:t>
            </w:r>
          </w:p>
          <w:p w:rsidR="00E67099" w:rsidRPr="00E67099" w:rsidRDefault="00E67099" w:rsidP="00E67099">
            <w:pPr>
              <w:spacing w:after="0" w:line="240" w:lineRule="auto"/>
              <w:jc w:val="center"/>
              <w:rPr>
                <w:rFonts w:asciiTheme="majorHAnsi" w:eastAsia="Times New Roman" w:hAnsiTheme="majorHAnsi" w:cstheme="majorHAnsi"/>
                <w:b/>
                <w:bCs/>
                <w:color w:val="000000"/>
                <w:sz w:val="20"/>
                <w:szCs w:val="20"/>
                <w:lang w:val="ro-MD"/>
              </w:rPr>
            </w:pPr>
            <w:r w:rsidRPr="00E67099">
              <w:rPr>
                <w:rFonts w:asciiTheme="majorHAnsi" w:eastAsia="Times New Roman" w:hAnsiTheme="majorHAnsi" w:cstheme="majorHAnsi"/>
                <w:i/>
                <w:iCs/>
                <w:color w:val="000000"/>
                <w:sz w:val="12"/>
                <w:szCs w:val="12"/>
                <w:lang w:val="ro-MD"/>
              </w:rPr>
              <w:t> </w:t>
            </w:r>
          </w:p>
        </w:tc>
        <w:tc>
          <w:tcPr>
            <w:tcW w:w="4315" w:type="dxa"/>
            <w:tcBorders>
              <w:top w:val="single" w:sz="4" w:space="0" w:color="auto"/>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b/>
                <w:bCs/>
                <w:color w:val="000000"/>
                <w:sz w:val="20"/>
                <w:szCs w:val="20"/>
                <w:lang w:val="ro-MD"/>
              </w:rPr>
            </w:pPr>
            <w:r w:rsidRPr="00E67099">
              <w:rPr>
                <w:rFonts w:asciiTheme="majorHAnsi" w:eastAsia="Times New Roman" w:hAnsiTheme="majorHAnsi" w:cstheme="majorHAnsi"/>
                <w:b/>
                <w:bCs/>
                <w:color w:val="000000"/>
                <w:sz w:val="20"/>
                <w:szCs w:val="20"/>
                <w:lang w:val="ro-MD"/>
              </w:rPr>
              <w:t>Proiectul</w:t>
            </w:r>
          </w:p>
        </w:tc>
        <w:tc>
          <w:tcPr>
            <w:tcW w:w="827" w:type="dxa"/>
            <w:tcBorders>
              <w:top w:val="single" w:sz="4" w:space="0" w:color="auto"/>
              <w:left w:val="nil"/>
              <w:bottom w:val="single" w:sz="4" w:space="0" w:color="auto"/>
              <w:right w:val="single" w:sz="4" w:space="0" w:color="auto"/>
            </w:tcBorders>
            <w:shd w:val="clear" w:color="auto" w:fill="auto"/>
            <w:vAlign w:val="center"/>
            <w:hideMark/>
          </w:tcPr>
          <w:p w:rsidR="00E67099" w:rsidRPr="00E67099" w:rsidRDefault="00E67099" w:rsidP="00E67099">
            <w:pPr>
              <w:spacing w:after="0" w:line="240" w:lineRule="auto"/>
              <w:jc w:val="center"/>
              <w:rPr>
                <w:rFonts w:asciiTheme="majorHAnsi" w:eastAsia="Times New Roman" w:hAnsiTheme="majorHAnsi" w:cstheme="majorHAnsi"/>
                <w:b/>
                <w:bCs/>
                <w:color w:val="000000"/>
                <w:sz w:val="20"/>
                <w:szCs w:val="20"/>
                <w:lang w:val="ro-MD"/>
              </w:rPr>
            </w:pPr>
            <w:r w:rsidRPr="00E67099">
              <w:rPr>
                <w:rFonts w:asciiTheme="majorHAnsi" w:eastAsia="Times New Roman" w:hAnsiTheme="majorHAnsi" w:cstheme="majorHAnsi"/>
                <w:b/>
                <w:bCs/>
                <w:color w:val="000000"/>
                <w:sz w:val="20"/>
                <w:szCs w:val="20"/>
                <w:lang w:val="ro-MD"/>
              </w:rPr>
              <w:t>Cod Proiect</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b/>
                <w:bCs/>
                <w:color w:val="000000"/>
                <w:sz w:val="20"/>
                <w:szCs w:val="20"/>
                <w:lang w:val="ro-MD"/>
              </w:rPr>
            </w:pPr>
            <w:r w:rsidRPr="00E67099">
              <w:rPr>
                <w:rFonts w:asciiTheme="majorHAnsi" w:eastAsia="Times New Roman" w:hAnsiTheme="majorHAnsi" w:cstheme="majorHAnsi"/>
                <w:b/>
                <w:bCs/>
                <w:color w:val="000000"/>
                <w:sz w:val="20"/>
                <w:szCs w:val="20"/>
                <w:lang w:val="ro-MD"/>
              </w:rPr>
              <w:t>Instituția</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E67099" w:rsidRPr="00E67099" w:rsidRDefault="00E67099" w:rsidP="00E67099">
            <w:pPr>
              <w:spacing w:after="0" w:line="240" w:lineRule="auto"/>
              <w:jc w:val="center"/>
              <w:rPr>
                <w:rFonts w:asciiTheme="majorHAnsi" w:eastAsia="Times New Roman" w:hAnsiTheme="majorHAnsi" w:cstheme="majorHAnsi"/>
                <w:b/>
                <w:bCs/>
                <w:color w:val="000000"/>
                <w:sz w:val="20"/>
                <w:szCs w:val="20"/>
                <w:lang w:val="ro-MD"/>
              </w:rPr>
            </w:pPr>
            <w:r w:rsidRPr="00E67099">
              <w:rPr>
                <w:rFonts w:asciiTheme="majorHAnsi" w:eastAsia="Times New Roman" w:hAnsiTheme="majorHAnsi" w:cstheme="majorHAnsi"/>
                <w:b/>
                <w:bCs/>
                <w:color w:val="000000"/>
                <w:sz w:val="20"/>
                <w:szCs w:val="20"/>
                <w:lang w:val="ro-MD"/>
              </w:rPr>
              <w:t>Granturi executate/</w:t>
            </w:r>
          </w:p>
          <w:p w:rsidR="00E67099" w:rsidRPr="00E67099" w:rsidRDefault="00E67099" w:rsidP="00E67099">
            <w:pPr>
              <w:spacing w:after="0" w:line="240" w:lineRule="auto"/>
              <w:jc w:val="center"/>
              <w:rPr>
                <w:rFonts w:asciiTheme="majorHAnsi" w:eastAsia="Times New Roman" w:hAnsiTheme="majorHAnsi" w:cstheme="majorHAnsi"/>
                <w:b/>
                <w:bCs/>
                <w:color w:val="000000"/>
                <w:sz w:val="20"/>
                <w:szCs w:val="20"/>
                <w:lang w:val="ro-MD"/>
              </w:rPr>
            </w:pPr>
            <w:r w:rsidRPr="00E67099">
              <w:rPr>
                <w:rFonts w:asciiTheme="majorHAnsi" w:eastAsia="Times New Roman" w:hAnsiTheme="majorHAnsi" w:cstheme="majorHAnsi"/>
                <w:b/>
                <w:bCs/>
                <w:color w:val="000000"/>
                <w:sz w:val="20"/>
                <w:szCs w:val="20"/>
                <w:lang w:val="ro-MD"/>
              </w:rPr>
              <w:t>primite în anul 2019</w:t>
            </w:r>
          </w:p>
        </w:tc>
        <w:tc>
          <w:tcPr>
            <w:tcW w:w="1289" w:type="dxa"/>
            <w:tcBorders>
              <w:top w:val="single" w:sz="4" w:space="0" w:color="auto"/>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b/>
                <w:bCs/>
                <w:color w:val="000000"/>
                <w:sz w:val="20"/>
                <w:szCs w:val="20"/>
                <w:lang w:val="ro-MD"/>
              </w:rPr>
            </w:pPr>
            <w:r w:rsidRPr="00E67099">
              <w:rPr>
                <w:rFonts w:asciiTheme="majorHAnsi" w:eastAsia="Times New Roman" w:hAnsiTheme="majorHAnsi" w:cstheme="majorHAnsi"/>
                <w:b/>
                <w:bCs/>
                <w:color w:val="000000"/>
                <w:sz w:val="20"/>
                <w:szCs w:val="20"/>
                <w:lang w:val="ro-MD"/>
              </w:rPr>
              <w:t>Aprobat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b/>
                <w:bCs/>
                <w:color w:val="000000"/>
                <w:sz w:val="20"/>
                <w:szCs w:val="20"/>
                <w:lang w:val="ro-MD"/>
              </w:rPr>
            </w:pPr>
            <w:r w:rsidRPr="00E67099">
              <w:rPr>
                <w:rFonts w:asciiTheme="majorHAnsi" w:eastAsia="Times New Roman" w:hAnsiTheme="majorHAnsi" w:cstheme="majorHAnsi"/>
                <w:b/>
                <w:bCs/>
                <w:color w:val="000000"/>
                <w:sz w:val="20"/>
                <w:szCs w:val="20"/>
                <w:lang w:val="ro-MD"/>
              </w:rPr>
              <w:t>Precizat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b/>
                <w:bCs/>
                <w:color w:val="000000"/>
                <w:sz w:val="20"/>
                <w:szCs w:val="20"/>
                <w:lang w:val="ro-MD"/>
              </w:rPr>
            </w:pPr>
            <w:r w:rsidRPr="00E67099">
              <w:rPr>
                <w:rFonts w:asciiTheme="majorHAnsi" w:eastAsia="Times New Roman" w:hAnsiTheme="majorHAnsi" w:cstheme="majorHAnsi"/>
                <w:b/>
                <w:bCs/>
                <w:color w:val="000000"/>
                <w:sz w:val="20"/>
                <w:szCs w:val="20"/>
                <w:lang w:val="ro-MD"/>
              </w:rPr>
              <w:t>Executat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67099" w:rsidRPr="00E67099" w:rsidRDefault="00E67099" w:rsidP="00E67099">
            <w:pPr>
              <w:spacing w:after="0" w:line="240" w:lineRule="auto"/>
              <w:jc w:val="center"/>
              <w:rPr>
                <w:rFonts w:asciiTheme="majorHAnsi" w:eastAsia="Times New Roman" w:hAnsiTheme="majorHAnsi" w:cstheme="majorHAnsi"/>
                <w:b/>
                <w:bCs/>
                <w:color w:val="000000"/>
                <w:sz w:val="20"/>
                <w:szCs w:val="20"/>
                <w:lang w:val="ro-MD"/>
              </w:rPr>
            </w:pPr>
            <w:r w:rsidRPr="00E67099">
              <w:rPr>
                <w:rFonts w:asciiTheme="majorHAnsi" w:eastAsia="Times New Roman" w:hAnsiTheme="majorHAnsi" w:cstheme="majorHAnsi"/>
                <w:b/>
                <w:bCs/>
                <w:color w:val="000000"/>
                <w:sz w:val="20"/>
                <w:szCs w:val="20"/>
                <w:lang w:val="ro-MD"/>
              </w:rPr>
              <w:t>Nivel de executare (%)</w:t>
            </w:r>
          </w:p>
        </w:tc>
      </w:tr>
      <w:tr w:rsidR="00E67099" w:rsidRPr="00E67099" w:rsidTr="00A36731">
        <w:trPr>
          <w:trHeight w:val="103"/>
        </w:trPr>
        <w:tc>
          <w:tcPr>
            <w:tcW w:w="500" w:type="dxa"/>
            <w:vMerge/>
            <w:tcBorders>
              <w:left w:val="single" w:sz="4" w:space="0" w:color="auto"/>
              <w:bottom w:val="single" w:sz="4" w:space="0" w:color="auto"/>
              <w:right w:val="single" w:sz="4" w:space="0" w:color="auto"/>
            </w:tcBorders>
            <w:shd w:val="clear" w:color="auto" w:fill="auto"/>
            <w:vAlign w:val="center"/>
            <w:hideMark/>
          </w:tcPr>
          <w:p w:rsidR="00E67099" w:rsidRPr="00E67099" w:rsidRDefault="00E67099" w:rsidP="00E67099">
            <w:pPr>
              <w:spacing w:after="0" w:line="240" w:lineRule="auto"/>
              <w:jc w:val="center"/>
              <w:rPr>
                <w:rFonts w:asciiTheme="majorHAnsi" w:eastAsia="Times New Roman" w:hAnsiTheme="majorHAnsi" w:cstheme="majorHAnsi"/>
                <w:i/>
                <w:iCs/>
                <w:color w:val="000000"/>
                <w:sz w:val="12"/>
                <w:szCs w:val="12"/>
                <w:lang w:val="ro-MD"/>
              </w:rPr>
            </w:pPr>
          </w:p>
        </w:tc>
        <w:tc>
          <w:tcPr>
            <w:tcW w:w="4315"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i/>
                <w:iCs/>
                <w:color w:val="000000"/>
                <w:sz w:val="12"/>
                <w:szCs w:val="12"/>
                <w:lang w:val="ro-MD"/>
              </w:rPr>
            </w:pPr>
            <w:r w:rsidRPr="00E67099">
              <w:rPr>
                <w:rFonts w:asciiTheme="majorHAnsi" w:eastAsia="Times New Roman" w:hAnsiTheme="majorHAnsi" w:cstheme="majorHAnsi"/>
                <w:i/>
                <w:iCs/>
                <w:color w:val="000000"/>
                <w:sz w:val="12"/>
                <w:szCs w:val="12"/>
                <w:lang w:val="ro-MD"/>
              </w:rPr>
              <w:t>1</w:t>
            </w:r>
          </w:p>
        </w:tc>
        <w:tc>
          <w:tcPr>
            <w:tcW w:w="827" w:type="dxa"/>
            <w:tcBorders>
              <w:top w:val="nil"/>
              <w:left w:val="nil"/>
              <w:bottom w:val="single" w:sz="4" w:space="0" w:color="auto"/>
              <w:right w:val="single" w:sz="4" w:space="0" w:color="auto"/>
            </w:tcBorders>
            <w:shd w:val="clear" w:color="auto" w:fill="auto"/>
            <w:vAlign w:val="center"/>
            <w:hideMark/>
          </w:tcPr>
          <w:p w:rsidR="00E67099" w:rsidRPr="00E67099" w:rsidRDefault="00E67099" w:rsidP="00E67099">
            <w:pPr>
              <w:spacing w:after="0" w:line="240" w:lineRule="auto"/>
              <w:jc w:val="center"/>
              <w:rPr>
                <w:rFonts w:asciiTheme="majorHAnsi" w:eastAsia="Times New Roman" w:hAnsiTheme="majorHAnsi" w:cstheme="majorHAnsi"/>
                <w:i/>
                <w:iCs/>
                <w:color w:val="000000"/>
                <w:sz w:val="12"/>
                <w:szCs w:val="12"/>
                <w:lang w:val="ro-MD"/>
              </w:rPr>
            </w:pPr>
            <w:r w:rsidRPr="00E67099">
              <w:rPr>
                <w:rFonts w:asciiTheme="majorHAnsi" w:eastAsia="Times New Roman" w:hAnsiTheme="majorHAnsi" w:cstheme="majorHAnsi"/>
                <w:i/>
                <w:iCs/>
                <w:color w:val="000000"/>
                <w:sz w:val="12"/>
                <w:szCs w:val="12"/>
                <w:lang w:val="ro-MD"/>
              </w:rPr>
              <w:t>2</w:t>
            </w:r>
          </w:p>
        </w:tc>
        <w:tc>
          <w:tcPr>
            <w:tcW w:w="1441"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i/>
                <w:iCs/>
                <w:color w:val="000000"/>
                <w:sz w:val="12"/>
                <w:szCs w:val="12"/>
                <w:lang w:val="ro-MD"/>
              </w:rPr>
            </w:pPr>
            <w:r w:rsidRPr="00E67099">
              <w:rPr>
                <w:rFonts w:asciiTheme="majorHAnsi" w:eastAsia="Times New Roman" w:hAnsiTheme="majorHAnsi" w:cstheme="majorHAnsi"/>
                <w:i/>
                <w:iCs/>
                <w:color w:val="000000"/>
                <w:sz w:val="12"/>
                <w:szCs w:val="12"/>
                <w:lang w:val="ro-MD"/>
              </w:rPr>
              <w:t>3</w:t>
            </w:r>
          </w:p>
        </w:tc>
        <w:tc>
          <w:tcPr>
            <w:tcW w:w="1262" w:type="dxa"/>
            <w:tcBorders>
              <w:top w:val="nil"/>
              <w:left w:val="nil"/>
              <w:bottom w:val="single" w:sz="4" w:space="0" w:color="auto"/>
              <w:right w:val="single" w:sz="4" w:space="0" w:color="auto"/>
            </w:tcBorders>
            <w:shd w:val="clear" w:color="auto" w:fill="auto"/>
            <w:vAlign w:val="center"/>
            <w:hideMark/>
          </w:tcPr>
          <w:p w:rsidR="00E67099" w:rsidRPr="00E67099" w:rsidRDefault="00E67099" w:rsidP="00E67099">
            <w:pPr>
              <w:spacing w:after="0" w:line="240" w:lineRule="auto"/>
              <w:jc w:val="center"/>
              <w:rPr>
                <w:rFonts w:asciiTheme="majorHAnsi" w:eastAsia="Times New Roman" w:hAnsiTheme="majorHAnsi" w:cstheme="majorHAnsi"/>
                <w:i/>
                <w:iCs/>
                <w:color w:val="000000"/>
                <w:sz w:val="12"/>
                <w:szCs w:val="12"/>
                <w:lang w:val="ro-MD"/>
              </w:rPr>
            </w:pPr>
            <w:r w:rsidRPr="00E67099">
              <w:rPr>
                <w:rFonts w:asciiTheme="majorHAnsi" w:eastAsia="Times New Roman" w:hAnsiTheme="majorHAnsi" w:cstheme="majorHAnsi"/>
                <w:i/>
                <w:iCs/>
                <w:color w:val="000000"/>
                <w:sz w:val="12"/>
                <w:szCs w:val="12"/>
                <w:lang w:val="ro-MD"/>
              </w:rPr>
              <w:t>4</w:t>
            </w:r>
          </w:p>
        </w:tc>
        <w:tc>
          <w:tcPr>
            <w:tcW w:w="1289"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i/>
                <w:iCs/>
                <w:color w:val="000000"/>
                <w:sz w:val="12"/>
                <w:szCs w:val="12"/>
                <w:lang w:val="ro-MD"/>
              </w:rPr>
            </w:pPr>
            <w:r w:rsidRPr="00E67099">
              <w:rPr>
                <w:rFonts w:asciiTheme="majorHAnsi" w:eastAsia="Times New Roman" w:hAnsiTheme="majorHAnsi" w:cstheme="majorHAnsi"/>
                <w:i/>
                <w:iCs/>
                <w:color w:val="000000"/>
                <w:sz w:val="12"/>
                <w:szCs w:val="12"/>
                <w:lang w:val="ro-MD"/>
              </w:rPr>
              <w:t>5</w:t>
            </w:r>
          </w:p>
        </w:tc>
        <w:tc>
          <w:tcPr>
            <w:tcW w:w="1276"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i/>
                <w:iCs/>
                <w:color w:val="000000"/>
                <w:sz w:val="12"/>
                <w:szCs w:val="12"/>
                <w:lang w:val="ro-MD"/>
              </w:rPr>
            </w:pPr>
            <w:r w:rsidRPr="00E67099">
              <w:rPr>
                <w:rFonts w:asciiTheme="majorHAnsi" w:eastAsia="Times New Roman" w:hAnsiTheme="majorHAnsi" w:cstheme="majorHAnsi"/>
                <w:i/>
                <w:iCs/>
                <w:color w:val="000000"/>
                <w:sz w:val="12"/>
                <w:szCs w:val="12"/>
                <w:lang w:val="ro-MD"/>
              </w:rPr>
              <w:t>6</w:t>
            </w:r>
          </w:p>
        </w:tc>
        <w:tc>
          <w:tcPr>
            <w:tcW w:w="1276"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i/>
                <w:iCs/>
                <w:color w:val="000000"/>
                <w:sz w:val="12"/>
                <w:szCs w:val="12"/>
                <w:lang w:val="ro-MD"/>
              </w:rPr>
            </w:pPr>
            <w:r w:rsidRPr="00E67099">
              <w:rPr>
                <w:rFonts w:asciiTheme="majorHAnsi" w:eastAsia="Times New Roman" w:hAnsiTheme="majorHAnsi" w:cstheme="majorHAnsi"/>
                <w:i/>
                <w:iCs/>
                <w:color w:val="000000"/>
                <w:sz w:val="12"/>
                <w:szCs w:val="12"/>
                <w:lang w:val="ro-MD"/>
              </w:rPr>
              <w:t>7</w:t>
            </w:r>
          </w:p>
        </w:tc>
        <w:tc>
          <w:tcPr>
            <w:tcW w:w="1134" w:type="dxa"/>
            <w:tcBorders>
              <w:top w:val="nil"/>
              <w:left w:val="nil"/>
              <w:bottom w:val="single" w:sz="4" w:space="0" w:color="auto"/>
              <w:right w:val="single" w:sz="4" w:space="0" w:color="auto"/>
            </w:tcBorders>
            <w:shd w:val="clear" w:color="auto" w:fill="auto"/>
            <w:vAlign w:val="center"/>
            <w:hideMark/>
          </w:tcPr>
          <w:p w:rsidR="00E67099" w:rsidRPr="00E67099" w:rsidRDefault="00E67099" w:rsidP="00E67099">
            <w:pPr>
              <w:spacing w:after="0" w:line="240" w:lineRule="auto"/>
              <w:jc w:val="center"/>
              <w:rPr>
                <w:rFonts w:asciiTheme="majorHAnsi" w:eastAsia="Times New Roman" w:hAnsiTheme="majorHAnsi" w:cstheme="majorHAnsi"/>
                <w:i/>
                <w:iCs/>
                <w:color w:val="000000"/>
                <w:sz w:val="12"/>
                <w:szCs w:val="12"/>
                <w:lang w:val="ro-MD"/>
              </w:rPr>
            </w:pPr>
            <w:r w:rsidRPr="00E67099">
              <w:rPr>
                <w:rFonts w:asciiTheme="majorHAnsi" w:eastAsia="Times New Roman" w:hAnsiTheme="majorHAnsi" w:cstheme="majorHAnsi"/>
                <w:i/>
                <w:iCs/>
                <w:color w:val="000000"/>
                <w:sz w:val="12"/>
                <w:szCs w:val="12"/>
                <w:lang w:val="ro-MD"/>
              </w:rPr>
              <w:t>8=7/6*100</w:t>
            </w:r>
          </w:p>
        </w:tc>
      </w:tr>
      <w:tr w:rsidR="00E67099" w:rsidRPr="00E67099" w:rsidTr="00D8267F">
        <w:trPr>
          <w:trHeight w:val="54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b/>
                <w:bCs/>
                <w:color w:val="000000"/>
                <w:sz w:val="20"/>
                <w:szCs w:val="20"/>
                <w:lang w:val="ro-MD"/>
              </w:rPr>
            </w:pPr>
            <w:r w:rsidRPr="00E67099">
              <w:rPr>
                <w:rFonts w:asciiTheme="majorHAnsi" w:eastAsia="Times New Roman" w:hAnsiTheme="majorHAnsi" w:cstheme="majorHAnsi"/>
                <w:b/>
                <w:bCs/>
                <w:color w:val="000000"/>
                <w:sz w:val="20"/>
                <w:szCs w:val="20"/>
                <w:lang w:val="ro-MD"/>
              </w:rPr>
              <w:t>1</w:t>
            </w:r>
          </w:p>
        </w:tc>
        <w:tc>
          <w:tcPr>
            <w:tcW w:w="4315" w:type="dxa"/>
            <w:tcBorders>
              <w:top w:val="nil"/>
              <w:left w:val="nil"/>
              <w:bottom w:val="single" w:sz="4" w:space="0" w:color="auto"/>
              <w:right w:val="single" w:sz="4" w:space="0" w:color="auto"/>
            </w:tcBorders>
            <w:shd w:val="clear" w:color="auto" w:fill="auto"/>
            <w:vAlign w:val="bottom"/>
            <w:hideMark/>
          </w:tcPr>
          <w:p w:rsidR="00E67099" w:rsidRPr="00E67099" w:rsidRDefault="00E67099" w:rsidP="00E67099">
            <w:pPr>
              <w:spacing w:after="0" w:line="240" w:lineRule="auto"/>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Proiectul "Consolidarea guvernanței parlamentare în Republica Moldova"</w:t>
            </w:r>
          </w:p>
        </w:tc>
        <w:tc>
          <w:tcPr>
            <w:tcW w:w="827"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70196</w:t>
            </w:r>
          </w:p>
        </w:tc>
        <w:tc>
          <w:tcPr>
            <w:tcW w:w="1441" w:type="dxa"/>
            <w:tcBorders>
              <w:top w:val="nil"/>
              <w:left w:val="nil"/>
              <w:bottom w:val="single" w:sz="4" w:space="0" w:color="auto"/>
              <w:right w:val="single" w:sz="4" w:space="0" w:color="auto"/>
            </w:tcBorders>
            <w:shd w:val="clear" w:color="auto" w:fill="auto"/>
            <w:vAlign w:val="bottom"/>
            <w:hideMark/>
          </w:tcPr>
          <w:p w:rsidR="00E67099" w:rsidRPr="00E67099" w:rsidRDefault="00E67099" w:rsidP="00E67099">
            <w:pPr>
              <w:spacing w:after="0" w:line="240" w:lineRule="auto"/>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Secretariatul Parlamentului 0101</w:t>
            </w:r>
          </w:p>
        </w:tc>
        <w:tc>
          <w:tcPr>
            <w:tcW w:w="1262"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571,1</w:t>
            </w:r>
          </w:p>
        </w:tc>
        <w:tc>
          <w:tcPr>
            <w:tcW w:w="1289"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1.699,0</w:t>
            </w:r>
          </w:p>
        </w:tc>
        <w:tc>
          <w:tcPr>
            <w:tcW w:w="1276"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1.123,4</w:t>
            </w:r>
          </w:p>
        </w:tc>
        <w:tc>
          <w:tcPr>
            <w:tcW w:w="1276"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456,3</w:t>
            </w:r>
          </w:p>
        </w:tc>
        <w:tc>
          <w:tcPr>
            <w:tcW w:w="1134"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40,6</w:t>
            </w:r>
          </w:p>
        </w:tc>
      </w:tr>
      <w:tr w:rsidR="00E67099" w:rsidRPr="00E67099" w:rsidTr="00D8267F">
        <w:trPr>
          <w:trHeight w:val="804"/>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b/>
                <w:bCs/>
                <w:color w:val="000000"/>
                <w:sz w:val="20"/>
                <w:szCs w:val="20"/>
                <w:lang w:val="ro-MD"/>
              </w:rPr>
            </w:pPr>
            <w:r w:rsidRPr="00E67099">
              <w:rPr>
                <w:rFonts w:asciiTheme="majorHAnsi" w:eastAsia="Times New Roman" w:hAnsiTheme="majorHAnsi" w:cstheme="majorHAnsi"/>
                <w:b/>
                <w:bCs/>
                <w:color w:val="000000"/>
                <w:sz w:val="20"/>
                <w:szCs w:val="20"/>
                <w:lang w:val="ro-MD"/>
              </w:rPr>
              <w:t>2</w:t>
            </w:r>
          </w:p>
        </w:tc>
        <w:tc>
          <w:tcPr>
            <w:tcW w:w="4315" w:type="dxa"/>
            <w:tcBorders>
              <w:top w:val="nil"/>
              <w:left w:val="nil"/>
              <w:bottom w:val="single" w:sz="4" w:space="0" w:color="auto"/>
              <w:right w:val="single" w:sz="4" w:space="0" w:color="auto"/>
            </w:tcBorders>
            <w:shd w:val="clear" w:color="auto" w:fill="auto"/>
            <w:vAlign w:val="bottom"/>
            <w:hideMark/>
          </w:tcPr>
          <w:p w:rsidR="00E67099" w:rsidRPr="00E67099" w:rsidRDefault="00E67099" w:rsidP="00E67099">
            <w:pPr>
              <w:spacing w:after="0" w:line="240" w:lineRule="auto"/>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Proiectul ”Suport pentru Secretariatul tehnic comun al Programului Operațional Comun România-Republica Moldova”</w:t>
            </w:r>
          </w:p>
        </w:tc>
        <w:tc>
          <w:tcPr>
            <w:tcW w:w="827"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70219</w:t>
            </w:r>
          </w:p>
        </w:tc>
        <w:tc>
          <w:tcPr>
            <w:tcW w:w="1441" w:type="dxa"/>
            <w:tcBorders>
              <w:top w:val="nil"/>
              <w:left w:val="nil"/>
              <w:bottom w:val="single" w:sz="4" w:space="0" w:color="auto"/>
              <w:right w:val="single" w:sz="4" w:space="0" w:color="auto"/>
            </w:tcBorders>
            <w:shd w:val="clear" w:color="auto" w:fill="auto"/>
            <w:vAlign w:val="bottom"/>
            <w:hideMark/>
          </w:tcPr>
          <w:p w:rsidR="00E67099" w:rsidRPr="00E67099" w:rsidRDefault="00E67099" w:rsidP="00E67099">
            <w:pPr>
              <w:spacing w:after="0" w:line="240" w:lineRule="auto"/>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Cancelaria de Stat 0201</w:t>
            </w:r>
          </w:p>
        </w:tc>
        <w:tc>
          <w:tcPr>
            <w:tcW w:w="1262"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1.984,1</w:t>
            </w:r>
          </w:p>
        </w:tc>
        <w:tc>
          <w:tcPr>
            <w:tcW w:w="1289"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4.155,0</w:t>
            </w:r>
          </w:p>
        </w:tc>
        <w:tc>
          <w:tcPr>
            <w:tcW w:w="1276"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4.155,0</w:t>
            </w:r>
          </w:p>
        </w:tc>
        <w:tc>
          <w:tcPr>
            <w:tcW w:w="1276"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2.249,2</w:t>
            </w:r>
          </w:p>
        </w:tc>
        <w:tc>
          <w:tcPr>
            <w:tcW w:w="1134"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54,1</w:t>
            </w:r>
          </w:p>
        </w:tc>
      </w:tr>
      <w:tr w:rsidR="00E67099" w:rsidRPr="00E67099" w:rsidTr="00A36731">
        <w:trPr>
          <w:trHeight w:val="54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b/>
                <w:bCs/>
                <w:color w:val="000000"/>
                <w:sz w:val="20"/>
                <w:szCs w:val="20"/>
                <w:lang w:val="ro-MD"/>
              </w:rPr>
            </w:pPr>
            <w:r w:rsidRPr="00E67099">
              <w:rPr>
                <w:rFonts w:asciiTheme="majorHAnsi" w:eastAsia="Times New Roman" w:hAnsiTheme="majorHAnsi" w:cstheme="majorHAnsi"/>
                <w:b/>
                <w:bCs/>
                <w:color w:val="000000"/>
                <w:sz w:val="20"/>
                <w:szCs w:val="20"/>
                <w:lang w:val="ro-MD"/>
              </w:rPr>
              <w:t>3</w:t>
            </w:r>
          </w:p>
        </w:tc>
        <w:tc>
          <w:tcPr>
            <w:tcW w:w="4315" w:type="dxa"/>
            <w:tcBorders>
              <w:top w:val="nil"/>
              <w:left w:val="nil"/>
              <w:bottom w:val="single" w:sz="4" w:space="0" w:color="auto"/>
              <w:right w:val="single" w:sz="4" w:space="0" w:color="auto"/>
            </w:tcBorders>
            <w:shd w:val="clear" w:color="auto" w:fill="auto"/>
            <w:vAlign w:val="bottom"/>
            <w:hideMark/>
          </w:tcPr>
          <w:p w:rsidR="00E67099" w:rsidRPr="00E67099" w:rsidRDefault="00E67099" w:rsidP="00E67099">
            <w:pPr>
              <w:spacing w:after="0" w:line="240" w:lineRule="auto"/>
              <w:jc w:val="both"/>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Proiectul "Consolidarea cadrului instituțional al RM în domeniul migrației și dezvoltării"</w:t>
            </w:r>
          </w:p>
        </w:tc>
        <w:tc>
          <w:tcPr>
            <w:tcW w:w="827"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70205</w:t>
            </w:r>
          </w:p>
        </w:tc>
        <w:tc>
          <w:tcPr>
            <w:tcW w:w="1441" w:type="dxa"/>
            <w:tcBorders>
              <w:top w:val="nil"/>
              <w:left w:val="nil"/>
              <w:bottom w:val="single" w:sz="4" w:space="0" w:color="auto"/>
              <w:right w:val="single" w:sz="4" w:space="0" w:color="auto"/>
            </w:tcBorders>
            <w:shd w:val="clear" w:color="auto" w:fill="auto"/>
            <w:vAlign w:val="bottom"/>
            <w:hideMark/>
          </w:tcPr>
          <w:p w:rsidR="00E67099" w:rsidRPr="00E67099" w:rsidRDefault="00E67099" w:rsidP="00E67099">
            <w:pPr>
              <w:spacing w:after="0" w:line="240" w:lineRule="auto"/>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Cancelaria de Stat 0201</w:t>
            </w:r>
          </w:p>
        </w:tc>
        <w:tc>
          <w:tcPr>
            <w:tcW w:w="1262"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1.400,0</w:t>
            </w:r>
          </w:p>
        </w:tc>
        <w:tc>
          <w:tcPr>
            <w:tcW w:w="1289"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69,3</w:t>
            </w:r>
          </w:p>
        </w:tc>
        <w:tc>
          <w:tcPr>
            <w:tcW w:w="1276"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1.400,0</w:t>
            </w:r>
          </w:p>
        </w:tc>
        <w:tc>
          <w:tcPr>
            <w:tcW w:w="1276"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1.231,6</w:t>
            </w:r>
          </w:p>
        </w:tc>
        <w:tc>
          <w:tcPr>
            <w:tcW w:w="1134"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88,0</w:t>
            </w:r>
          </w:p>
        </w:tc>
      </w:tr>
      <w:tr w:rsidR="00E67099" w:rsidRPr="00E67099" w:rsidTr="00A36731">
        <w:trPr>
          <w:trHeight w:val="54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b/>
                <w:bCs/>
                <w:color w:val="000000"/>
                <w:sz w:val="20"/>
                <w:szCs w:val="20"/>
                <w:lang w:val="ro-MD"/>
              </w:rPr>
            </w:pPr>
            <w:r w:rsidRPr="00E67099">
              <w:rPr>
                <w:rFonts w:asciiTheme="majorHAnsi" w:eastAsia="Times New Roman" w:hAnsiTheme="majorHAnsi" w:cstheme="majorHAnsi"/>
                <w:b/>
                <w:bCs/>
                <w:color w:val="000000"/>
                <w:sz w:val="20"/>
                <w:szCs w:val="20"/>
                <w:lang w:val="ro-MD"/>
              </w:rPr>
              <w:t>4</w:t>
            </w:r>
          </w:p>
        </w:tc>
        <w:tc>
          <w:tcPr>
            <w:tcW w:w="4315" w:type="dxa"/>
            <w:tcBorders>
              <w:top w:val="nil"/>
              <w:left w:val="nil"/>
              <w:bottom w:val="single" w:sz="4" w:space="0" w:color="auto"/>
              <w:right w:val="single" w:sz="4" w:space="0" w:color="auto"/>
            </w:tcBorders>
            <w:shd w:val="clear" w:color="auto" w:fill="auto"/>
            <w:vAlign w:val="bottom"/>
            <w:hideMark/>
          </w:tcPr>
          <w:p w:rsidR="00E67099" w:rsidRPr="00E67099" w:rsidRDefault="00E67099" w:rsidP="00E67099">
            <w:pPr>
              <w:spacing w:after="0" w:line="240" w:lineRule="auto"/>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Proiectul ”Reabilitarea si modernizarea posturilor vamale de la frontiera moldo-română”</w:t>
            </w:r>
          </w:p>
        </w:tc>
        <w:tc>
          <w:tcPr>
            <w:tcW w:w="827"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70210</w:t>
            </w:r>
          </w:p>
        </w:tc>
        <w:tc>
          <w:tcPr>
            <w:tcW w:w="1441" w:type="dxa"/>
            <w:tcBorders>
              <w:top w:val="nil"/>
              <w:left w:val="nil"/>
              <w:bottom w:val="single" w:sz="4" w:space="0" w:color="auto"/>
              <w:right w:val="single" w:sz="4" w:space="0" w:color="auto"/>
            </w:tcBorders>
            <w:shd w:val="clear" w:color="auto" w:fill="auto"/>
            <w:vAlign w:val="bottom"/>
            <w:hideMark/>
          </w:tcPr>
          <w:p w:rsidR="00E67099" w:rsidRPr="00E67099" w:rsidRDefault="00E67099" w:rsidP="00E67099">
            <w:pPr>
              <w:spacing w:after="0" w:line="240" w:lineRule="auto"/>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Ministerul Finanțelor 0203</w:t>
            </w:r>
          </w:p>
        </w:tc>
        <w:tc>
          <w:tcPr>
            <w:tcW w:w="1262"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7.609,6</w:t>
            </w:r>
          </w:p>
        </w:tc>
        <w:tc>
          <w:tcPr>
            <w:tcW w:w="1289"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35.279,6</w:t>
            </w:r>
          </w:p>
        </w:tc>
        <w:tc>
          <w:tcPr>
            <w:tcW w:w="1276"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2.406,2</w:t>
            </w:r>
          </w:p>
        </w:tc>
        <w:tc>
          <w:tcPr>
            <w:tcW w:w="1276"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0,0</w:t>
            </w:r>
          </w:p>
        </w:tc>
        <w:tc>
          <w:tcPr>
            <w:tcW w:w="1134"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0,0</w:t>
            </w:r>
          </w:p>
        </w:tc>
      </w:tr>
      <w:tr w:rsidR="00E67099" w:rsidRPr="00E67099" w:rsidTr="00A36731">
        <w:trPr>
          <w:trHeight w:val="54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b/>
                <w:bCs/>
                <w:color w:val="000000"/>
                <w:sz w:val="20"/>
                <w:szCs w:val="20"/>
                <w:lang w:val="ro-MD"/>
              </w:rPr>
            </w:pPr>
            <w:r w:rsidRPr="00E67099">
              <w:rPr>
                <w:rFonts w:asciiTheme="majorHAnsi" w:eastAsia="Times New Roman" w:hAnsiTheme="majorHAnsi" w:cstheme="majorHAnsi"/>
                <w:b/>
                <w:bCs/>
                <w:color w:val="000000"/>
                <w:sz w:val="20"/>
                <w:szCs w:val="20"/>
                <w:lang w:val="ro-MD"/>
              </w:rPr>
              <w:t>5</w:t>
            </w:r>
          </w:p>
        </w:tc>
        <w:tc>
          <w:tcPr>
            <w:tcW w:w="4315" w:type="dxa"/>
            <w:tcBorders>
              <w:top w:val="nil"/>
              <w:left w:val="nil"/>
              <w:bottom w:val="single" w:sz="4" w:space="0" w:color="auto"/>
              <w:right w:val="single" w:sz="4" w:space="0" w:color="auto"/>
            </w:tcBorders>
            <w:shd w:val="clear" w:color="auto" w:fill="auto"/>
            <w:vAlign w:val="bottom"/>
            <w:hideMark/>
          </w:tcPr>
          <w:p w:rsidR="00E67099" w:rsidRPr="00E67099" w:rsidRDefault="00E67099" w:rsidP="00E67099">
            <w:pPr>
              <w:spacing w:after="0" w:line="240" w:lineRule="auto"/>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Proiectul "Consolidarea competențelor de salvare în cadrul Detașamentelor de Pompieri  din Moldova "</w:t>
            </w:r>
          </w:p>
        </w:tc>
        <w:tc>
          <w:tcPr>
            <w:tcW w:w="827"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70260</w:t>
            </w:r>
          </w:p>
        </w:tc>
        <w:tc>
          <w:tcPr>
            <w:tcW w:w="1441"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MAI 0205</w:t>
            </w:r>
          </w:p>
        </w:tc>
        <w:tc>
          <w:tcPr>
            <w:tcW w:w="1262"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113,9</w:t>
            </w:r>
          </w:p>
        </w:tc>
        <w:tc>
          <w:tcPr>
            <w:tcW w:w="1289"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0,0</w:t>
            </w:r>
          </w:p>
        </w:tc>
        <w:tc>
          <w:tcPr>
            <w:tcW w:w="1276"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114,0</w:t>
            </w:r>
          </w:p>
        </w:tc>
        <w:tc>
          <w:tcPr>
            <w:tcW w:w="1276"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112,5</w:t>
            </w:r>
          </w:p>
        </w:tc>
        <w:tc>
          <w:tcPr>
            <w:tcW w:w="1134"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98,7</w:t>
            </w:r>
          </w:p>
        </w:tc>
      </w:tr>
      <w:tr w:rsidR="00E67099" w:rsidRPr="00E67099" w:rsidTr="00A36731">
        <w:trPr>
          <w:trHeight w:val="612"/>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b/>
                <w:bCs/>
                <w:color w:val="000000"/>
                <w:sz w:val="20"/>
                <w:szCs w:val="20"/>
                <w:lang w:val="ro-MD"/>
              </w:rPr>
            </w:pPr>
            <w:r w:rsidRPr="00E67099">
              <w:rPr>
                <w:rFonts w:asciiTheme="majorHAnsi" w:eastAsia="Times New Roman" w:hAnsiTheme="majorHAnsi" w:cstheme="majorHAnsi"/>
                <w:b/>
                <w:bCs/>
                <w:color w:val="000000"/>
                <w:sz w:val="20"/>
                <w:szCs w:val="20"/>
                <w:lang w:val="ro-MD"/>
              </w:rPr>
              <w:t>6</w:t>
            </w:r>
          </w:p>
        </w:tc>
        <w:tc>
          <w:tcPr>
            <w:tcW w:w="4315" w:type="dxa"/>
            <w:tcBorders>
              <w:top w:val="nil"/>
              <w:left w:val="nil"/>
              <w:bottom w:val="single" w:sz="4" w:space="0" w:color="auto"/>
              <w:right w:val="single" w:sz="4" w:space="0" w:color="auto"/>
            </w:tcBorders>
            <w:shd w:val="clear" w:color="auto" w:fill="auto"/>
            <w:vAlign w:val="bottom"/>
            <w:hideMark/>
          </w:tcPr>
          <w:p w:rsidR="00E67099" w:rsidRPr="00E67099" w:rsidRDefault="00E67099" w:rsidP="00E67099">
            <w:pPr>
              <w:spacing w:after="0" w:line="240" w:lineRule="auto"/>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Proiectul ”Îmbunătățirea prevenirii, pregătirii și răspunsului la dezastrele chimice si naturale (EU-CHEM-REACT2)”</w:t>
            </w:r>
          </w:p>
        </w:tc>
        <w:tc>
          <w:tcPr>
            <w:tcW w:w="827"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70263</w:t>
            </w:r>
          </w:p>
        </w:tc>
        <w:tc>
          <w:tcPr>
            <w:tcW w:w="1441"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MAI 0205</w:t>
            </w:r>
          </w:p>
        </w:tc>
        <w:tc>
          <w:tcPr>
            <w:tcW w:w="1262"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338,5</w:t>
            </w:r>
          </w:p>
        </w:tc>
        <w:tc>
          <w:tcPr>
            <w:tcW w:w="1289"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0,0</w:t>
            </w:r>
          </w:p>
        </w:tc>
        <w:tc>
          <w:tcPr>
            <w:tcW w:w="1276"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338,5</w:t>
            </w:r>
          </w:p>
        </w:tc>
        <w:tc>
          <w:tcPr>
            <w:tcW w:w="1276"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96,3</w:t>
            </w:r>
          </w:p>
        </w:tc>
        <w:tc>
          <w:tcPr>
            <w:tcW w:w="1134"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28,4</w:t>
            </w:r>
          </w:p>
        </w:tc>
      </w:tr>
      <w:tr w:rsidR="00E67099" w:rsidRPr="00E67099" w:rsidTr="00A36731">
        <w:trPr>
          <w:trHeight w:val="852"/>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b/>
                <w:bCs/>
                <w:color w:val="000000"/>
                <w:sz w:val="20"/>
                <w:szCs w:val="20"/>
                <w:lang w:val="ro-MD"/>
              </w:rPr>
            </w:pPr>
            <w:r w:rsidRPr="00E67099">
              <w:rPr>
                <w:rFonts w:asciiTheme="majorHAnsi" w:eastAsia="Times New Roman" w:hAnsiTheme="majorHAnsi" w:cstheme="majorHAnsi"/>
                <w:b/>
                <w:bCs/>
                <w:color w:val="000000"/>
                <w:sz w:val="20"/>
                <w:szCs w:val="20"/>
                <w:lang w:val="ro-MD"/>
              </w:rPr>
              <w:t>7</w:t>
            </w:r>
          </w:p>
        </w:tc>
        <w:tc>
          <w:tcPr>
            <w:tcW w:w="4315" w:type="dxa"/>
            <w:tcBorders>
              <w:top w:val="nil"/>
              <w:left w:val="nil"/>
              <w:bottom w:val="single" w:sz="4" w:space="0" w:color="auto"/>
              <w:right w:val="single" w:sz="4" w:space="0" w:color="auto"/>
            </w:tcBorders>
            <w:shd w:val="clear" w:color="auto" w:fill="auto"/>
            <w:vAlign w:val="bottom"/>
            <w:hideMark/>
          </w:tcPr>
          <w:p w:rsidR="00E67099" w:rsidRPr="00E67099" w:rsidRDefault="00E67099" w:rsidP="00E67099">
            <w:pPr>
              <w:spacing w:after="0" w:line="240" w:lineRule="auto"/>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 xml:space="preserve">Proiectul "Îmbunătățirea infrastructurii de operare a serviciului mobil (SMURD),de pregătire a cadrelor de intervenție în situații de urgență </w:t>
            </w:r>
          </w:p>
        </w:tc>
        <w:tc>
          <w:tcPr>
            <w:tcW w:w="827"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70199</w:t>
            </w:r>
          </w:p>
        </w:tc>
        <w:tc>
          <w:tcPr>
            <w:tcW w:w="1441"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MAI 0205</w:t>
            </w:r>
          </w:p>
        </w:tc>
        <w:tc>
          <w:tcPr>
            <w:tcW w:w="1262"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2.681,6</w:t>
            </w:r>
          </w:p>
        </w:tc>
        <w:tc>
          <w:tcPr>
            <w:tcW w:w="1289"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30.600,0</w:t>
            </w:r>
          </w:p>
        </w:tc>
        <w:tc>
          <w:tcPr>
            <w:tcW w:w="1276"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13.101,4</w:t>
            </w:r>
          </w:p>
        </w:tc>
        <w:tc>
          <w:tcPr>
            <w:tcW w:w="1276"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0,0</w:t>
            </w:r>
          </w:p>
        </w:tc>
        <w:tc>
          <w:tcPr>
            <w:tcW w:w="1134"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0,0</w:t>
            </w:r>
          </w:p>
        </w:tc>
      </w:tr>
      <w:tr w:rsidR="00E67099" w:rsidRPr="00E67099" w:rsidTr="00A36731">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b/>
                <w:bCs/>
                <w:color w:val="000000"/>
                <w:sz w:val="20"/>
                <w:szCs w:val="20"/>
                <w:lang w:val="ro-MD"/>
              </w:rPr>
            </w:pPr>
            <w:r w:rsidRPr="00E67099">
              <w:rPr>
                <w:rFonts w:asciiTheme="majorHAnsi" w:eastAsia="Times New Roman" w:hAnsiTheme="majorHAnsi" w:cstheme="majorHAnsi"/>
                <w:b/>
                <w:bCs/>
                <w:color w:val="000000"/>
                <w:sz w:val="20"/>
                <w:szCs w:val="20"/>
                <w:lang w:val="ro-MD"/>
              </w:rPr>
              <w:t>8</w:t>
            </w:r>
          </w:p>
        </w:tc>
        <w:tc>
          <w:tcPr>
            <w:tcW w:w="4315"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Proiectul "Cooperarea cu NATO"</w:t>
            </w:r>
          </w:p>
        </w:tc>
        <w:tc>
          <w:tcPr>
            <w:tcW w:w="827"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70153</w:t>
            </w:r>
          </w:p>
        </w:tc>
        <w:tc>
          <w:tcPr>
            <w:tcW w:w="1441" w:type="dxa"/>
            <w:tcBorders>
              <w:top w:val="nil"/>
              <w:left w:val="nil"/>
              <w:bottom w:val="single" w:sz="4" w:space="0" w:color="auto"/>
              <w:right w:val="single" w:sz="4" w:space="0" w:color="auto"/>
            </w:tcBorders>
            <w:shd w:val="clear" w:color="auto" w:fill="auto"/>
            <w:vAlign w:val="bottom"/>
            <w:hideMark/>
          </w:tcPr>
          <w:p w:rsidR="00E67099" w:rsidRPr="00E67099" w:rsidRDefault="00E67099" w:rsidP="00E67099">
            <w:pPr>
              <w:spacing w:after="0" w:line="240" w:lineRule="auto"/>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Ministerul Apărării 0207</w:t>
            </w:r>
          </w:p>
        </w:tc>
        <w:tc>
          <w:tcPr>
            <w:tcW w:w="1262"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1.156,3</w:t>
            </w:r>
          </w:p>
        </w:tc>
        <w:tc>
          <w:tcPr>
            <w:tcW w:w="1289"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849,5</w:t>
            </w:r>
          </w:p>
        </w:tc>
        <w:tc>
          <w:tcPr>
            <w:tcW w:w="1276"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849,5</w:t>
            </w:r>
          </w:p>
        </w:tc>
        <w:tc>
          <w:tcPr>
            <w:tcW w:w="1276"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91,4</w:t>
            </w:r>
          </w:p>
        </w:tc>
        <w:tc>
          <w:tcPr>
            <w:tcW w:w="1134"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10,8</w:t>
            </w:r>
          </w:p>
        </w:tc>
      </w:tr>
      <w:tr w:rsidR="00E67099" w:rsidRPr="00E67099" w:rsidTr="00A36731">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b/>
                <w:bCs/>
                <w:color w:val="000000"/>
                <w:sz w:val="20"/>
                <w:szCs w:val="20"/>
                <w:lang w:val="ro-MD"/>
              </w:rPr>
            </w:pPr>
            <w:r w:rsidRPr="00E67099">
              <w:rPr>
                <w:rFonts w:asciiTheme="majorHAnsi" w:eastAsia="Times New Roman" w:hAnsiTheme="majorHAnsi" w:cstheme="majorHAnsi"/>
                <w:b/>
                <w:bCs/>
                <w:color w:val="000000"/>
                <w:sz w:val="20"/>
                <w:szCs w:val="20"/>
                <w:lang w:val="ro-MD"/>
              </w:rPr>
              <w:t>9</w:t>
            </w:r>
          </w:p>
        </w:tc>
        <w:tc>
          <w:tcPr>
            <w:tcW w:w="4315"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Proiectul "Educație pentru Drone - eDrone."</w:t>
            </w:r>
          </w:p>
        </w:tc>
        <w:tc>
          <w:tcPr>
            <w:tcW w:w="827"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70252</w:t>
            </w:r>
          </w:p>
        </w:tc>
        <w:tc>
          <w:tcPr>
            <w:tcW w:w="1441"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MEI 0218</w:t>
            </w:r>
          </w:p>
        </w:tc>
        <w:tc>
          <w:tcPr>
            <w:tcW w:w="1262"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266,7</w:t>
            </w:r>
          </w:p>
        </w:tc>
        <w:tc>
          <w:tcPr>
            <w:tcW w:w="1289"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0,0</w:t>
            </w:r>
          </w:p>
        </w:tc>
        <w:tc>
          <w:tcPr>
            <w:tcW w:w="1276"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361,6</w:t>
            </w:r>
          </w:p>
        </w:tc>
        <w:tc>
          <w:tcPr>
            <w:tcW w:w="1276"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143,7</w:t>
            </w:r>
          </w:p>
        </w:tc>
        <w:tc>
          <w:tcPr>
            <w:tcW w:w="1134"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39,7</w:t>
            </w:r>
          </w:p>
        </w:tc>
      </w:tr>
      <w:tr w:rsidR="00E67099" w:rsidRPr="00E67099" w:rsidTr="00A36731">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b/>
                <w:bCs/>
                <w:color w:val="000000"/>
                <w:sz w:val="20"/>
                <w:szCs w:val="20"/>
                <w:lang w:val="ro-MD"/>
              </w:rPr>
            </w:pPr>
            <w:r w:rsidRPr="00E67099">
              <w:rPr>
                <w:rFonts w:asciiTheme="majorHAnsi" w:eastAsia="Times New Roman" w:hAnsiTheme="majorHAnsi" w:cstheme="majorHAnsi"/>
                <w:b/>
                <w:bCs/>
                <w:color w:val="000000"/>
                <w:sz w:val="20"/>
                <w:szCs w:val="20"/>
                <w:lang w:val="ro-MD"/>
              </w:rPr>
              <w:t>10</w:t>
            </w:r>
          </w:p>
        </w:tc>
        <w:tc>
          <w:tcPr>
            <w:tcW w:w="4315"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Proiectul "Piața energetică competitivă"</w:t>
            </w:r>
          </w:p>
        </w:tc>
        <w:tc>
          <w:tcPr>
            <w:tcW w:w="827"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70248</w:t>
            </w:r>
          </w:p>
        </w:tc>
        <w:tc>
          <w:tcPr>
            <w:tcW w:w="1441"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MEI 0218</w:t>
            </w:r>
          </w:p>
        </w:tc>
        <w:tc>
          <w:tcPr>
            <w:tcW w:w="1262"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6.319,8</w:t>
            </w:r>
          </w:p>
        </w:tc>
        <w:tc>
          <w:tcPr>
            <w:tcW w:w="1289"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7.052,0</w:t>
            </w:r>
          </w:p>
        </w:tc>
        <w:tc>
          <w:tcPr>
            <w:tcW w:w="1276"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7.566,3</w:t>
            </w:r>
          </w:p>
        </w:tc>
        <w:tc>
          <w:tcPr>
            <w:tcW w:w="1276"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6.450,7</w:t>
            </w:r>
          </w:p>
        </w:tc>
        <w:tc>
          <w:tcPr>
            <w:tcW w:w="1134"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85,3</w:t>
            </w:r>
          </w:p>
        </w:tc>
      </w:tr>
      <w:tr w:rsidR="00E67099" w:rsidRPr="00E67099" w:rsidTr="00A36731">
        <w:trPr>
          <w:trHeight w:val="54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b/>
                <w:bCs/>
                <w:color w:val="000000"/>
                <w:sz w:val="20"/>
                <w:szCs w:val="20"/>
                <w:lang w:val="ro-MD"/>
              </w:rPr>
            </w:pPr>
            <w:r w:rsidRPr="00E67099">
              <w:rPr>
                <w:rFonts w:asciiTheme="majorHAnsi" w:eastAsia="Times New Roman" w:hAnsiTheme="majorHAnsi" w:cstheme="majorHAnsi"/>
                <w:b/>
                <w:bCs/>
                <w:color w:val="000000"/>
                <w:sz w:val="20"/>
                <w:szCs w:val="20"/>
                <w:lang w:val="ro-MD"/>
              </w:rPr>
              <w:t>11</w:t>
            </w:r>
          </w:p>
        </w:tc>
        <w:tc>
          <w:tcPr>
            <w:tcW w:w="4315" w:type="dxa"/>
            <w:tcBorders>
              <w:top w:val="nil"/>
              <w:left w:val="nil"/>
              <w:bottom w:val="single" w:sz="4" w:space="0" w:color="auto"/>
              <w:right w:val="single" w:sz="4" w:space="0" w:color="auto"/>
            </w:tcBorders>
            <w:shd w:val="clear" w:color="auto" w:fill="auto"/>
            <w:vAlign w:val="bottom"/>
            <w:hideMark/>
          </w:tcPr>
          <w:p w:rsidR="00E67099" w:rsidRPr="00E67099" w:rsidRDefault="00E67099" w:rsidP="00E67099">
            <w:pPr>
              <w:spacing w:after="0" w:line="240" w:lineRule="auto"/>
              <w:rPr>
                <w:rFonts w:asciiTheme="majorHAnsi" w:eastAsia="Times New Roman" w:hAnsiTheme="majorHAnsi" w:cstheme="majorHAnsi"/>
                <w:color w:val="000000" w:themeColor="text1"/>
                <w:sz w:val="20"/>
                <w:szCs w:val="20"/>
                <w:lang w:val="ro-MD"/>
              </w:rPr>
            </w:pPr>
            <w:r w:rsidRPr="00E67099">
              <w:rPr>
                <w:rFonts w:asciiTheme="majorHAnsi" w:eastAsia="Times New Roman" w:hAnsiTheme="majorHAnsi" w:cstheme="majorHAnsi"/>
                <w:color w:val="000000" w:themeColor="text1"/>
                <w:sz w:val="20"/>
                <w:szCs w:val="20"/>
                <w:lang w:val="ro-MD"/>
              </w:rPr>
              <w:t>Proiect de achiziție a locomotivelor si de restructurare a infrastructurii feroviare</w:t>
            </w:r>
          </w:p>
        </w:tc>
        <w:tc>
          <w:tcPr>
            <w:tcW w:w="827"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70124</w:t>
            </w:r>
          </w:p>
        </w:tc>
        <w:tc>
          <w:tcPr>
            <w:tcW w:w="1441"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MEI 0218</w:t>
            </w:r>
          </w:p>
        </w:tc>
        <w:tc>
          <w:tcPr>
            <w:tcW w:w="1262"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5.031,2</w:t>
            </w:r>
          </w:p>
        </w:tc>
        <w:tc>
          <w:tcPr>
            <w:tcW w:w="1289"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45.652,3</w:t>
            </w:r>
          </w:p>
        </w:tc>
        <w:tc>
          <w:tcPr>
            <w:tcW w:w="1276"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5.306,8</w:t>
            </w:r>
          </w:p>
        </w:tc>
        <w:tc>
          <w:tcPr>
            <w:tcW w:w="1276"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5.031,2</w:t>
            </w:r>
          </w:p>
        </w:tc>
        <w:tc>
          <w:tcPr>
            <w:tcW w:w="1134"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94,8</w:t>
            </w:r>
          </w:p>
        </w:tc>
      </w:tr>
      <w:tr w:rsidR="00E67099" w:rsidRPr="00E67099" w:rsidTr="00A36731">
        <w:trPr>
          <w:trHeight w:val="54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b/>
                <w:bCs/>
                <w:color w:val="000000"/>
                <w:sz w:val="20"/>
                <w:szCs w:val="20"/>
                <w:lang w:val="ro-MD"/>
              </w:rPr>
            </w:pPr>
            <w:r w:rsidRPr="00E67099">
              <w:rPr>
                <w:rFonts w:asciiTheme="majorHAnsi" w:eastAsia="Times New Roman" w:hAnsiTheme="majorHAnsi" w:cstheme="majorHAnsi"/>
                <w:b/>
                <w:bCs/>
                <w:color w:val="000000"/>
                <w:sz w:val="20"/>
                <w:szCs w:val="20"/>
                <w:lang w:val="ro-MD"/>
              </w:rPr>
              <w:t>12</w:t>
            </w:r>
          </w:p>
        </w:tc>
        <w:tc>
          <w:tcPr>
            <w:tcW w:w="4315" w:type="dxa"/>
            <w:tcBorders>
              <w:top w:val="nil"/>
              <w:left w:val="nil"/>
              <w:bottom w:val="single" w:sz="4" w:space="0" w:color="auto"/>
              <w:right w:val="single" w:sz="4" w:space="0" w:color="auto"/>
            </w:tcBorders>
            <w:shd w:val="clear" w:color="auto" w:fill="auto"/>
            <w:vAlign w:val="bottom"/>
            <w:hideMark/>
          </w:tcPr>
          <w:p w:rsidR="00E67099" w:rsidRPr="00E67099" w:rsidRDefault="00E67099" w:rsidP="00E67099">
            <w:pPr>
              <w:spacing w:after="0" w:line="240" w:lineRule="auto"/>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Proiectul "Modernizarea sistemului termoenergetic al municipiului Bălți"</w:t>
            </w:r>
          </w:p>
        </w:tc>
        <w:tc>
          <w:tcPr>
            <w:tcW w:w="827"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70090</w:t>
            </w:r>
          </w:p>
        </w:tc>
        <w:tc>
          <w:tcPr>
            <w:tcW w:w="1441"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MEI 0218</w:t>
            </w:r>
          </w:p>
        </w:tc>
        <w:tc>
          <w:tcPr>
            <w:tcW w:w="1262"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37.266,8</w:t>
            </w:r>
          </w:p>
        </w:tc>
        <w:tc>
          <w:tcPr>
            <w:tcW w:w="1289"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14.605,8</w:t>
            </w:r>
          </w:p>
        </w:tc>
        <w:tc>
          <w:tcPr>
            <w:tcW w:w="1276"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40.389,2</w:t>
            </w:r>
          </w:p>
        </w:tc>
        <w:tc>
          <w:tcPr>
            <w:tcW w:w="1276"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37.266,8</w:t>
            </w:r>
          </w:p>
        </w:tc>
        <w:tc>
          <w:tcPr>
            <w:tcW w:w="1134"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92,3</w:t>
            </w:r>
          </w:p>
        </w:tc>
      </w:tr>
      <w:tr w:rsidR="00E67099" w:rsidRPr="00E67099" w:rsidTr="00A36731">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b/>
                <w:bCs/>
                <w:color w:val="000000"/>
                <w:sz w:val="20"/>
                <w:szCs w:val="20"/>
                <w:lang w:val="ro-MD"/>
              </w:rPr>
            </w:pPr>
            <w:r w:rsidRPr="00E67099">
              <w:rPr>
                <w:rFonts w:asciiTheme="majorHAnsi" w:eastAsia="Times New Roman" w:hAnsiTheme="majorHAnsi" w:cstheme="majorHAnsi"/>
                <w:b/>
                <w:bCs/>
                <w:color w:val="000000"/>
                <w:sz w:val="20"/>
                <w:szCs w:val="20"/>
                <w:lang w:val="ro-MD"/>
              </w:rPr>
              <w:t>13</w:t>
            </w:r>
          </w:p>
        </w:tc>
        <w:tc>
          <w:tcPr>
            <w:tcW w:w="4315"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Proiectul de susținere a Programului în sectorul drumurilor</w:t>
            </w:r>
          </w:p>
        </w:tc>
        <w:tc>
          <w:tcPr>
            <w:tcW w:w="827"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70024</w:t>
            </w:r>
          </w:p>
        </w:tc>
        <w:tc>
          <w:tcPr>
            <w:tcW w:w="1441"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MEI 0218</w:t>
            </w:r>
          </w:p>
        </w:tc>
        <w:tc>
          <w:tcPr>
            <w:tcW w:w="1262"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14.213,0</w:t>
            </w:r>
          </w:p>
        </w:tc>
        <w:tc>
          <w:tcPr>
            <w:tcW w:w="1289"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900.000,0</w:t>
            </w:r>
          </w:p>
        </w:tc>
        <w:tc>
          <w:tcPr>
            <w:tcW w:w="1276"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1.120.347,6</w:t>
            </w:r>
          </w:p>
        </w:tc>
        <w:tc>
          <w:tcPr>
            <w:tcW w:w="1276"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970.328,8</w:t>
            </w:r>
          </w:p>
        </w:tc>
        <w:tc>
          <w:tcPr>
            <w:tcW w:w="1134"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86,6</w:t>
            </w:r>
          </w:p>
        </w:tc>
      </w:tr>
      <w:tr w:rsidR="00E67099" w:rsidRPr="00E67099" w:rsidTr="00A36731">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b/>
                <w:bCs/>
                <w:color w:val="000000"/>
                <w:sz w:val="20"/>
                <w:szCs w:val="20"/>
                <w:lang w:val="ro-MD"/>
              </w:rPr>
            </w:pPr>
            <w:r w:rsidRPr="00E67099">
              <w:rPr>
                <w:rFonts w:asciiTheme="majorHAnsi" w:eastAsia="Times New Roman" w:hAnsiTheme="majorHAnsi" w:cstheme="majorHAnsi"/>
                <w:b/>
                <w:bCs/>
                <w:color w:val="000000"/>
                <w:sz w:val="20"/>
                <w:szCs w:val="20"/>
                <w:lang w:val="ro-MD"/>
              </w:rPr>
              <w:t>14</w:t>
            </w:r>
          </w:p>
        </w:tc>
        <w:tc>
          <w:tcPr>
            <w:tcW w:w="4315"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Proiectul "Programul de reziliență rurală (IFAD VII)"</w:t>
            </w:r>
          </w:p>
        </w:tc>
        <w:tc>
          <w:tcPr>
            <w:tcW w:w="827"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70201</w:t>
            </w:r>
          </w:p>
        </w:tc>
        <w:tc>
          <w:tcPr>
            <w:tcW w:w="1441"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MADRM 0219</w:t>
            </w:r>
          </w:p>
        </w:tc>
        <w:tc>
          <w:tcPr>
            <w:tcW w:w="1262"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23.709,0</w:t>
            </w:r>
          </w:p>
        </w:tc>
        <w:tc>
          <w:tcPr>
            <w:tcW w:w="1289"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39.991,1</w:t>
            </w:r>
          </w:p>
        </w:tc>
        <w:tc>
          <w:tcPr>
            <w:tcW w:w="1276"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39.991,1</w:t>
            </w:r>
          </w:p>
        </w:tc>
        <w:tc>
          <w:tcPr>
            <w:tcW w:w="1276"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5.610,2</w:t>
            </w:r>
          </w:p>
        </w:tc>
        <w:tc>
          <w:tcPr>
            <w:tcW w:w="1134"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14,0</w:t>
            </w:r>
          </w:p>
        </w:tc>
      </w:tr>
      <w:tr w:rsidR="00E67099" w:rsidRPr="00E67099" w:rsidTr="00A36731">
        <w:trPr>
          <w:trHeight w:val="54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b/>
                <w:bCs/>
                <w:color w:val="000000"/>
                <w:sz w:val="20"/>
                <w:szCs w:val="20"/>
                <w:lang w:val="ro-MD"/>
              </w:rPr>
            </w:pPr>
            <w:r w:rsidRPr="00E67099">
              <w:rPr>
                <w:rFonts w:asciiTheme="majorHAnsi" w:eastAsia="Times New Roman" w:hAnsiTheme="majorHAnsi" w:cstheme="majorHAnsi"/>
                <w:b/>
                <w:bCs/>
                <w:color w:val="000000"/>
                <w:sz w:val="20"/>
                <w:szCs w:val="20"/>
                <w:lang w:val="ro-MD"/>
              </w:rPr>
              <w:t>15</w:t>
            </w:r>
          </w:p>
        </w:tc>
        <w:tc>
          <w:tcPr>
            <w:tcW w:w="4315" w:type="dxa"/>
            <w:tcBorders>
              <w:top w:val="nil"/>
              <w:left w:val="nil"/>
              <w:bottom w:val="single" w:sz="4" w:space="0" w:color="auto"/>
              <w:right w:val="single" w:sz="4" w:space="0" w:color="auto"/>
            </w:tcBorders>
            <w:shd w:val="clear" w:color="auto" w:fill="auto"/>
            <w:vAlign w:val="bottom"/>
            <w:hideMark/>
          </w:tcPr>
          <w:p w:rsidR="00E67099" w:rsidRPr="00E67099" w:rsidRDefault="00E67099" w:rsidP="00E67099">
            <w:pPr>
              <w:spacing w:after="0" w:line="240" w:lineRule="auto"/>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Consolidarea cadrului instituțional în sectorul alimentării cu apă și sanitație din Republica Moldova</w:t>
            </w:r>
          </w:p>
        </w:tc>
        <w:tc>
          <w:tcPr>
            <w:tcW w:w="827"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70166</w:t>
            </w:r>
          </w:p>
        </w:tc>
        <w:tc>
          <w:tcPr>
            <w:tcW w:w="1441"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MADRM 0219</w:t>
            </w:r>
          </w:p>
        </w:tc>
        <w:tc>
          <w:tcPr>
            <w:tcW w:w="1262"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34.889,3</w:t>
            </w:r>
          </w:p>
        </w:tc>
        <w:tc>
          <w:tcPr>
            <w:tcW w:w="1289"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35.000,0</w:t>
            </w:r>
          </w:p>
        </w:tc>
        <w:tc>
          <w:tcPr>
            <w:tcW w:w="1276"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35.000,0</w:t>
            </w:r>
          </w:p>
        </w:tc>
        <w:tc>
          <w:tcPr>
            <w:tcW w:w="1276"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27.165,5</w:t>
            </w:r>
          </w:p>
        </w:tc>
        <w:tc>
          <w:tcPr>
            <w:tcW w:w="1134"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77,6</w:t>
            </w:r>
          </w:p>
        </w:tc>
      </w:tr>
      <w:tr w:rsidR="00E67099" w:rsidRPr="00E67099" w:rsidTr="00A36731">
        <w:trPr>
          <w:trHeight w:val="54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b/>
                <w:bCs/>
                <w:color w:val="000000"/>
                <w:sz w:val="20"/>
                <w:szCs w:val="20"/>
                <w:lang w:val="ro-MD"/>
              </w:rPr>
            </w:pPr>
            <w:r w:rsidRPr="00E67099">
              <w:rPr>
                <w:rFonts w:asciiTheme="majorHAnsi" w:eastAsia="Times New Roman" w:hAnsiTheme="majorHAnsi" w:cstheme="majorHAnsi"/>
                <w:b/>
                <w:bCs/>
                <w:color w:val="000000"/>
                <w:sz w:val="20"/>
                <w:szCs w:val="20"/>
                <w:lang w:val="ro-MD"/>
              </w:rPr>
              <w:t>16</w:t>
            </w:r>
          </w:p>
        </w:tc>
        <w:tc>
          <w:tcPr>
            <w:tcW w:w="4315" w:type="dxa"/>
            <w:tcBorders>
              <w:top w:val="nil"/>
              <w:left w:val="nil"/>
              <w:bottom w:val="single" w:sz="4" w:space="0" w:color="auto"/>
              <w:right w:val="single" w:sz="4" w:space="0" w:color="auto"/>
            </w:tcBorders>
            <w:shd w:val="clear" w:color="auto" w:fill="auto"/>
            <w:vAlign w:val="bottom"/>
            <w:hideMark/>
          </w:tcPr>
          <w:p w:rsidR="00E67099" w:rsidRPr="00E67099" w:rsidRDefault="00E67099" w:rsidP="00E67099">
            <w:pPr>
              <w:spacing w:after="0" w:line="240" w:lineRule="auto"/>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Proiectul "Programul rural de reziliență  economico-climatică incluzivă(IFAD VI)"</w:t>
            </w:r>
          </w:p>
        </w:tc>
        <w:tc>
          <w:tcPr>
            <w:tcW w:w="827"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70104</w:t>
            </w:r>
          </w:p>
        </w:tc>
        <w:tc>
          <w:tcPr>
            <w:tcW w:w="1441"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MADRM 0219</w:t>
            </w:r>
          </w:p>
        </w:tc>
        <w:tc>
          <w:tcPr>
            <w:tcW w:w="1262"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23.680,0</w:t>
            </w:r>
          </w:p>
        </w:tc>
        <w:tc>
          <w:tcPr>
            <w:tcW w:w="1289"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72.311,1</w:t>
            </w:r>
          </w:p>
        </w:tc>
        <w:tc>
          <w:tcPr>
            <w:tcW w:w="1276"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74.904,1</w:t>
            </w:r>
          </w:p>
        </w:tc>
        <w:tc>
          <w:tcPr>
            <w:tcW w:w="1276"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36.784,8</w:t>
            </w:r>
          </w:p>
        </w:tc>
        <w:tc>
          <w:tcPr>
            <w:tcW w:w="1134"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49,1</w:t>
            </w:r>
          </w:p>
        </w:tc>
      </w:tr>
      <w:tr w:rsidR="00E67099" w:rsidRPr="00E67099" w:rsidTr="00A36731">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b/>
                <w:bCs/>
                <w:color w:val="000000"/>
                <w:sz w:val="20"/>
                <w:szCs w:val="20"/>
                <w:lang w:val="ro-MD"/>
              </w:rPr>
            </w:pPr>
            <w:r w:rsidRPr="00E67099">
              <w:rPr>
                <w:rFonts w:asciiTheme="majorHAnsi" w:eastAsia="Times New Roman" w:hAnsiTheme="majorHAnsi" w:cstheme="majorHAnsi"/>
                <w:b/>
                <w:bCs/>
                <w:color w:val="000000"/>
                <w:sz w:val="20"/>
                <w:szCs w:val="20"/>
                <w:lang w:val="ro-MD"/>
              </w:rPr>
              <w:t>17</w:t>
            </w:r>
          </w:p>
        </w:tc>
        <w:tc>
          <w:tcPr>
            <w:tcW w:w="4315"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Proiectul "Suport pentru cooperarea științifică și tehnică"</w:t>
            </w:r>
          </w:p>
        </w:tc>
        <w:tc>
          <w:tcPr>
            <w:tcW w:w="827"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70086</w:t>
            </w:r>
          </w:p>
        </w:tc>
        <w:tc>
          <w:tcPr>
            <w:tcW w:w="1441"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MADRM 0219</w:t>
            </w:r>
          </w:p>
        </w:tc>
        <w:tc>
          <w:tcPr>
            <w:tcW w:w="1262"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141,07</w:t>
            </w:r>
          </w:p>
        </w:tc>
        <w:tc>
          <w:tcPr>
            <w:tcW w:w="1289"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0</w:t>
            </w:r>
          </w:p>
        </w:tc>
        <w:tc>
          <w:tcPr>
            <w:tcW w:w="1276"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141,1</w:t>
            </w:r>
          </w:p>
        </w:tc>
        <w:tc>
          <w:tcPr>
            <w:tcW w:w="1276"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141</w:t>
            </w:r>
          </w:p>
        </w:tc>
        <w:tc>
          <w:tcPr>
            <w:tcW w:w="1134"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99,9</w:t>
            </w:r>
          </w:p>
        </w:tc>
      </w:tr>
      <w:tr w:rsidR="00E67099" w:rsidRPr="00E67099" w:rsidTr="00A36731">
        <w:trPr>
          <w:trHeight w:val="54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b/>
                <w:bCs/>
                <w:color w:val="000000"/>
                <w:sz w:val="20"/>
                <w:szCs w:val="20"/>
                <w:lang w:val="ro-MD"/>
              </w:rPr>
            </w:pPr>
            <w:r w:rsidRPr="00E67099">
              <w:rPr>
                <w:rFonts w:asciiTheme="majorHAnsi" w:eastAsia="Times New Roman" w:hAnsiTheme="majorHAnsi" w:cstheme="majorHAnsi"/>
                <w:b/>
                <w:bCs/>
                <w:color w:val="000000"/>
                <w:sz w:val="20"/>
                <w:szCs w:val="20"/>
                <w:lang w:val="ro-MD"/>
              </w:rPr>
              <w:t>18</w:t>
            </w:r>
          </w:p>
        </w:tc>
        <w:tc>
          <w:tcPr>
            <w:tcW w:w="4315" w:type="dxa"/>
            <w:tcBorders>
              <w:top w:val="nil"/>
              <w:left w:val="nil"/>
              <w:bottom w:val="single" w:sz="4" w:space="0" w:color="auto"/>
              <w:right w:val="single" w:sz="4" w:space="0" w:color="auto"/>
            </w:tcBorders>
            <w:shd w:val="clear" w:color="auto" w:fill="auto"/>
            <w:vAlign w:val="bottom"/>
            <w:hideMark/>
          </w:tcPr>
          <w:p w:rsidR="00E67099" w:rsidRPr="00E67099" w:rsidRDefault="00E67099" w:rsidP="00E67099">
            <w:pPr>
              <w:spacing w:after="0" w:line="240" w:lineRule="auto"/>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Proiectul ”Computerizarea școlilor din raionul Taraclia, Republica Moldova”</w:t>
            </w:r>
          </w:p>
        </w:tc>
        <w:tc>
          <w:tcPr>
            <w:tcW w:w="827"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70253</w:t>
            </w:r>
          </w:p>
        </w:tc>
        <w:tc>
          <w:tcPr>
            <w:tcW w:w="1441"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MECC 0220</w:t>
            </w:r>
          </w:p>
        </w:tc>
        <w:tc>
          <w:tcPr>
            <w:tcW w:w="1262"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1.389,8</w:t>
            </w:r>
          </w:p>
        </w:tc>
        <w:tc>
          <w:tcPr>
            <w:tcW w:w="1289"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0,0</w:t>
            </w:r>
          </w:p>
        </w:tc>
        <w:tc>
          <w:tcPr>
            <w:tcW w:w="1276"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1.389,8</w:t>
            </w:r>
          </w:p>
        </w:tc>
        <w:tc>
          <w:tcPr>
            <w:tcW w:w="1276"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0,0</w:t>
            </w:r>
          </w:p>
        </w:tc>
        <w:tc>
          <w:tcPr>
            <w:tcW w:w="1134"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0,0</w:t>
            </w:r>
          </w:p>
        </w:tc>
      </w:tr>
      <w:tr w:rsidR="00E67099" w:rsidRPr="00E67099" w:rsidTr="00A36731">
        <w:trPr>
          <w:trHeight w:val="54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b/>
                <w:bCs/>
                <w:color w:val="000000"/>
                <w:sz w:val="20"/>
                <w:szCs w:val="20"/>
                <w:lang w:val="ro-MD"/>
              </w:rPr>
            </w:pPr>
            <w:r w:rsidRPr="00E67099">
              <w:rPr>
                <w:rFonts w:asciiTheme="majorHAnsi" w:eastAsia="Times New Roman" w:hAnsiTheme="majorHAnsi" w:cstheme="majorHAnsi"/>
                <w:b/>
                <w:bCs/>
                <w:color w:val="000000"/>
                <w:sz w:val="20"/>
                <w:szCs w:val="20"/>
                <w:lang w:val="ro-MD"/>
              </w:rPr>
              <w:t>19</w:t>
            </w:r>
          </w:p>
        </w:tc>
        <w:tc>
          <w:tcPr>
            <w:tcW w:w="4315" w:type="dxa"/>
            <w:tcBorders>
              <w:top w:val="nil"/>
              <w:left w:val="nil"/>
              <w:bottom w:val="single" w:sz="4" w:space="0" w:color="auto"/>
              <w:right w:val="single" w:sz="4" w:space="0" w:color="auto"/>
            </w:tcBorders>
            <w:shd w:val="clear" w:color="auto" w:fill="auto"/>
            <w:vAlign w:val="bottom"/>
            <w:hideMark/>
          </w:tcPr>
          <w:p w:rsidR="00E67099" w:rsidRPr="00E67099" w:rsidRDefault="00E67099" w:rsidP="00E67099">
            <w:pPr>
              <w:spacing w:after="0" w:line="240" w:lineRule="auto"/>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Proiectul ”Programul de grant pentru proiectele securității umanitare (KUSANONE)”</w:t>
            </w:r>
          </w:p>
        </w:tc>
        <w:tc>
          <w:tcPr>
            <w:tcW w:w="827"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70254</w:t>
            </w:r>
          </w:p>
        </w:tc>
        <w:tc>
          <w:tcPr>
            <w:tcW w:w="1441"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MECC 0220</w:t>
            </w:r>
          </w:p>
        </w:tc>
        <w:tc>
          <w:tcPr>
            <w:tcW w:w="1262" w:type="dxa"/>
            <w:tcBorders>
              <w:top w:val="nil"/>
              <w:left w:val="nil"/>
              <w:bottom w:val="single" w:sz="4" w:space="0" w:color="auto"/>
              <w:right w:val="single" w:sz="4" w:space="0" w:color="auto"/>
            </w:tcBorders>
            <w:shd w:val="clear" w:color="auto" w:fill="F2F2F2" w:themeFill="background1" w:themeFillShade="F2"/>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1.582,1</w:t>
            </w:r>
          </w:p>
        </w:tc>
        <w:tc>
          <w:tcPr>
            <w:tcW w:w="1289" w:type="dxa"/>
            <w:tcBorders>
              <w:top w:val="nil"/>
              <w:left w:val="nil"/>
              <w:bottom w:val="single" w:sz="4" w:space="0" w:color="auto"/>
              <w:right w:val="single" w:sz="4" w:space="0" w:color="auto"/>
            </w:tcBorders>
            <w:shd w:val="clear" w:color="auto" w:fill="F2F2F2" w:themeFill="background1" w:themeFillShade="F2"/>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p>
        </w:tc>
      </w:tr>
      <w:tr w:rsidR="00E67099" w:rsidRPr="00E67099" w:rsidTr="00A36731">
        <w:trPr>
          <w:trHeight w:val="54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b/>
                <w:bCs/>
                <w:color w:val="000000"/>
                <w:sz w:val="20"/>
                <w:szCs w:val="20"/>
                <w:lang w:val="ro-MD"/>
              </w:rPr>
            </w:pPr>
            <w:r w:rsidRPr="00E67099">
              <w:rPr>
                <w:rFonts w:asciiTheme="majorHAnsi" w:eastAsia="Times New Roman" w:hAnsiTheme="majorHAnsi" w:cstheme="majorHAnsi"/>
                <w:b/>
                <w:bCs/>
                <w:color w:val="000000"/>
                <w:sz w:val="20"/>
                <w:szCs w:val="20"/>
                <w:lang w:val="ro-MD"/>
              </w:rPr>
              <w:t>20</w:t>
            </w:r>
          </w:p>
        </w:tc>
        <w:tc>
          <w:tcPr>
            <w:tcW w:w="4315" w:type="dxa"/>
            <w:tcBorders>
              <w:top w:val="nil"/>
              <w:left w:val="nil"/>
              <w:bottom w:val="single" w:sz="4" w:space="0" w:color="auto"/>
              <w:right w:val="single" w:sz="4" w:space="0" w:color="auto"/>
            </w:tcBorders>
            <w:shd w:val="clear" w:color="auto" w:fill="auto"/>
            <w:vAlign w:val="bottom"/>
            <w:hideMark/>
          </w:tcPr>
          <w:p w:rsidR="00E67099" w:rsidRPr="00E67099" w:rsidRDefault="00E67099" w:rsidP="00E67099">
            <w:pPr>
              <w:spacing w:after="0" w:line="240" w:lineRule="auto"/>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Proiectul "Evaluarea opțiunilor locale de producere a energiei electrice"</w:t>
            </w:r>
          </w:p>
        </w:tc>
        <w:tc>
          <w:tcPr>
            <w:tcW w:w="827"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70256</w:t>
            </w:r>
          </w:p>
        </w:tc>
        <w:tc>
          <w:tcPr>
            <w:tcW w:w="1441"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MECC 0220</w:t>
            </w:r>
          </w:p>
        </w:tc>
        <w:tc>
          <w:tcPr>
            <w:tcW w:w="1262"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151,0</w:t>
            </w:r>
          </w:p>
        </w:tc>
        <w:tc>
          <w:tcPr>
            <w:tcW w:w="1289"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0,0</w:t>
            </w:r>
          </w:p>
        </w:tc>
        <w:tc>
          <w:tcPr>
            <w:tcW w:w="1276"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733,0</w:t>
            </w:r>
          </w:p>
        </w:tc>
        <w:tc>
          <w:tcPr>
            <w:tcW w:w="1276"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0,0</w:t>
            </w:r>
          </w:p>
        </w:tc>
        <w:tc>
          <w:tcPr>
            <w:tcW w:w="1134"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0,0</w:t>
            </w:r>
          </w:p>
        </w:tc>
      </w:tr>
      <w:tr w:rsidR="00E67099" w:rsidRPr="00E67099" w:rsidTr="00A36731">
        <w:trPr>
          <w:trHeight w:val="54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b/>
                <w:bCs/>
                <w:color w:val="000000"/>
                <w:sz w:val="20"/>
                <w:szCs w:val="20"/>
                <w:lang w:val="ro-MD"/>
              </w:rPr>
            </w:pPr>
            <w:r w:rsidRPr="00E67099">
              <w:rPr>
                <w:rFonts w:asciiTheme="majorHAnsi" w:eastAsia="Times New Roman" w:hAnsiTheme="majorHAnsi" w:cstheme="majorHAnsi"/>
                <w:b/>
                <w:bCs/>
                <w:color w:val="000000"/>
                <w:sz w:val="20"/>
                <w:szCs w:val="20"/>
                <w:lang w:val="ro-MD"/>
              </w:rPr>
              <w:t>21</w:t>
            </w:r>
          </w:p>
        </w:tc>
        <w:tc>
          <w:tcPr>
            <w:tcW w:w="4315" w:type="dxa"/>
            <w:tcBorders>
              <w:top w:val="nil"/>
              <w:left w:val="nil"/>
              <w:bottom w:val="single" w:sz="4" w:space="0" w:color="auto"/>
              <w:right w:val="single" w:sz="4" w:space="0" w:color="auto"/>
            </w:tcBorders>
            <w:shd w:val="clear" w:color="auto" w:fill="auto"/>
            <w:vAlign w:val="bottom"/>
            <w:hideMark/>
          </w:tcPr>
          <w:p w:rsidR="00E67099" w:rsidRPr="00E67099" w:rsidRDefault="00E67099" w:rsidP="00E67099">
            <w:pPr>
              <w:spacing w:after="0" w:line="240" w:lineRule="auto"/>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Proiectul "Restabilirea Grădinii Botanice Naționale (Institut) "Alexandru Cibotaru" "</w:t>
            </w:r>
          </w:p>
        </w:tc>
        <w:tc>
          <w:tcPr>
            <w:tcW w:w="827"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70259</w:t>
            </w:r>
          </w:p>
        </w:tc>
        <w:tc>
          <w:tcPr>
            <w:tcW w:w="1441"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MECC 0220</w:t>
            </w:r>
          </w:p>
        </w:tc>
        <w:tc>
          <w:tcPr>
            <w:tcW w:w="1262"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811,5</w:t>
            </w:r>
          </w:p>
        </w:tc>
        <w:tc>
          <w:tcPr>
            <w:tcW w:w="1289"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0,0</w:t>
            </w:r>
          </w:p>
        </w:tc>
        <w:tc>
          <w:tcPr>
            <w:tcW w:w="1276"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823,4</w:t>
            </w:r>
          </w:p>
        </w:tc>
        <w:tc>
          <w:tcPr>
            <w:tcW w:w="1276"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770,4</w:t>
            </w:r>
          </w:p>
        </w:tc>
        <w:tc>
          <w:tcPr>
            <w:tcW w:w="1134"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93,6</w:t>
            </w:r>
          </w:p>
        </w:tc>
      </w:tr>
      <w:tr w:rsidR="00E67099" w:rsidRPr="00E67099" w:rsidTr="00A36731">
        <w:trPr>
          <w:trHeight w:val="54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b/>
                <w:bCs/>
                <w:color w:val="000000"/>
                <w:sz w:val="20"/>
                <w:szCs w:val="20"/>
                <w:lang w:val="ro-MD"/>
              </w:rPr>
            </w:pPr>
            <w:r w:rsidRPr="00E67099">
              <w:rPr>
                <w:rFonts w:asciiTheme="majorHAnsi" w:eastAsia="Times New Roman" w:hAnsiTheme="majorHAnsi" w:cstheme="majorHAnsi"/>
                <w:b/>
                <w:bCs/>
                <w:color w:val="000000"/>
                <w:sz w:val="20"/>
                <w:szCs w:val="20"/>
                <w:lang w:val="ro-MD"/>
              </w:rPr>
              <w:t>22</w:t>
            </w:r>
          </w:p>
        </w:tc>
        <w:tc>
          <w:tcPr>
            <w:tcW w:w="4315" w:type="dxa"/>
            <w:tcBorders>
              <w:top w:val="nil"/>
              <w:left w:val="nil"/>
              <w:bottom w:val="single" w:sz="4" w:space="0" w:color="auto"/>
              <w:right w:val="single" w:sz="4" w:space="0" w:color="auto"/>
            </w:tcBorders>
            <w:shd w:val="clear" w:color="auto" w:fill="auto"/>
            <w:vAlign w:val="bottom"/>
            <w:hideMark/>
          </w:tcPr>
          <w:p w:rsidR="00E67099" w:rsidRPr="00E67099" w:rsidRDefault="00E67099" w:rsidP="00E67099">
            <w:pPr>
              <w:spacing w:after="0" w:line="240" w:lineRule="auto"/>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Proiectul „Implicarea efectivă a părților interesate în activitățile de evaluare externă a calității (Erasmus+)”</w:t>
            </w:r>
          </w:p>
        </w:tc>
        <w:tc>
          <w:tcPr>
            <w:tcW w:w="827"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70268</w:t>
            </w:r>
          </w:p>
        </w:tc>
        <w:tc>
          <w:tcPr>
            <w:tcW w:w="1441"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MECC 0220</w:t>
            </w:r>
          </w:p>
        </w:tc>
        <w:tc>
          <w:tcPr>
            <w:tcW w:w="1262" w:type="dxa"/>
            <w:tcBorders>
              <w:top w:val="nil"/>
              <w:left w:val="nil"/>
              <w:bottom w:val="single" w:sz="4" w:space="0" w:color="auto"/>
              <w:right w:val="single" w:sz="4" w:space="0" w:color="auto"/>
            </w:tcBorders>
            <w:shd w:val="clear" w:color="auto" w:fill="F2F2F2" w:themeFill="background1" w:themeFillShade="F2"/>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55,4</w:t>
            </w:r>
          </w:p>
        </w:tc>
        <w:tc>
          <w:tcPr>
            <w:tcW w:w="1289" w:type="dxa"/>
            <w:tcBorders>
              <w:top w:val="nil"/>
              <w:left w:val="nil"/>
              <w:bottom w:val="single" w:sz="4" w:space="0" w:color="auto"/>
              <w:right w:val="single" w:sz="4" w:space="0" w:color="auto"/>
            </w:tcBorders>
            <w:shd w:val="clear" w:color="auto" w:fill="F2F2F2" w:themeFill="background1" w:themeFillShade="F2"/>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p>
        </w:tc>
      </w:tr>
      <w:tr w:rsidR="00E67099" w:rsidRPr="00E67099" w:rsidTr="00A36731">
        <w:trPr>
          <w:trHeight w:val="54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b/>
                <w:bCs/>
                <w:color w:val="000000"/>
                <w:sz w:val="20"/>
                <w:szCs w:val="20"/>
                <w:lang w:val="ro-MD"/>
              </w:rPr>
            </w:pPr>
            <w:r w:rsidRPr="00E67099">
              <w:rPr>
                <w:rFonts w:asciiTheme="majorHAnsi" w:eastAsia="Times New Roman" w:hAnsiTheme="majorHAnsi" w:cstheme="majorHAnsi"/>
                <w:b/>
                <w:bCs/>
                <w:color w:val="000000"/>
                <w:sz w:val="20"/>
                <w:szCs w:val="20"/>
                <w:lang w:val="ro-MD"/>
              </w:rPr>
              <w:t>23</w:t>
            </w:r>
          </w:p>
        </w:tc>
        <w:tc>
          <w:tcPr>
            <w:tcW w:w="4315" w:type="dxa"/>
            <w:tcBorders>
              <w:top w:val="nil"/>
              <w:left w:val="nil"/>
              <w:bottom w:val="single" w:sz="4" w:space="0" w:color="auto"/>
              <w:right w:val="single" w:sz="4" w:space="0" w:color="auto"/>
            </w:tcBorders>
            <w:shd w:val="clear" w:color="auto" w:fill="auto"/>
            <w:vAlign w:val="bottom"/>
            <w:hideMark/>
          </w:tcPr>
          <w:p w:rsidR="00E67099" w:rsidRPr="00E67099" w:rsidRDefault="00E67099" w:rsidP="00E67099">
            <w:pPr>
              <w:spacing w:after="0" w:line="240" w:lineRule="auto"/>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Proiectul „Xilogravuri Japoneze din colecția Muzeului Național de Artă al Moldovei”</w:t>
            </w:r>
          </w:p>
        </w:tc>
        <w:tc>
          <w:tcPr>
            <w:tcW w:w="827"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70270</w:t>
            </w:r>
          </w:p>
        </w:tc>
        <w:tc>
          <w:tcPr>
            <w:tcW w:w="1441"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MECC 0220</w:t>
            </w:r>
          </w:p>
        </w:tc>
        <w:tc>
          <w:tcPr>
            <w:tcW w:w="1262" w:type="dxa"/>
            <w:tcBorders>
              <w:top w:val="nil"/>
              <w:left w:val="nil"/>
              <w:bottom w:val="single" w:sz="4" w:space="0" w:color="auto"/>
              <w:right w:val="single" w:sz="4" w:space="0" w:color="auto"/>
            </w:tcBorders>
            <w:shd w:val="clear" w:color="auto" w:fill="F2F2F2" w:themeFill="background1" w:themeFillShade="F2"/>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140,8</w:t>
            </w:r>
          </w:p>
        </w:tc>
        <w:tc>
          <w:tcPr>
            <w:tcW w:w="1289" w:type="dxa"/>
            <w:tcBorders>
              <w:top w:val="nil"/>
              <w:left w:val="nil"/>
              <w:bottom w:val="single" w:sz="4" w:space="0" w:color="auto"/>
              <w:right w:val="single" w:sz="4" w:space="0" w:color="auto"/>
            </w:tcBorders>
            <w:shd w:val="clear" w:color="auto" w:fill="F2F2F2" w:themeFill="background1" w:themeFillShade="F2"/>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p>
        </w:tc>
      </w:tr>
      <w:tr w:rsidR="00E67099" w:rsidRPr="00E67099" w:rsidTr="00A36731">
        <w:trPr>
          <w:trHeight w:val="54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b/>
                <w:bCs/>
                <w:color w:val="000000"/>
                <w:sz w:val="20"/>
                <w:szCs w:val="20"/>
                <w:lang w:val="ro-MD"/>
              </w:rPr>
            </w:pPr>
            <w:r w:rsidRPr="00E67099">
              <w:rPr>
                <w:rFonts w:asciiTheme="majorHAnsi" w:eastAsia="Times New Roman" w:hAnsiTheme="majorHAnsi" w:cstheme="majorHAnsi"/>
                <w:b/>
                <w:bCs/>
                <w:color w:val="000000"/>
                <w:sz w:val="20"/>
                <w:szCs w:val="20"/>
                <w:lang w:val="ro-MD"/>
              </w:rPr>
              <w:t>24</w:t>
            </w:r>
          </w:p>
        </w:tc>
        <w:tc>
          <w:tcPr>
            <w:tcW w:w="4315" w:type="dxa"/>
            <w:tcBorders>
              <w:top w:val="nil"/>
              <w:left w:val="nil"/>
              <w:bottom w:val="single" w:sz="4" w:space="0" w:color="auto"/>
              <w:right w:val="single" w:sz="4" w:space="0" w:color="auto"/>
            </w:tcBorders>
            <w:shd w:val="clear" w:color="auto" w:fill="auto"/>
            <w:vAlign w:val="bottom"/>
            <w:hideMark/>
          </w:tcPr>
          <w:p w:rsidR="00E67099" w:rsidRPr="00E67099" w:rsidRDefault="00E67099" w:rsidP="00E67099">
            <w:pPr>
              <w:spacing w:after="0" w:line="240" w:lineRule="auto"/>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Programul - cadru al UE pentru cercetare și inovare - Orizont 2020</w:t>
            </w:r>
          </w:p>
        </w:tc>
        <w:tc>
          <w:tcPr>
            <w:tcW w:w="827"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70105</w:t>
            </w:r>
          </w:p>
        </w:tc>
        <w:tc>
          <w:tcPr>
            <w:tcW w:w="1441"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MECC 0220</w:t>
            </w:r>
          </w:p>
        </w:tc>
        <w:tc>
          <w:tcPr>
            <w:tcW w:w="1262"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11.299,4</w:t>
            </w:r>
          </w:p>
        </w:tc>
        <w:tc>
          <w:tcPr>
            <w:tcW w:w="1289"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15.322,5</w:t>
            </w:r>
          </w:p>
        </w:tc>
        <w:tc>
          <w:tcPr>
            <w:tcW w:w="1276"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28.929,8</w:t>
            </w:r>
          </w:p>
        </w:tc>
        <w:tc>
          <w:tcPr>
            <w:tcW w:w="1276"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7.756,9</w:t>
            </w:r>
          </w:p>
        </w:tc>
        <w:tc>
          <w:tcPr>
            <w:tcW w:w="1134"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26,8</w:t>
            </w:r>
          </w:p>
        </w:tc>
      </w:tr>
      <w:tr w:rsidR="00E67099" w:rsidRPr="00E67099" w:rsidTr="00A36731">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b/>
                <w:bCs/>
                <w:color w:val="000000"/>
                <w:sz w:val="20"/>
                <w:szCs w:val="20"/>
                <w:lang w:val="ro-MD"/>
              </w:rPr>
            </w:pPr>
            <w:r w:rsidRPr="00E67099">
              <w:rPr>
                <w:rFonts w:asciiTheme="majorHAnsi" w:eastAsia="Times New Roman" w:hAnsiTheme="majorHAnsi" w:cstheme="majorHAnsi"/>
                <w:b/>
                <w:bCs/>
                <w:color w:val="000000"/>
                <w:sz w:val="20"/>
                <w:szCs w:val="20"/>
                <w:lang w:val="ro-MD"/>
              </w:rPr>
              <w:t>25</w:t>
            </w:r>
          </w:p>
        </w:tc>
        <w:tc>
          <w:tcPr>
            <w:tcW w:w="4315"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Proiectul "Suport pentru cooperarea științifică și tehnică"</w:t>
            </w:r>
          </w:p>
        </w:tc>
        <w:tc>
          <w:tcPr>
            <w:tcW w:w="827"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70086</w:t>
            </w:r>
          </w:p>
        </w:tc>
        <w:tc>
          <w:tcPr>
            <w:tcW w:w="1441"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MECC 0220</w:t>
            </w:r>
          </w:p>
        </w:tc>
        <w:tc>
          <w:tcPr>
            <w:tcW w:w="1262"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3.856,1</w:t>
            </w:r>
          </w:p>
        </w:tc>
        <w:tc>
          <w:tcPr>
            <w:tcW w:w="1289"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12.272,9</w:t>
            </w:r>
          </w:p>
        </w:tc>
        <w:tc>
          <w:tcPr>
            <w:tcW w:w="1276"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7.087,9</w:t>
            </w:r>
          </w:p>
        </w:tc>
        <w:tc>
          <w:tcPr>
            <w:tcW w:w="1276"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3.631,4</w:t>
            </w:r>
          </w:p>
        </w:tc>
        <w:tc>
          <w:tcPr>
            <w:tcW w:w="1134"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51,2</w:t>
            </w:r>
          </w:p>
        </w:tc>
      </w:tr>
      <w:tr w:rsidR="00E67099" w:rsidRPr="00E67099" w:rsidTr="00A36731">
        <w:trPr>
          <w:trHeight w:val="54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b/>
                <w:bCs/>
                <w:color w:val="000000"/>
                <w:sz w:val="20"/>
                <w:szCs w:val="20"/>
                <w:lang w:val="ro-MD"/>
              </w:rPr>
            </w:pPr>
            <w:r w:rsidRPr="00E67099">
              <w:rPr>
                <w:rFonts w:asciiTheme="majorHAnsi" w:eastAsia="Times New Roman" w:hAnsiTheme="majorHAnsi" w:cstheme="majorHAnsi"/>
                <w:b/>
                <w:bCs/>
                <w:color w:val="000000"/>
                <w:sz w:val="20"/>
                <w:szCs w:val="20"/>
                <w:lang w:val="ro-MD"/>
              </w:rPr>
              <w:t>26</w:t>
            </w:r>
          </w:p>
        </w:tc>
        <w:tc>
          <w:tcPr>
            <w:tcW w:w="4315" w:type="dxa"/>
            <w:tcBorders>
              <w:top w:val="nil"/>
              <w:left w:val="nil"/>
              <w:bottom w:val="single" w:sz="4" w:space="0" w:color="auto"/>
              <w:right w:val="single" w:sz="4" w:space="0" w:color="auto"/>
            </w:tcBorders>
            <w:shd w:val="clear" w:color="auto" w:fill="auto"/>
            <w:vAlign w:val="bottom"/>
            <w:hideMark/>
          </w:tcPr>
          <w:p w:rsidR="00E67099" w:rsidRPr="00E67099" w:rsidRDefault="00E67099" w:rsidP="00E67099">
            <w:pPr>
              <w:spacing w:after="0" w:line="240" w:lineRule="auto"/>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Proiectul "Îmbunătățirea politicii de ocupare pentru unele categorii de persoane"</w:t>
            </w:r>
          </w:p>
        </w:tc>
        <w:tc>
          <w:tcPr>
            <w:tcW w:w="827"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70257</w:t>
            </w:r>
          </w:p>
        </w:tc>
        <w:tc>
          <w:tcPr>
            <w:tcW w:w="1441"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MSMPS 0221</w:t>
            </w:r>
          </w:p>
        </w:tc>
        <w:tc>
          <w:tcPr>
            <w:tcW w:w="1262"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787,5</w:t>
            </w:r>
          </w:p>
        </w:tc>
        <w:tc>
          <w:tcPr>
            <w:tcW w:w="1289"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0,0</w:t>
            </w:r>
          </w:p>
        </w:tc>
        <w:tc>
          <w:tcPr>
            <w:tcW w:w="1276"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2.359,4</w:t>
            </w:r>
          </w:p>
        </w:tc>
        <w:tc>
          <w:tcPr>
            <w:tcW w:w="1276"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283,7</w:t>
            </w:r>
          </w:p>
        </w:tc>
        <w:tc>
          <w:tcPr>
            <w:tcW w:w="1134"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12,0</w:t>
            </w:r>
          </w:p>
        </w:tc>
      </w:tr>
      <w:tr w:rsidR="00E67099" w:rsidRPr="00E67099" w:rsidTr="00A36731">
        <w:trPr>
          <w:trHeight w:val="41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b/>
                <w:bCs/>
                <w:color w:val="000000"/>
                <w:sz w:val="20"/>
                <w:szCs w:val="20"/>
                <w:lang w:val="ro-MD"/>
              </w:rPr>
            </w:pPr>
            <w:r w:rsidRPr="00E67099">
              <w:rPr>
                <w:rFonts w:asciiTheme="majorHAnsi" w:eastAsia="Times New Roman" w:hAnsiTheme="majorHAnsi" w:cstheme="majorHAnsi"/>
                <w:b/>
                <w:bCs/>
                <w:color w:val="000000"/>
                <w:sz w:val="20"/>
                <w:szCs w:val="20"/>
                <w:lang w:val="ro-MD"/>
              </w:rPr>
              <w:t>27</w:t>
            </w:r>
          </w:p>
        </w:tc>
        <w:tc>
          <w:tcPr>
            <w:tcW w:w="4315" w:type="dxa"/>
            <w:tcBorders>
              <w:top w:val="nil"/>
              <w:left w:val="nil"/>
              <w:bottom w:val="single" w:sz="4" w:space="0" w:color="auto"/>
              <w:right w:val="single" w:sz="4" w:space="0" w:color="auto"/>
            </w:tcBorders>
            <w:shd w:val="clear" w:color="auto" w:fill="auto"/>
            <w:vAlign w:val="bottom"/>
            <w:hideMark/>
          </w:tcPr>
          <w:p w:rsidR="00E67099" w:rsidRPr="00E67099" w:rsidRDefault="00E67099" w:rsidP="00E67099">
            <w:pPr>
              <w:spacing w:after="0" w:line="240" w:lineRule="auto"/>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 xml:space="preserve">Proiectul "Îmbunătățirea infrastructurii de operare a serviciului mobil (SMURD),de pregătire a cadrelor de intervenție în situații de urgență </w:t>
            </w:r>
          </w:p>
        </w:tc>
        <w:tc>
          <w:tcPr>
            <w:tcW w:w="827"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70199</w:t>
            </w:r>
          </w:p>
        </w:tc>
        <w:tc>
          <w:tcPr>
            <w:tcW w:w="1441"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MSMPS 0221</w:t>
            </w:r>
          </w:p>
        </w:tc>
        <w:tc>
          <w:tcPr>
            <w:tcW w:w="1262"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4.222,1</w:t>
            </w:r>
          </w:p>
        </w:tc>
        <w:tc>
          <w:tcPr>
            <w:tcW w:w="1289"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16.350,3</w:t>
            </w:r>
          </w:p>
        </w:tc>
        <w:tc>
          <w:tcPr>
            <w:tcW w:w="1276"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1.513,7</w:t>
            </w:r>
          </w:p>
        </w:tc>
        <w:tc>
          <w:tcPr>
            <w:tcW w:w="1276"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0,0</w:t>
            </w:r>
          </w:p>
        </w:tc>
        <w:tc>
          <w:tcPr>
            <w:tcW w:w="1134"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0,0</w:t>
            </w:r>
          </w:p>
        </w:tc>
      </w:tr>
      <w:tr w:rsidR="00E67099" w:rsidRPr="00E67099" w:rsidTr="00A36731">
        <w:trPr>
          <w:trHeight w:val="54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b/>
                <w:bCs/>
                <w:color w:val="000000"/>
                <w:sz w:val="20"/>
                <w:szCs w:val="20"/>
                <w:lang w:val="ro-MD"/>
              </w:rPr>
            </w:pPr>
            <w:r w:rsidRPr="00E67099">
              <w:rPr>
                <w:rFonts w:asciiTheme="majorHAnsi" w:eastAsia="Times New Roman" w:hAnsiTheme="majorHAnsi" w:cstheme="majorHAnsi"/>
                <w:b/>
                <w:bCs/>
                <w:color w:val="000000"/>
                <w:sz w:val="20"/>
                <w:szCs w:val="20"/>
                <w:lang w:val="ro-MD"/>
              </w:rPr>
              <w:t>28</w:t>
            </w:r>
          </w:p>
        </w:tc>
        <w:tc>
          <w:tcPr>
            <w:tcW w:w="4315" w:type="dxa"/>
            <w:tcBorders>
              <w:top w:val="nil"/>
              <w:left w:val="nil"/>
              <w:bottom w:val="single" w:sz="4" w:space="0" w:color="auto"/>
              <w:right w:val="single" w:sz="4" w:space="0" w:color="auto"/>
            </w:tcBorders>
            <w:shd w:val="clear" w:color="auto" w:fill="auto"/>
            <w:vAlign w:val="bottom"/>
            <w:hideMark/>
          </w:tcPr>
          <w:p w:rsidR="00E67099" w:rsidRPr="00E67099" w:rsidRDefault="00E67099" w:rsidP="00E67099">
            <w:pPr>
              <w:spacing w:after="0" w:line="240" w:lineRule="auto"/>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Proiectul "Dezvoltarea capacităților statistice pe baza datelor ce țin de abilități"</w:t>
            </w:r>
          </w:p>
        </w:tc>
        <w:tc>
          <w:tcPr>
            <w:tcW w:w="827"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70188</w:t>
            </w:r>
          </w:p>
        </w:tc>
        <w:tc>
          <w:tcPr>
            <w:tcW w:w="1441"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MSMPS 0221</w:t>
            </w:r>
          </w:p>
        </w:tc>
        <w:tc>
          <w:tcPr>
            <w:tcW w:w="1262"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1.476,8</w:t>
            </w:r>
          </w:p>
        </w:tc>
        <w:tc>
          <w:tcPr>
            <w:tcW w:w="1289"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774,0</w:t>
            </w:r>
          </w:p>
        </w:tc>
        <w:tc>
          <w:tcPr>
            <w:tcW w:w="1276"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2.326,6</w:t>
            </w:r>
          </w:p>
        </w:tc>
        <w:tc>
          <w:tcPr>
            <w:tcW w:w="1276"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2.097,3</w:t>
            </w:r>
          </w:p>
        </w:tc>
        <w:tc>
          <w:tcPr>
            <w:tcW w:w="1134"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90,1</w:t>
            </w:r>
          </w:p>
        </w:tc>
      </w:tr>
      <w:tr w:rsidR="00E67099" w:rsidRPr="00E67099" w:rsidTr="00A36731">
        <w:trPr>
          <w:trHeight w:val="54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b/>
                <w:bCs/>
                <w:color w:val="000000"/>
                <w:sz w:val="20"/>
                <w:szCs w:val="20"/>
                <w:lang w:val="ro-MD"/>
              </w:rPr>
            </w:pPr>
            <w:r w:rsidRPr="00E67099">
              <w:rPr>
                <w:rFonts w:asciiTheme="majorHAnsi" w:eastAsia="Times New Roman" w:hAnsiTheme="majorHAnsi" w:cstheme="majorHAnsi"/>
                <w:b/>
                <w:bCs/>
                <w:color w:val="000000"/>
                <w:sz w:val="20"/>
                <w:szCs w:val="20"/>
                <w:lang w:val="ro-MD"/>
              </w:rPr>
              <w:t>29</w:t>
            </w:r>
          </w:p>
        </w:tc>
        <w:tc>
          <w:tcPr>
            <w:tcW w:w="4315" w:type="dxa"/>
            <w:tcBorders>
              <w:top w:val="nil"/>
              <w:left w:val="nil"/>
              <w:bottom w:val="single" w:sz="4" w:space="0" w:color="auto"/>
              <w:right w:val="single" w:sz="4" w:space="0" w:color="auto"/>
            </w:tcBorders>
            <w:shd w:val="clear" w:color="auto" w:fill="auto"/>
            <w:vAlign w:val="bottom"/>
            <w:hideMark/>
          </w:tcPr>
          <w:p w:rsidR="00E67099" w:rsidRPr="00E67099" w:rsidRDefault="00E67099" w:rsidP="00E67099">
            <w:pPr>
              <w:spacing w:after="0" w:line="240" w:lineRule="auto"/>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Proiectul de susținere a Consiliului Național de Coordonare TB/SIDA</w:t>
            </w:r>
          </w:p>
        </w:tc>
        <w:tc>
          <w:tcPr>
            <w:tcW w:w="827"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70138</w:t>
            </w:r>
          </w:p>
        </w:tc>
        <w:tc>
          <w:tcPr>
            <w:tcW w:w="1441"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MSMPS 0221</w:t>
            </w:r>
          </w:p>
        </w:tc>
        <w:tc>
          <w:tcPr>
            <w:tcW w:w="1262"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282,3</w:t>
            </w:r>
          </w:p>
        </w:tc>
        <w:tc>
          <w:tcPr>
            <w:tcW w:w="1289"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1.053,5</w:t>
            </w:r>
          </w:p>
        </w:tc>
        <w:tc>
          <w:tcPr>
            <w:tcW w:w="1276"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1.053,5</w:t>
            </w:r>
          </w:p>
        </w:tc>
        <w:tc>
          <w:tcPr>
            <w:tcW w:w="1276"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650,9</w:t>
            </w:r>
          </w:p>
        </w:tc>
        <w:tc>
          <w:tcPr>
            <w:tcW w:w="1134"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61,8</w:t>
            </w:r>
          </w:p>
        </w:tc>
      </w:tr>
      <w:tr w:rsidR="00E67099" w:rsidRPr="00E67099" w:rsidTr="00A36731">
        <w:trPr>
          <w:trHeight w:val="804"/>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b/>
                <w:bCs/>
                <w:color w:val="000000"/>
                <w:sz w:val="20"/>
                <w:szCs w:val="20"/>
                <w:lang w:val="ro-MD"/>
              </w:rPr>
            </w:pPr>
            <w:r w:rsidRPr="00E67099">
              <w:rPr>
                <w:rFonts w:asciiTheme="majorHAnsi" w:eastAsia="Times New Roman" w:hAnsiTheme="majorHAnsi" w:cstheme="majorHAnsi"/>
                <w:b/>
                <w:bCs/>
                <w:color w:val="000000"/>
                <w:sz w:val="20"/>
                <w:szCs w:val="20"/>
                <w:lang w:val="ro-MD"/>
              </w:rPr>
              <w:t>30</w:t>
            </w:r>
          </w:p>
        </w:tc>
        <w:tc>
          <w:tcPr>
            <w:tcW w:w="4315" w:type="dxa"/>
            <w:tcBorders>
              <w:top w:val="nil"/>
              <w:left w:val="nil"/>
              <w:bottom w:val="single" w:sz="4" w:space="0" w:color="auto"/>
              <w:right w:val="single" w:sz="4" w:space="0" w:color="auto"/>
            </w:tcBorders>
            <w:shd w:val="clear" w:color="auto" w:fill="auto"/>
            <w:vAlign w:val="bottom"/>
            <w:hideMark/>
          </w:tcPr>
          <w:p w:rsidR="00E67099" w:rsidRPr="00E67099" w:rsidRDefault="00E67099" w:rsidP="00E67099">
            <w:pPr>
              <w:spacing w:after="0" w:line="240" w:lineRule="auto"/>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Programul de profilaxie și control al infecției HIV/SIDA, al infecțiilor cu transmitere sexuală și al tuberculozei în Moldova</w:t>
            </w:r>
          </w:p>
        </w:tc>
        <w:tc>
          <w:tcPr>
            <w:tcW w:w="827"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70014</w:t>
            </w:r>
          </w:p>
        </w:tc>
        <w:tc>
          <w:tcPr>
            <w:tcW w:w="1441"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MSMPS 0221</w:t>
            </w:r>
          </w:p>
        </w:tc>
        <w:tc>
          <w:tcPr>
            <w:tcW w:w="1262"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81.984,2</w:t>
            </w:r>
          </w:p>
        </w:tc>
        <w:tc>
          <w:tcPr>
            <w:tcW w:w="1289"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92.741,7</w:t>
            </w:r>
          </w:p>
        </w:tc>
        <w:tc>
          <w:tcPr>
            <w:tcW w:w="1276"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92.741,7</w:t>
            </w:r>
          </w:p>
        </w:tc>
        <w:tc>
          <w:tcPr>
            <w:tcW w:w="1276"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65.262,4</w:t>
            </w:r>
          </w:p>
        </w:tc>
        <w:tc>
          <w:tcPr>
            <w:tcW w:w="1134"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70,4</w:t>
            </w:r>
          </w:p>
        </w:tc>
      </w:tr>
      <w:tr w:rsidR="00E67099" w:rsidRPr="00E67099" w:rsidTr="00A36731">
        <w:trPr>
          <w:trHeight w:val="6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b/>
                <w:bCs/>
                <w:color w:val="000000"/>
                <w:sz w:val="20"/>
                <w:szCs w:val="20"/>
                <w:lang w:val="ro-MD"/>
              </w:rPr>
            </w:pPr>
            <w:r w:rsidRPr="00E67099">
              <w:rPr>
                <w:rFonts w:asciiTheme="majorHAnsi" w:eastAsia="Times New Roman" w:hAnsiTheme="majorHAnsi" w:cstheme="majorHAnsi"/>
                <w:b/>
                <w:bCs/>
                <w:color w:val="000000"/>
                <w:sz w:val="20"/>
                <w:szCs w:val="20"/>
                <w:lang w:val="ro-MD"/>
              </w:rPr>
              <w:t>31</w:t>
            </w:r>
          </w:p>
        </w:tc>
        <w:tc>
          <w:tcPr>
            <w:tcW w:w="4315"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Proiectul ''Consolidarea sistemului statistic național''</w:t>
            </w:r>
          </w:p>
        </w:tc>
        <w:tc>
          <w:tcPr>
            <w:tcW w:w="827"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70231</w:t>
            </w:r>
          </w:p>
        </w:tc>
        <w:tc>
          <w:tcPr>
            <w:tcW w:w="1441"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BNS 0241</w:t>
            </w:r>
          </w:p>
        </w:tc>
        <w:tc>
          <w:tcPr>
            <w:tcW w:w="1262"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501,2</w:t>
            </w:r>
          </w:p>
        </w:tc>
        <w:tc>
          <w:tcPr>
            <w:tcW w:w="1289"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1.036,3</w:t>
            </w:r>
          </w:p>
        </w:tc>
        <w:tc>
          <w:tcPr>
            <w:tcW w:w="1276"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628,0</w:t>
            </w:r>
          </w:p>
        </w:tc>
        <w:tc>
          <w:tcPr>
            <w:tcW w:w="1276"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500,2</w:t>
            </w:r>
          </w:p>
        </w:tc>
        <w:tc>
          <w:tcPr>
            <w:tcW w:w="1134"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79,6</w:t>
            </w:r>
          </w:p>
        </w:tc>
      </w:tr>
      <w:tr w:rsidR="00E67099" w:rsidRPr="00E67099" w:rsidTr="00A36731">
        <w:trPr>
          <w:trHeight w:val="54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b/>
                <w:bCs/>
                <w:color w:val="000000"/>
                <w:sz w:val="20"/>
                <w:szCs w:val="20"/>
                <w:lang w:val="ro-MD"/>
              </w:rPr>
            </w:pPr>
            <w:r w:rsidRPr="00E67099">
              <w:rPr>
                <w:rFonts w:asciiTheme="majorHAnsi" w:eastAsia="Times New Roman" w:hAnsiTheme="majorHAnsi" w:cstheme="majorHAnsi"/>
                <w:b/>
                <w:bCs/>
                <w:color w:val="000000"/>
                <w:sz w:val="20"/>
                <w:szCs w:val="20"/>
                <w:lang w:val="ro-MD"/>
              </w:rPr>
              <w:t>32</w:t>
            </w:r>
          </w:p>
        </w:tc>
        <w:tc>
          <w:tcPr>
            <w:tcW w:w="4315" w:type="dxa"/>
            <w:tcBorders>
              <w:top w:val="nil"/>
              <w:left w:val="nil"/>
              <w:bottom w:val="single" w:sz="4" w:space="0" w:color="auto"/>
              <w:right w:val="single" w:sz="4" w:space="0" w:color="auto"/>
            </w:tcBorders>
            <w:shd w:val="clear" w:color="auto" w:fill="auto"/>
            <w:vAlign w:val="bottom"/>
            <w:hideMark/>
          </w:tcPr>
          <w:p w:rsidR="00E67099" w:rsidRPr="00E67099" w:rsidRDefault="00E67099" w:rsidP="00E67099">
            <w:pPr>
              <w:spacing w:after="0" w:line="240" w:lineRule="auto"/>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Programul - cadru al UE pentru cercetare și inovare - Orizont 2020</w:t>
            </w:r>
          </w:p>
        </w:tc>
        <w:tc>
          <w:tcPr>
            <w:tcW w:w="827"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70105</w:t>
            </w:r>
          </w:p>
        </w:tc>
        <w:tc>
          <w:tcPr>
            <w:tcW w:w="1441"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ANCD 0250</w:t>
            </w:r>
          </w:p>
        </w:tc>
        <w:tc>
          <w:tcPr>
            <w:tcW w:w="1262"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685,7</w:t>
            </w:r>
          </w:p>
        </w:tc>
        <w:tc>
          <w:tcPr>
            <w:tcW w:w="1289"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3.601,6</w:t>
            </w:r>
          </w:p>
        </w:tc>
        <w:tc>
          <w:tcPr>
            <w:tcW w:w="1276"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2.106,3</w:t>
            </w:r>
          </w:p>
        </w:tc>
        <w:tc>
          <w:tcPr>
            <w:tcW w:w="1276"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1.051,4</w:t>
            </w:r>
          </w:p>
        </w:tc>
        <w:tc>
          <w:tcPr>
            <w:tcW w:w="1134"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49,9</w:t>
            </w:r>
          </w:p>
        </w:tc>
      </w:tr>
      <w:tr w:rsidR="00E67099" w:rsidRPr="00E67099" w:rsidTr="00A36731">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b/>
                <w:bCs/>
                <w:color w:val="000000"/>
                <w:sz w:val="20"/>
                <w:szCs w:val="20"/>
                <w:lang w:val="ro-MD"/>
              </w:rPr>
            </w:pPr>
            <w:r w:rsidRPr="00E67099">
              <w:rPr>
                <w:rFonts w:asciiTheme="majorHAnsi" w:eastAsia="Times New Roman" w:hAnsiTheme="majorHAnsi" w:cstheme="majorHAnsi"/>
                <w:b/>
                <w:bCs/>
                <w:color w:val="000000"/>
                <w:sz w:val="20"/>
                <w:szCs w:val="20"/>
                <w:lang w:val="ro-MD"/>
              </w:rPr>
              <w:t>33</w:t>
            </w:r>
          </w:p>
        </w:tc>
        <w:tc>
          <w:tcPr>
            <w:tcW w:w="4315"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Proiectul "Suport pentru cooperarea științifică și tehnică"</w:t>
            </w:r>
          </w:p>
        </w:tc>
        <w:tc>
          <w:tcPr>
            <w:tcW w:w="827"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70086</w:t>
            </w:r>
          </w:p>
        </w:tc>
        <w:tc>
          <w:tcPr>
            <w:tcW w:w="1441"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ANCD 0250</w:t>
            </w:r>
          </w:p>
        </w:tc>
        <w:tc>
          <w:tcPr>
            <w:tcW w:w="1262"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525,9</w:t>
            </w:r>
          </w:p>
        </w:tc>
        <w:tc>
          <w:tcPr>
            <w:tcW w:w="1289"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2.530,0</w:t>
            </w:r>
          </w:p>
        </w:tc>
        <w:tc>
          <w:tcPr>
            <w:tcW w:w="1276"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1.267,4</w:t>
            </w:r>
          </w:p>
        </w:tc>
        <w:tc>
          <w:tcPr>
            <w:tcW w:w="1276"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328,7</w:t>
            </w:r>
          </w:p>
        </w:tc>
        <w:tc>
          <w:tcPr>
            <w:tcW w:w="1134"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25,9</w:t>
            </w:r>
          </w:p>
        </w:tc>
      </w:tr>
      <w:tr w:rsidR="00E67099" w:rsidRPr="00E67099" w:rsidTr="00A36731">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b/>
                <w:bCs/>
                <w:color w:val="000000"/>
                <w:sz w:val="20"/>
                <w:szCs w:val="20"/>
                <w:lang w:val="ro-MD"/>
              </w:rPr>
            </w:pPr>
            <w:r w:rsidRPr="00E67099">
              <w:rPr>
                <w:rFonts w:asciiTheme="majorHAnsi" w:eastAsia="Times New Roman" w:hAnsiTheme="majorHAnsi" w:cstheme="majorHAnsi"/>
                <w:b/>
                <w:bCs/>
                <w:color w:val="000000"/>
                <w:sz w:val="20"/>
                <w:szCs w:val="20"/>
                <w:lang w:val="ro-MD"/>
              </w:rPr>
              <w:t>34</w:t>
            </w:r>
          </w:p>
        </w:tc>
        <w:tc>
          <w:tcPr>
            <w:tcW w:w="4315"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Proiectul "Programul Cadru 7"</w:t>
            </w:r>
          </w:p>
        </w:tc>
        <w:tc>
          <w:tcPr>
            <w:tcW w:w="827"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70085</w:t>
            </w:r>
          </w:p>
        </w:tc>
        <w:tc>
          <w:tcPr>
            <w:tcW w:w="1441"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ANCD 0250</w:t>
            </w:r>
          </w:p>
        </w:tc>
        <w:tc>
          <w:tcPr>
            <w:tcW w:w="1262"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381,2</w:t>
            </w:r>
          </w:p>
        </w:tc>
        <w:tc>
          <w:tcPr>
            <w:tcW w:w="1289"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1.500,0</w:t>
            </w:r>
          </w:p>
        </w:tc>
        <w:tc>
          <w:tcPr>
            <w:tcW w:w="1276"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515,1</w:t>
            </w:r>
          </w:p>
        </w:tc>
        <w:tc>
          <w:tcPr>
            <w:tcW w:w="1276"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394,0</w:t>
            </w:r>
          </w:p>
        </w:tc>
        <w:tc>
          <w:tcPr>
            <w:tcW w:w="1134"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76,5</w:t>
            </w:r>
          </w:p>
        </w:tc>
      </w:tr>
      <w:tr w:rsidR="00E67099" w:rsidRPr="00E67099" w:rsidTr="00A36731">
        <w:trPr>
          <w:trHeight w:val="54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b/>
                <w:bCs/>
                <w:color w:val="000000"/>
                <w:sz w:val="20"/>
                <w:szCs w:val="20"/>
                <w:lang w:val="ro-MD"/>
              </w:rPr>
            </w:pPr>
            <w:r w:rsidRPr="00E67099">
              <w:rPr>
                <w:rFonts w:asciiTheme="majorHAnsi" w:eastAsia="Times New Roman" w:hAnsiTheme="majorHAnsi" w:cstheme="majorHAnsi"/>
                <w:b/>
                <w:bCs/>
                <w:color w:val="000000"/>
                <w:sz w:val="20"/>
                <w:szCs w:val="20"/>
                <w:lang w:val="ro-MD"/>
              </w:rPr>
              <w:t>35</w:t>
            </w:r>
          </w:p>
        </w:tc>
        <w:tc>
          <w:tcPr>
            <w:tcW w:w="4315" w:type="dxa"/>
            <w:tcBorders>
              <w:top w:val="nil"/>
              <w:left w:val="nil"/>
              <w:bottom w:val="single" w:sz="4" w:space="0" w:color="auto"/>
              <w:right w:val="single" w:sz="4" w:space="0" w:color="auto"/>
            </w:tcBorders>
            <w:shd w:val="clear" w:color="auto" w:fill="auto"/>
            <w:vAlign w:val="bottom"/>
            <w:hideMark/>
          </w:tcPr>
          <w:p w:rsidR="00E67099" w:rsidRPr="00E67099" w:rsidRDefault="00E67099" w:rsidP="00E67099">
            <w:pPr>
              <w:spacing w:after="0" w:line="240" w:lineRule="auto"/>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Proiectul "WINET - Comerț și inovație în industria vinului  (PBMN 2014-2020)"</w:t>
            </w:r>
          </w:p>
        </w:tc>
        <w:tc>
          <w:tcPr>
            <w:tcW w:w="827"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70247</w:t>
            </w:r>
          </w:p>
        </w:tc>
        <w:tc>
          <w:tcPr>
            <w:tcW w:w="1441"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Agenția de Investiții 0251</w:t>
            </w:r>
          </w:p>
        </w:tc>
        <w:tc>
          <w:tcPr>
            <w:tcW w:w="1262"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5.065,0</w:t>
            </w:r>
          </w:p>
        </w:tc>
        <w:tc>
          <w:tcPr>
            <w:tcW w:w="1289"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0,0</w:t>
            </w:r>
          </w:p>
        </w:tc>
        <w:tc>
          <w:tcPr>
            <w:tcW w:w="1276"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5.065,0</w:t>
            </w:r>
          </w:p>
        </w:tc>
        <w:tc>
          <w:tcPr>
            <w:tcW w:w="1276"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2.686,2</w:t>
            </w:r>
          </w:p>
        </w:tc>
        <w:tc>
          <w:tcPr>
            <w:tcW w:w="1134"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53,0</w:t>
            </w:r>
          </w:p>
        </w:tc>
      </w:tr>
      <w:tr w:rsidR="00E67099" w:rsidRPr="00E67099" w:rsidTr="00A36731">
        <w:trPr>
          <w:trHeight w:val="804"/>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b/>
                <w:bCs/>
                <w:color w:val="000000"/>
                <w:sz w:val="20"/>
                <w:szCs w:val="20"/>
                <w:lang w:val="ro-MD"/>
              </w:rPr>
            </w:pPr>
            <w:r w:rsidRPr="00E67099">
              <w:rPr>
                <w:rFonts w:asciiTheme="majorHAnsi" w:eastAsia="Times New Roman" w:hAnsiTheme="majorHAnsi" w:cstheme="majorHAnsi"/>
                <w:b/>
                <w:bCs/>
                <w:color w:val="000000"/>
                <w:sz w:val="20"/>
                <w:szCs w:val="20"/>
                <w:lang w:val="ro-MD"/>
              </w:rPr>
              <w:t>36</w:t>
            </w:r>
          </w:p>
        </w:tc>
        <w:tc>
          <w:tcPr>
            <w:tcW w:w="4315" w:type="dxa"/>
            <w:tcBorders>
              <w:top w:val="nil"/>
              <w:left w:val="nil"/>
              <w:bottom w:val="single" w:sz="4" w:space="0" w:color="auto"/>
              <w:right w:val="single" w:sz="4" w:space="0" w:color="auto"/>
            </w:tcBorders>
            <w:shd w:val="clear" w:color="auto" w:fill="auto"/>
            <w:vAlign w:val="bottom"/>
            <w:hideMark/>
          </w:tcPr>
          <w:p w:rsidR="00E67099" w:rsidRPr="00E67099" w:rsidRDefault="00E67099" w:rsidP="00E67099">
            <w:pPr>
              <w:spacing w:after="0" w:line="240" w:lineRule="auto"/>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Proiectul "Perfecționarea abilităților în activitatea de laborator pentru specialistii agro-alimentari din Europa de Est/Ag-Lab"</w:t>
            </w:r>
          </w:p>
        </w:tc>
        <w:tc>
          <w:tcPr>
            <w:tcW w:w="827"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70233</w:t>
            </w:r>
          </w:p>
        </w:tc>
        <w:tc>
          <w:tcPr>
            <w:tcW w:w="1441"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ANSA 0275</w:t>
            </w:r>
          </w:p>
        </w:tc>
        <w:tc>
          <w:tcPr>
            <w:tcW w:w="1262"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163,2</w:t>
            </w:r>
          </w:p>
        </w:tc>
        <w:tc>
          <w:tcPr>
            <w:tcW w:w="1289"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0,0</w:t>
            </w:r>
          </w:p>
        </w:tc>
        <w:tc>
          <w:tcPr>
            <w:tcW w:w="1276"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140,0</w:t>
            </w:r>
          </w:p>
        </w:tc>
        <w:tc>
          <w:tcPr>
            <w:tcW w:w="1276"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17,1</w:t>
            </w:r>
          </w:p>
        </w:tc>
      </w:tr>
      <w:tr w:rsidR="00E67099" w:rsidRPr="00E67099" w:rsidTr="00A36731">
        <w:trPr>
          <w:trHeight w:val="804"/>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b/>
                <w:bCs/>
                <w:color w:val="000000"/>
                <w:sz w:val="20"/>
                <w:szCs w:val="20"/>
                <w:lang w:val="ro-MD"/>
              </w:rPr>
            </w:pPr>
            <w:r w:rsidRPr="00E67099">
              <w:rPr>
                <w:rFonts w:asciiTheme="majorHAnsi" w:eastAsia="Times New Roman" w:hAnsiTheme="majorHAnsi" w:cstheme="majorHAnsi"/>
                <w:b/>
                <w:bCs/>
                <w:color w:val="000000"/>
                <w:sz w:val="20"/>
                <w:szCs w:val="20"/>
                <w:lang w:val="ro-MD"/>
              </w:rPr>
              <w:t>37</w:t>
            </w:r>
          </w:p>
        </w:tc>
        <w:tc>
          <w:tcPr>
            <w:tcW w:w="4315" w:type="dxa"/>
            <w:tcBorders>
              <w:top w:val="nil"/>
              <w:left w:val="nil"/>
              <w:bottom w:val="single" w:sz="4" w:space="0" w:color="auto"/>
              <w:right w:val="single" w:sz="4" w:space="0" w:color="auto"/>
            </w:tcBorders>
            <w:shd w:val="clear" w:color="auto" w:fill="auto"/>
            <w:vAlign w:val="bottom"/>
            <w:hideMark/>
          </w:tcPr>
          <w:p w:rsidR="00E67099" w:rsidRPr="00E67099" w:rsidRDefault="00E67099" w:rsidP="00E67099">
            <w:pPr>
              <w:spacing w:after="0" w:line="240" w:lineRule="auto"/>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Proiectul „Suport financiar pentru achiziționarea echipamentelor video-audio pentru Comisia Electorală Centrală”</w:t>
            </w:r>
          </w:p>
        </w:tc>
        <w:tc>
          <w:tcPr>
            <w:tcW w:w="827"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70279</w:t>
            </w:r>
          </w:p>
        </w:tc>
        <w:tc>
          <w:tcPr>
            <w:tcW w:w="1441"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CEC 0402</w:t>
            </w:r>
          </w:p>
        </w:tc>
        <w:tc>
          <w:tcPr>
            <w:tcW w:w="1262" w:type="dxa"/>
            <w:tcBorders>
              <w:top w:val="nil"/>
              <w:left w:val="nil"/>
              <w:bottom w:val="single" w:sz="4" w:space="0" w:color="auto"/>
              <w:right w:val="single" w:sz="4" w:space="0" w:color="auto"/>
            </w:tcBorders>
            <w:shd w:val="clear" w:color="auto" w:fill="F2F2F2" w:themeFill="background1" w:themeFillShade="F2"/>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438,7</w:t>
            </w:r>
          </w:p>
        </w:tc>
        <w:tc>
          <w:tcPr>
            <w:tcW w:w="1289" w:type="dxa"/>
            <w:tcBorders>
              <w:top w:val="nil"/>
              <w:left w:val="nil"/>
              <w:bottom w:val="single" w:sz="4" w:space="0" w:color="auto"/>
              <w:right w:val="single" w:sz="4" w:space="0" w:color="auto"/>
            </w:tcBorders>
            <w:shd w:val="clear" w:color="auto" w:fill="F2F2F2" w:themeFill="background1" w:themeFillShade="F2"/>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p>
        </w:tc>
      </w:tr>
      <w:tr w:rsidR="00E67099" w:rsidRPr="00E67099" w:rsidTr="00A36731">
        <w:trPr>
          <w:trHeight w:val="54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b/>
                <w:bCs/>
                <w:color w:val="000000"/>
                <w:sz w:val="20"/>
                <w:szCs w:val="20"/>
                <w:lang w:val="ro-MD"/>
              </w:rPr>
            </w:pPr>
            <w:r w:rsidRPr="00E67099">
              <w:rPr>
                <w:rFonts w:asciiTheme="majorHAnsi" w:eastAsia="Times New Roman" w:hAnsiTheme="majorHAnsi" w:cstheme="majorHAnsi"/>
                <w:b/>
                <w:bCs/>
                <w:color w:val="000000"/>
                <w:sz w:val="20"/>
                <w:szCs w:val="20"/>
                <w:lang w:val="ro-MD"/>
              </w:rPr>
              <w:t>38</w:t>
            </w:r>
          </w:p>
        </w:tc>
        <w:tc>
          <w:tcPr>
            <w:tcW w:w="4315" w:type="dxa"/>
            <w:tcBorders>
              <w:top w:val="nil"/>
              <w:left w:val="nil"/>
              <w:bottom w:val="single" w:sz="4" w:space="0" w:color="auto"/>
              <w:right w:val="single" w:sz="4" w:space="0" w:color="auto"/>
            </w:tcBorders>
            <w:shd w:val="clear" w:color="auto" w:fill="auto"/>
            <w:vAlign w:val="bottom"/>
            <w:hideMark/>
          </w:tcPr>
          <w:p w:rsidR="00E67099" w:rsidRPr="00E67099" w:rsidRDefault="00E67099" w:rsidP="00E67099">
            <w:pPr>
              <w:spacing w:after="0" w:line="240" w:lineRule="auto"/>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Proiectul „Creșterea transparenței și optimizarea activității organelor electorale inferioare”</w:t>
            </w:r>
          </w:p>
        </w:tc>
        <w:tc>
          <w:tcPr>
            <w:tcW w:w="827"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70251</w:t>
            </w:r>
          </w:p>
        </w:tc>
        <w:tc>
          <w:tcPr>
            <w:tcW w:w="1441"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CEC 0402</w:t>
            </w:r>
          </w:p>
        </w:tc>
        <w:tc>
          <w:tcPr>
            <w:tcW w:w="1262"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78,2</w:t>
            </w:r>
          </w:p>
        </w:tc>
        <w:tc>
          <w:tcPr>
            <w:tcW w:w="1289"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0,0</w:t>
            </w:r>
          </w:p>
        </w:tc>
        <w:tc>
          <w:tcPr>
            <w:tcW w:w="1276"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78,1</w:t>
            </w:r>
          </w:p>
        </w:tc>
        <w:tc>
          <w:tcPr>
            <w:tcW w:w="1276"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78,1</w:t>
            </w:r>
          </w:p>
        </w:tc>
        <w:tc>
          <w:tcPr>
            <w:tcW w:w="1134"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100,0</w:t>
            </w:r>
          </w:p>
        </w:tc>
      </w:tr>
      <w:tr w:rsidR="00E67099" w:rsidRPr="00E67099" w:rsidTr="00A36731">
        <w:trPr>
          <w:trHeight w:val="54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b/>
                <w:bCs/>
                <w:color w:val="000000"/>
                <w:sz w:val="20"/>
                <w:szCs w:val="20"/>
                <w:lang w:val="ro-MD"/>
              </w:rPr>
            </w:pPr>
            <w:r w:rsidRPr="00E67099">
              <w:rPr>
                <w:rFonts w:asciiTheme="majorHAnsi" w:eastAsia="Times New Roman" w:hAnsiTheme="majorHAnsi" w:cstheme="majorHAnsi"/>
                <w:b/>
                <w:bCs/>
                <w:color w:val="000000"/>
                <w:sz w:val="20"/>
                <w:szCs w:val="20"/>
                <w:lang w:val="ro-MD"/>
              </w:rPr>
              <w:t>39</w:t>
            </w:r>
          </w:p>
        </w:tc>
        <w:tc>
          <w:tcPr>
            <w:tcW w:w="4315" w:type="dxa"/>
            <w:tcBorders>
              <w:top w:val="nil"/>
              <w:left w:val="nil"/>
              <w:bottom w:val="single" w:sz="4" w:space="0" w:color="auto"/>
              <w:right w:val="single" w:sz="4" w:space="0" w:color="auto"/>
            </w:tcBorders>
            <w:shd w:val="clear" w:color="auto" w:fill="auto"/>
            <w:vAlign w:val="bottom"/>
            <w:hideMark/>
          </w:tcPr>
          <w:p w:rsidR="00E67099" w:rsidRPr="00E67099" w:rsidRDefault="00E67099" w:rsidP="00E67099">
            <w:pPr>
              <w:spacing w:after="0" w:line="240" w:lineRule="auto"/>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Proiectul "Consolidarea democrației în Republica Moldova prin alegeri incluzive și transparente"</w:t>
            </w:r>
          </w:p>
        </w:tc>
        <w:tc>
          <w:tcPr>
            <w:tcW w:w="827"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70203</w:t>
            </w:r>
          </w:p>
        </w:tc>
        <w:tc>
          <w:tcPr>
            <w:tcW w:w="1441"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CEC 0402</w:t>
            </w:r>
          </w:p>
        </w:tc>
        <w:tc>
          <w:tcPr>
            <w:tcW w:w="1262"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806,8</w:t>
            </w:r>
          </w:p>
        </w:tc>
        <w:tc>
          <w:tcPr>
            <w:tcW w:w="1289"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0,0</w:t>
            </w:r>
          </w:p>
        </w:tc>
        <w:tc>
          <w:tcPr>
            <w:tcW w:w="1276"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806,8</w:t>
            </w:r>
          </w:p>
        </w:tc>
        <w:tc>
          <w:tcPr>
            <w:tcW w:w="1276"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806,8</w:t>
            </w:r>
          </w:p>
        </w:tc>
        <w:tc>
          <w:tcPr>
            <w:tcW w:w="1134"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100,0</w:t>
            </w:r>
          </w:p>
        </w:tc>
      </w:tr>
      <w:tr w:rsidR="00E67099" w:rsidRPr="00E67099" w:rsidTr="00A36731">
        <w:trPr>
          <w:trHeight w:val="54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b/>
                <w:bCs/>
                <w:color w:val="000000"/>
                <w:sz w:val="20"/>
                <w:szCs w:val="20"/>
                <w:lang w:val="ro-MD"/>
              </w:rPr>
            </w:pPr>
            <w:r w:rsidRPr="00E67099">
              <w:rPr>
                <w:rFonts w:asciiTheme="majorHAnsi" w:eastAsia="Times New Roman" w:hAnsiTheme="majorHAnsi" w:cstheme="majorHAnsi"/>
                <w:b/>
                <w:bCs/>
                <w:color w:val="000000"/>
                <w:sz w:val="20"/>
                <w:szCs w:val="20"/>
                <w:lang w:val="ro-MD"/>
              </w:rPr>
              <w:t>40</w:t>
            </w:r>
          </w:p>
        </w:tc>
        <w:tc>
          <w:tcPr>
            <w:tcW w:w="4315" w:type="dxa"/>
            <w:tcBorders>
              <w:top w:val="nil"/>
              <w:left w:val="nil"/>
              <w:bottom w:val="single" w:sz="4" w:space="0" w:color="auto"/>
              <w:right w:val="single" w:sz="4" w:space="0" w:color="auto"/>
            </w:tcBorders>
            <w:shd w:val="clear" w:color="auto" w:fill="auto"/>
            <w:vAlign w:val="bottom"/>
            <w:hideMark/>
          </w:tcPr>
          <w:p w:rsidR="00E67099" w:rsidRPr="00E67099" w:rsidRDefault="00E67099" w:rsidP="00E67099">
            <w:pPr>
              <w:spacing w:after="0" w:line="240" w:lineRule="auto"/>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Programul - cadru al UE pentru cercetare și inovare - Orizont 2020</w:t>
            </w:r>
          </w:p>
        </w:tc>
        <w:tc>
          <w:tcPr>
            <w:tcW w:w="827"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70105</w:t>
            </w:r>
          </w:p>
        </w:tc>
        <w:tc>
          <w:tcPr>
            <w:tcW w:w="1441" w:type="dxa"/>
            <w:tcBorders>
              <w:top w:val="nil"/>
              <w:left w:val="nil"/>
              <w:bottom w:val="single" w:sz="4" w:space="0" w:color="auto"/>
              <w:right w:val="single" w:sz="4" w:space="0" w:color="auto"/>
            </w:tcBorders>
            <w:shd w:val="clear" w:color="auto" w:fill="auto"/>
            <w:vAlign w:val="bottom"/>
            <w:hideMark/>
          </w:tcPr>
          <w:p w:rsidR="00E67099" w:rsidRPr="00E67099" w:rsidRDefault="00E67099" w:rsidP="00E67099">
            <w:pPr>
              <w:spacing w:after="0" w:line="240" w:lineRule="auto"/>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Serviciul de Protecție și Pază de Stat 0408</w:t>
            </w:r>
          </w:p>
        </w:tc>
        <w:tc>
          <w:tcPr>
            <w:tcW w:w="1262"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2.105,0</w:t>
            </w:r>
          </w:p>
        </w:tc>
        <w:tc>
          <w:tcPr>
            <w:tcW w:w="1289"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1.818,3</w:t>
            </w:r>
          </w:p>
        </w:tc>
        <w:tc>
          <w:tcPr>
            <w:tcW w:w="1276"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1.277,4</w:t>
            </w:r>
          </w:p>
        </w:tc>
        <w:tc>
          <w:tcPr>
            <w:tcW w:w="1276"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373,6</w:t>
            </w:r>
          </w:p>
        </w:tc>
        <w:tc>
          <w:tcPr>
            <w:tcW w:w="1134"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29,2</w:t>
            </w:r>
          </w:p>
        </w:tc>
      </w:tr>
      <w:tr w:rsidR="00E67099" w:rsidRPr="00E67099" w:rsidTr="00A36731">
        <w:trPr>
          <w:trHeight w:val="54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b/>
                <w:bCs/>
                <w:color w:val="000000"/>
                <w:sz w:val="20"/>
                <w:szCs w:val="20"/>
                <w:lang w:val="ro-MD"/>
              </w:rPr>
            </w:pPr>
            <w:r w:rsidRPr="00E67099">
              <w:rPr>
                <w:rFonts w:asciiTheme="majorHAnsi" w:eastAsia="Times New Roman" w:hAnsiTheme="majorHAnsi" w:cstheme="majorHAnsi"/>
                <w:b/>
                <w:bCs/>
                <w:color w:val="000000"/>
                <w:sz w:val="20"/>
                <w:szCs w:val="20"/>
                <w:lang w:val="ro-MD"/>
              </w:rPr>
              <w:t>41</w:t>
            </w:r>
          </w:p>
        </w:tc>
        <w:tc>
          <w:tcPr>
            <w:tcW w:w="4315"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Proiectul II al Fondului de Investiții Sociale</w:t>
            </w:r>
          </w:p>
        </w:tc>
        <w:tc>
          <w:tcPr>
            <w:tcW w:w="827"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70023</w:t>
            </w:r>
          </w:p>
        </w:tc>
        <w:tc>
          <w:tcPr>
            <w:tcW w:w="1441" w:type="dxa"/>
            <w:tcBorders>
              <w:top w:val="nil"/>
              <w:left w:val="nil"/>
              <w:bottom w:val="single" w:sz="4" w:space="0" w:color="auto"/>
              <w:right w:val="single" w:sz="4" w:space="0" w:color="auto"/>
            </w:tcBorders>
            <w:shd w:val="clear" w:color="auto" w:fill="auto"/>
            <w:vAlign w:val="bottom"/>
            <w:hideMark/>
          </w:tcPr>
          <w:p w:rsidR="00E67099" w:rsidRPr="00E67099" w:rsidRDefault="00E67099" w:rsidP="00E67099">
            <w:pPr>
              <w:spacing w:after="0" w:line="240" w:lineRule="auto"/>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Fondul de investiții sociale 0504</w:t>
            </w:r>
          </w:p>
        </w:tc>
        <w:tc>
          <w:tcPr>
            <w:tcW w:w="1262"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25.670,9</w:t>
            </w:r>
          </w:p>
        </w:tc>
        <w:tc>
          <w:tcPr>
            <w:tcW w:w="1289"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41.109,7</w:t>
            </w:r>
          </w:p>
        </w:tc>
        <w:tc>
          <w:tcPr>
            <w:tcW w:w="1276"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46.780,6</w:t>
            </w:r>
          </w:p>
        </w:tc>
        <w:tc>
          <w:tcPr>
            <w:tcW w:w="1276"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43.825,2</w:t>
            </w:r>
          </w:p>
        </w:tc>
        <w:tc>
          <w:tcPr>
            <w:tcW w:w="1134"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93,7</w:t>
            </w:r>
          </w:p>
        </w:tc>
      </w:tr>
      <w:tr w:rsidR="00E67099" w:rsidRPr="00E67099" w:rsidTr="00A36731">
        <w:trPr>
          <w:trHeight w:val="288"/>
        </w:trPr>
        <w:tc>
          <w:tcPr>
            <w:tcW w:w="500" w:type="dxa"/>
            <w:tcBorders>
              <w:top w:val="nil"/>
              <w:left w:val="nil"/>
              <w:bottom w:val="nil"/>
              <w:right w:val="nil"/>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p>
        </w:tc>
        <w:tc>
          <w:tcPr>
            <w:tcW w:w="4315" w:type="dxa"/>
            <w:tcBorders>
              <w:top w:val="nil"/>
              <w:left w:val="single" w:sz="4" w:space="0" w:color="auto"/>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b/>
                <w:bCs/>
                <w:color w:val="000000"/>
                <w:sz w:val="20"/>
                <w:szCs w:val="20"/>
                <w:lang w:val="ro-MD"/>
              </w:rPr>
            </w:pPr>
            <w:r w:rsidRPr="00E67099">
              <w:rPr>
                <w:rFonts w:asciiTheme="majorHAnsi" w:eastAsia="Times New Roman" w:hAnsiTheme="majorHAnsi" w:cstheme="majorHAnsi"/>
                <w:b/>
                <w:bCs/>
                <w:color w:val="000000"/>
                <w:sz w:val="20"/>
                <w:szCs w:val="20"/>
                <w:lang w:val="ro-MD"/>
              </w:rPr>
              <w:t> </w:t>
            </w:r>
          </w:p>
        </w:tc>
        <w:tc>
          <w:tcPr>
            <w:tcW w:w="827"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b/>
                <w:bCs/>
                <w:color w:val="000000"/>
                <w:sz w:val="20"/>
                <w:szCs w:val="20"/>
                <w:lang w:val="ro-MD"/>
              </w:rPr>
            </w:pPr>
            <w:r w:rsidRPr="00E67099">
              <w:rPr>
                <w:rFonts w:asciiTheme="majorHAnsi" w:eastAsia="Times New Roman" w:hAnsiTheme="majorHAnsi" w:cstheme="majorHAnsi"/>
                <w:b/>
                <w:bCs/>
                <w:color w:val="000000"/>
                <w:sz w:val="20"/>
                <w:szCs w:val="20"/>
                <w:lang w:val="ro-MD"/>
              </w:rPr>
              <w:t> </w:t>
            </w:r>
          </w:p>
        </w:tc>
        <w:tc>
          <w:tcPr>
            <w:tcW w:w="1441"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b/>
                <w:bCs/>
                <w:color w:val="000000"/>
                <w:sz w:val="20"/>
                <w:szCs w:val="20"/>
                <w:lang w:val="ro-MD"/>
              </w:rPr>
            </w:pPr>
            <w:r w:rsidRPr="00E67099">
              <w:rPr>
                <w:rFonts w:asciiTheme="majorHAnsi" w:eastAsia="Times New Roman" w:hAnsiTheme="majorHAnsi" w:cstheme="majorHAnsi"/>
                <w:b/>
                <w:bCs/>
                <w:color w:val="000000"/>
                <w:sz w:val="20"/>
                <w:szCs w:val="20"/>
                <w:lang w:val="ro-MD"/>
              </w:rPr>
              <w:t>Total</w:t>
            </w:r>
          </w:p>
        </w:tc>
        <w:tc>
          <w:tcPr>
            <w:tcW w:w="1262"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b/>
                <w:bCs/>
                <w:color w:val="000000"/>
                <w:sz w:val="20"/>
                <w:szCs w:val="20"/>
                <w:lang w:val="ro-MD"/>
              </w:rPr>
            </w:pPr>
            <w:r w:rsidRPr="00E67099">
              <w:rPr>
                <w:rFonts w:asciiTheme="majorHAnsi" w:eastAsia="Times New Roman" w:hAnsiTheme="majorHAnsi" w:cstheme="majorHAnsi"/>
                <w:b/>
                <w:bCs/>
                <w:color w:val="000000"/>
                <w:sz w:val="20"/>
                <w:szCs w:val="20"/>
                <w:lang w:val="ro-MD"/>
              </w:rPr>
              <w:t>305.832,8</w:t>
            </w:r>
          </w:p>
        </w:tc>
        <w:tc>
          <w:tcPr>
            <w:tcW w:w="1289"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b/>
                <w:bCs/>
                <w:color w:val="000000"/>
                <w:sz w:val="20"/>
                <w:szCs w:val="20"/>
                <w:lang w:val="ro-MD"/>
              </w:rPr>
            </w:pPr>
            <w:r w:rsidRPr="00E67099">
              <w:rPr>
                <w:rFonts w:asciiTheme="majorHAnsi" w:eastAsia="Times New Roman" w:hAnsiTheme="majorHAnsi" w:cstheme="majorHAnsi"/>
                <w:b/>
                <w:bCs/>
                <w:color w:val="000000"/>
                <w:sz w:val="20"/>
                <w:szCs w:val="20"/>
                <w:lang w:val="ro-MD"/>
              </w:rPr>
              <w:t>1.377.375,5</w:t>
            </w:r>
          </w:p>
        </w:tc>
        <w:tc>
          <w:tcPr>
            <w:tcW w:w="1276"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b/>
                <w:bCs/>
                <w:color w:val="000000"/>
                <w:sz w:val="20"/>
                <w:szCs w:val="20"/>
                <w:lang w:val="ro-MD"/>
              </w:rPr>
            </w:pPr>
            <w:r w:rsidRPr="00E67099">
              <w:rPr>
                <w:rFonts w:asciiTheme="majorHAnsi" w:eastAsia="Times New Roman" w:hAnsiTheme="majorHAnsi" w:cstheme="majorHAnsi"/>
                <w:b/>
                <w:bCs/>
                <w:color w:val="000000"/>
                <w:sz w:val="20"/>
                <w:szCs w:val="20"/>
                <w:lang w:val="ro-MD"/>
              </w:rPr>
              <w:t>1.545.119,3</w:t>
            </w:r>
          </w:p>
        </w:tc>
        <w:tc>
          <w:tcPr>
            <w:tcW w:w="1276"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b/>
                <w:bCs/>
                <w:color w:val="000000"/>
                <w:sz w:val="20"/>
                <w:szCs w:val="20"/>
                <w:lang w:val="ro-MD"/>
              </w:rPr>
            </w:pPr>
            <w:r w:rsidRPr="00E67099">
              <w:rPr>
                <w:rFonts w:asciiTheme="majorHAnsi" w:eastAsia="Times New Roman" w:hAnsiTheme="majorHAnsi" w:cstheme="majorHAnsi"/>
                <w:b/>
                <w:bCs/>
                <w:color w:val="000000"/>
                <w:sz w:val="20"/>
                <w:szCs w:val="20"/>
                <w:lang w:val="ro-MD"/>
              </w:rPr>
              <w:t>1.223.681,1</w:t>
            </w:r>
          </w:p>
        </w:tc>
        <w:tc>
          <w:tcPr>
            <w:tcW w:w="1134" w:type="dxa"/>
            <w:tcBorders>
              <w:top w:val="nil"/>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b/>
                <w:bCs/>
                <w:color w:val="000000"/>
                <w:sz w:val="20"/>
                <w:szCs w:val="20"/>
                <w:lang w:val="ro-MD"/>
              </w:rPr>
            </w:pPr>
            <w:r w:rsidRPr="00E67099">
              <w:rPr>
                <w:rFonts w:asciiTheme="majorHAnsi" w:eastAsia="Times New Roman" w:hAnsiTheme="majorHAnsi" w:cstheme="majorHAnsi"/>
                <w:b/>
                <w:bCs/>
                <w:color w:val="000000"/>
                <w:sz w:val="20"/>
                <w:szCs w:val="20"/>
                <w:lang w:val="ro-MD"/>
              </w:rPr>
              <w:t>79,2</w:t>
            </w:r>
          </w:p>
        </w:tc>
      </w:tr>
    </w:tbl>
    <w:p w:rsidR="00E67099" w:rsidRPr="008B3719" w:rsidRDefault="00E67099" w:rsidP="008B3719">
      <w:pPr>
        <w:tabs>
          <w:tab w:val="left" w:pos="993"/>
        </w:tabs>
        <w:jc w:val="both"/>
        <w:rPr>
          <w:rFonts w:asciiTheme="majorHAnsi" w:hAnsiTheme="majorHAnsi" w:cstheme="majorHAnsi"/>
          <w:i/>
          <w:sz w:val="20"/>
          <w:szCs w:val="20"/>
        </w:rPr>
      </w:pPr>
      <w:r w:rsidRPr="00E67099">
        <w:rPr>
          <w:rFonts w:asciiTheme="majorHAnsi" w:hAnsiTheme="majorHAnsi" w:cstheme="majorHAnsi"/>
          <w:b/>
          <w:i/>
          <w:sz w:val="20"/>
          <w:szCs w:val="20"/>
        </w:rPr>
        <w:t>Sursă:</w:t>
      </w:r>
      <w:r w:rsidRPr="00E67099">
        <w:rPr>
          <w:rFonts w:asciiTheme="majorHAnsi" w:hAnsiTheme="majorHAnsi" w:cstheme="majorHAnsi"/>
          <w:i/>
          <w:sz w:val="20"/>
          <w:szCs w:val="20"/>
        </w:rPr>
        <w:t xml:space="preserve"> Raportul privind sinteza proiectelor finanțate din surse externe, incluse în buget la situația din 31.12.2019.</w:t>
      </w:r>
    </w:p>
    <w:p w:rsidR="00E67099" w:rsidRPr="00E67099" w:rsidRDefault="00E67099" w:rsidP="00E67099">
      <w:pPr>
        <w:shd w:val="clear" w:color="auto" w:fill="FFFFFF" w:themeFill="background1"/>
        <w:tabs>
          <w:tab w:val="left" w:pos="284"/>
          <w:tab w:val="left" w:pos="993"/>
          <w:tab w:val="left" w:pos="6663"/>
        </w:tabs>
        <w:spacing w:after="0" w:line="276" w:lineRule="auto"/>
        <w:ind w:left="1440"/>
        <w:contextualSpacing/>
        <w:jc w:val="right"/>
        <w:rPr>
          <w:rFonts w:asciiTheme="majorHAnsi" w:eastAsia="Times New Roman" w:hAnsiTheme="majorHAnsi" w:cstheme="majorHAnsi"/>
          <w:b/>
          <w:i/>
          <w:sz w:val="24"/>
          <w:szCs w:val="24"/>
        </w:rPr>
      </w:pPr>
      <w:r w:rsidRPr="00E67099">
        <w:rPr>
          <w:rFonts w:asciiTheme="majorHAnsi" w:eastAsia="Times New Roman" w:hAnsiTheme="majorHAnsi" w:cstheme="majorHAnsi"/>
          <w:b/>
          <w:i/>
          <w:sz w:val="24"/>
          <w:szCs w:val="24"/>
        </w:rPr>
        <w:t>Anexa nr.10</w:t>
      </w:r>
    </w:p>
    <w:p w:rsidR="00E67099" w:rsidRPr="00E67099" w:rsidRDefault="00E67099" w:rsidP="00E67099">
      <w:pPr>
        <w:spacing w:after="0" w:line="276" w:lineRule="auto"/>
        <w:jc w:val="center"/>
        <w:rPr>
          <w:rFonts w:asciiTheme="majorHAnsi" w:eastAsia="Times New Roman" w:hAnsiTheme="majorHAnsi" w:cstheme="majorHAnsi"/>
          <w:b/>
          <w:sz w:val="24"/>
          <w:szCs w:val="24"/>
        </w:rPr>
      </w:pPr>
      <w:r w:rsidRPr="00E67099">
        <w:rPr>
          <w:rFonts w:asciiTheme="majorHAnsi" w:eastAsia="Times New Roman" w:hAnsiTheme="majorHAnsi" w:cstheme="majorHAnsi"/>
          <w:b/>
          <w:sz w:val="24"/>
          <w:szCs w:val="24"/>
        </w:rPr>
        <w:t>Informația privind soldul de mijloace bănești la sfârșitul anului 2019 și la sfârșitul anului 2018 provenite din proiecte finanțate din surse externe (împrumuturi și/sau granturi), accesibile pentru utilizare în aceleași scopuri în anul bugetar următor</w:t>
      </w:r>
    </w:p>
    <w:p w:rsidR="00E67099" w:rsidRPr="00E67099" w:rsidRDefault="00E67099" w:rsidP="00E67099">
      <w:pPr>
        <w:spacing w:after="0" w:line="276" w:lineRule="auto"/>
        <w:jc w:val="right"/>
        <w:rPr>
          <w:rFonts w:asciiTheme="majorHAnsi" w:eastAsia="Times New Roman" w:hAnsiTheme="majorHAnsi" w:cstheme="majorHAnsi"/>
          <w:b/>
          <w:sz w:val="24"/>
          <w:szCs w:val="24"/>
        </w:rPr>
      </w:pPr>
      <w:r w:rsidRPr="00E67099">
        <w:rPr>
          <w:rFonts w:asciiTheme="majorHAnsi" w:eastAsia="Times New Roman" w:hAnsiTheme="majorHAnsi" w:cstheme="majorHAnsi"/>
          <w:b/>
          <w:sz w:val="24"/>
          <w:szCs w:val="24"/>
        </w:rPr>
        <w:t>(mii lei)</w:t>
      </w:r>
    </w:p>
    <w:tbl>
      <w:tblPr>
        <w:tblW w:w="13320" w:type="dxa"/>
        <w:tblLook w:val="04A0" w:firstRow="1" w:lastRow="0" w:firstColumn="1" w:lastColumn="0" w:noHBand="0" w:noVBand="1"/>
      </w:tblPr>
      <w:tblGrid>
        <w:gridCol w:w="620"/>
        <w:gridCol w:w="4620"/>
        <w:gridCol w:w="1051"/>
        <w:gridCol w:w="1450"/>
        <w:gridCol w:w="1460"/>
        <w:gridCol w:w="1460"/>
        <w:gridCol w:w="1460"/>
        <w:gridCol w:w="1290"/>
      </w:tblGrid>
      <w:tr w:rsidR="00E67099" w:rsidRPr="00E67099" w:rsidTr="00A36731">
        <w:trPr>
          <w:trHeight w:val="684"/>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7099" w:rsidRPr="00E67099" w:rsidRDefault="00E67099" w:rsidP="00E67099">
            <w:pPr>
              <w:spacing w:after="0" w:line="240" w:lineRule="auto"/>
              <w:jc w:val="center"/>
              <w:rPr>
                <w:rFonts w:ascii="Calibri Light" w:eastAsia="Times New Roman" w:hAnsi="Calibri Light" w:cs="Calibri Light"/>
                <w:b/>
                <w:bCs/>
                <w:color w:val="000000"/>
                <w:lang w:val="ro-MD"/>
              </w:rPr>
            </w:pPr>
            <w:r w:rsidRPr="00E67099">
              <w:rPr>
                <w:rFonts w:ascii="Calibri Light" w:eastAsia="Times New Roman" w:hAnsi="Calibri Light" w:cs="Calibri Light"/>
                <w:b/>
                <w:bCs/>
                <w:color w:val="000000"/>
                <w:lang w:val="ro-MD"/>
              </w:rPr>
              <w:t>Nr. d/o</w:t>
            </w:r>
          </w:p>
        </w:tc>
        <w:tc>
          <w:tcPr>
            <w:tcW w:w="4620" w:type="dxa"/>
            <w:tcBorders>
              <w:top w:val="single" w:sz="4" w:space="0" w:color="auto"/>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Calibri Light" w:eastAsia="Times New Roman" w:hAnsi="Calibri Light" w:cs="Calibri Light"/>
                <w:b/>
                <w:bCs/>
                <w:color w:val="000000"/>
                <w:lang w:val="ro-MD"/>
              </w:rPr>
            </w:pPr>
            <w:r w:rsidRPr="00E67099">
              <w:rPr>
                <w:rFonts w:ascii="Calibri Light" w:eastAsia="Times New Roman" w:hAnsi="Calibri Light" w:cs="Calibri Light"/>
                <w:b/>
                <w:bCs/>
                <w:color w:val="000000"/>
                <w:lang w:val="ro-MD"/>
              </w:rPr>
              <w:t>Instituția</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Calibri Light" w:eastAsia="Times New Roman" w:hAnsi="Calibri Light" w:cs="Calibri Light"/>
                <w:b/>
                <w:bCs/>
                <w:color w:val="000000"/>
                <w:lang w:val="ro-MD"/>
              </w:rPr>
            </w:pPr>
            <w:r w:rsidRPr="00E67099">
              <w:rPr>
                <w:rFonts w:ascii="Calibri Light" w:eastAsia="Times New Roman" w:hAnsi="Calibri Light" w:cs="Calibri Light"/>
                <w:b/>
                <w:bCs/>
                <w:color w:val="000000"/>
                <w:lang w:val="ro-MD"/>
              </w:rPr>
              <w:t>Cod</w:t>
            </w:r>
            <w:r w:rsidR="00E05AEE">
              <w:rPr>
                <w:rFonts w:ascii="Calibri Light" w:eastAsia="Times New Roman" w:hAnsi="Calibri Light" w:cs="Calibri Light"/>
                <w:b/>
                <w:bCs/>
                <w:color w:val="000000"/>
                <w:lang w:val="ro-MD"/>
              </w:rPr>
              <w:t>ul instituției</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Calibri Light" w:eastAsia="Times New Roman" w:hAnsi="Calibri Light" w:cs="Calibri Light"/>
                <w:b/>
                <w:bCs/>
                <w:color w:val="000000"/>
                <w:lang w:val="ro-MD"/>
              </w:rPr>
            </w:pPr>
            <w:r w:rsidRPr="00E67099">
              <w:rPr>
                <w:rFonts w:ascii="Calibri Light" w:eastAsia="Times New Roman" w:hAnsi="Calibri Light" w:cs="Calibri Light"/>
                <w:b/>
                <w:bCs/>
                <w:color w:val="000000"/>
                <w:lang w:val="ro-MD"/>
              </w:rPr>
              <w:t>Aprobat</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Calibri Light" w:eastAsia="Times New Roman" w:hAnsi="Calibri Light" w:cs="Calibri Light"/>
                <w:b/>
                <w:bCs/>
                <w:color w:val="000000"/>
                <w:lang w:val="ro-MD"/>
              </w:rPr>
            </w:pPr>
            <w:r w:rsidRPr="00E67099">
              <w:rPr>
                <w:rFonts w:ascii="Calibri Light" w:eastAsia="Times New Roman" w:hAnsi="Calibri Light" w:cs="Calibri Light"/>
                <w:b/>
                <w:bCs/>
                <w:color w:val="000000"/>
                <w:lang w:val="ro-MD"/>
              </w:rPr>
              <w:t>Precizat</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Calibri Light" w:eastAsia="Times New Roman" w:hAnsi="Calibri Light" w:cs="Calibri Light"/>
                <w:b/>
                <w:bCs/>
                <w:color w:val="000000"/>
                <w:lang w:val="ro-MD"/>
              </w:rPr>
            </w:pPr>
            <w:r w:rsidRPr="00E67099">
              <w:rPr>
                <w:rFonts w:ascii="Calibri Light" w:eastAsia="Times New Roman" w:hAnsi="Calibri Light" w:cs="Calibri Light"/>
                <w:b/>
                <w:bCs/>
                <w:color w:val="000000"/>
                <w:lang w:val="ro-MD"/>
              </w:rPr>
              <w:t>Executat 2019</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E67099" w:rsidRPr="00E67099" w:rsidRDefault="00E67099" w:rsidP="00E67099">
            <w:pPr>
              <w:spacing w:after="0" w:line="240" w:lineRule="auto"/>
              <w:jc w:val="center"/>
              <w:rPr>
                <w:rFonts w:ascii="Calibri Light" w:eastAsia="Times New Roman" w:hAnsi="Calibri Light" w:cs="Calibri Light"/>
                <w:b/>
                <w:bCs/>
                <w:color w:val="000000"/>
                <w:lang w:val="ro-MD"/>
              </w:rPr>
            </w:pPr>
            <w:r w:rsidRPr="00E67099">
              <w:rPr>
                <w:rFonts w:ascii="Calibri Light" w:eastAsia="Times New Roman" w:hAnsi="Calibri Light" w:cs="Calibri Light"/>
                <w:b/>
                <w:bCs/>
                <w:color w:val="000000"/>
                <w:lang w:val="ro-MD"/>
              </w:rPr>
              <w:t>Executat 2018</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E67099" w:rsidRPr="00E67099" w:rsidRDefault="00E67099" w:rsidP="00E67099">
            <w:pPr>
              <w:spacing w:after="0" w:line="240" w:lineRule="auto"/>
              <w:jc w:val="center"/>
              <w:rPr>
                <w:rFonts w:ascii="Calibri Light" w:eastAsia="Times New Roman" w:hAnsi="Calibri Light" w:cs="Calibri Light"/>
                <w:b/>
                <w:bCs/>
                <w:color w:val="000000"/>
                <w:lang w:val="ro-MD"/>
              </w:rPr>
            </w:pPr>
            <w:r w:rsidRPr="00E67099">
              <w:rPr>
                <w:rFonts w:ascii="Calibri Light" w:eastAsia="Times New Roman" w:hAnsi="Calibri Light" w:cs="Calibri Light"/>
                <w:b/>
                <w:bCs/>
                <w:color w:val="000000"/>
                <w:lang w:val="ro-MD"/>
              </w:rPr>
              <w:t>Devieri (+/-)</w:t>
            </w:r>
          </w:p>
        </w:tc>
      </w:tr>
      <w:tr w:rsidR="00E67099" w:rsidRPr="00E67099" w:rsidTr="00A36731">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b/>
                <w:bCs/>
                <w:color w:val="000000"/>
                <w:lang w:val="ro-MD"/>
              </w:rPr>
            </w:pPr>
            <w:r w:rsidRPr="00E67099">
              <w:rPr>
                <w:rFonts w:ascii="Calibri Light" w:eastAsia="Times New Roman" w:hAnsi="Calibri Light" w:cs="Calibri Light"/>
                <w:b/>
                <w:bCs/>
                <w:color w:val="000000"/>
                <w:lang w:val="ro-MD"/>
              </w:rPr>
              <w:t>1</w:t>
            </w:r>
          </w:p>
        </w:tc>
        <w:tc>
          <w:tcPr>
            <w:tcW w:w="46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Secretariatul Parlamentului</w:t>
            </w:r>
          </w:p>
        </w:tc>
        <w:tc>
          <w:tcPr>
            <w:tcW w:w="96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center"/>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0101</w:t>
            </w:r>
          </w:p>
        </w:tc>
        <w:tc>
          <w:tcPr>
            <w:tcW w:w="145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-114,79</w:t>
            </w:r>
          </w:p>
        </w:tc>
        <w:tc>
          <w:tcPr>
            <w:tcW w:w="146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0,00</w:t>
            </w:r>
          </w:p>
        </w:tc>
        <w:tc>
          <w:tcPr>
            <w:tcW w:w="129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-114,79</w:t>
            </w:r>
          </w:p>
        </w:tc>
      </w:tr>
      <w:tr w:rsidR="00E67099" w:rsidRPr="00E67099" w:rsidTr="00A36731">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b/>
                <w:bCs/>
                <w:color w:val="000000"/>
                <w:lang w:val="ro-MD"/>
              </w:rPr>
            </w:pPr>
            <w:r w:rsidRPr="00E67099">
              <w:rPr>
                <w:rFonts w:ascii="Calibri Light" w:eastAsia="Times New Roman" w:hAnsi="Calibri Light" w:cs="Calibri Light"/>
                <w:b/>
                <w:bCs/>
                <w:color w:val="000000"/>
                <w:lang w:val="ro-MD"/>
              </w:rPr>
              <w:t>2</w:t>
            </w:r>
          </w:p>
        </w:tc>
        <w:tc>
          <w:tcPr>
            <w:tcW w:w="46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Cancelaria de Stat</w:t>
            </w:r>
          </w:p>
        </w:tc>
        <w:tc>
          <w:tcPr>
            <w:tcW w:w="96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center"/>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0201</w:t>
            </w:r>
          </w:p>
        </w:tc>
        <w:tc>
          <w:tcPr>
            <w:tcW w:w="145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-5.060,60</w:t>
            </w:r>
          </w:p>
        </w:tc>
        <w:tc>
          <w:tcPr>
            <w:tcW w:w="146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-4.744,60</w:t>
            </w:r>
          </w:p>
        </w:tc>
        <w:tc>
          <w:tcPr>
            <w:tcW w:w="146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-14.221,80</w:t>
            </w:r>
          </w:p>
        </w:tc>
        <w:tc>
          <w:tcPr>
            <w:tcW w:w="146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-5.456,33</w:t>
            </w:r>
          </w:p>
        </w:tc>
        <w:tc>
          <w:tcPr>
            <w:tcW w:w="129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-8.765,47</w:t>
            </w:r>
          </w:p>
        </w:tc>
      </w:tr>
      <w:tr w:rsidR="00E67099" w:rsidRPr="00E67099" w:rsidTr="00A36731">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b/>
                <w:bCs/>
                <w:color w:val="000000"/>
                <w:lang w:val="ro-MD"/>
              </w:rPr>
            </w:pPr>
            <w:r w:rsidRPr="00E67099">
              <w:rPr>
                <w:rFonts w:ascii="Calibri Light" w:eastAsia="Times New Roman" w:hAnsi="Calibri Light" w:cs="Calibri Light"/>
                <w:b/>
                <w:bCs/>
                <w:color w:val="000000"/>
                <w:lang w:val="ro-MD"/>
              </w:rPr>
              <w:t>3</w:t>
            </w:r>
          </w:p>
        </w:tc>
        <w:tc>
          <w:tcPr>
            <w:tcW w:w="46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Ministerul Finanțelor</w:t>
            </w:r>
          </w:p>
        </w:tc>
        <w:tc>
          <w:tcPr>
            <w:tcW w:w="96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center"/>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0203</w:t>
            </w:r>
          </w:p>
        </w:tc>
        <w:tc>
          <w:tcPr>
            <w:tcW w:w="145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-8.375,30</w:t>
            </w:r>
          </w:p>
        </w:tc>
        <w:tc>
          <w:tcPr>
            <w:tcW w:w="146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-2.040,40</w:t>
            </w:r>
          </w:p>
        </w:tc>
        <w:tc>
          <w:tcPr>
            <w:tcW w:w="129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-6.334,90</w:t>
            </w:r>
          </w:p>
        </w:tc>
      </w:tr>
      <w:tr w:rsidR="00E67099" w:rsidRPr="00E67099" w:rsidTr="00A36731">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b/>
                <w:bCs/>
                <w:color w:val="000000"/>
                <w:lang w:val="ro-MD"/>
              </w:rPr>
            </w:pPr>
            <w:r w:rsidRPr="00E67099">
              <w:rPr>
                <w:rFonts w:ascii="Calibri Light" w:eastAsia="Times New Roman" w:hAnsi="Calibri Light" w:cs="Calibri Light"/>
                <w:b/>
                <w:bCs/>
                <w:color w:val="000000"/>
                <w:lang w:val="ro-MD"/>
              </w:rPr>
              <w:t>4</w:t>
            </w:r>
          </w:p>
        </w:tc>
        <w:tc>
          <w:tcPr>
            <w:tcW w:w="46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Ministerul Justiției</w:t>
            </w:r>
          </w:p>
        </w:tc>
        <w:tc>
          <w:tcPr>
            <w:tcW w:w="96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center"/>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0204</w:t>
            </w:r>
          </w:p>
        </w:tc>
        <w:tc>
          <w:tcPr>
            <w:tcW w:w="145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-2.441,10</w:t>
            </w:r>
          </w:p>
        </w:tc>
        <w:tc>
          <w:tcPr>
            <w:tcW w:w="146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-7.925,30</w:t>
            </w:r>
          </w:p>
        </w:tc>
        <w:tc>
          <w:tcPr>
            <w:tcW w:w="146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-3.228,33</w:t>
            </w:r>
          </w:p>
        </w:tc>
        <w:tc>
          <w:tcPr>
            <w:tcW w:w="146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-8.948,28</w:t>
            </w:r>
          </w:p>
        </w:tc>
        <w:tc>
          <w:tcPr>
            <w:tcW w:w="129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5.719,95</w:t>
            </w:r>
          </w:p>
        </w:tc>
      </w:tr>
      <w:tr w:rsidR="00E67099" w:rsidRPr="00E67099" w:rsidTr="00A36731">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b/>
                <w:bCs/>
                <w:color w:val="000000"/>
                <w:lang w:val="ro-MD"/>
              </w:rPr>
            </w:pPr>
            <w:r w:rsidRPr="00E67099">
              <w:rPr>
                <w:rFonts w:ascii="Calibri Light" w:eastAsia="Times New Roman" w:hAnsi="Calibri Light" w:cs="Calibri Light"/>
                <w:b/>
                <w:bCs/>
                <w:color w:val="000000"/>
                <w:lang w:val="ro-MD"/>
              </w:rPr>
              <w:t>5</w:t>
            </w:r>
          </w:p>
        </w:tc>
        <w:tc>
          <w:tcPr>
            <w:tcW w:w="46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Ministerul Afacerilor Interne</w:t>
            </w:r>
          </w:p>
        </w:tc>
        <w:tc>
          <w:tcPr>
            <w:tcW w:w="96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center"/>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0205</w:t>
            </w:r>
          </w:p>
        </w:tc>
        <w:tc>
          <w:tcPr>
            <w:tcW w:w="145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-112,40</w:t>
            </w:r>
          </w:p>
        </w:tc>
        <w:tc>
          <w:tcPr>
            <w:tcW w:w="146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-3.093,42</w:t>
            </w:r>
          </w:p>
        </w:tc>
        <w:tc>
          <w:tcPr>
            <w:tcW w:w="146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-3.284,66</w:t>
            </w:r>
          </w:p>
        </w:tc>
        <w:tc>
          <w:tcPr>
            <w:tcW w:w="129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191,24</w:t>
            </w:r>
          </w:p>
        </w:tc>
      </w:tr>
      <w:tr w:rsidR="00E67099" w:rsidRPr="00E67099" w:rsidTr="00A36731">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b/>
                <w:bCs/>
                <w:color w:val="000000"/>
                <w:lang w:val="ro-MD"/>
              </w:rPr>
            </w:pPr>
            <w:r w:rsidRPr="00E67099">
              <w:rPr>
                <w:rFonts w:ascii="Calibri Light" w:eastAsia="Times New Roman" w:hAnsi="Calibri Light" w:cs="Calibri Light"/>
                <w:b/>
                <w:bCs/>
                <w:color w:val="000000"/>
                <w:lang w:val="ro-MD"/>
              </w:rPr>
              <w:t>6</w:t>
            </w:r>
          </w:p>
        </w:tc>
        <w:tc>
          <w:tcPr>
            <w:tcW w:w="46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Ministerul Apărării</w:t>
            </w:r>
          </w:p>
        </w:tc>
        <w:tc>
          <w:tcPr>
            <w:tcW w:w="96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center"/>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0207</w:t>
            </w:r>
          </w:p>
        </w:tc>
        <w:tc>
          <w:tcPr>
            <w:tcW w:w="145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-3.875,80</w:t>
            </w:r>
          </w:p>
        </w:tc>
        <w:tc>
          <w:tcPr>
            <w:tcW w:w="146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-4.763,90</w:t>
            </w:r>
          </w:p>
        </w:tc>
        <w:tc>
          <w:tcPr>
            <w:tcW w:w="146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-5.686,16</w:t>
            </w:r>
          </w:p>
        </w:tc>
        <w:tc>
          <w:tcPr>
            <w:tcW w:w="146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-4.763,95</w:t>
            </w:r>
          </w:p>
        </w:tc>
        <w:tc>
          <w:tcPr>
            <w:tcW w:w="129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-922,21</w:t>
            </w:r>
          </w:p>
        </w:tc>
      </w:tr>
      <w:tr w:rsidR="00E67099" w:rsidRPr="00E67099" w:rsidTr="00A36731">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b/>
                <w:bCs/>
                <w:color w:val="000000"/>
                <w:lang w:val="ro-MD"/>
              </w:rPr>
            </w:pPr>
            <w:r w:rsidRPr="00E67099">
              <w:rPr>
                <w:rFonts w:ascii="Calibri Light" w:eastAsia="Times New Roman" w:hAnsi="Calibri Light" w:cs="Calibri Light"/>
                <w:b/>
                <w:bCs/>
                <w:color w:val="000000"/>
                <w:lang w:val="ro-MD"/>
              </w:rPr>
              <w:t>7</w:t>
            </w:r>
          </w:p>
        </w:tc>
        <w:tc>
          <w:tcPr>
            <w:tcW w:w="46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Ministerul Economiei și Infrastructurii</w:t>
            </w:r>
          </w:p>
        </w:tc>
        <w:tc>
          <w:tcPr>
            <w:tcW w:w="96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center"/>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0218</w:t>
            </w:r>
          </w:p>
        </w:tc>
        <w:tc>
          <w:tcPr>
            <w:tcW w:w="145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-188.795,10</w:t>
            </w:r>
          </w:p>
        </w:tc>
        <w:tc>
          <w:tcPr>
            <w:tcW w:w="146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-704.758,70</w:t>
            </w:r>
          </w:p>
        </w:tc>
        <w:tc>
          <w:tcPr>
            <w:tcW w:w="146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-713.957,51</w:t>
            </w:r>
          </w:p>
        </w:tc>
        <w:tc>
          <w:tcPr>
            <w:tcW w:w="146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-738.789,59</w:t>
            </w:r>
          </w:p>
        </w:tc>
        <w:tc>
          <w:tcPr>
            <w:tcW w:w="129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24.832,08</w:t>
            </w:r>
          </w:p>
        </w:tc>
      </w:tr>
      <w:tr w:rsidR="00E67099" w:rsidRPr="00E67099" w:rsidTr="00A36731">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b/>
                <w:bCs/>
                <w:color w:val="000000"/>
                <w:lang w:val="ro-MD"/>
              </w:rPr>
            </w:pPr>
            <w:r w:rsidRPr="00E67099">
              <w:rPr>
                <w:rFonts w:ascii="Calibri Light" w:eastAsia="Times New Roman" w:hAnsi="Calibri Light" w:cs="Calibri Light"/>
                <w:b/>
                <w:bCs/>
                <w:color w:val="000000"/>
                <w:lang w:val="ro-MD"/>
              </w:rPr>
              <w:t>8</w:t>
            </w:r>
          </w:p>
        </w:tc>
        <w:tc>
          <w:tcPr>
            <w:tcW w:w="46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Ministerul Agriculturii, Dezvoltării Regionale și Mediului</w:t>
            </w:r>
          </w:p>
        </w:tc>
        <w:tc>
          <w:tcPr>
            <w:tcW w:w="96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center"/>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0219</w:t>
            </w:r>
          </w:p>
        </w:tc>
        <w:tc>
          <w:tcPr>
            <w:tcW w:w="145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-12.234,80</w:t>
            </w:r>
          </w:p>
        </w:tc>
        <w:tc>
          <w:tcPr>
            <w:tcW w:w="146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-137.779,50</w:t>
            </w:r>
          </w:p>
        </w:tc>
        <w:tc>
          <w:tcPr>
            <w:tcW w:w="146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-158.797,91</w:t>
            </w:r>
          </w:p>
        </w:tc>
        <w:tc>
          <w:tcPr>
            <w:tcW w:w="146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-150.196,66</w:t>
            </w:r>
          </w:p>
        </w:tc>
        <w:tc>
          <w:tcPr>
            <w:tcW w:w="129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-8.601,25</w:t>
            </w:r>
          </w:p>
        </w:tc>
      </w:tr>
      <w:tr w:rsidR="00E67099" w:rsidRPr="00E67099" w:rsidTr="00A36731">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b/>
                <w:bCs/>
                <w:color w:val="000000"/>
                <w:lang w:val="ro-MD"/>
              </w:rPr>
            </w:pPr>
            <w:r w:rsidRPr="00E67099">
              <w:rPr>
                <w:rFonts w:ascii="Calibri Light" w:eastAsia="Times New Roman" w:hAnsi="Calibri Light" w:cs="Calibri Light"/>
                <w:b/>
                <w:bCs/>
                <w:color w:val="000000"/>
                <w:lang w:val="ro-MD"/>
              </w:rPr>
              <w:t>9</w:t>
            </w:r>
          </w:p>
        </w:tc>
        <w:tc>
          <w:tcPr>
            <w:tcW w:w="46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Ministerul Educației, Culturii și Cercetării</w:t>
            </w:r>
          </w:p>
        </w:tc>
        <w:tc>
          <w:tcPr>
            <w:tcW w:w="96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center"/>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0220</w:t>
            </w:r>
          </w:p>
        </w:tc>
        <w:tc>
          <w:tcPr>
            <w:tcW w:w="145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-1.676,60</w:t>
            </w:r>
          </w:p>
        </w:tc>
        <w:tc>
          <w:tcPr>
            <w:tcW w:w="146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-8.319,90</w:t>
            </w:r>
          </w:p>
        </w:tc>
        <w:tc>
          <w:tcPr>
            <w:tcW w:w="146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-34.707,95</w:t>
            </w:r>
          </w:p>
        </w:tc>
        <w:tc>
          <w:tcPr>
            <w:tcW w:w="146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-31.046,42</w:t>
            </w:r>
          </w:p>
        </w:tc>
        <w:tc>
          <w:tcPr>
            <w:tcW w:w="129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-3.661,53</w:t>
            </w:r>
          </w:p>
        </w:tc>
      </w:tr>
      <w:tr w:rsidR="00E67099" w:rsidRPr="00E67099" w:rsidTr="00A36731">
        <w:trPr>
          <w:trHeight w:val="339"/>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Calibri Light" w:eastAsia="Times New Roman" w:hAnsi="Calibri Light" w:cs="Calibri Light"/>
                <w:b/>
                <w:bCs/>
                <w:color w:val="000000"/>
                <w:lang w:val="ro-MD"/>
              </w:rPr>
            </w:pPr>
            <w:r w:rsidRPr="00E67099">
              <w:rPr>
                <w:rFonts w:ascii="Calibri Light" w:eastAsia="Times New Roman" w:hAnsi="Calibri Light" w:cs="Calibri Light"/>
                <w:b/>
                <w:bCs/>
                <w:color w:val="000000"/>
                <w:lang w:val="ro-MD"/>
              </w:rPr>
              <w:t xml:space="preserve">   10</w:t>
            </w:r>
          </w:p>
        </w:tc>
        <w:tc>
          <w:tcPr>
            <w:tcW w:w="46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Ministerul Sănătății, Muncii și Protecției Sociale</w:t>
            </w:r>
          </w:p>
        </w:tc>
        <w:tc>
          <w:tcPr>
            <w:tcW w:w="96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center"/>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0221</w:t>
            </w:r>
          </w:p>
        </w:tc>
        <w:tc>
          <w:tcPr>
            <w:tcW w:w="145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-15.203,00</w:t>
            </w:r>
          </w:p>
        </w:tc>
        <w:tc>
          <w:tcPr>
            <w:tcW w:w="146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-22.574,20</w:t>
            </w:r>
          </w:p>
        </w:tc>
        <w:tc>
          <w:tcPr>
            <w:tcW w:w="146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-37.349,83</w:t>
            </w:r>
          </w:p>
        </w:tc>
        <w:tc>
          <w:tcPr>
            <w:tcW w:w="146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-16.031,63</w:t>
            </w:r>
          </w:p>
        </w:tc>
        <w:tc>
          <w:tcPr>
            <w:tcW w:w="129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-21.318,20</w:t>
            </w:r>
          </w:p>
        </w:tc>
      </w:tr>
      <w:tr w:rsidR="00E67099" w:rsidRPr="00E67099" w:rsidTr="00A36731">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b/>
                <w:bCs/>
                <w:color w:val="000000"/>
                <w:lang w:val="ro-MD"/>
              </w:rPr>
            </w:pPr>
            <w:r w:rsidRPr="00E67099">
              <w:rPr>
                <w:rFonts w:ascii="Calibri Light" w:eastAsia="Times New Roman" w:hAnsi="Calibri Light" w:cs="Calibri Light"/>
                <w:b/>
                <w:bCs/>
                <w:color w:val="000000"/>
                <w:lang w:val="ro-MD"/>
              </w:rPr>
              <w:t>11</w:t>
            </w:r>
          </w:p>
        </w:tc>
        <w:tc>
          <w:tcPr>
            <w:tcW w:w="46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Biroul Național de Statistică</w:t>
            </w:r>
          </w:p>
        </w:tc>
        <w:tc>
          <w:tcPr>
            <w:tcW w:w="96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center"/>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0241</w:t>
            </w:r>
          </w:p>
        </w:tc>
        <w:tc>
          <w:tcPr>
            <w:tcW w:w="145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-0,94</w:t>
            </w:r>
          </w:p>
        </w:tc>
        <w:tc>
          <w:tcPr>
            <w:tcW w:w="146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-29,50</w:t>
            </w:r>
          </w:p>
        </w:tc>
        <w:tc>
          <w:tcPr>
            <w:tcW w:w="129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28,56</w:t>
            </w:r>
          </w:p>
        </w:tc>
      </w:tr>
      <w:tr w:rsidR="00E67099" w:rsidRPr="00E67099" w:rsidTr="00A36731">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b/>
                <w:bCs/>
                <w:color w:val="000000"/>
                <w:lang w:val="ro-MD"/>
              </w:rPr>
            </w:pPr>
            <w:r w:rsidRPr="00E67099">
              <w:rPr>
                <w:rFonts w:ascii="Calibri Light" w:eastAsia="Times New Roman" w:hAnsi="Calibri Light" w:cs="Calibri Light"/>
                <w:b/>
                <w:bCs/>
                <w:color w:val="000000"/>
                <w:lang w:val="ro-MD"/>
              </w:rPr>
              <w:t>12</w:t>
            </w:r>
          </w:p>
        </w:tc>
        <w:tc>
          <w:tcPr>
            <w:tcW w:w="46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 xml:space="preserve">Agenția Națională pentru Cercetare și Dezvoltare </w:t>
            </w:r>
          </w:p>
        </w:tc>
        <w:tc>
          <w:tcPr>
            <w:tcW w:w="96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center"/>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0250</w:t>
            </w:r>
          </w:p>
        </w:tc>
        <w:tc>
          <w:tcPr>
            <w:tcW w:w="145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-1.020,77</w:t>
            </w:r>
          </w:p>
        </w:tc>
        <w:tc>
          <w:tcPr>
            <w:tcW w:w="146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-1.388,76</w:t>
            </w:r>
          </w:p>
        </w:tc>
        <w:tc>
          <w:tcPr>
            <w:tcW w:w="129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367,99</w:t>
            </w:r>
          </w:p>
        </w:tc>
      </w:tr>
      <w:tr w:rsidR="00E67099" w:rsidRPr="00E67099" w:rsidTr="00A36731">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b/>
                <w:bCs/>
                <w:color w:val="000000"/>
                <w:lang w:val="ro-MD"/>
              </w:rPr>
            </w:pPr>
            <w:r w:rsidRPr="00E67099">
              <w:rPr>
                <w:rFonts w:ascii="Calibri Light" w:eastAsia="Times New Roman" w:hAnsi="Calibri Light" w:cs="Calibri Light"/>
                <w:b/>
                <w:bCs/>
                <w:color w:val="000000"/>
                <w:lang w:val="ro-MD"/>
              </w:rPr>
              <w:t>13</w:t>
            </w:r>
          </w:p>
        </w:tc>
        <w:tc>
          <w:tcPr>
            <w:tcW w:w="46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Agenția de Investiții</w:t>
            </w:r>
          </w:p>
        </w:tc>
        <w:tc>
          <w:tcPr>
            <w:tcW w:w="96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center"/>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0251</w:t>
            </w:r>
          </w:p>
        </w:tc>
        <w:tc>
          <w:tcPr>
            <w:tcW w:w="145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-2.274,77</w:t>
            </w:r>
          </w:p>
        </w:tc>
        <w:tc>
          <w:tcPr>
            <w:tcW w:w="146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0,00</w:t>
            </w:r>
          </w:p>
        </w:tc>
        <w:tc>
          <w:tcPr>
            <w:tcW w:w="129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-2.274,77</w:t>
            </w:r>
          </w:p>
        </w:tc>
      </w:tr>
      <w:tr w:rsidR="00E67099" w:rsidRPr="00E67099" w:rsidTr="00A36731">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b/>
                <w:bCs/>
                <w:color w:val="000000"/>
                <w:lang w:val="ro-MD"/>
              </w:rPr>
            </w:pPr>
            <w:r w:rsidRPr="00E67099">
              <w:rPr>
                <w:rFonts w:ascii="Calibri Light" w:eastAsia="Times New Roman" w:hAnsi="Calibri Light" w:cs="Calibri Light"/>
                <w:b/>
                <w:bCs/>
                <w:color w:val="000000"/>
                <w:lang w:val="ro-MD"/>
              </w:rPr>
              <w:t>14</w:t>
            </w:r>
          </w:p>
        </w:tc>
        <w:tc>
          <w:tcPr>
            <w:tcW w:w="46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Agenția Națională pentru Siguranța Alimentelor</w:t>
            </w:r>
          </w:p>
        </w:tc>
        <w:tc>
          <w:tcPr>
            <w:tcW w:w="96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center"/>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0275</w:t>
            </w:r>
          </w:p>
        </w:tc>
        <w:tc>
          <w:tcPr>
            <w:tcW w:w="145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-355,10</w:t>
            </w:r>
          </w:p>
        </w:tc>
        <w:tc>
          <w:tcPr>
            <w:tcW w:w="146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-184,29</w:t>
            </w:r>
          </w:p>
        </w:tc>
        <w:tc>
          <w:tcPr>
            <w:tcW w:w="146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-391,72</w:t>
            </w:r>
          </w:p>
        </w:tc>
        <w:tc>
          <w:tcPr>
            <w:tcW w:w="129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207,43</w:t>
            </w:r>
          </w:p>
        </w:tc>
      </w:tr>
      <w:tr w:rsidR="00E67099" w:rsidRPr="00E67099" w:rsidTr="00A36731">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b/>
                <w:bCs/>
                <w:color w:val="000000"/>
                <w:lang w:val="ro-MD"/>
              </w:rPr>
            </w:pPr>
            <w:r w:rsidRPr="00E67099">
              <w:rPr>
                <w:rFonts w:ascii="Calibri Light" w:eastAsia="Times New Roman" w:hAnsi="Calibri Light" w:cs="Calibri Light"/>
                <w:b/>
                <w:bCs/>
                <w:color w:val="000000"/>
                <w:lang w:val="ro-MD"/>
              </w:rPr>
              <w:t>15</w:t>
            </w:r>
          </w:p>
        </w:tc>
        <w:tc>
          <w:tcPr>
            <w:tcW w:w="46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Comisia Electorală Centrală</w:t>
            </w:r>
          </w:p>
        </w:tc>
        <w:tc>
          <w:tcPr>
            <w:tcW w:w="96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center"/>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0402</w:t>
            </w:r>
          </w:p>
        </w:tc>
        <w:tc>
          <w:tcPr>
            <w:tcW w:w="145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-510,35</w:t>
            </w:r>
          </w:p>
        </w:tc>
        <w:tc>
          <w:tcPr>
            <w:tcW w:w="146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-313,56</w:t>
            </w:r>
          </w:p>
        </w:tc>
        <w:tc>
          <w:tcPr>
            <w:tcW w:w="129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-196,79</w:t>
            </w:r>
          </w:p>
        </w:tc>
      </w:tr>
      <w:tr w:rsidR="00E67099" w:rsidRPr="00E67099" w:rsidTr="00A36731">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b/>
                <w:bCs/>
                <w:color w:val="000000"/>
                <w:lang w:val="ro-MD"/>
              </w:rPr>
            </w:pPr>
            <w:r w:rsidRPr="00E67099">
              <w:rPr>
                <w:rFonts w:ascii="Calibri Light" w:eastAsia="Times New Roman" w:hAnsi="Calibri Light" w:cs="Calibri Light"/>
                <w:b/>
                <w:bCs/>
                <w:color w:val="000000"/>
                <w:lang w:val="ro-MD"/>
              </w:rPr>
              <w:t>16</w:t>
            </w:r>
          </w:p>
        </w:tc>
        <w:tc>
          <w:tcPr>
            <w:tcW w:w="46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Serviciul de Protecție și Pază de Stat</w:t>
            </w:r>
          </w:p>
        </w:tc>
        <w:tc>
          <w:tcPr>
            <w:tcW w:w="96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center"/>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0408</w:t>
            </w:r>
          </w:p>
        </w:tc>
        <w:tc>
          <w:tcPr>
            <w:tcW w:w="145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-2.042,76</w:t>
            </w:r>
          </w:p>
        </w:tc>
        <w:tc>
          <w:tcPr>
            <w:tcW w:w="146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-337,13</w:t>
            </w:r>
          </w:p>
        </w:tc>
        <w:tc>
          <w:tcPr>
            <w:tcW w:w="129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-1.705,63</w:t>
            </w:r>
          </w:p>
        </w:tc>
      </w:tr>
      <w:tr w:rsidR="00E67099" w:rsidRPr="00E67099" w:rsidTr="00A36731">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b/>
                <w:bCs/>
                <w:color w:val="000000"/>
                <w:lang w:val="ro-MD"/>
              </w:rPr>
            </w:pPr>
            <w:r w:rsidRPr="00E67099">
              <w:rPr>
                <w:rFonts w:ascii="Calibri Light" w:eastAsia="Times New Roman" w:hAnsi="Calibri Light" w:cs="Calibri Light"/>
                <w:b/>
                <w:bCs/>
                <w:color w:val="000000"/>
                <w:lang w:val="ro-MD"/>
              </w:rPr>
              <w:t>17</w:t>
            </w:r>
          </w:p>
        </w:tc>
        <w:tc>
          <w:tcPr>
            <w:tcW w:w="46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Academia de Științe a Moldovei</w:t>
            </w:r>
          </w:p>
        </w:tc>
        <w:tc>
          <w:tcPr>
            <w:tcW w:w="96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center"/>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0501</w:t>
            </w:r>
          </w:p>
        </w:tc>
        <w:tc>
          <w:tcPr>
            <w:tcW w:w="145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-272,59</w:t>
            </w:r>
          </w:p>
        </w:tc>
        <w:tc>
          <w:tcPr>
            <w:tcW w:w="146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-421,42</w:t>
            </w:r>
          </w:p>
        </w:tc>
        <w:tc>
          <w:tcPr>
            <w:tcW w:w="129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148,83</w:t>
            </w:r>
          </w:p>
        </w:tc>
      </w:tr>
      <w:tr w:rsidR="00E67099" w:rsidRPr="00E67099" w:rsidTr="00A36731">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b/>
                <w:bCs/>
                <w:color w:val="000000"/>
                <w:lang w:val="ro-MD"/>
              </w:rPr>
            </w:pPr>
            <w:r w:rsidRPr="00E67099">
              <w:rPr>
                <w:rFonts w:ascii="Calibri Light" w:eastAsia="Times New Roman" w:hAnsi="Calibri Light" w:cs="Calibri Light"/>
                <w:b/>
                <w:bCs/>
                <w:color w:val="000000"/>
                <w:lang w:val="ro-MD"/>
              </w:rPr>
              <w:t>18</w:t>
            </w:r>
          </w:p>
        </w:tc>
        <w:tc>
          <w:tcPr>
            <w:tcW w:w="46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Fondul de Investiții Sociale</w:t>
            </w:r>
          </w:p>
        </w:tc>
        <w:tc>
          <w:tcPr>
            <w:tcW w:w="96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center"/>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0504</w:t>
            </w:r>
          </w:p>
        </w:tc>
        <w:tc>
          <w:tcPr>
            <w:tcW w:w="145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-18.565,60</w:t>
            </w:r>
          </w:p>
        </w:tc>
        <w:tc>
          <w:tcPr>
            <w:tcW w:w="146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-59.951,10</w:t>
            </w:r>
          </w:p>
        </w:tc>
        <w:tc>
          <w:tcPr>
            <w:tcW w:w="146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-86.683,48</w:t>
            </w:r>
          </w:p>
        </w:tc>
        <w:tc>
          <w:tcPr>
            <w:tcW w:w="146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-106.011,45</w:t>
            </w:r>
          </w:p>
        </w:tc>
        <w:tc>
          <w:tcPr>
            <w:tcW w:w="129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19.327,97</w:t>
            </w:r>
          </w:p>
        </w:tc>
      </w:tr>
      <w:tr w:rsidR="00E67099" w:rsidRPr="00E67099" w:rsidTr="00A36731">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b/>
                <w:bCs/>
                <w:color w:val="000000"/>
                <w:lang w:val="ro-MD"/>
              </w:rPr>
            </w:pPr>
            <w:r w:rsidRPr="00E67099">
              <w:rPr>
                <w:rFonts w:ascii="Calibri Light" w:eastAsia="Times New Roman" w:hAnsi="Calibri Light" w:cs="Calibri Light"/>
                <w:b/>
                <w:bCs/>
                <w:color w:val="000000"/>
                <w:lang w:val="ro-MD"/>
              </w:rPr>
              <w:t>19</w:t>
            </w:r>
          </w:p>
        </w:tc>
        <w:tc>
          <w:tcPr>
            <w:tcW w:w="46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Fondul de dezvoltare durabilă Moldova</w:t>
            </w:r>
          </w:p>
        </w:tc>
        <w:tc>
          <w:tcPr>
            <w:tcW w:w="96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center"/>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0505</w:t>
            </w:r>
          </w:p>
        </w:tc>
        <w:tc>
          <w:tcPr>
            <w:tcW w:w="145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-41.793,20</w:t>
            </w:r>
          </w:p>
        </w:tc>
        <w:tc>
          <w:tcPr>
            <w:tcW w:w="146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-60.042,60</w:t>
            </w:r>
          </w:p>
        </w:tc>
        <w:tc>
          <w:tcPr>
            <w:tcW w:w="146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-77.947,18</w:t>
            </w:r>
          </w:p>
        </w:tc>
        <w:tc>
          <w:tcPr>
            <w:tcW w:w="146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-72.969,43</w:t>
            </w:r>
          </w:p>
        </w:tc>
        <w:tc>
          <w:tcPr>
            <w:tcW w:w="129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-4.977,75</w:t>
            </w:r>
          </w:p>
        </w:tc>
      </w:tr>
      <w:tr w:rsidR="00E67099" w:rsidRPr="00E67099" w:rsidTr="00A36731">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Calibri Light" w:eastAsia="Times New Roman" w:hAnsi="Calibri Light" w:cs="Calibri Light"/>
                <w:color w:val="000000"/>
                <w:lang w:val="ro-MD"/>
              </w:rPr>
            </w:pPr>
            <w:r w:rsidRPr="00E67099">
              <w:rPr>
                <w:rFonts w:ascii="Calibri Light" w:eastAsia="Times New Roman" w:hAnsi="Calibri Light" w:cs="Calibri Light"/>
                <w:color w:val="000000"/>
                <w:lang w:val="ro-MD"/>
              </w:rPr>
              <w:t> </w:t>
            </w:r>
          </w:p>
        </w:tc>
        <w:tc>
          <w:tcPr>
            <w:tcW w:w="46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Calibri Light" w:eastAsia="Times New Roman" w:hAnsi="Calibri Light" w:cs="Calibri Light"/>
                <w:b/>
                <w:color w:val="000000"/>
                <w:lang w:val="ro-MD"/>
              </w:rPr>
            </w:pPr>
            <w:r w:rsidRPr="00E67099">
              <w:rPr>
                <w:rFonts w:ascii="Calibri Light" w:eastAsia="Times New Roman" w:hAnsi="Calibri Light" w:cs="Calibri Light"/>
                <w:b/>
                <w:color w:val="000000"/>
                <w:lang w:val="ro-MD"/>
              </w:rPr>
              <w:t> TOTAL</w:t>
            </w:r>
          </w:p>
        </w:tc>
        <w:tc>
          <w:tcPr>
            <w:tcW w:w="96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center"/>
              <w:rPr>
                <w:rFonts w:ascii="Calibri Light" w:eastAsia="Times New Roman" w:hAnsi="Calibri Light" w:cs="Calibri Light"/>
                <w:color w:val="000000"/>
                <w:lang w:val="ro-MD"/>
              </w:rPr>
            </w:pPr>
          </w:p>
        </w:tc>
        <w:tc>
          <w:tcPr>
            <w:tcW w:w="145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b/>
                <w:bCs/>
                <w:color w:val="000000"/>
                <w:lang w:val="ro-MD"/>
              </w:rPr>
            </w:pPr>
            <w:r w:rsidRPr="00E67099">
              <w:rPr>
                <w:rFonts w:ascii="Calibri Light" w:eastAsia="Times New Roman" w:hAnsi="Calibri Light" w:cs="Calibri Light"/>
                <w:b/>
                <w:bCs/>
                <w:color w:val="000000"/>
                <w:lang w:val="ro-MD"/>
              </w:rPr>
              <w:t>-290.000,90</w:t>
            </w:r>
          </w:p>
        </w:tc>
        <w:tc>
          <w:tcPr>
            <w:tcW w:w="146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b/>
                <w:bCs/>
                <w:color w:val="000000" w:themeColor="text1"/>
                <w:lang w:val="ro-MD"/>
              </w:rPr>
            </w:pPr>
            <w:r w:rsidRPr="00E67099">
              <w:rPr>
                <w:rFonts w:ascii="Calibri Light" w:eastAsia="Times New Roman" w:hAnsi="Calibri Light" w:cs="Calibri Light"/>
                <w:b/>
                <w:bCs/>
                <w:color w:val="000000" w:themeColor="text1"/>
                <w:lang w:val="ro-MD"/>
              </w:rPr>
              <w:t>-1.010.972,20</w:t>
            </w:r>
          </w:p>
        </w:tc>
        <w:tc>
          <w:tcPr>
            <w:tcW w:w="146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b/>
                <w:bCs/>
                <w:color w:val="000000" w:themeColor="text1"/>
                <w:lang w:val="ro-MD"/>
              </w:rPr>
            </w:pPr>
            <w:r w:rsidRPr="00E67099">
              <w:rPr>
                <w:rFonts w:ascii="Calibri Light" w:eastAsia="Times New Roman" w:hAnsi="Calibri Light" w:cs="Calibri Light"/>
                <w:b/>
                <w:bCs/>
                <w:color w:val="000000" w:themeColor="text1"/>
                <w:lang w:val="ro-MD"/>
              </w:rPr>
              <w:t>-1.150.470,13</w:t>
            </w:r>
          </w:p>
        </w:tc>
        <w:tc>
          <w:tcPr>
            <w:tcW w:w="146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b/>
                <w:bCs/>
                <w:color w:val="000000" w:themeColor="text1"/>
                <w:lang w:val="ro-MD"/>
              </w:rPr>
            </w:pPr>
            <w:r w:rsidRPr="00E67099">
              <w:rPr>
                <w:rFonts w:ascii="Calibri Light" w:eastAsia="Times New Roman" w:hAnsi="Calibri Light" w:cs="Calibri Light"/>
                <w:b/>
                <w:bCs/>
                <w:color w:val="000000" w:themeColor="text1"/>
                <w:lang w:val="ro-MD"/>
              </w:rPr>
              <w:t>-1.142.420,89</w:t>
            </w:r>
          </w:p>
        </w:tc>
        <w:tc>
          <w:tcPr>
            <w:tcW w:w="129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Calibri Light" w:eastAsia="Times New Roman" w:hAnsi="Calibri Light" w:cs="Calibri Light"/>
                <w:b/>
                <w:bCs/>
                <w:color w:val="000000"/>
                <w:lang w:val="ro-MD"/>
              </w:rPr>
            </w:pPr>
            <w:r w:rsidRPr="00E67099">
              <w:rPr>
                <w:rFonts w:ascii="Calibri Light" w:eastAsia="Times New Roman" w:hAnsi="Calibri Light" w:cs="Calibri Light"/>
                <w:b/>
                <w:bCs/>
                <w:color w:val="000000"/>
                <w:lang w:val="ro-MD"/>
              </w:rPr>
              <w:t>-8.049,24</w:t>
            </w:r>
          </w:p>
        </w:tc>
      </w:tr>
    </w:tbl>
    <w:p w:rsidR="00E67099" w:rsidRPr="00E67099" w:rsidRDefault="00E67099" w:rsidP="00E67099">
      <w:pPr>
        <w:tabs>
          <w:tab w:val="left" w:pos="993"/>
        </w:tabs>
        <w:jc w:val="both"/>
        <w:rPr>
          <w:rFonts w:asciiTheme="majorHAnsi" w:hAnsiTheme="majorHAnsi" w:cstheme="majorHAnsi"/>
          <w:i/>
          <w:sz w:val="20"/>
          <w:szCs w:val="20"/>
        </w:rPr>
      </w:pPr>
      <w:r w:rsidRPr="00E67099">
        <w:rPr>
          <w:rFonts w:asciiTheme="majorHAnsi" w:hAnsiTheme="majorHAnsi" w:cstheme="majorHAnsi"/>
          <w:b/>
          <w:i/>
          <w:sz w:val="20"/>
          <w:szCs w:val="20"/>
        </w:rPr>
        <w:t>Sursă:</w:t>
      </w:r>
      <w:r w:rsidRPr="00E67099">
        <w:rPr>
          <w:rFonts w:asciiTheme="majorHAnsi" w:hAnsiTheme="majorHAnsi" w:cstheme="majorHAnsi"/>
          <w:i/>
          <w:sz w:val="20"/>
          <w:szCs w:val="20"/>
        </w:rPr>
        <w:t xml:space="preserve"> Raportul privind sinteza proiectelor finanțate din surse externe, incluse în buget la situația din 31.12.2019.</w:t>
      </w:r>
    </w:p>
    <w:p w:rsidR="00E67099" w:rsidRPr="00E67099" w:rsidRDefault="00E67099" w:rsidP="00E67099">
      <w:pPr>
        <w:shd w:val="clear" w:color="auto" w:fill="FFFFFF" w:themeFill="background1"/>
        <w:tabs>
          <w:tab w:val="left" w:pos="284"/>
          <w:tab w:val="left" w:pos="993"/>
          <w:tab w:val="left" w:pos="6663"/>
        </w:tabs>
        <w:spacing w:after="0" w:line="276" w:lineRule="auto"/>
        <w:ind w:left="1440"/>
        <w:contextualSpacing/>
        <w:jc w:val="right"/>
        <w:rPr>
          <w:rFonts w:asciiTheme="majorHAnsi" w:eastAsia="Times New Roman" w:hAnsiTheme="majorHAnsi" w:cstheme="majorHAnsi"/>
          <w:b/>
          <w:i/>
          <w:sz w:val="24"/>
          <w:szCs w:val="24"/>
        </w:rPr>
      </w:pPr>
      <w:r w:rsidRPr="00E67099">
        <w:rPr>
          <w:rFonts w:asciiTheme="majorHAnsi" w:eastAsia="Times New Roman" w:hAnsiTheme="majorHAnsi" w:cstheme="majorHAnsi"/>
          <w:b/>
          <w:i/>
          <w:sz w:val="24"/>
          <w:szCs w:val="24"/>
        </w:rPr>
        <w:t>Anexa nr.11</w:t>
      </w:r>
    </w:p>
    <w:p w:rsidR="00E67099" w:rsidRPr="00E67099" w:rsidRDefault="00E67099" w:rsidP="00E67099">
      <w:pPr>
        <w:spacing w:after="0" w:line="276" w:lineRule="auto"/>
        <w:ind w:firstLine="567"/>
        <w:jc w:val="center"/>
        <w:rPr>
          <w:rFonts w:asciiTheme="majorHAnsi" w:eastAsia="Times New Roman" w:hAnsiTheme="majorHAnsi" w:cstheme="majorHAnsi"/>
          <w:b/>
          <w:sz w:val="24"/>
          <w:szCs w:val="24"/>
        </w:rPr>
      </w:pPr>
      <w:r w:rsidRPr="00E67099">
        <w:rPr>
          <w:rFonts w:asciiTheme="majorHAnsi" w:eastAsia="Times New Roman" w:hAnsiTheme="majorHAnsi" w:cstheme="majorHAnsi"/>
          <w:b/>
          <w:sz w:val="24"/>
          <w:szCs w:val="24"/>
        </w:rPr>
        <w:t>Informația privind executarea granturilor, pe donatori</w:t>
      </w:r>
    </w:p>
    <w:p w:rsidR="00E67099" w:rsidRPr="00E67099" w:rsidRDefault="00E67099" w:rsidP="00E67099">
      <w:pPr>
        <w:shd w:val="clear" w:color="auto" w:fill="FFFFFF" w:themeFill="background1"/>
        <w:tabs>
          <w:tab w:val="left" w:pos="284"/>
          <w:tab w:val="left" w:pos="993"/>
          <w:tab w:val="left" w:pos="6663"/>
        </w:tabs>
        <w:spacing w:after="0" w:line="276" w:lineRule="auto"/>
        <w:ind w:left="1440"/>
        <w:contextualSpacing/>
        <w:jc w:val="right"/>
        <w:rPr>
          <w:rFonts w:asciiTheme="majorHAnsi" w:eastAsia="Times New Roman" w:hAnsiTheme="majorHAnsi" w:cstheme="majorHAnsi"/>
          <w:b/>
          <w:sz w:val="24"/>
          <w:szCs w:val="24"/>
        </w:rPr>
      </w:pPr>
      <w:r w:rsidRPr="00E67099">
        <w:rPr>
          <w:rFonts w:asciiTheme="majorHAnsi" w:eastAsia="Times New Roman" w:hAnsiTheme="majorHAnsi" w:cstheme="majorHAnsi"/>
          <w:b/>
          <w:sz w:val="24"/>
          <w:szCs w:val="24"/>
        </w:rPr>
        <w:t>(mii lei)</w:t>
      </w:r>
    </w:p>
    <w:tbl>
      <w:tblPr>
        <w:tblW w:w="13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962"/>
        <w:gridCol w:w="927"/>
        <w:gridCol w:w="1222"/>
        <w:gridCol w:w="1217"/>
        <w:gridCol w:w="1217"/>
        <w:gridCol w:w="1326"/>
        <w:gridCol w:w="828"/>
        <w:gridCol w:w="1274"/>
      </w:tblGrid>
      <w:tr w:rsidR="00E67099" w:rsidRPr="00E67099" w:rsidTr="00A36731">
        <w:trPr>
          <w:trHeight w:val="576"/>
        </w:trPr>
        <w:tc>
          <w:tcPr>
            <w:tcW w:w="562" w:type="dxa"/>
            <w:vMerge w:val="restart"/>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b/>
                <w:sz w:val="24"/>
                <w:szCs w:val="24"/>
                <w:lang w:val="ro-MD"/>
              </w:rPr>
            </w:pPr>
            <w:r w:rsidRPr="00E67099">
              <w:rPr>
                <w:rFonts w:asciiTheme="majorHAnsi" w:eastAsia="Times New Roman" w:hAnsiTheme="majorHAnsi" w:cstheme="majorHAnsi"/>
                <w:b/>
                <w:sz w:val="24"/>
                <w:szCs w:val="24"/>
                <w:lang w:val="ro-MD"/>
              </w:rPr>
              <w:t>Nr. d/o</w:t>
            </w:r>
          </w:p>
        </w:tc>
        <w:tc>
          <w:tcPr>
            <w:tcW w:w="4962" w:type="dxa"/>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b/>
                <w:bCs/>
                <w:color w:val="000000"/>
                <w:lang w:val="ro-MD"/>
              </w:rPr>
            </w:pPr>
            <w:r w:rsidRPr="00E67099">
              <w:rPr>
                <w:rFonts w:asciiTheme="majorHAnsi" w:eastAsia="Times New Roman" w:hAnsiTheme="majorHAnsi" w:cstheme="majorHAnsi"/>
                <w:b/>
                <w:bCs/>
                <w:color w:val="000000"/>
                <w:lang w:val="ro-MD"/>
              </w:rPr>
              <w:t>Donatorii</w:t>
            </w:r>
          </w:p>
        </w:tc>
        <w:tc>
          <w:tcPr>
            <w:tcW w:w="927" w:type="dxa"/>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b/>
                <w:bCs/>
                <w:color w:val="000000"/>
                <w:lang w:val="ro-MD"/>
              </w:rPr>
            </w:pPr>
            <w:r w:rsidRPr="00E67099">
              <w:rPr>
                <w:rFonts w:asciiTheme="majorHAnsi" w:eastAsia="Times New Roman" w:hAnsiTheme="majorHAnsi" w:cstheme="majorHAnsi"/>
                <w:b/>
                <w:bCs/>
                <w:color w:val="000000"/>
                <w:lang w:val="ro-MD"/>
              </w:rPr>
              <w:t>Cod donator</w:t>
            </w:r>
          </w:p>
        </w:tc>
        <w:tc>
          <w:tcPr>
            <w:tcW w:w="1222" w:type="dxa"/>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b/>
                <w:bCs/>
                <w:color w:val="000000"/>
                <w:lang w:val="ro-MD"/>
              </w:rPr>
            </w:pPr>
            <w:r w:rsidRPr="00E67099">
              <w:rPr>
                <w:rFonts w:asciiTheme="majorHAnsi" w:eastAsia="Times New Roman" w:hAnsiTheme="majorHAnsi" w:cstheme="majorHAnsi"/>
                <w:b/>
                <w:bCs/>
                <w:color w:val="000000"/>
                <w:lang w:val="ro-MD"/>
              </w:rPr>
              <w:t>Aprobat</w:t>
            </w:r>
          </w:p>
        </w:tc>
        <w:tc>
          <w:tcPr>
            <w:tcW w:w="1217" w:type="dxa"/>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b/>
                <w:bCs/>
                <w:color w:val="000000"/>
                <w:lang w:val="ro-MD"/>
              </w:rPr>
            </w:pPr>
            <w:r w:rsidRPr="00E67099">
              <w:rPr>
                <w:rFonts w:asciiTheme="majorHAnsi" w:eastAsia="Times New Roman" w:hAnsiTheme="majorHAnsi" w:cstheme="majorHAnsi"/>
                <w:b/>
                <w:bCs/>
                <w:color w:val="000000"/>
                <w:lang w:val="ro-MD"/>
              </w:rPr>
              <w:t>Precizat</w:t>
            </w:r>
          </w:p>
        </w:tc>
        <w:tc>
          <w:tcPr>
            <w:tcW w:w="1217" w:type="dxa"/>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b/>
                <w:bCs/>
                <w:color w:val="000000"/>
                <w:lang w:val="ro-MD"/>
              </w:rPr>
            </w:pPr>
            <w:r w:rsidRPr="00E67099">
              <w:rPr>
                <w:rFonts w:asciiTheme="majorHAnsi" w:eastAsia="Times New Roman" w:hAnsiTheme="majorHAnsi" w:cstheme="majorHAnsi"/>
                <w:b/>
                <w:bCs/>
                <w:color w:val="000000"/>
                <w:lang w:val="ro-MD"/>
              </w:rPr>
              <w:t>Executat</w:t>
            </w:r>
          </w:p>
        </w:tc>
        <w:tc>
          <w:tcPr>
            <w:tcW w:w="2154" w:type="dxa"/>
            <w:gridSpan w:val="2"/>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b/>
                <w:bCs/>
                <w:color w:val="000000"/>
                <w:lang w:val="ro-MD"/>
              </w:rPr>
            </w:pPr>
            <w:r w:rsidRPr="00E67099">
              <w:rPr>
                <w:rFonts w:asciiTheme="majorHAnsi" w:eastAsia="Times New Roman" w:hAnsiTheme="majorHAnsi" w:cstheme="majorHAnsi"/>
                <w:b/>
                <w:bCs/>
                <w:color w:val="000000"/>
                <w:lang w:val="ro-MD"/>
              </w:rPr>
              <w:t>Devieri (+/-); (%)</w:t>
            </w:r>
          </w:p>
        </w:tc>
        <w:tc>
          <w:tcPr>
            <w:tcW w:w="1274" w:type="dxa"/>
            <w:shd w:val="clear" w:color="auto" w:fill="auto"/>
            <w:vAlign w:val="center"/>
            <w:hideMark/>
          </w:tcPr>
          <w:p w:rsidR="00E67099" w:rsidRPr="00E67099" w:rsidRDefault="00E67099" w:rsidP="00E67099">
            <w:pPr>
              <w:spacing w:after="0" w:line="240" w:lineRule="auto"/>
              <w:jc w:val="center"/>
              <w:rPr>
                <w:rFonts w:asciiTheme="majorHAnsi" w:eastAsia="Times New Roman" w:hAnsiTheme="majorHAnsi" w:cstheme="majorHAnsi"/>
                <w:b/>
                <w:bCs/>
                <w:color w:val="000000"/>
                <w:lang w:val="ro-MD"/>
              </w:rPr>
            </w:pPr>
            <w:r w:rsidRPr="00E67099">
              <w:rPr>
                <w:rFonts w:asciiTheme="majorHAnsi" w:eastAsia="Times New Roman" w:hAnsiTheme="majorHAnsi" w:cstheme="majorHAnsi"/>
                <w:b/>
                <w:bCs/>
                <w:color w:val="000000"/>
                <w:lang w:val="ro-MD"/>
              </w:rPr>
              <w:t>Executat în anul 2018</w:t>
            </w:r>
          </w:p>
        </w:tc>
      </w:tr>
      <w:tr w:rsidR="00E67099" w:rsidRPr="00E67099" w:rsidTr="00A36731">
        <w:trPr>
          <w:trHeight w:val="288"/>
        </w:trPr>
        <w:tc>
          <w:tcPr>
            <w:tcW w:w="562" w:type="dxa"/>
            <w:vMerge/>
            <w:shd w:val="clear" w:color="auto" w:fill="auto"/>
            <w:noWrap/>
            <w:vAlign w:val="bottom"/>
            <w:hideMark/>
          </w:tcPr>
          <w:p w:rsidR="00E67099" w:rsidRPr="00E67099" w:rsidRDefault="00E67099" w:rsidP="00E67099">
            <w:pPr>
              <w:spacing w:after="0" w:line="240" w:lineRule="auto"/>
              <w:jc w:val="center"/>
              <w:rPr>
                <w:rFonts w:asciiTheme="majorHAnsi" w:eastAsia="Times New Roman" w:hAnsiTheme="majorHAnsi" w:cstheme="majorHAnsi"/>
                <w:bCs/>
                <w:i/>
                <w:color w:val="000000"/>
                <w:sz w:val="16"/>
                <w:szCs w:val="16"/>
                <w:lang w:val="ro-MD"/>
              </w:rPr>
            </w:pPr>
          </w:p>
        </w:tc>
        <w:tc>
          <w:tcPr>
            <w:tcW w:w="4962" w:type="dxa"/>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i/>
                <w:color w:val="000000"/>
                <w:sz w:val="16"/>
                <w:szCs w:val="16"/>
                <w:lang w:val="ro-MD"/>
              </w:rPr>
            </w:pPr>
            <w:r w:rsidRPr="00E67099">
              <w:rPr>
                <w:rFonts w:asciiTheme="majorHAnsi" w:eastAsia="Times New Roman" w:hAnsiTheme="majorHAnsi" w:cstheme="majorHAnsi"/>
                <w:i/>
                <w:color w:val="000000"/>
                <w:sz w:val="16"/>
                <w:szCs w:val="16"/>
                <w:lang w:val="ro-MD"/>
              </w:rPr>
              <w:t>1</w:t>
            </w:r>
          </w:p>
        </w:tc>
        <w:tc>
          <w:tcPr>
            <w:tcW w:w="927" w:type="dxa"/>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i/>
                <w:color w:val="000000"/>
                <w:sz w:val="16"/>
                <w:szCs w:val="16"/>
                <w:lang w:val="ro-MD"/>
              </w:rPr>
            </w:pPr>
            <w:r w:rsidRPr="00E67099">
              <w:rPr>
                <w:rFonts w:asciiTheme="majorHAnsi" w:eastAsia="Times New Roman" w:hAnsiTheme="majorHAnsi" w:cstheme="majorHAnsi"/>
                <w:i/>
                <w:color w:val="000000"/>
                <w:sz w:val="16"/>
                <w:szCs w:val="16"/>
                <w:lang w:val="ro-MD"/>
              </w:rPr>
              <w:t>2</w:t>
            </w:r>
          </w:p>
        </w:tc>
        <w:tc>
          <w:tcPr>
            <w:tcW w:w="1222" w:type="dxa"/>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bCs/>
                <w:i/>
                <w:color w:val="000000"/>
                <w:sz w:val="16"/>
                <w:szCs w:val="16"/>
                <w:lang w:val="ro-MD"/>
              </w:rPr>
            </w:pPr>
            <w:r w:rsidRPr="00E67099">
              <w:rPr>
                <w:rFonts w:asciiTheme="majorHAnsi" w:eastAsia="Times New Roman" w:hAnsiTheme="majorHAnsi" w:cstheme="majorHAnsi"/>
                <w:bCs/>
                <w:i/>
                <w:color w:val="000000"/>
                <w:sz w:val="16"/>
                <w:szCs w:val="16"/>
                <w:lang w:val="ro-MD"/>
              </w:rPr>
              <w:t>3</w:t>
            </w:r>
          </w:p>
        </w:tc>
        <w:tc>
          <w:tcPr>
            <w:tcW w:w="1217" w:type="dxa"/>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bCs/>
                <w:i/>
                <w:color w:val="000000"/>
                <w:sz w:val="16"/>
                <w:szCs w:val="16"/>
                <w:lang w:val="ro-MD"/>
              </w:rPr>
            </w:pPr>
            <w:r w:rsidRPr="00E67099">
              <w:rPr>
                <w:rFonts w:asciiTheme="majorHAnsi" w:eastAsia="Times New Roman" w:hAnsiTheme="majorHAnsi" w:cstheme="majorHAnsi"/>
                <w:bCs/>
                <w:i/>
                <w:color w:val="000000"/>
                <w:sz w:val="16"/>
                <w:szCs w:val="16"/>
                <w:lang w:val="ro-MD"/>
              </w:rPr>
              <w:t>4</w:t>
            </w:r>
          </w:p>
        </w:tc>
        <w:tc>
          <w:tcPr>
            <w:tcW w:w="1217" w:type="dxa"/>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bCs/>
                <w:i/>
                <w:color w:val="000000"/>
                <w:sz w:val="16"/>
                <w:szCs w:val="16"/>
                <w:lang w:val="ro-MD"/>
              </w:rPr>
            </w:pPr>
            <w:r w:rsidRPr="00E67099">
              <w:rPr>
                <w:rFonts w:asciiTheme="majorHAnsi" w:eastAsia="Times New Roman" w:hAnsiTheme="majorHAnsi" w:cstheme="majorHAnsi"/>
                <w:bCs/>
                <w:i/>
                <w:color w:val="000000"/>
                <w:sz w:val="16"/>
                <w:szCs w:val="16"/>
                <w:lang w:val="ro-MD"/>
              </w:rPr>
              <w:t>5</w:t>
            </w:r>
          </w:p>
        </w:tc>
        <w:tc>
          <w:tcPr>
            <w:tcW w:w="1326" w:type="dxa"/>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bCs/>
                <w:i/>
                <w:color w:val="000000"/>
                <w:sz w:val="16"/>
                <w:szCs w:val="16"/>
                <w:lang w:val="ro-MD"/>
              </w:rPr>
            </w:pPr>
            <w:r w:rsidRPr="00E67099">
              <w:rPr>
                <w:rFonts w:asciiTheme="majorHAnsi" w:eastAsia="Times New Roman" w:hAnsiTheme="majorHAnsi" w:cstheme="majorHAnsi"/>
                <w:bCs/>
                <w:i/>
                <w:color w:val="000000"/>
                <w:sz w:val="16"/>
                <w:szCs w:val="16"/>
                <w:lang w:val="ro-MD"/>
              </w:rPr>
              <w:t>6=5-4</w:t>
            </w:r>
          </w:p>
        </w:tc>
        <w:tc>
          <w:tcPr>
            <w:tcW w:w="828" w:type="dxa"/>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bCs/>
                <w:i/>
                <w:color w:val="000000"/>
                <w:sz w:val="16"/>
                <w:szCs w:val="16"/>
                <w:lang w:val="ro-MD"/>
              </w:rPr>
            </w:pPr>
            <w:r w:rsidRPr="00E67099">
              <w:rPr>
                <w:rFonts w:asciiTheme="majorHAnsi" w:eastAsia="Times New Roman" w:hAnsiTheme="majorHAnsi" w:cstheme="majorHAnsi"/>
                <w:bCs/>
                <w:i/>
                <w:color w:val="000000"/>
                <w:sz w:val="16"/>
                <w:szCs w:val="16"/>
                <w:lang w:val="ro-MD"/>
              </w:rPr>
              <w:t>7=5/4</w:t>
            </w:r>
          </w:p>
        </w:tc>
        <w:tc>
          <w:tcPr>
            <w:tcW w:w="1274" w:type="dxa"/>
            <w:shd w:val="clear" w:color="auto" w:fill="auto"/>
            <w:vAlign w:val="center"/>
            <w:hideMark/>
          </w:tcPr>
          <w:p w:rsidR="00E67099" w:rsidRPr="00E67099" w:rsidRDefault="00E67099" w:rsidP="00E67099">
            <w:pPr>
              <w:spacing w:after="0" w:line="240" w:lineRule="auto"/>
              <w:jc w:val="center"/>
              <w:rPr>
                <w:rFonts w:asciiTheme="majorHAnsi" w:eastAsia="Times New Roman" w:hAnsiTheme="majorHAnsi" w:cstheme="majorHAnsi"/>
                <w:bCs/>
                <w:i/>
                <w:color w:val="000000"/>
                <w:sz w:val="16"/>
                <w:szCs w:val="16"/>
                <w:lang w:val="ro-MD"/>
              </w:rPr>
            </w:pPr>
            <w:r w:rsidRPr="00E67099">
              <w:rPr>
                <w:rFonts w:asciiTheme="majorHAnsi" w:eastAsia="Times New Roman" w:hAnsiTheme="majorHAnsi" w:cstheme="majorHAnsi"/>
                <w:bCs/>
                <w:i/>
                <w:color w:val="000000"/>
                <w:sz w:val="16"/>
                <w:szCs w:val="16"/>
                <w:lang w:val="ro-MD"/>
              </w:rPr>
              <w:t>8</w:t>
            </w:r>
          </w:p>
        </w:tc>
      </w:tr>
      <w:tr w:rsidR="00E67099" w:rsidRPr="00E67099" w:rsidTr="00A36731">
        <w:trPr>
          <w:trHeight w:val="612"/>
        </w:trPr>
        <w:tc>
          <w:tcPr>
            <w:tcW w:w="562" w:type="dxa"/>
            <w:shd w:val="clear" w:color="auto" w:fill="D5DCE4" w:themeFill="text2" w:themeFillTint="33"/>
            <w:noWrap/>
            <w:vAlign w:val="bottom"/>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1</w:t>
            </w:r>
          </w:p>
        </w:tc>
        <w:tc>
          <w:tcPr>
            <w:tcW w:w="4962" w:type="dxa"/>
            <w:shd w:val="clear" w:color="auto" w:fill="D5DCE4" w:themeFill="text2" w:themeFillTint="33"/>
            <w:vAlign w:val="center"/>
            <w:hideMark/>
          </w:tcPr>
          <w:p w:rsidR="00E67099" w:rsidRPr="00E67099" w:rsidRDefault="00E67099" w:rsidP="00E67099">
            <w:pPr>
              <w:spacing w:after="0" w:line="240" w:lineRule="auto"/>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Organizația de Dezvoltare Industrială a Națiunilor Unite (UNIDO)</w:t>
            </w:r>
          </w:p>
        </w:tc>
        <w:tc>
          <w:tcPr>
            <w:tcW w:w="927" w:type="dxa"/>
            <w:shd w:val="clear" w:color="auto" w:fill="D5DCE4" w:themeFill="text2" w:themeFillTint="33"/>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2013</w:t>
            </w:r>
          </w:p>
        </w:tc>
        <w:tc>
          <w:tcPr>
            <w:tcW w:w="1222" w:type="dxa"/>
            <w:shd w:val="clear" w:color="auto" w:fill="D5DCE4" w:themeFill="text2" w:themeFillTint="33"/>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791,20</w:t>
            </w:r>
          </w:p>
        </w:tc>
        <w:tc>
          <w:tcPr>
            <w:tcW w:w="1217" w:type="dxa"/>
            <w:shd w:val="clear" w:color="auto" w:fill="D5DCE4" w:themeFill="text2" w:themeFillTint="33"/>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791,20</w:t>
            </w:r>
          </w:p>
        </w:tc>
        <w:tc>
          <w:tcPr>
            <w:tcW w:w="1217" w:type="dxa"/>
            <w:shd w:val="clear" w:color="auto" w:fill="D5DCE4" w:themeFill="text2" w:themeFillTint="33"/>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0,00</w:t>
            </w:r>
          </w:p>
        </w:tc>
        <w:tc>
          <w:tcPr>
            <w:tcW w:w="1326" w:type="dxa"/>
            <w:shd w:val="clear" w:color="auto" w:fill="D5DCE4" w:themeFill="text2" w:themeFillTint="33"/>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-791,20</w:t>
            </w:r>
          </w:p>
        </w:tc>
        <w:tc>
          <w:tcPr>
            <w:tcW w:w="828" w:type="dxa"/>
            <w:shd w:val="clear" w:color="auto" w:fill="D5DCE4" w:themeFill="text2" w:themeFillTint="33"/>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0,00</w:t>
            </w:r>
          </w:p>
        </w:tc>
        <w:tc>
          <w:tcPr>
            <w:tcW w:w="1274" w:type="dxa"/>
            <w:shd w:val="clear" w:color="auto" w:fill="D5DCE4" w:themeFill="text2" w:themeFillTint="33"/>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0,00</w:t>
            </w:r>
          </w:p>
        </w:tc>
      </w:tr>
      <w:tr w:rsidR="00E67099" w:rsidRPr="00E67099" w:rsidTr="00A36731">
        <w:trPr>
          <w:trHeight w:val="311"/>
        </w:trPr>
        <w:tc>
          <w:tcPr>
            <w:tcW w:w="562" w:type="dxa"/>
            <w:shd w:val="clear" w:color="auto" w:fill="D5DCE4" w:themeFill="text2" w:themeFillTint="33"/>
            <w:noWrap/>
            <w:vAlign w:val="bottom"/>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2</w:t>
            </w:r>
          </w:p>
        </w:tc>
        <w:tc>
          <w:tcPr>
            <w:tcW w:w="4962" w:type="dxa"/>
            <w:shd w:val="clear" w:color="auto" w:fill="D5DCE4" w:themeFill="text2" w:themeFillTint="33"/>
            <w:vAlign w:val="center"/>
          </w:tcPr>
          <w:p w:rsidR="00E67099" w:rsidRPr="00E67099" w:rsidRDefault="00E67099" w:rsidP="00E67099">
            <w:pPr>
              <w:spacing w:after="0" w:line="240" w:lineRule="auto"/>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Corporația Financiară Nordică de Mediu (NEFCO)</w:t>
            </w:r>
          </w:p>
        </w:tc>
        <w:tc>
          <w:tcPr>
            <w:tcW w:w="927" w:type="dxa"/>
            <w:shd w:val="clear" w:color="auto" w:fill="D5DCE4" w:themeFill="text2" w:themeFillTint="33"/>
            <w:noWrap/>
            <w:vAlign w:val="center"/>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2014</w:t>
            </w:r>
          </w:p>
        </w:tc>
        <w:tc>
          <w:tcPr>
            <w:tcW w:w="1222" w:type="dxa"/>
            <w:shd w:val="clear" w:color="auto" w:fill="D5DCE4" w:themeFill="text2" w:themeFillTint="33"/>
            <w:noWrap/>
            <w:vAlign w:val="center"/>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5.538,40</w:t>
            </w:r>
          </w:p>
        </w:tc>
        <w:tc>
          <w:tcPr>
            <w:tcW w:w="1217" w:type="dxa"/>
            <w:shd w:val="clear" w:color="auto" w:fill="D5DCE4" w:themeFill="text2" w:themeFillTint="33"/>
            <w:noWrap/>
            <w:vAlign w:val="center"/>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0,00</w:t>
            </w:r>
          </w:p>
        </w:tc>
        <w:tc>
          <w:tcPr>
            <w:tcW w:w="1217" w:type="dxa"/>
            <w:shd w:val="clear" w:color="auto" w:fill="D5DCE4" w:themeFill="text2" w:themeFillTint="33"/>
            <w:noWrap/>
            <w:vAlign w:val="center"/>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0,00</w:t>
            </w:r>
          </w:p>
        </w:tc>
        <w:tc>
          <w:tcPr>
            <w:tcW w:w="1326" w:type="dxa"/>
            <w:shd w:val="clear" w:color="auto" w:fill="D5DCE4" w:themeFill="text2" w:themeFillTint="33"/>
            <w:noWrap/>
            <w:vAlign w:val="center"/>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0,00</w:t>
            </w:r>
          </w:p>
        </w:tc>
        <w:tc>
          <w:tcPr>
            <w:tcW w:w="828" w:type="dxa"/>
            <w:shd w:val="clear" w:color="auto" w:fill="D5DCE4" w:themeFill="text2" w:themeFillTint="33"/>
            <w:noWrap/>
            <w:vAlign w:val="center"/>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 </w:t>
            </w:r>
          </w:p>
        </w:tc>
        <w:tc>
          <w:tcPr>
            <w:tcW w:w="1274" w:type="dxa"/>
            <w:shd w:val="clear" w:color="auto" w:fill="D5DCE4" w:themeFill="text2" w:themeFillTint="33"/>
            <w:noWrap/>
            <w:vAlign w:val="center"/>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0,00</w:t>
            </w:r>
          </w:p>
        </w:tc>
      </w:tr>
      <w:tr w:rsidR="00E67099" w:rsidRPr="00E67099" w:rsidTr="00A36731">
        <w:trPr>
          <w:trHeight w:val="288"/>
        </w:trPr>
        <w:tc>
          <w:tcPr>
            <w:tcW w:w="562" w:type="dxa"/>
            <w:shd w:val="clear" w:color="auto" w:fill="auto"/>
            <w:noWrap/>
            <w:vAlign w:val="bottom"/>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3</w:t>
            </w:r>
          </w:p>
        </w:tc>
        <w:tc>
          <w:tcPr>
            <w:tcW w:w="4962" w:type="dxa"/>
            <w:shd w:val="clear" w:color="auto" w:fill="auto"/>
            <w:noWrap/>
            <w:vAlign w:val="center"/>
            <w:hideMark/>
          </w:tcPr>
          <w:p w:rsidR="00E67099" w:rsidRPr="00E67099" w:rsidRDefault="00E67099" w:rsidP="00E67099">
            <w:pPr>
              <w:spacing w:after="0" w:line="240" w:lineRule="auto"/>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Agenția SUA pentru Dezvoltare Internațională</w:t>
            </w:r>
          </w:p>
        </w:tc>
        <w:tc>
          <w:tcPr>
            <w:tcW w:w="927"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2015</w:t>
            </w:r>
          </w:p>
        </w:tc>
        <w:tc>
          <w:tcPr>
            <w:tcW w:w="1222"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0,00</w:t>
            </w:r>
          </w:p>
        </w:tc>
        <w:tc>
          <w:tcPr>
            <w:tcW w:w="1217"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733,00</w:t>
            </w:r>
          </w:p>
        </w:tc>
        <w:tc>
          <w:tcPr>
            <w:tcW w:w="1217"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151,00</w:t>
            </w:r>
          </w:p>
        </w:tc>
        <w:tc>
          <w:tcPr>
            <w:tcW w:w="1326"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-582,00</w:t>
            </w:r>
          </w:p>
        </w:tc>
        <w:tc>
          <w:tcPr>
            <w:tcW w:w="828"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20,60</w:t>
            </w:r>
          </w:p>
        </w:tc>
        <w:tc>
          <w:tcPr>
            <w:tcW w:w="1274"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0,00</w:t>
            </w:r>
          </w:p>
        </w:tc>
      </w:tr>
      <w:tr w:rsidR="00E67099" w:rsidRPr="00E67099" w:rsidTr="00A36731">
        <w:trPr>
          <w:trHeight w:val="288"/>
        </w:trPr>
        <w:tc>
          <w:tcPr>
            <w:tcW w:w="562" w:type="dxa"/>
            <w:shd w:val="clear" w:color="auto" w:fill="auto"/>
            <w:noWrap/>
            <w:vAlign w:val="bottom"/>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4</w:t>
            </w:r>
          </w:p>
        </w:tc>
        <w:tc>
          <w:tcPr>
            <w:tcW w:w="4962" w:type="dxa"/>
            <w:shd w:val="clear" w:color="auto" w:fill="auto"/>
            <w:vAlign w:val="center"/>
            <w:hideMark/>
          </w:tcPr>
          <w:p w:rsidR="00E67099" w:rsidRPr="00E67099" w:rsidRDefault="00E67099" w:rsidP="00E67099">
            <w:pPr>
              <w:spacing w:after="0" w:line="240" w:lineRule="auto"/>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Principatul Monaco</w:t>
            </w:r>
          </w:p>
        </w:tc>
        <w:tc>
          <w:tcPr>
            <w:tcW w:w="927"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2017</w:t>
            </w:r>
          </w:p>
        </w:tc>
        <w:tc>
          <w:tcPr>
            <w:tcW w:w="1222"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0,00</w:t>
            </w:r>
          </w:p>
        </w:tc>
        <w:tc>
          <w:tcPr>
            <w:tcW w:w="1217"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823,40</w:t>
            </w:r>
          </w:p>
        </w:tc>
        <w:tc>
          <w:tcPr>
            <w:tcW w:w="1217"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811,53</w:t>
            </w:r>
          </w:p>
        </w:tc>
        <w:tc>
          <w:tcPr>
            <w:tcW w:w="1326"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-11,87</w:t>
            </w:r>
          </w:p>
        </w:tc>
        <w:tc>
          <w:tcPr>
            <w:tcW w:w="828"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98,56</w:t>
            </w:r>
          </w:p>
        </w:tc>
        <w:tc>
          <w:tcPr>
            <w:tcW w:w="1274"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0,00</w:t>
            </w:r>
          </w:p>
        </w:tc>
      </w:tr>
      <w:tr w:rsidR="00E67099" w:rsidRPr="00E67099" w:rsidTr="00A36731">
        <w:trPr>
          <w:trHeight w:val="288"/>
        </w:trPr>
        <w:tc>
          <w:tcPr>
            <w:tcW w:w="562" w:type="dxa"/>
            <w:shd w:val="clear" w:color="auto" w:fill="D5DCE4" w:themeFill="text2" w:themeFillTint="33"/>
            <w:noWrap/>
            <w:vAlign w:val="bottom"/>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5</w:t>
            </w:r>
          </w:p>
        </w:tc>
        <w:tc>
          <w:tcPr>
            <w:tcW w:w="4962" w:type="dxa"/>
            <w:shd w:val="clear" w:color="auto" w:fill="D5DCE4" w:themeFill="text2" w:themeFillTint="33"/>
            <w:noWrap/>
            <w:vAlign w:val="center"/>
            <w:hideMark/>
          </w:tcPr>
          <w:p w:rsidR="00E67099" w:rsidRPr="00E67099" w:rsidRDefault="00E67099" w:rsidP="00E67099">
            <w:pPr>
              <w:spacing w:after="0" w:line="240" w:lineRule="auto"/>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Organizația Internațională a Muncii</w:t>
            </w:r>
          </w:p>
        </w:tc>
        <w:tc>
          <w:tcPr>
            <w:tcW w:w="927" w:type="dxa"/>
            <w:shd w:val="clear" w:color="auto" w:fill="D5DCE4" w:themeFill="text2" w:themeFillTint="33"/>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2018</w:t>
            </w:r>
          </w:p>
        </w:tc>
        <w:tc>
          <w:tcPr>
            <w:tcW w:w="1222" w:type="dxa"/>
            <w:shd w:val="clear" w:color="auto" w:fill="D5DCE4" w:themeFill="text2" w:themeFillTint="33"/>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0,00</w:t>
            </w:r>
          </w:p>
        </w:tc>
        <w:tc>
          <w:tcPr>
            <w:tcW w:w="1217" w:type="dxa"/>
            <w:shd w:val="clear" w:color="auto" w:fill="D5DCE4" w:themeFill="text2" w:themeFillTint="33"/>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2.359,40</w:t>
            </w:r>
          </w:p>
        </w:tc>
        <w:tc>
          <w:tcPr>
            <w:tcW w:w="1217" w:type="dxa"/>
            <w:shd w:val="clear" w:color="auto" w:fill="D5DCE4" w:themeFill="text2" w:themeFillTint="33"/>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0,00</w:t>
            </w:r>
          </w:p>
        </w:tc>
        <w:tc>
          <w:tcPr>
            <w:tcW w:w="1326" w:type="dxa"/>
            <w:shd w:val="clear" w:color="auto" w:fill="D5DCE4" w:themeFill="text2" w:themeFillTint="33"/>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-2.359,40</w:t>
            </w:r>
          </w:p>
        </w:tc>
        <w:tc>
          <w:tcPr>
            <w:tcW w:w="828" w:type="dxa"/>
            <w:shd w:val="clear" w:color="auto" w:fill="D5DCE4" w:themeFill="text2" w:themeFillTint="33"/>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0,00</w:t>
            </w:r>
          </w:p>
        </w:tc>
        <w:tc>
          <w:tcPr>
            <w:tcW w:w="1274" w:type="dxa"/>
            <w:shd w:val="clear" w:color="auto" w:fill="D5DCE4" w:themeFill="text2" w:themeFillTint="33"/>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0,00</w:t>
            </w:r>
          </w:p>
        </w:tc>
      </w:tr>
      <w:tr w:rsidR="00E67099" w:rsidRPr="00E67099" w:rsidTr="00A36731">
        <w:trPr>
          <w:trHeight w:val="288"/>
        </w:trPr>
        <w:tc>
          <w:tcPr>
            <w:tcW w:w="562" w:type="dxa"/>
            <w:shd w:val="clear" w:color="auto" w:fill="D5DCE4" w:themeFill="text2" w:themeFillTint="33"/>
            <w:noWrap/>
            <w:vAlign w:val="bottom"/>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6</w:t>
            </w:r>
          </w:p>
        </w:tc>
        <w:tc>
          <w:tcPr>
            <w:tcW w:w="4962" w:type="dxa"/>
            <w:shd w:val="clear" w:color="auto" w:fill="D5DCE4" w:themeFill="text2" w:themeFillTint="33"/>
            <w:noWrap/>
            <w:vAlign w:val="center"/>
            <w:hideMark/>
          </w:tcPr>
          <w:p w:rsidR="00E67099" w:rsidRPr="00E67099" w:rsidRDefault="00E67099" w:rsidP="00E67099">
            <w:pPr>
              <w:spacing w:after="0" w:line="240" w:lineRule="auto"/>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Banca de Dezvoltare a Consiliului Europei</w:t>
            </w:r>
          </w:p>
        </w:tc>
        <w:tc>
          <w:tcPr>
            <w:tcW w:w="927" w:type="dxa"/>
            <w:shd w:val="clear" w:color="auto" w:fill="D5DCE4" w:themeFill="text2" w:themeFillTint="33"/>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2050</w:t>
            </w:r>
          </w:p>
        </w:tc>
        <w:tc>
          <w:tcPr>
            <w:tcW w:w="1222" w:type="dxa"/>
            <w:shd w:val="clear" w:color="auto" w:fill="D5DCE4" w:themeFill="text2" w:themeFillTint="33"/>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2.528,40</w:t>
            </w:r>
          </w:p>
        </w:tc>
        <w:tc>
          <w:tcPr>
            <w:tcW w:w="1217" w:type="dxa"/>
            <w:shd w:val="clear" w:color="auto" w:fill="D5DCE4" w:themeFill="text2" w:themeFillTint="33"/>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0,00</w:t>
            </w:r>
          </w:p>
        </w:tc>
        <w:tc>
          <w:tcPr>
            <w:tcW w:w="1217" w:type="dxa"/>
            <w:shd w:val="clear" w:color="auto" w:fill="D5DCE4" w:themeFill="text2" w:themeFillTint="33"/>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0,00</w:t>
            </w:r>
          </w:p>
        </w:tc>
        <w:tc>
          <w:tcPr>
            <w:tcW w:w="1326" w:type="dxa"/>
            <w:shd w:val="clear" w:color="auto" w:fill="D5DCE4" w:themeFill="text2" w:themeFillTint="33"/>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0,00</w:t>
            </w:r>
          </w:p>
        </w:tc>
        <w:tc>
          <w:tcPr>
            <w:tcW w:w="828" w:type="dxa"/>
            <w:shd w:val="clear" w:color="auto" w:fill="D5DCE4" w:themeFill="text2" w:themeFillTint="33"/>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 </w:t>
            </w:r>
          </w:p>
        </w:tc>
        <w:tc>
          <w:tcPr>
            <w:tcW w:w="1274" w:type="dxa"/>
            <w:shd w:val="clear" w:color="auto" w:fill="D5DCE4" w:themeFill="text2" w:themeFillTint="33"/>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0,00</w:t>
            </w:r>
          </w:p>
        </w:tc>
      </w:tr>
      <w:tr w:rsidR="00E67099" w:rsidRPr="00E67099" w:rsidTr="00A36731">
        <w:trPr>
          <w:trHeight w:val="288"/>
        </w:trPr>
        <w:tc>
          <w:tcPr>
            <w:tcW w:w="562" w:type="dxa"/>
            <w:shd w:val="clear" w:color="auto" w:fill="D5DCE4" w:themeFill="text2" w:themeFillTint="33"/>
            <w:noWrap/>
            <w:vAlign w:val="bottom"/>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7</w:t>
            </w:r>
          </w:p>
        </w:tc>
        <w:tc>
          <w:tcPr>
            <w:tcW w:w="4962" w:type="dxa"/>
            <w:shd w:val="clear" w:color="auto" w:fill="D5DCE4" w:themeFill="text2" w:themeFillTint="33"/>
            <w:noWrap/>
            <w:vAlign w:val="center"/>
            <w:hideMark/>
          </w:tcPr>
          <w:p w:rsidR="00E67099" w:rsidRPr="00E67099" w:rsidRDefault="00E67099" w:rsidP="00E67099">
            <w:pPr>
              <w:spacing w:after="0" w:line="240" w:lineRule="auto"/>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Banca Europeană de Investiții</w:t>
            </w:r>
          </w:p>
        </w:tc>
        <w:tc>
          <w:tcPr>
            <w:tcW w:w="927" w:type="dxa"/>
            <w:shd w:val="clear" w:color="auto" w:fill="D5DCE4" w:themeFill="text2" w:themeFillTint="33"/>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2051</w:t>
            </w:r>
          </w:p>
        </w:tc>
        <w:tc>
          <w:tcPr>
            <w:tcW w:w="1222" w:type="dxa"/>
            <w:shd w:val="clear" w:color="auto" w:fill="D5DCE4" w:themeFill="text2" w:themeFillTint="33"/>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30.512,30</w:t>
            </w:r>
          </w:p>
        </w:tc>
        <w:tc>
          <w:tcPr>
            <w:tcW w:w="1217" w:type="dxa"/>
            <w:shd w:val="clear" w:color="auto" w:fill="D5DCE4" w:themeFill="text2" w:themeFillTint="33"/>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210,70</w:t>
            </w:r>
          </w:p>
        </w:tc>
        <w:tc>
          <w:tcPr>
            <w:tcW w:w="1217" w:type="dxa"/>
            <w:shd w:val="clear" w:color="auto" w:fill="D5DCE4" w:themeFill="text2" w:themeFillTint="33"/>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0,00</w:t>
            </w:r>
          </w:p>
        </w:tc>
        <w:tc>
          <w:tcPr>
            <w:tcW w:w="1326" w:type="dxa"/>
            <w:shd w:val="clear" w:color="auto" w:fill="D5DCE4" w:themeFill="text2" w:themeFillTint="33"/>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-210,70</w:t>
            </w:r>
          </w:p>
        </w:tc>
        <w:tc>
          <w:tcPr>
            <w:tcW w:w="828" w:type="dxa"/>
            <w:shd w:val="clear" w:color="auto" w:fill="D5DCE4" w:themeFill="text2" w:themeFillTint="33"/>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0,00</w:t>
            </w:r>
          </w:p>
        </w:tc>
        <w:tc>
          <w:tcPr>
            <w:tcW w:w="1274" w:type="dxa"/>
            <w:shd w:val="clear" w:color="auto" w:fill="D5DCE4" w:themeFill="text2" w:themeFillTint="33"/>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0,00</w:t>
            </w:r>
          </w:p>
        </w:tc>
      </w:tr>
      <w:tr w:rsidR="00E67099" w:rsidRPr="00E67099" w:rsidTr="00A36731">
        <w:trPr>
          <w:trHeight w:val="288"/>
        </w:trPr>
        <w:tc>
          <w:tcPr>
            <w:tcW w:w="562" w:type="dxa"/>
            <w:shd w:val="clear" w:color="auto" w:fill="auto"/>
            <w:noWrap/>
            <w:vAlign w:val="bottom"/>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8</w:t>
            </w:r>
          </w:p>
        </w:tc>
        <w:tc>
          <w:tcPr>
            <w:tcW w:w="4962" w:type="dxa"/>
            <w:shd w:val="clear" w:color="auto" w:fill="auto"/>
            <w:noWrap/>
            <w:vAlign w:val="center"/>
            <w:hideMark/>
          </w:tcPr>
          <w:p w:rsidR="00E67099" w:rsidRPr="00E67099" w:rsidRDefault="00E67099" w:rsidP="00E67099">
            <w:pPr>
              <w:spacing w:after="0" w:line="240" w:lineRule="auto"/>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Banca Germană KfW</w:t>
            </w:r>
          </w:p>
        </w:tc>
        <w:tc>
          <w:tcPr>
            <w:tcW w:w="927"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2052</w:t>
            </w:r>
          </w:p>
        </w:tc>
        <w:tc>
          <w:tcPr>
            <w:tcW w:w="1222"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20.016,50</w:t>
            </w:r>
          </w:p>
        </w:tc>
        <w:tc>
          <w:tcPr>
            <w:tcW w:w="1217"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25.687,40</w:t>
            </w:r>
          </w:p>
        </w:tc>
        <w:tc>
          <w:tcPr>
            <w:tcW w:w="1217"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25.670,93</w:t>
            </w:r>
          </w:p>
        </w:tc>
        <w:tc>
          <w:tcPr>
            <w:tcW w:w="1326"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-16,47</w:t>
            </w:r>
          </w:p>
        </w:tc>
        <w:tc>
          <w:tcPr>
            <w:tcW w:w="828"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99,94</w:t>
            </w:r>
          </w:p>
        </w:tc>
        <w:tc>
          <w:tcPr>
            <w:tcW w:w="1274"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14.406,06</w:t>
            </w:r>
          </w:p>
        </w:tc>
      </w:tr>
      <w:tr w:rsidR="00E67099" w:rsidRPr="00E67099" w:rsidTr="00A36731">
        <w:trPr>
          <w:trHeight w:val="288"/>
        </w:trPr>
        <w:tc>
          <w:tcPr>
            <w:tcW w:w="562" w:type="dxa"/>
            <w:shd w:val="clear" w:color="auto" w:fill="FFFFFF" w:themeFill="background1"/>
            <w:noWrap/>
            <w:vAlign w:val="bottom"/>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9</w:t>
            </w:r>
          </w:p>
        </w:tc>
        <w:tc>
          <w:tcPr>
            <w:tcW w:w="4962" w:type="dxa"/>
            <w:shd w:val="clear" w:color="auto" w:fill="FFFFFF" w:themeFill="background1"/>
            <w:noWrap/>
            <w:vAlign w:val="center"/>
            <w:hideMark/>
          </w:tcPr>
          <w:p w:rsidR="00E67099" w:rsidRPr="00E67099" w:rsidRDefault="00E67099" w:rsidP="00E67099">
            <w:pPr>
              <w:spacing w:after="0" w:line="240" w:lineRule="auto"/>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Banca Europeană pentru Reconstrucție și Dezvoltare</w:t>
            </w:r>
          </w:p>
        </w:tc>
        <w:tc>
          <w:tcPr>
            <w:tcW w:w="927" w:type="dxa"/>
            <w:shd w:val="clear" w:color="auto" w:fill="FFFFFF" w:themeFill="background1"/>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2053</w:t>
            </w:r>
          </w:p>
        </w:tc>
        <w:tc>
          <w:tcPr>
            <w:tcW w:w="1222" w:type="dxa"/>
            <w:shd w:val="clear" w:color="auto" w:fill="FFFFFF" w:themeFill="background1"/>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184.973,60</w:t>
            </w:r>
          </w:p>
        </w:tc>
        <w:tc>
          <w:tcPr>
            <w:tcW w:w="1217" w:type="dxa"/>
            <w:shd w:val="clear" w:color="auto" w:fill="FFFFFF" w:themeFill="background1"/>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75.696,00</w:t>
            </w:r>
          </w:p>
        </w:tc>
        <w:tc>
          <w:tcPr>
            <w:tcW w:w="1217"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56.511,03</w:t>
            </w:r>
          </w:p>
        </w:tc>
        <w:tc>
          <w:tcPr>
            <w:tcW w:w="1326"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-19.184,97</w:t>
            </w:r>
          </w:p>
        </w:tc>
        <w:tc>
          <w:tcPr>
            <w:tcW w:w="828"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74,66</w:t>
            </w:r>
          </w:p>
        </w:tc>
        <w:tc>
          <w:tcPr>
            <w:tcW w:w="1274"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25.617,07</w:t>
            </w:r>
          </w:p>
        </w:tc>
      </w:tr>
      <w:tr w:rsidR="00E67099" w:rsidRPr="00E67099" w:rsidTr="00A36731">
        <w:trPr>
          <w:trHeight w:val="288"/>
        </w:trPr>
        <w:tc>
          <w:tcPr>
            <w:tcW w:w="562" w:type="dxa"/>
            <w:shd w:val="clear" w:color="auto" w:fill="FFFFFF" w:themeFill="background1"/>
            <w:noWrap/>
            <w:vAlign w:val="bottom"/>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10</w:t>
            </w:r>
          </w:p>
        </w:tc>
        <w:tc>
          <w:tcPr>
            <w:tcW w:w="4962" w:type="dxa"/>
            <w:shd w:val="clear" w:color="auto" w:fill="FFFFFF" w:themeFill="background1"/>
            <w:noWrap/>
            <w:vAlign w:val="center"/>
            <w:hideMark/>
          </w:tcPr>
          <w:p w:rsidR="00E67099" w:rsidRPr="00E67099" w:rsidRDefault="00E67099" w:rsidP="00E67099">
            <w:pPr>
              <w:spacing w:after="0" w:line="240" w:lineRule="auto"/>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Banca Mondială</w:t>
            </w:r>
          </w:p>
        </w:tc>
        <w:tc>
          <w:tcPr>
            <w:tcW w:w="927" w:type="dxa"/>
            <w:shd w:val="clear" w:color="auto" w:fill="FFFFFF" w:themeFill="background1"/>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2054</w:t>
            </w:r>
          </w:p>
        </w:tc>
        <w:tc>
          <w:tcPr>
            <w:tcW w:w="1222" w:type="dxa"/>
            <w:shd w:val="clear" w:color="auto" w:fill="FFFFFF" w:themeFill="background1"/>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8.080,90</w:t>
            </w:r>
          </w:p>
        </w:tc>
        <w:tc>
          <w:tcPr>
            <w:tcW w:w="1217" w:type="dxa"/>
            <w:shd w:val="clear" w:color="auto" w:fill="FFFFFF" w:themeFill="background1"/>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8.985,10</w:t>
            </w:r>
          </w:p>
        </w:tc>
        <w:tc>
          <w:tcPr>
            <w:tcW w:w="1217"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7.796,63</w:t>
            </w:r>
          </w:p>
        </w:tc>
        <w:tc>
          <w:tcPr>
            <w:tcW w:w="1326"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-1.188,47</w:t>
            </w:r>
          </w:p>
        </w:tc>
        <w:tc>
          <w:tcPr>
            <w:tcW w:w="828"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86,77</w:t>
            </w:r>
          </w:p>
        </w:tc>
        <w:tc>
          <w:tcPr>
            <w:tcW w:w="1274"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4.694,90</w:t>
            </w:r>
          </w:p>
        </w:tc>
      </w:tr>
      <w:tr w:rsidR="00E67099" w:rsidRPr="00E67099" w:rsidTr="00A36731">
        <w:trPr>
          <w:trHeight w:val="288"/>
        </w:trPr>
        <w:tc>
          <w:tcPr>
            <w:tcW w:w="562" w:type="dxa"/>
            <w:shd w:val="clear" w:color="auto" w:fill="FFFFFF" w:themeFill="background1"/>
            <w:noWrap/>
            <w:vAlign w:val="bottom"/>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11</w:t>
            </w:r>
          </w:p>
        </w:tc>
        <w:tc>
          <w:tcPr>
            <w:tcW w:w="4962" w:type="dxa"/>
            <w:shd w:val="clear" w:color="auto" w:fill="FFFFFF" w:themeFill="background1"/>
            <w:noWrap/>
            <w:vAlign w:val="center"/>
            <w:hideMark/>
          </w:tcPr>
          <w:p w:rsidR="00E67099" w:rsidRPr="00E67099" w:rsidRDefault="00E67099" w:rsidP="00E67099">
            <w:pPr>
              <w:spacing w:after="0" w:line="240" w:lineRule="auto"/>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Comisia Europeană</w:t>
            </w:r>
          </w:p>
        </w:tc>
        <w:tc>
          <w:tcPr>
            <w:tcW w:w="927" w:type="dxa"/>
            <w:shd w:val="clear" w:color="auto" w:fill="FFFFFF" w:themeFill="background1"/>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2055</w:t>
            </w:r>
          </w:p>
        </w:tc>
        <w:tc>
          <w:tcPr>
            <w:tcW w:w="1222" w:type="dxa"/>
            <w:shd w:val="clear" w:color="auto" w:fill="FFFFFF" w:themeFill="background1"/>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281.363,70</w:t>
            </w:r>
          </w:p>
        </w:tc>
        <w:tc>
          <w:tcPr>
            <w:tcW w:w="1217" w:type="dxa"/>
            <w:shd w:val="clear" w:color="auto" w:fill="FFFFFF" w:themeFill="background1"/>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113.558,63</w:t>
            </w:r>
          </w:p>
        </w:tc>
        <w:tc>
          <w:tcPr>
            <w:tcW w:w="1217"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39.184,77</w:t>
            </w:r>
          </w:p>
        </w:tc>
        <w:tc>
          <w:tcPr>
            <w:tcW w:w="1326"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-74.373,86</w:t>
            </w:r>
          </w:p>
        </w:tc>
        <w:tc>
          <w:tcPr>
            <w:tcW w:w="828"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34,51</w:t>
            </w:r>
          </w:p>
        </w:tc>
        <w:tc>
          <w:tcPr>
            <w:tcW w:w="1274"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49.923,48</w:t>
            </w:r>
          </w:p>
        </w:tc>
      </w:tr>
      <w:tr w:rsidR="00E67099" w:rsidRPr="00E67099" w:rsidTr="00A36731">
        <w:trPr>
          <w:trHeight w:val="588"/>
        </w:trPr>
        <w:tc>
          <w:tcPr>
            <w:tcW w:w="562" w:type="dxa"/>
            <w:shd w:val="clear" w:color="auto" w:fill="auto"/>
            <w:noWrap/>
            <w:vAlign w:val="bottom"/>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12</w:t>
            </w:r>
          </w:p>
        </w:tc>
        <w:tc>
          <w:tcPr>
            <w:tcW w:w="4962" w:type="dxa"/>
            <w:shd w:val="clear" w:color="auto" w:fill="auto"/>
            <w:vAlign w:val="center"/>
            <w:hideMark/>
          </w:tcPr>
          <w:p w:rsidR="00E67099" w:rsidRPr="00E67099" w:rsidRDefault="00E67099" w:rsidP="00E67099">
            <w:pPr>
              <w:spacing w:after="0" w:line="240" w:lineRule="auto"/>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Fondul Global pentru Combaterea SIDA, Tuberculozei și Malariei</w:t>
            </w:r>
          </w:p>
        </w:tc>
        <w:tc>
          <w:tcPr>
            <w:tcW w:w="927"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2056</w:t>
            </w:r>
          </w:p>
        </w:tc>
        <w:tc>
          <w:tcPr>
            <w:tcW w:w="1222"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97.731,00</w:t>
            </w:r>
          </w:p>
        </w:tc>
        <w:tc>
          <w:tcPr>
            <w:tcW w:w="1217"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97.731,00</w:t>
            </w:r>
          </w:p>
        </w:tc>
        <w:tc>
          <w:tcPr>
            <w:tcW w:w="1217"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82.266,45</w:t>
            </w:r>
          </w:p>
        </w:tc>
        <w:tc>
          <w:tcPr>
            <w:tcW w:w="1326"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-15.464,55</w:t>
            </w:r>
          </w:p>
        </w:tc>
        <w:tc>
          <w:tcPr>
            <w:tcW w:w="828"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84,18</w:t>
            </w:r>
          </w:p>
        </w:tc>
        <w:tc>
          <w:tcPr>
            <w:tcW w:w="1274"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80.986,83</w:t>
            </w:r>
          </w:p>
        </w:tc>
      </w:tr>
      <w:tr w:rsidR="00E67099" w:rsidRPr="00E67099" w:rsidTr="00A36731">
        <w:trPr>
          <w:trHeight w:val="288"/>
        </w:trPr>
        <w:tc>
          <w:tcPr>
            <w:tcW w:w="562" w:type="dxa"/>
            <w:shd w:val="clear" w:color="auto" w:fill="auto"/>
            <w:noWrap/>
            <w:vAlign w:val="bottom"/>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13</w:t>
            </w:r>
          </w:p>
        </w:tc>
        <w:tc>
          <w:tcPr>
            <w:tcW w:w="4962" w:type="dxa"/>
            <w:shd w:val="clear" w:color="auto" w:fill="auto"/>
            <w:noWrap/>
            <w:vAlign w:val="center"/>
            <w:hideMark/>
          </w:tcPr>
          <w:p w:rsidR="00E67099" w:rsidRPr="00E67099" w:rsidRDefault="00E67099" w:rsidP="00E67099">
            <w:pPr>
              <w:spacing w:after="0" w:line="240" w:lineRule="auto"/>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Fondul Internațional pentru Dezvoltarea Agricolă</w:t>
            </w:r>
          </w:p>
        </w:tc>
        <w:tc>
          <w:tcPr>
            <w:tcW w:w="927"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2057</w:t>
            </w:r>
          </w:p>
        </w:tc>
        <w:tc>
          <w:tcPr>
            <w:tcW w:w="1222"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47.059,00</w:t>
            </w:r>
          </w:p>
        </w:tc>
        <w:tc>
          <w:tcPr>
            <w:tcW w:w="1217" w:type="dxa"/>
            <w:shd w:val="clear" w:color="auto" w:fill="FBE4D5" w:themeFill="accent2" w:themeFillTint="33"/>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46.859,00</w:t>
            </w:r>
          </w:p>
        </w:tc>
        <w:tc>
          <w:tcPr>
            <w:tcW w:w="1217" w:type="dxa"/>
            <w:shd w:val="clear" w:color="auto" w:fill="FBE4D5" w:themeFill="accent2" w:themeFillTint="33"/>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48.828,81</w:t>
            </w:r>
          </w:p>
        </w:tc>
        <w:tc>
          <w:tcPr>
            <w:tcW w:w="1326"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1.969,81</w:t>
            </w:r>
          </w:p>
        </w:tc>
        <w:tc>
          <w:tcPr>
            <w:tcW w:w="828"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104,20</w:t>
            </w:r>
          </w:p>
        </w:tc>
        <w:tc>
          <w:tcPr>
            <w:tcW w:w="1274"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32.008,78</w:t>
            </w:r>
          </w:p>
        </w:tc>
      </w:tr>
      <w:tr w:rsidR="00E67099" w:rsidRPr="00E67099" w:rsidTr="00A36731">
        <w:trPr>
          <w:trHeight w:val="288"/>
        </w:trPr>
        <w:tc>
          <w:tcPr>
            <w:tcW w:w="562" w:type="dxa"/>
            <w:shd w:val="clear" w:color="auto" w:fill="auto"/>
            <w:noWrap/>
            <w:vAlign w:val="bottom"/>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14</w:t>
            </w:r>
          </w:p>
        </w:tc>
        <w:tc>
          <w:tcPr>
            <w:tcW w:w="4962" w:type="dxa"/>
            <w:shd w:val="clear" w:color="auto" w:fill="auto"/>
            <w:noWrap/>
            <w:vAlign w:val="center"/>
            <w:hideMark/>
          </w:tcPr>
          <w:p w:rsidR="00E67099" w:rsidRPr="00E67099" w:rsidRDefault="00E67099" w:rsidP="00E67099">
            <w:pPr>
              <w:spacing w:after="0" w:line="240" w:lineRule="auto"/>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Guvernul Japoniei</w:t>
            </w:r>
          </w:p>
        </w:tc>
        <w:tc>
          <w:tcPr>
            <w:tcW w:w="927"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2061</w:t>
            </w:r>
          </w:p>
        </w:tc>
        <w:tc>
          <w:tcPr>
            <w:tcW w:w="1222"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0,00</w:t>
            </w:r>
          </w:p>
        </w:tc>
        <w:tc>
          <w:tcPr>
            <w:tcW w:w="1217" w:type="dxa"/>
            <w:shd w:val="clear" w:color="auto" w:fill="FBE4D5" w:themeFill="accent2" w:themeFillTint="33"/>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0,00</w:t>
            </w:r>
          </w:p>
        </w:tc>
        <w:tc>
          <w:tcPr>
            <w:tcW w:w="1217" w:type="dxa"/>
            <w:shd w:val="clear" w:color="auto" w:fill="FBE4D5" w:themeFill="accent2" w:themeFillTint="33"/>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1.582,12</w:t>
            </w:r>
          </w:p>
        </w:tc>
        <w:tc>
          <w:tcPr>
            <w:tcW w:w="1326"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1.582,12</w:t>
            </w:r>
          </w:p>
        </w:tc>
        <w:tc>
          <w:tcPr>
            <w:tcW w:w="828"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 </w:t>
            </w:r>
          </w:p>
        </w:tc>
        <w:tc>
          <w:tcPr>
            <w:tcW w:w="1274"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0,00</w:t>
            </w:r>
          </w:p>
        </w:tc>
      </w:tr>
      <w:tr w:rsidR="00E67099" w:rsidRPr="00E67099" w:rsidTr="00A36731">
        <w:trPr>
          <w:trHeight w:val="288"/>
        </w:trPr>
        <w:tc>
          <w:tcPr>
            <w:tcW w:w="562" w:type="dxa"/>
            <w:shd w:val="clear" w:color="auto" w:fill="auto"/>
            <w:noWrap/>
            <w:vAlign w:val="bottom"/>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15</w:t>
            </w:r>
          </w:p>
        </w:tc>
        <w:tc>
          <w:tcPr>
            <w:tcW w:w="4962" w:type="dxa"/>
            <w:shd w:val="clear" w:color="auto" w:fill="auto"/>
            <w:noWrap/>
            <w:vAlign w:val="center"/>
            <w:hideMark/>
          </w:tcPr>
          <w:p w:rsidR="00E67099" w:rsidRPr="00E67099" w:rsidRDefault="00E67099" w:rsidP="00E67099">
            <w:pPr>
              <w:spacing w:after="0" w:line="240" w:lineRule="auto"/>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Guvernul SUA</w:t>
            </w:r>
          </w:p>
        </w:tc>
        <w:tc>
          <w:tcPr>
            <w:tcW w:w="927"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2064</w:t>
            </w:r>
          </w:p>
        </w:tc>
        <w:tc>
          <w:tcPr>
            <w:tcW w:w="1222"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9.312,50</w:t>
            </w:r>
          </w:p>
        </w:tc>
        <w:tc>
          <w:tcPr>
            <w:tcW w:w="1217"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9.229,80</w:t>
            </w:r>
          </w:p>
        </w:tc>
        <w:tc>
          <w:tcPr>
            <w:tcW w:w="1217"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496,39</w:t>
            </w:r>
          </w:p>
        </w:tc>
        <w:tc>
          <w:tcPr>
            <w:tcW w:w="1326"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-8.733,41</w:t>
            </w:r>
          </w:p>
        </w:tc>
        <w:tc>
          <w:tcPr>
            <w:tcW w:w="828"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5,38</w:t>
            </w:r>
          </w:p>
        </w:tc>
        <w:tc>
          <w:tcPr>
            <w:tcW w:w="1274"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4.141,43</w:t>
            </w:r>
          </w:p>
        </w:tc>
      </w:tr>
      <w:tr w:rsidR="00E67099" w:rsidRPr="00E67099" w:rsidTr="00A36731">
        <w:trPr>
          <w:trHeight w:val="288"/>
        </w:trPr>
        <w:tc>
          <w:tcPr>
            <w:tcW w:w="562" w:type="dxa"/>
            <w:shd w:val="clear" w:color="auto" w:fill="auto"/>
            <w:noWrap/>
            <w:vAlign w:val="bottom"/>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16</w:t>
            </w:r>
          </w:p>
        </w:tc>
        <w:tc>
          <w:tcPr>
            <w:tcW w:w="4962" w:type="dxa"/>
            <w:shd w:val="clear" w:color="auto" w:fill="auto"/>
            <w:noWrap/>
            <w:vAlign w:val="center"/>
            <w:hideMark/>
          </w:tcPr>
          <w:p w:rsidR="00E67099" w:rsidRPr="00E67099" w:rsidRDefault="00E67099" w:rsidP="00E67099">
            <w:pPr>
              <w:spacing w:after="0" w:line="240" w:lineRule="auto"/>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Fondul pentru copii al Națiunilor Unite</w:t>
            </w:r>
          </w:p>
        </w:tc>
        <w:tc>
          <w:tcPr>
            <w:tcW w:w="927"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2066</w:t>
            </w:r>
          </w:p>
        </w:tc>
        <w:tc>
          <w:tcPr>
            <w:tcW w:w="1222"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2.712,40</w:t>
            </w:r>
          </w:p>
        </w:tc>
        <w:tc>
          <w:tcPr>
            <w:tcW w:w="1217"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293,40</w:t>
            </w:r>
          </w:p>
        </w:tc>
        <w:tc>
          <w:tcPr>
            <w:tcW w:w="1217"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168,00</w:t>
            </w:r>
          </w:p>
        </w:tc>
        <w:tc>
          <w:tcPr>
            <w:tcW w:w="1326"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-125,40</w:t>
            </w:r>
          </w:p>
        </w:tc>
        <w:tc>
          <w:tcPr>
            <w:tcW w:w="828"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57,26</w:t>
            </w:r>
          </w:p>
        </w:tc>
        <w:tc>
          <w:tcPr>
            <w:tcW w:w="1274"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158,21</w:t>
            </w:r>
          </w:p>
        </w:tc>
      </w:tr>
      <w:tr w:rsidR="00E67099" w:rsidRPr="00E67099" w:rsidTr="00A36731">
        <w:trPr>
          <w:trHeight w:val="288"/>
        </w:trPr>
        <w:tc>
          <w:tcPr>
            <w:tcW w:w="562" w:type="dxa"/>
            <w:shd w:val="clear" w:color="auto" w:fill="auto"/>
            <w:noWrap/>
            <w:vAlign w:val="bottom"/>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17</w:t>
            </w:r>
          </w:p>
        </w:tc>
        <w:tc>
          <w:tcPr>
            <w:tcW w:w="4962" w:type="dxa"/>
            <w:shd w:val="clear" w:color="auto" w:fill="auto"/>
            <w:noWrap/>
            <w:vAlign w:val="center"/>
            <w:hideMark/>
          </w:tcPr>
          <w:p w:rsidR="00E67099" w:rsidRPr="00E67099" w:rsidRDefault="00E67099" w:rsidP="00E67099">
            <w:pPr>
              <w:spacing w:after="0" w:line="240" w:lineRule="auto"/>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Programul Națiunilor Unite pentru Dezvoltare</w:t>
            </w:r>
          </w:p>
        </w:tc>
        <w:tc>
          <w:tcPr>
            <w:tcW w:w="927"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2069</w:t>
            </w:r>
          </w:p>
        </w:tc>
        <w:tc>
          <w:tcPr>
            <w:tcW w:w="1222"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2.852,70</w:t>
            </w:r>
          </w:p>
        </w:tc>
        <w:tc>
          <w:tcPr>
            <w:tcW w:w="1217"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2.647,60</w:t>
            </w:r>
          </w:p>
        </w:tc>
        <w:tc>
          <w:tcPr>
            <w:tcW w:w="1217"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1.711,01</w:t>
            </w:r>
          </w:p>
        </w:tc>
        <w:tc>
          <w:tcPr>
            <w:tcW w:w="1326"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-936,59</w:t>
            </w:r>
          </w:p>
        </w:tc>
        <w:tc>
          <w:tcPr>
            <w:tcW w:w="828"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64,62</w:t>
            </w:r>
          </w:p>
        </w:tc>
        <w:tc>
          <w:tcPr>
            <w:tcW w:w="1274"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2.657,29</w:t>
            </w:r>
          </w:p>
        </w:tc>
      </w:tr>
      <w:tr w:rsidR="00E67099" w:rsidRPr="00E67099" w:rsidTr="00A36731">
        <w:trPr>
          <w:trHeight w:val="288"/>
        </w:trPr>
        <w:tc>
          <w:tcPr>
            <w:tcW w:w="562" w:type="dxa"/>
            <w:shd w:val="clear" w:color="auto" w:fill="auto"/>
            <w:noWrap/>
            <w:vAlign w:val="bottom"/>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18</w:t>
            </w:r>
          </w:p>
        </w:tc>
        <w:tc>
          <w:tcPr>
            <w:tcW w:w="4962" w:type="dxa"/>
            <w:shd w:val="clear" w:color="auto" w:fill="auto"/>
            <w:noWrap/>
            <w:vAlign w:val="center"/>
            <w:hideMark/>
          </w:tcPr>
          <w:p w:rsidR="00E67099" w:rsidRPr="00E67099" w:rsidRDefault="00E67099" w:rsidP="00E67099">
            <w:pPr>
              <w:spacing w:after="0" w:line="240" w:lineRule="auto"/>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Fondul Canadian</w:t>
            </w:r>
          </w:p>
        </w:tc>
        <w:tc>
          <w:tcPr>
            <w:tcW w:w="927"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2073</w:t>
            </w:r>
          </w:p>
        </w:tc>
        <w:tc>
          <w:tcPr>
            <w:tcW w:w="1222"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512,00</w:t>
            </w:r>
          </w:p>
        </w:tc>
        <w:tc>
          <w:tcPr>
            <w:tcW w:w="1217"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266,60</w:t>
            </w:r>
          </w:p>
        </w:tc>
        <w:tc>
          <w:tcPr>
            <w:tcW w:w="1217"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9,33</w:t>
            </w:r>
          </w:p>
        </w:tc>
        <w:tc>
          <w:tcPr>
            <w:tcW w:w="1326"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-257,27</w:t>
            </w:r>
          </w:p>
        </w:tc>
        <w:tc>
          <w:tcPr>
            <w:tcW w:w="828"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3,50</w:t>
            </w:r>
          </w:p>
        </w:tc>
        <w:tc>
          <w:tcPr>
            <w:tcW w:w="1274"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0,00</w:t>
            </w:r>
          </w:p>
        </w:tc>
      </w:tr>
      <w:tr w:rsidR="00E67099" w:rsidRPr="00E67099" w:rsidTr="00A36731">
        <w:trPr>
          <w:trHeight w:val="288"/>
        </w:trPr>
        <w:tc>
          <w:tcPr>
            <w:tcW w:w="562" w:type="dxa"/>
            <w:shd w:val="clear" w:color="auto" w:fill="D5DCE4" w:themeFill="text2" w:themeFillTint="33"/>
            <w:noWrap/>
            <w:vAlign w:val="bottom"/>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19</w:t>
            </w:r>
          </w:p>
        </w:tc>
        <w:tc>
          <w:tcPr>
            <w:tcW w:w="4962" w:type="dxa"/>
            <w:shd w:val="clear" w:color="auto" w:fill="D5DCE4" w:themeFill="text2" w:themeFillTint="33"/>
            <w:noWrap/>
            <w:vAlign w:val="center"/>
            <w:hideMark/>
          </w:tcPr>
          <w:p w:rsidR="00E67099" w:rsidRPr="00E67099" w:rsidRDefault="00E67099" w:rsidP="00E67099">
            <w:pPr>
              <w:spacing w:after="0" w:line="240" w:lineRule="auto"/>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Fondul Global de Mediu</w:t>
            </w:r>
          </w:p>
        </w:tc>
        <w:tc>
          <w:tcPr>
            <w:tcW w:w="927" w:type="dxa"/>
            <w:shd w:val="clear" w:color="auto" w:fill="D5DCE4" w:themeFill="text2" w:themeFillTint="33"/>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2074</w:t>
            </w:r>
          </w:p>
        </w:tc>
        <w:tc>
          <w:tcPr>
            <w:tcW w:w="1222" w:type="dxa"/>
            <w:shd w:val="clear" w:color="auto" w:fill="D5DCE4" w:themeFill="text2" w:themeFillTint="33"/>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3.440,00</w:t>
            </w:r>
          </w:p>
        </w:tc>
        <w:tc>
          <w:tcPr>
            <w:tcW w:w="1217" w:type="dxa"/>
            <w:shd w:val="clear" w:color="auto" w:fill="D5DCE4" w:themeFill="text2" w:themeFillTint="33"/>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3.440,00</w:t>
            </w:r>
          </w:p>
        </w:tc>
        <w:tc>
          <w:tcPr>
            <w:tcW w:w="1217" w:type="dxa"/>
            <w:shd w:val="clear" w:color="auto" w:fill="D5DCE4" w:themeFill="text2" w:themeFillTint="33"/>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0,00</w:t>
            </w:r>
          </w:p>
        </w:tc>
        <w:tc>
          <w:tcPr>
            <w:tcW w:w="1326" w:type="dxa"/>
            <w:shd w:val="clear" w:color="auto" w:fill="D5DCE4" w:themeFill="text2" w:themeFillTint="33"/>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-3.440,00</w:t>
            </w:r>
          </w:p>
        </w:tc>
        <w:tc>
          <w:tcPr>
            <w:tcW w:w="828" w:type="dxa"/>
            <w:shd w:val="clear" w:color="auto" w:fill="D5DCE4" w:themeFill="text2" w:themeFillTint="33"/>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0,00</w:t>
            </w:r>
          </w:p>
        </w:tc>
        <w:tc>
          <w:tcPr>
            <w:tcW w:w="1274" w:type="dxa"/>
            <w:shd w:val="clear" w:color="auto" w:fill="D5DCE4" w:themeFill="text2" w:themeFillTint="33"/>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0,00</w:t>
            </w:r>
          </w:p>
        </w:tc>
      </w:tr>
      <w:tr w:rsidR="00E67099" w:rsidRPr="00E67099" w:rsidTr="00A36731">
        <w:trPr>
          <w:trHeight w:val="288"/>
        </w:trPr>
        <w:tc>
          <w:tcPr>
            <w:tcW w:w="562" w:type="dxa"/>
            <w:shd w:val="clear" w:color="auto" w:fill="auto"/>
            <w:noWrap/>
            <w:vAlign w:val="bottom"/>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20</w:t>
            </w:r>
          </w:p>
        </w:tc>
        <w:tc>
          <w:tcPr>
            <w:tcW w:w="4962" w:type="dxa"/>
            <w:shd w:val="clear" w:color="auto" w:fill="auto"/>
            <w:noWrap/>
            <w:vAlign w:val="center"/>
            <w:hideMark/>
          </w:tcPr>
          <w:p w:rsidR="00E67099" w:rsidRPr="00E67099" w:rsidRDefault="00E67099" w:rsidP="00E67099">
            <w:pPr>
              <w:spacing w:after="0" w:line="240" w:lineRule="auto"/>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Guvernul Poloniei</w:t>
            </w:r>
          </w:p>
        </w:tc>
        <w:tc>
          <w:tcPr>
            <w:tcW w:w="927"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2083</w:t>
            </w:r>
          </w:p>
        </w:tc>
        <w:tc>
          <w:tcPr>
            <w:tcW w:w="1222"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0,00</w:t>
            </w:r>
          </w:p>
        </w:tc>
        <w:tc>
          <w:tcPr>
            <w:tcW w:w="1217"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114,00</w:t>
            </w:r>
          </w:p>
        </w:tc>
        <w:tc>
          <w:tcPr>
            <w:tcW w:w="1217"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113,91</w:t>
            </w:r>
          </w:p>
        </w:tc>
        <w:tc>
          <w:tcPr>
            <w:tcW w:w="1326"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-0,09</w:t>
            </w:r>
          </w:p>
        </w:tc>
        <w:tc>
          <w:tcPr>
            <w:tcW w:w="828"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99,92</w:t>
            </w:r>
          </w:p>
        </w:tc>
        <w:tc>
          <w:tcPr>
            <w:tcW w:w="1274"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0,00</w:t>
            </w:r>
          </w:p>
        </w:tc>
      </w:tr>
      <w:tr w:rsidR="00E67099" w:rsidRPr="00E67099" w:rsidTr="00A36731">
        <w:trPr>
          <w:trHeight w:val="288"/>
        </w:trPr>
        <w:tc>
          <w:tcPr>
            <w:tcW w:w="562" w:type="dxa"/>
            <w:shd w:val="clear" w:color="auto" w:fill="D5DCE4" w:themeFill="text2" w:themeFillTint="33"/>
            <w:noWrap/>
            <w:vAlign w:val="bottom"/>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21</w:t>
            </w:r>
          </w:p>
        </w:tc>
        <w:tc>
          <w:tcPr>
            <w:tcW w:w="4962" w:type="dxa"/>
            <w:shd w:val="clear" w:color="auto" w:fill="D5DCE4" w:themeFill="text2" w:themeFillTint="33"/>
            <w:noWrap/>
            <w:vAlign w:val="center"/>
            <w:hideMark/>
          </w:tcPr>
          <w:p w:rsidR="00E67099" w:rsidRPr="00E67099" w:rsidRDefault="00E67099" w:rsidP="00E67099">
            <w:pPr>
              <w:spacing w:after="0" w:line="240" w:lineRule="auto"/>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Guvernul Austriei</w:t>
            </w:r>
          </w:p>
        </w:tc>
        <w:tc>
          <w:tcPr>
            <w:tcW w:w="927" w:type="dxa"/>
            <w:shd w:val="clear" w:color="auto" w:fill="D5DCE4" w:themeFill="text2" w:themeFillTint="33"/>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2084</w:t>
            </w:r>
          </w:p>
        </w:tc>
        <w:tc>
          <w:tcPr>
            <w:tcW w:w="1222" w:type="dxa"/>
            <w:shd w:val="clear" w:color="auto" w:fill="D5DCE4" w:themeFill="text2" w:themeFillTint="33"/>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1.000,00</w:t>
            </w:r>
          </w:p>
        </w:tc>
        <w:tc>
          <w:tcPr>
            <w:tcW w:w="1217" w:type="dxa"/>
            <w:shd w:val="clear" w:color="auto" w:fill="D5DCE4" w:themeFill="text2" w:themeFillTint="33"/>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150,00</w:t>
            </w:r>
          </w:p>
        </w:tc>
        <w:tc>
          <w:tcPr>
            <w:tcW w:w="1217" w:type="dxa"/>
            <w:shd w:val="clear" w:color="auto" w:fill="D5DCE4" w:themeFill="text2" w:themeFillTint="33"/>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0,00</w:t>
            </w:r>
          </w:p>
        </w:tc>
        <w:tc>
          <w:tcPr>
            <w:tcW w:w="1326" w:type="dxa"/>
            <w:shd w:val="clear" w:color="auto" w:fill="D5DCE4" w:themeFill="text2" w:themeFillTint="33"/>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-150,00</w:t>
            </w:r>
          </w:p>
        </w:tc>
        <w:tc>
          <w:tcPr>
            <w:tcW w:w="828" w:type="dxa"/>
            <w:shd w:val="clear" w:color="auto" w:fill="D5DCE4" w:themeFill="text2" w:themeFillTint="33"/>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0,00</w:t>
            </w:r>
          </w:p>
        </w:tc>
        <w:tc>
          <w:tcPr>
            <w:tcW w:w="1274" w:type="dxa"/>
            <w:shd w:val="clear" w:color="auto" w:fill="D5DCE4" w:themeFill="text2" w:themeFillTint="33"/>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0,00</w:t>
            </w:r>
          </w:p>
        </w:tc>
      </w:tr>
      <w:tr w:rsidR="00E67099" w:rsidRPr="00E67099" w:rsidTr="00A36731">
        <w:trPr>
          <w:trHeight w:val="288"/>
        </w:trPr>
        <w:tc>
          <w:tcPr>
            <w:tcW w:w="562" w:type="dxa"/>
            <w:shd w:val="clear" w:color="auto" w:fill="auto"/>
            <w:noWrap/>
            <w:vAlign w:val="bottom"/>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22</w:t>
            </w:r>
          </w:p>
        </w:tc>
        <w:tc>
          <w:tcPr>
            <w:tcW w:w="4962" w:type="dxa"/>
            <w:shd w:val="clear" w:color="auto" w:fill="auto"/>
            <w:noWrap/>
            <w:vAlign w:val="center"/>
            <w:hideMark/>
          </w:tcPr>
          <w:p w:rsidR="00E67099" w:rsidRPr="00E67099" w:rsidRDefault="00E67099" w:rsidP="00E67099">
            <w:pPr>
              <w:spacing w:after="0" w:line="240" w:lineRule="auto"/>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Guvernul României</w:t>
            </w:r>
          </w:p>
        </w:tc>
        <w:tc>
          <w:tcPr>
            <w:tcW w:w="927"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2085</w:t>
            </w:r>
          </w:p>
        </w:tc>
        <w:tc>
          <w:tcPr>
            <w:tcW w:w="1222"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1.137,70</w:t>
            </w:r>
          </w:p>
        </w:tc>
        <w:tc>
          <w:tcPr>
            <w:tcW w:w="1217"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164,20</w:t>
            </w:r>
          </w:p>
        </w:tc>
        <w:tc>
          <w:tcPr>
            <w:tcW w:w="1217"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109,62</w:t>
            </w:r>
          </w:p>
        </w:tc>
        <w:tc>
          <w:tcPr>
            <w:tcW w:w="1326"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-54,58</w:t>
            </w:r>
          </w:p>
        </w:tc>
        <w:tc>
          <w:tcPr>
            <w:tcW w:w="828"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66,76</w:t>
            </w:r>
          </w:p>
        </w:tc>
        <w:tc>
          <w:tcPr>
            <w:tcW w:w="1274"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59.150,10</w:t>
            </w:r>
          </w:p>
        </w:tc>
      </w:tr>
      <w:tr w:rsidR="00E67099" w:rsidRPr="00E67099" w:rsidTr="00A36731">
        <w:trPr>
          <w:trHeight w:val="288"/>
        </w:trPr>
        <w:tc>
          <w:tcPr>
            <w:tcW w:w="562" w:type="dxa"/>
            <w:shd w:val="clear" w:color="auto" w:fill="auto"/>
            <w:noWrap/>
            <w:vAlign w:val="bottom"/>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23</w:t>
            </w:r>
          </w:p>
        </w:tc>
        <w:tc>
          <w:tcPr>
            <w:tcW w:w="4962" w:type="dxa"/>
            <w:shd w:val="clear" w:color="auto" w:fill="auto"/>
            <w:noWrap/>
            <w:vAlign w:val="center"/>
            <w:hideMark/>
          </w:tcPr>
          <w:p w:rsidR="00E67099" w:rsidRPr="00E67099" w:rsidRDefault="00E67099" w:rsidP="00E67099">
            <w:pPr>
              <w:spacing w:after="0" w:line="240" w:lineRule="auto"/>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Agenția austriacă pentru dezvoltare</w:t>
            </w:r>
          </w:p>
        </w:tc>
        <w:tc>
          <w:tcPr>
            <w:tcW w:w="927"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2097</w:t>
            </w:r>
          </w:p>
        </w:tc>
        <w:tc>
          <w:tcPr>
            <w:tcW w:w="1222"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12.642,00</w:t>
            </w:r>
          </w:p>
        </w:tc>
        <w:tc>
          <w:tcPr>
            <w:tcW w:w="1217"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12.642,00</w:t>
            </w:r>
          </w:p>
        </w:tc>
        <w:tc>
          <w:tcPr>
            <w:tcW w:w="1217"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6.706,56</w:t>
            </w:r>
          </w:p>
        </w:tc>
        <w:tc>
          <w:tcPr>
            <w:tcW w:w="1326"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-5.935,44</w:t>
            </w:r>
          </w:p>
        </w:tc>
        <w:tc>
          <w:tcPr>
            <w:tcW w:w="828"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53,05</w:t>
            </w:r>
          </w:p>
        </w:tc>
        <w:tc>
          <w:tcPr>
            <w:tcW w:w="1274"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5.373,19</w:t>
            </w:r>
          </w:p>
        </w:tc>
      </w:tr>
      <w:tr w:rsidR="00E67099" w:rsidRPr="00E67099" w:rsidTr="00A36731">
        <w:trPr>
          <w:trHeight w:val="288"/>
        </w:trPr>
        <w:tc>
          <w:tcPr>
            <w:tcW w:w="562" w:type="dxa"/>
            <w:shd w:val="clear" w:color="auto" w:fill="auto"/>
            <w:noWrap/>
            <w:vAlign w:val="bottom"/>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24</w:t>
            </w:r>
          </w:p>
        </w:tc>
        <w:tc>
          <w:tcPr>
            <w:tcW w:w="4962" w:type="dxa"/>
            <w:shd w:val="clear" w:color="auto" w:fill="auto"/>
            <w:noWrap/>
            <w:vAlign w:val="center"/>
            <w:hideMark/>
          </w:tcPr>
          <w:p w:rsidR="00E67099" w:rsidRPr="00E67099" w:rsidRDefault="00E67099" w:rsidP="00E67099">
            <w:pPr>
              <w:spacing w:after="0" w:line="240" w:lineRule="auto"/>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Agenția elvețiană pentru dezvoltare și cooperare</w:t>
            </w:r>
          </w:p>
        </w:tc>
        <w:tc>
          <w:tcPr>
            <w:tcW w:w="927"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2098</w:t>
            </w:r>
          </w:p>
        </w:tc>
        <w:tc>
          <w:tcPr>
            <w:tcW w:w="1222"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18.867,80</w:t>
            </w:r>
          </w:p>
        </w:tc>
        <w:tc>
          <w:tcPr>
            <w:tcW w:w="1217" w:type="dxa"/>
            <w:shd w:val="clear" w:color="auto" w:fill="FBE4D5" w:themeFill="accent2" w:themeFillTint="33"/>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20.198,50</w:t>
            </w:r>
          </w:p>
        </w:tc>
        <w:tc>
          <w:tcPr>
            <w:tcW w:w="1217" w:type="dxa"/>
            <w:shd w:val="clear" w:color="auto" w:fill="FBE4D5" w:themeFill="accent2" w:themeFillTint="33"/>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29.582,78</w:t>
            </w:r>
          </w:p>
        </w:tc>
        <w:tc>
          <w:tcPr>
            <w:tcW w:w="1326"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9.384,28</w:t>
            </w:r>
          </w:p>
        </w:tc>
        <w:tc>
          <w:tcPr>
            <w:tcW w:w="828"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146,46</w:t>
            </w:r>
          </w:p>
        </w:tc>
        <w:tc>
          <w:tcPr>
            <w:tcW w:w="1274"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18.857,69</w:t>
            </w:r>
          </w:p>
        </w:tc>
      </w:tr>
      <w:tr w:rsidR="00E67099" w:rsidRPr="00E67099" w:rsidTr="00A36731">
        <w:trPr>
          <w:trHeight w:val="288"/>
        </w:trPr>
        <w:tc>
          <w:tcPr>
            <w:tcW w:w="562" w:type="dxa"/>
            <w:shd w:val="clear" w:color="auto" w:fill="auto"/>
            <w:noWrap/>
            <w:vAlign w:val="bottom"/>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25</w:t>
            </w:r>
          </w:p>
        </w:tc>
        <w:tc>
          <w:tcPr>
            <w:tcW w:w="4962" w:type="dxa"/>
            <w:shd w:val="clear" w:color="auto" w:fill="auto"/>
            <w:noWrap/>
            <w:vAlign w:val="center"/>
            <w:hideMark/>
          </w:tcPr>
          <w:p w:rsidR="00E67099" w:rsidRPr="00E67099" w:rsidRDefault="00E67099" w:rsidP="00E67099">
            <w:pPr>
              <w:spacing w:after="0" w:line="240" w:lineRule="auto"/>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Organizația Tratatului Atlanticului de Nord (NATO)</w:t>
            </w:r>
          </w:p>
        </w:tc>
        <w:tc>
          <w:tcPr>
            <w:tcW w:w="927"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2099</w:t>
            </w:r>
          </w:p>
        </w:tc>
        <w:tc>
          <w:tcPr>
            <w:tcW w:w="1222"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849,50</w:t>
            </w:r>
          </w:p>
        </w:tc>
        <w:tc>
          <w:tcPr>
            <w:tcW w:w="1217" w:type="dxa"/>
            <w:shd w:val="clear" w:color="auto" w:fill="FBE4D5" w:themeFill="accent2" w:themeFillTint="33"/>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849,50</w:t>
            </w:r>
          </w:p>
        </w:tc>
        <w:tc>
          <w:tcPr>
            <w:tcW w:w="1217" w:type="dxa"/>
            <w:shd w:val="clear" w:color="auto" w:fill="FBE4D5" w:themeFill="accent2" w:themeFillTint="33"/>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1.156,34</w:t>
            </w:r>
          </w:p>
        </w:tc>
        <w:tc>
          <w:tcPr>
            <w:tcW w:w="1326"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306,84</w:t>
            </w:r>
          </w:p>
        </w:tc>
        <w:tc>
          <w:tcPr>
            <w:tcW w:w="828"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136,12</w:t>
            </w:r>
          </w:p>
        </w:tc>
        <w:tc>
          <w:tcPr>
            <w:tcW w:w="1274"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0,00</w:t>
            </w:r>
          </w:p>
        </w:tc>
      </w:tr>
      <w:tr w:rsidR="00E67099" w:rsidRPr="00E67099" w:rsidTr="00A36731">
        <w:trPr>
          <w:trHeight w:val="288"/>
        </w:trPr>
        <w:tc>
          <w:tcPr>
            <w:tcW w:w="562" w:type="dxa"/>
            <w:shd w:val="clear" w:color="auto" w:fill="auto"/>
            <w:noWrap/>
            <w:vAlign w:val="bottom"/>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26</w:t>
            </w:r>
          </w:p>
        </w:tc>
        <w:tc>
          <w:tcPr>
            <w:tcW w:w="4962" w:type="dxa"/>
            <w:shd w:val="clear" w:color="auto" w:fill="auto"/>
            <w:noWrap/>
            <w:vAlign w:val="center"/>
            <w:hideMark/>
          </w:tcPr>
          <w:p w:rsidR="00E67099" w:rsidRPr="00E67099" w:rsidRDefault="00E67099" w:rsidP="00E67099">
            <w:pPr>
              <w:spacing w:after="0" w:line="240" w:lineRule="auto"/>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Alți donatori</w:t>
            </w:r>
          </w:p>
        </w:tc>
        <w:tc>
          <w:tcPr>
            <w:tcW w:w="927"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2999</w:t>
            </w:r>
          </w:p>
        </w:tc>
        <w:tc>
          <w:tcPr>
            <w:tcW w:w="1222"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0,00</w:t>
            </w:r>
          </w:p>
        </w:tc>
        <w:tc>
          <w:tcPr>
            <w:tcW w:w="1217" w:type="dxa"/>
            <w:shd w:val="clear" w:color="auto" w:fill="FBE4D5" w:themeFill="accent2" w:themeFillTint="33"/>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1.609,00</w:t>
            </w:r>
          </w:p>
        </w:tc>
        <w:tc>
          <w:tcPr>
            <w:tcW w:w="1217" w:type="dxa"/>
            <w:shd w:val="clear" w:color="auto" w:fill="FBE4D5" w:themeFill="accent2" w:themeFillTint="33"/>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2.188,63</w:t>
            </w:r>
          </w:p>
        </w:tc>
        <w:tc>
          <w:tcPr>
            <w:tcW w:w="1326"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579,63</w:t>
            </w:r>
          </w:p>
        </w:tc>
        <w:tc>
          <w:tcPr>
            <w:tcW w:w="828"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136,02</w:t>
            </w:r>
          </w:p>
        </w:tc>
        <w:tc>
          <w:tcPr>
            <w:tcW w:w="1274"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37.400,67</w:t>
            </w:r>
          </w:p>
        </w:tc>
      </w:tr>
      <w:tr w:rsidR="00E67099" w:rsidRPr="00E67099" w:rsidTr="00A36731">
        <w:trPr>
          <w:trHeight w:val="288"/>
        </w:trPr>
        <w:tc>
          <w:tcPr>
            <w:tcW w:w="562" w:type="dxa"/>
            <w:shd w:val="clear" w:color="auto" w:fill="auto"/>
            <w:noWrap/>
            <w:vAlign w:val="bottom"/>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p>
        </w:tc>
        <w:tc>
          <w:tcPr>
            <w:tcW w:w="4962" w:type="dxa"/>
            <w:shd w:val="clear" w:color="auto" w:fill="auto"/>
            <w:noWrap/>
            <w:vAlign w:val="bottom"/>
            <w:hideMark/>
          </w:tcPr>
          <w:p w:rsidR="00E67099" w:rsidRPr="00E67099" w:rsidRDefault="00E67099" w:rsidP="00E67099">
            <w:pPr>
              <w:spacing w:after="0" w:line="240" w:lineRule="auto"/>
              <w:jc w:val="center"/>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 </w:t>
            </w:r>
          </w:p>
        </w:tc>
        <w:tc>
          <w:tcPr>
            <w:tcW w:w="927"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300</w:t>
            </w:r>
          </w:p>
        </w:tc>
        <w:tc>
          <w:tcPr>
            <w:tcW w:w="1222"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0,00</w:t>
            </w:r>
          </w:p>
        </w:tc>
        <w:tc>
          <w:tcPr>
            <w:tcW w:w="1217" w:type="dxa"/>
            <w:shd w:val="clear" w:color="auto" w:fill="FBE4D5" w:themeFill="accent2" w:themeFillTint="33"/>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0,00</w:t>
            </w:r>
          </w:p>
        </w:tc>
        <w:tc>
          <w:tcPr>
            <w:tcW w:w="1217" w:type="dxa"/>
            <w:shd w:val="clear" w:color="auto" w:fill="FBE4D5" w:themeFill="accent2" w:themeFillTint="33"/>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787,46</w:t>
            </w:r>
          </w:p>
        </w:tc>
        <w:tc>
          <w:tcPr>
            <w:tcW w:w="1326"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787,46</w:t>
            </w:r>
          </w:p>
        </w:tc>
        <w:tc>
          <w:tcPr>
            <w:tcW w:w="828"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 </w:t>
            </w:r>
          </w:p>
        </w:tc>
        <w:tc>
          <w:tcPr>
            <w:tcW w:w="1274"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r w:rsidRPr="00E67099">
              <w:rPr>
                <w:rFonts w:asciiTheme="majorHAnsi" w:eastAsia="Times New Roman" w:hAnsiTheme="majorHAnsi" w:cstheme="majorHAnsi"/>
                <w:color w:val="000000"/>
                <w:lang w:val="ro-MD"/>
              </w:rPr>
              <w:t>0,00</w:t>
            </w:r>
          </w:p>
        </w:tc>
      </w:tr>
      <w:tr w:rsidR="00E67099" w:rsidRPr="00E67099" w:rsidTr="00A36731">
        <w:trPr>
          <w:trHeight w:val="288"/>
        </w:trPr>
        <w:tc>
          <w:tcPr>
            <w:tcW w:w="562" w:type="dxa"/>
            <w:shd w:val="clear" w:color="auto" w:fill="auto"/>
            <w:noWrap/>
            <w:vAlign w:val="bottom"/>
          </w:tcPr>
          <w:p w:rsidR="00E67099" w:rsidRPr="00E67099" w:rsidRDefault="00E67099" w:rsidP="00E67099">
            <w:pPr>
              <w:spacing w:after="0" w:line="240" w:lineRule="auto"/>
              <w:jc w:val="right"/>
              <w:rPr>
                <w:rFonts w:asciiTheme="majorHAnsi" w:eastAsia="Times New Roman" w:hAnsiTheme="majorHAnsi" w:cstheme="majorHAnsi"/>
                <w:color w:val="000000"/>
                <w:lang w:val="ro-MD"/>
              </w:rPr>
            </w:pPr>
          </w:p>
        </w:tc>
        <w:tc>
          <w:tcPr>
            <w:tcW w:w="4962" w:type="dxa"/>
            <w:shd w:val="clear" w:color="auto" w:fill="auto"/>
            <w:noWrap/>
            <w:vAlign w:val="bottom"/>
            <w:hideMark/>
          </w:tcPr>
          <w:p w:rsidR="00E67099" w:rsidRPr="00E67099" w:rsidRDefault="00E67099" w:rsidP="00E67099">
            <w:pPr>
              <w:spacing w:after="0" w:line="240" w:lineRule="auto"/>
              <w:jc w:val="center"/>
              <w:rPr>
                <w:rFonts w:asciiTheme="majorHAnsi" w:eastAsia="Times New Roman" w:hAnsiTheme="majorHAnsi" w:cstheme="majorHAnsi"/>
                <w:b/>
                <w:bCs/>
                <w:color w:val="000000"/>
                <w:lang w:val="ro-MD"/>
              </w:rPr>
            </w:pPr>
            <w:r w:rsidRPr="00E67099">
              <w:rPr>
                <w:rFonts w:asciiTheme="majorHAnsi" w:eastAsia="Times New Roman" w:hAnsiTheme="majorHAnsi" w:cstheme="majorHAnsi"/>
                <w:b/>
                <w:bCs/>
                <w:color w:val="000000"/>
                <w:lang w:val="ro-MD"/>
              </w:rPr>
              <w:t>TOTAL </w:t>
            </w:r>
          </w:p>
        </w:tc>
        <w:tc>
          <w:tcPr>
            <w:tcW w:w="927" w:type="dxa"/>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b/>
                <w:bCs/>
                <w:color w:val="000000"/>
                <w:lang w:val="ro-MD"/>
              </w:rPr>
            </w:pPr>
            <w:r w:rsidRPr="00E67099">
              <w:rPr>
                <w:rFonts w:asciiTheme="majorHAnsi" w:eastAsia="Times New Roman" w:hAnsiTheme="majorHAnsi" w:cstheme="majorHAnsi"/>
                <w:b/>
                <w:bCs/>
                <w:color w:val="000000"/>
                <w:lang w:val="ro-MD"/>
              </w:rPr>
              <w:t> </w:t>
            </w:r>
          </w:p>
        </w:tc>
        <w:tc>
          <w:tcPr>
            <w:tcW w:w="1222"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b/>
                <w:bCs/>
                <w:color w:val="000000"/>
                <w:lang w:val="ro-MD"/>
              </w:rPr>
            </w:pPr>
            <w:r w:rsidRPr="00E67099">
              <w:rPr>
                <w:rFonts w:asciiTheme="majorHAnsi" w:eastAsia="Times New Roman" w:hAnsiTheme="majorHAnsi" w:cstheme="majorHAnsi"/>
                <w:b/>
                <w:bCs/>
                <w:color w:val="000000"/>
                <w:lang w:val="ro-MD"/>
              </w:rPr>
              <w:t>731.921,60</w:t>
            </w:r>
          </w:p>
        </w:tc>
        <w:tc>
          <w:tcPr>
            <w:tcW w:w="1217"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b/>
                <w:bCs/>
                <w:color w:val="000000"/>
                <w:lang w:val="ro-MD"/>
              </w:rPr>
            </w:pPr>
            <w:r w:rsidRPr="00E67099">
              <w:rPr>
                <w:rFonts w:asciiTheme="majorHAnsi" w:eastAsia="Times New Roman" w:hAnsiTheme="majorHAnsi" w:cstheme="majorHAnsi"/>
                <w:b/>
                <w:bCs/>
                <w:color w:val="000000"/>
                <w:lang w:val="ro-MD"/>
              </w:rPr>
              <w:t>425.039,43</w:t>
            </w:r>
          </w:p>
        </w:tc>
        <w:tc>
          <w:tcPr>
            <w:tcW w:w="1217"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b/>
                <w:bCs/>
                <w:color w:val="000000"/>
                <w:lang w:val="ro-MD"/>
              </w:rPr>
            </w:pPr>
            <w:r w:rsidRPr="00E67099">
              <w:rPr>
                <w:rFonts w:asciiTheme="majorHAnsi" w:eastAsia="Times New Roman" w:hAnsiTheme="majorHAnsi" w:cstheme="majorHAnsi"/>
                <w:b/>
                <w:bCs/>
                <w:color w:val="000000"/>
                <w:lang w:val="ro-MD"/>
              </w:rPr>
              <w:t>305.833,30</w:t>
            </w:r>
          </w:p>
        </w:tc>
        <w:tc>
          <w:tcPr>
            <w:tcW w:w="1326"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b/>
                <w:bCs/>
                <w:color w:val="000000"/>
                <w:lang w:val="ro-MD"/>
              </w:rPr>
            </w:pPr>
            <w:r w:rsidRPr="00E67099">
              <w:rPr>
                <w:rFonts w:asciiTheme="majorHAnsi" w:eastAsia="Times New Roman" w:hAnsiTheme="majorHAnsi" w:cstheme="majorHAnsi"/>
                <w:b/>
                <w:bCs/>
                <w:color w:val="000000"/>
                <w:lang w:val="ro-MD"/>
              </w:rPr>
              <w:t>-119.206,13</w:t>
            </w:r>
          </w:p>
        </w:tc>
        <w:tc>
          <w:tcPr>
            <w:tcW w:w="828"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b/>
                <w:bCs/>
                <w:color w:val="000000"/>
                <w:lang w:val="ro-MD"/>
              </w:rPr>
            </w:pPr>
            <w:r w:rsidRPr="00E67099">
              <w:rPr>
                <w:rFonts w:asciiTheme="majorHAnsi" w:eastAsia="Times New Roman" w:hAnsiTheme="majorHAnsi" w:cstheme="majorHAnsi"/>
                <w:b/>
                <w:bCs/>
                <w:color w:val="000000"/>
                <w:lang w:val="ro-MD"/>
              </w:rPr>
              <w:t>71,95</w:t>
            </w:r>
          </w:p>
        </w:tc>
        <w:tc>
          <w:tcPr>
            <w:tcW w:w="1274" w:type="dxa"/>
            <w:shd w:val="clear" w:color="auto" w:fill="auto"/>
            <w:noWrap/>
            <w:vAlign w:val="center"/>
            <w:hideMark/>
          </w:tcPr>
          <w:p w:rsidR="00E67099" w:rsidRPr="00E67099" w:rsidRDefault="00E67099" w:rsidP="00E67099">
            <w:pPr>
              <w:spacing w:after="0" w:line="240" w:lineRule="auto"/>
              <w:jc w:val="right"/>
              <w:rPr>
                <w:rFonts w:asciiTheme="majorHAnsi" w:eastAsia="Times New Roman" w:hAnsiTheme="majorHAnsi" w:cstheme="majorHAnsi"/>
                <w:b/>
                <w:bCs/>
                <w:color w:val="000000"/>
                <w:lang w:val="ro-MD"/>
              </w:rPr>
            </w:pPr>
            <w:r w:rsidRPr="00E67099">
              <w:rPr>
                <w:rFonts w:asciiTheme="majorHAnsi" w:eastAsia="Times New Roman" w:hAnsiTheme="majorHAnsi" w:cstheme="majorHAnsi"/>
                <w:b/>
                <w:bCs/>
                <w:color w:val="000000"/>
                <w:lang w:val="ro-MD"/>
              </w:rPr>
              <w:t>335.375,70</w:t>
            </w:r>
          </w:p>
        </w:tc>
      </w:tr>
    </w:tbl>
    <w:p w:rsidR="00E67099" w:rsidRPr="00E67099" w:rsidRDefault="00E67099" w:rsidP="00E67099">
      <w:pPr>
        <w:tabs>
          <w:tab w:val="left" w:pos="993"/>
        </w:tabs>
        <w:jc w:val="both"/>
        <w:rPr>
          <w:rFonts w:asciiTheme="majorHAnsi" w:hAnsiTheme="majorHAnsi" w:cstheme="majorHAnsi"/>
          <w:i/>
          <w:sz w:val="20"/>
          <w:szCs w:val="20"/>
        </w:rPr>
      </w:pPr>
      <w:r w:rsidRPr="00E67099">
        <w:rPr>
          <w:rFonts w:asciiTheme="majorHAnsi" w:hAnsiTheme="majorHAnsi" w:cstheme="majorHAnsi"/>
          <w:b/>
          <w:i/>
          <w:sz w:val="20"/>
          <w:szCs w:val="20"/>
        </w:rPr>
        <w:t>Sursă:</w:t>
      </w:r>
      <w:r w:rsidRPr="00E67099">
        <w:rPr>
          <w:rFonts w:asciiTheme="majorHAnsi" w:hAnsiTheme="majorHAnsi" w:cstheme="majorHAnsi"/>
          <w:i/>
          <w:sz w:val="20"/>
          <w:szCs w:val="20"/>
        </w:rPr>
        <w:t xml:space="preserve"> Raportul privind sinteza proiectelor finanțate din surse externe, incluse în buget la situația din 31.12.2019.</w:t>
      </w:r>
    </w:p>
    <w:p w:rsidR="00E67099" w:rsidRPr="00E67099" w:rsidRDefault="00E67099" w:rsidP="00E67099">
      <w:pPr>
        <w:shd w:val="clear" w:color="auto" w:fill="FFFFFF" w:themeFill="background1"/>
        <w:tabs>
          <w:tab w:val="left" w:pos="284"/>
          <w:tab w:val="left" w:pos="993"/>
          <w:tab w:val="left" w:pos="6663"/>
        </w:tabs>
        <w:spacing w:after="0" w:line="276" w:lineRule="auto"/>
        <w:ind w:left="1440"/>
        <w:contextualSpacing/>
        <w:jc w:val="right"/>
        <w:rPr>
          <w:rFonts w:asciiTheme="majorHAnsi" w:eastAsia="Times New Roman" w:hAnsiTheme="majorHAnsi" w:cstheme="majorHAnsi"/>
          <w:b/>
          <w:i/>
          <w:sz w:val="24"/>
          <w:szCs w:val="24"/>
          <w:lang w:val="ro-MD"/>
        </w:rPr>
      </w:pPr>
    </w:p>
    <w:p w:rsidR="00E67099" w:rsidRPr="00E67099" w:rsidRDefault="00E67099" w:rsidP="00E67099">
      <w:pPr>
        <w:shd w:val="clear" w:color="auto" w:fill="FFFFFF" w:themeFill="background1"/>
        <w:tabs>
          <w:tab w:val="left" w:pos="284"/>
          <w:tab w:val="left" w:pos="993"/>
          <w:tab w:val="left" w:pos="6663"/>
        </w:tabs>
        <w:spacing w:after="0" w:line="276" w:lineRule="auto"/>
        <w:ind w:left="1440"/>
        <w:contextualSpacing/>
        <w:jc w:val="right"/>
        <w:rPr>
          <w:rFonts w:asciiTheme="majorHAnsi" w:eastAsia="Times New Roman" w:hAnsiTheme="majorHAnsi" w:cstheme="majorHAnsi"/>
          <w:b/>
          <w:i/>
          <w:sz w:val="24"/>
          <w:szCs w:val="24"/>
        </w:rPr>
      </w:pPr>
      <w:r w:rsidRPr="00E67099">
        <w:rPr>
          <w:rFonts w:asciiTheme="majorHAnsi" w:eastAsia="Times New Roman" w:hAnsiTheme="majorHAnsi" w:cstheme="majorHAnsi"/>
          <w:b/>
          <w:i/>
          <w:sz w:val="24"/>
          <w:szCs w:val="24"/>
        </w:rPr>
        <w:t>Anexa nr.12</w:t>
      </w:r>
    </w:p>
    <w:p w:rsidR="00E67099" w:rsidRPr="00E67099" w:rsidRDefault="00E67099" w:rsidP="00E67099">
      <w:pPr>
        <w:spacing w:after="0" w:line="276" w:lineRule="auto"/>
        <w:jc w:val="center"/>
        <w:rPr>
          <w:rFonts w:asciiTheme="majorHAnsi" w:eastAsia="Times New Roman" w:hAnsiTheme="majorHAnsi" w:cstheme="majorHAnsi"/>
          <w:b/>
          <w:sz w:val="24"/>
          <w:szCs w:val="24"/>
          <w:lang w:eastAsia="ru-RU"/>
        </w:rPr>
      </w:pPr>
      <w:r w:rsidRPr="00E67099">
        <w:rPr>
          <w:rFonts w:asciiTheme="majorHAnsi" w:eastAsia="Times New Roman" w:hAnsiTheme="majorHAnsi" w:cstheme="majorHAnsi"/>
          <w:b/>
          <w:sz w:val="24"/>
          <w:szCs w:val="24"/>
          <w:lang w:eastAsia="ru-RU"/>
        </w:rPr>
        <w:t>Analiza executării cheltuielilor bugetului de stat în aspectul clasificației economice pe anul 2019, comparativ cu anul 2018</w:t>
      </w:r>
    </w:p>
    <w:p w:rsidR="00E67099" w:rsidRPr="00E67099" w:rsidRDefault="00E67099" w:rsidP="00E67099">
      <w:pPr>
        <w:spacing w:after="0" w:line="276" w:lineRule="auto"/>
        <w:jc w:val="right"/>
        <w:rPr>
          <w:rFonts w:asciiTheme="majorHAnsi" w:eastAsia="Times New Roman" w:hAnsiTheme="majorHAnsi" w:cstheme="majorHAnsi"/>
          <w:b/>
          <w:sz w:val="24"/>
          <w:szCs w:val="24"/>
          <w:lang w:eastAsia="ru-RU"/>
        </w:rPr>
      </w:pPr>
      <w:r w:rsidRPr="00E67099">
        <w:rPr>
          <w:rFonts w:asciiTheme="majorHAnsi" w:eastAsia="Times New Roman" w:hAnsiTheme="majorHAnsi" w:cstheme="majorHAnsi"/>
          <w:b/>
          <w:sz w:val="24"/>
          <w:szCs w:val="24"/>
          <w:lang w:eastAsia="ru-RU"/>
        </w:rPr>
        <w:t>(mil. lei)</w:t>
      </w:r>
    </w:p>
    <w:tbl>
      <w:tblPr>
        <w:tblStyle w:val="GridTable1Light12"/>
        <w:tblW w:w="13147" w:type="dxa"/>
        <w:tblLayout w:type="fixed"/>
        <w:tblLook w:val="04A0" w:firstRow="1" w:lastRow="0" w:firstColumn="1" w:lastColumn="0" w:noHBand="0" w:noVBand="1"/>
      </w:tblPr>
      <w:tblGrid>
        <w:gridCol w:w="3256"/>
        <w:gridCol w:w="1417"/>
        <w:gridCol w:w="1276"/>
        <w:gridCol w:w="1275"/>
        <w:gridCol w:w="1276"/>
        <w:gridCol w:w="1134"/>
        <w:gridCol w:w="1245"/>
        <w:gridCol w:w="1134"/>
        <w:gridCol w:w="1134"/>
      </w:tblGrid>
      <w:tr w:rsidR="00E67099" w:rsidRPr="00E67099" w:rsidTr="00A150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Merge w:val="restart"/>
            <w:vAlign w:val="center"/>
          </w:tcPr>
          <w:p w:rsidR="00E67099" w:rsidRPr="00A15068" w:rsidRDefault="00E67099" w:rsidP="00E67099">
            <w:pPr>
              <w:jc w:val="center"/>
              <w:rPr>
                <w:rFonts w:asciiTheme="majorHAnsi" w:eastAsia="Times New Roman" w:hAnsiTheme="majorHAnsi" w:cstheme="majorHAnsi"/>
                <w:sz w:val="20"/>
                <w:szCs w:val="20"/>
                <w:lang w:eastAsia="ru-RU"/>
              </w:rPr>
            </w:pPr>
            <w:r w:rsidRPr="00A15068">
              <w:rPr>
                <w:rFonts w:asciiTheme="majorHAnsi" w:eastAsia="Times New Roman" w:hAnsiTheme="majorHAnsi" w:cstheme="majorHAnsi"/>
                <w:sz w:val="20"/>
                <w:szCs w:val="20"/>
                <w:lang w:eastAsia="ru-RU"/>
              </w:rPr>
              <w:t>Cheltuieli</w:t>
            </w:r>
          </w:p>
        </w:tc>
        <w:tc>
          <w:tcPr>
            <w:tcW w:w="1417" w:type="dxa"/>
            <w:vMerge w:val="restart"/>
            <w:vAlign w:val="center"/>
          </w:tcPr>
          <w:p w:rsidR="00E67099" w:rsidRPr="00A15068" w:rsidRDefault="00E67099" w:rsidP="00E67099">
            <w:pPr>
              <w:ind w:left="-11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A15068">
              <w:rPr>
                <w:rFonts w:asciiTheme="majorHAnsi" w:eastAsia="Times New Roman" w:hAnsiTheme="majorHAnsi" w:cstheme="majorHAnsi"/>
                <w:sz w:val="20"/>
                <w:szCs w:val="20"/>
                <w:lang w:eastAsia="ru-RU"/>
              </w:rPr>
              <w:t>Aprobat pe an</w:t>
            </w:r>
          </w:p>
        </w:tc>
        <w:tc>
          <w:tcPr>
            <w:tcW w:w="1276" w:type="dxa"/>
            <w:vMerge w:val="restart"/>
            <w:vAlign w:val="center"/>
          </w:tcPr>
          <w:p w:rsidR="00E67099" w:rsidRPr="00A15068" w:rsidRDefault="00E67099" w:rsidP="00E67099">
            <w:pPr>
              <w:ind w:left="-108" w:right="-111"/>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A15068">
              <w:rPr>
                <w:rFonts w:asciiTheme="majorHAnsi" w:eastAsia="Times New Roman" w:hAnsiTheme="majorHAnsi" w:cstheme="majorHAnsi"/>
                <w:sz w:val="20"/>
                <w:szCs w:val="20"/>
                <w:lang w:eastAsia="ru-RU"/>
              </w:rPr>
              <w:t>Precizat pe an</w:t>
            </w:r>
          </w:p>
        </w:tc>
        <w:tc>
          <w:tcPr>
            <w:tcW w:w="1275" w:type="dxa"/>
            <w:vMerge w:val="restart"/>
            <w:vAlign w:val="center"/>
          </w:tcPr>
          <w:p w:rsidR="00E67099" w:rsidRPr="00A15068" w:rsidRDefault="00E67099" w:rsidP="00E67099">
            <w:pPr>
              <w:ind w:left="-117" w:right="-124"/>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A15068">
              <w:rPr>
                <w:rFonts w:asciiTheme="majorHAnsi" w:eastAsia="Times New Roman" w:hAnsiTheme="majorHAnsi" w:cstheme="majorHAnsi"/>
                <w:sz w:val="20"/>
                <w:szCs w:val="20"/>
                <w:lang w:eastAsia="ru-RU"/>
              </w:rPr>
              <w:t>Executat în anul 2019</w:t>
            </w:r>
          </w:p>
        </w:tc>
        <w:tc>
          <w:tcPr>
            <w:tcW w:w="2410" w:type="dxa"/>
            <w:gridSpan w:val="2"/>
            <w:vAlign w:val="center"/>
          </w:tcPr>
          <w:p w:rsidR="00E67099" w:rsidRPr="00A15068" w:rsidRDefault="00E67099" w:rsidP="00E67099">
            <w:pPr>
              <w:ind w:left="-80" w:right="-106"/>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A15068">
              <w:rPr>
                <w:rFonts w:asciiTheme="majorHAnsi" w:eastAsia="Times New Roman" w:hAnsiTheme="majorHAnsi" w:cstheme="majorHAnsi"/>
                <w:sz w:val="20"/>
                <w:szCs w:val="20"/>
                <w:lang w:eastAsia="ru-RU"/>
              </w:rPr>
              <w:t>Executat față de precizat pe an</w:t>
            </w:r>
          </w:p>
        </w:tc>
        <w:tc>
          <w:tcPr>
            <w:tcW w:w="1245" w:type="dxa"/>
            <w:vMerge w:val="restart"/>
            <w:vAlign w:val="center"/>
          </w:tcPr>
          <w:p w:rsidR="00E67099" w:rsidRPr="00A15068" w:rsidRDefault="00E67099" w:rsidP="00E67099">
            <w:pPr>
              <w:ind w:left="-98" w:right="-114"/>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A15068">
              <w:rPr>
                <w:rFonts w:asciiTheme="majorHAnsi" w:eastAsia="Times New Roman" w:hAnsiTheme="majorHAnsi" w:cstheme="majorHAnsi"/>
                <w:sz w:val="20"/>
                <w:szCs w:val="20"/>
                <w:lang w:eastAsia="ru-RU"/>
              </w:rPr>
              <w:t>Executat în anul 2018</w:t>
            </w:r>
          </w:p>
        </w:tc>
        <w:tc>
          <w:tcPr>
            <w:tcW w:w="2268" w:type="dxa"/>
            <w:gridSpan w:val="2"/>
            <w:vAlign w:val="center"/>
          </w:tcPr>
          <w:p w:rsidR="00E67099" w:rsidRPr="00A15068" w:rsidRDefault="00E67099" w:rsidP="00E67099">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A15068">
              <w:rPr>
                <w:rFonts w:asciiTheme="majorHAnsi" w:eastAsia="Times New Roman" w:hAnsiTheme="majorHAnsi" w:cstheme="majorHAnsi"/>
                <w:sz w:val="20"/>
                <w:szCs w:val="20"/>
                <w:lang w:eastAsia="ru-RU"/>
              </w:rPr>
              <w:t>Executat anul curent față de precedent</w:t>
            </w:r>
          </w:p>
        </w:tc>
      </w:tr>
      <w:tr w:rsidR="00E67099" w:rsidRPr="00E67099" w:rsidTr="00A15068">
        <w:tc>
          <w:tcPr>
            <w:cnfStyle w:val="001000000000" w:firstRow="0" w:lastRow="0" w:firstColumn="1" w:lastColumn="0" w:oddVBand="0" w:evenVBand="0" w:oddHBand="0" w:evenHBand="0" w:firstRowFirstColumn="0" w:firstRowLastColumn="0" w:lastRowFirstColumn="0" w:lastRowLastColumn="0"/>
            <w:tcW w:w="3256" w:type="dxa"/>
            <w:vMerge/>
            <w:vAlign w:val="center"/>
          </w:tcPr>
          <w:p w:rsidR="00E67099" w:rsidRPr="00A15068" w:rsidRDefault="00E67099" w:rsidP="00E67099">
            <w:pPr>
              <w:jc w:val="center"/>
              <w:rPr>
                <w:rFonts w:asciiTheme="majorHAnsi" w:eastAsia="Times New Roman" w:hAnsiTheme="majorHAnsi" w:cstheme="majorHAnsi"/>
                <w:sz w:val="20"/>
                <w:szCs w:val="20"/>
                <w:lang w:eastAsia="ru-RU"/>
              </w:rPr>
            </w:pPr>
          </w:p>
        </w:tc>
        <w:tc>
          <w:tcPr>
            <w:tcW w:w="1417" w:type="dxa"/>
            <w:vMerge/>
            <w:vAlign w:val="center"/>
          </w:tcPr>
          <w:p w:rsidR="00E67099" w:rsidRPr="00A15068"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eastAsia="ru-RU"/>
              </w:rPr>
            </w:pPr>
          </w:p>
        </w:tc>
        <w:tc>
          <w:tcPr>
            <w:tcW w:w="1276" w:type="dxa"/>
            <w:vMerge/>
            <w:vAlign w:val="center"/>
          </w:tcPr>
          <w:p w:rsidR="00E67099" w:rsidRPr="00A15068"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eastAsia="ru-RU"/>
              </w:rPr>
            </w:pPr>
          </w:p>
        </w:tc>
        <w:tc>
          <w:tcPr>
            <w:tcW w:w="1275" w:type="dxa"/>
            <w:vMerge/>
            <w:vAlign w:val="center"/>
          </w:tcPr>
          <w:p w:rsidR="00E67099" w:rsidRPr="00A15068"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eastAsia="ru-RU"/>
              </w:rPr>
            </w:pPr>
          </w:p>
        </w:tc>
        <w:tc>
          <w:tcPr>
            <w:tcW w:w="1276" w:type="dxa"/>
            <w:vAlign w:val="center"/>
          </w:tcPr>
          <w:p w:rsidR="00E67099" w:rsidRPr="00A15068" w:rsidRDefault="00E67099" w:rsidP="00E67099">
            <w:pPr>
              <w:ind w:left="-113" w:right="-113"/>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eastAsia="ru-RU"/>
              </w:rPr>
            </w:pPr>
            <w:r w:rsidRPr="00A15068">
              <w:rPr>
                <w:rFonts w:asciiTheme="majorHAnsi" w:eastAsia="Times New Roman" w:hAnsiTheme="majorHAnsi" w:cstheme="majorHAnsi"/>
                <w:b/>
                <w:sz w:val="20"/>
                <w:szCs w:val="20"/>
                <w:lang w:eastAsia="ru-RU"/>
              </w:rPr>
              <w:t>devieri (+/-)</w:t>
            </w:r>
          </w:p>
        </w:tc>
        <w:tc>
          <w:tcPr>
            <w:tcW w:w="1134" w:type="dxa"/>
            <w:vAlign w:val="center"/>
          </w:tcPr>
          <w:p w:rsidR="00E67099" w:rsidRPr="00A15068"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eastAsia="ru-RU"/>
              </w:rPr>
            </w:pPr>
            <w:r w:rsidRPr="00A15068">
              <w:rPr>
                <w:rFonts w:asciiTheme="majorHAnsi" w:eastAsia="Times New Roman" w:hAnsiTheme="majorHAnsi" w:cstheme="majorHAnsi"/>
                <w:b/>
                <w:sz w:val="20"/>
                <w:szCs w:val="20"/>
                <w:lang w:eastAsia="ru-RU"/>
              </w:rPr>
              <w:t>în %</w:t>
            </w:r>
          </w:p>
        </w:tc>
        <w:tc>
          <w:tcPr>
            <w:tcW w:w="1245" w:type="dxa"/>
            <w:vMerge/>
            <w:vAlign w:val="center"/>
          </w:tcPr>
          <w:p w:rsidR="00E67099" w:rsidRPr="00A15068" w:rsidRDefault="00E67099" w:rsidP="00E67099">
            <w:pPr>
              <w:ind w:left="-113" w:right="-113"/>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eastAsia="ru-RU"/>
              </w:rPr>
            </w:pPr>
          </w:p>
        </w:tc>
        <w:tc>
          <w:tcPr>
            <w:tcW w:w="1134" w:type="dxa"/>
            <w:vAlign w:val="center"/>
          </w:tcPr>
          <w:p w:rsidR="00E67099" w:rsidRPr="00A15068" w:rsidRDefault="00E67099" w:rsidP="00E67099">
            <w:pPr>
              <w:ind w:left="-113" w:right="-113"/>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eastAsia="ru-RU"/>
              </w:rPr>
            </w:pPr>
            <w:r w:rsidRPr="00A15068">
              <w:rPr>
                <w:rFonts w:asciiTheme="majorHAnsi" w:eastAsia="Times New Roman" w:hAnsiTheme="majorHAnsi" w:cstheme="majorHAnsi"/>
                <w:b/>
                <w:sz w:val="20"/>
                <w:szCs w:val="20"/>
                <w:lang w:eastAsia="ru-RU"/>
              </w:rPr>
              <w:t>devieri (+/-)</w:t>
            </w:r>
          </w:p>
        </w:tc>
        <w:tc>
          <w:tcPr>
            <w:tcW w:w="1134" w:type="dxa"/>
            <w:vAlign w:val="center"/>
          </w:tcPr>
          <w:p w:rsidR="00E67099" w:rsidRPr="00A15068"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eastAsia="ru-RU"/>
              </w:rPr>
            </w:pPr>
            <w:r w:rsidRPr="00A15068">
              <w:rPr>
                <w:rFonts w:asciiTheme="majorHAnsi" w:eastAsia="Times New Roman" w:hAnsiTheme="majorHAnsi" w:cstheme="majorHAnsi"/>
                <w:b/>
                <w:sz w:val="20"/>
                <w:szCs w:val="20"/>
                <w:lang w:eastAsia="ru-RU"/>
              </w:rPr>
              <w:t>în %</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3256" w:type="dxa"/>
          </w:tcPr>
          <w:p w:rsidR="00E67099" w:rsidRPr="00E67099" w:rsidRDefault="00E67099" w:rsidP="00E67099">
            <w:pPr>
              <w:ind w:right="-105"/>
              <w:jc w:val="center"/>
              <w:rPr>
                <w:rFonts w:asciiTheme="majorHAnsi" w:eastAsia="Times New Roman" w:hAnsiTheme="majorHAnsi" w:cstheme="majorHAnsi"/>
                <w:i/>
                <w:sz w:val="18"/>
                <w:szCs w:val="18"/>
                <w:lang w:eastAsia="ru-RU"/>
              </w:rPr>
            </w:pPr>
            <w:r w:rsidRPr="00E67099">
              <w:rPr>
                <w:rFonts w:asciiTheme="majorHAnsi" w:eastAsia="Times New Roman" w:hAnsiTheme="majorHAnsi" w:cstheme="majorHAnsi"/>
                <w:i/>
                <w:sz w:val="18"/>
                <w:szCs w:val="18"/>
                <w:lang w:eastAsia="ru-RU"/>
              </w:rPr>
              <w:t>1</w:t>
            </w:r>
          </w:p>
        </w:tc>
        <w:tc>
          <w:tcPr>
            <w:tcW w:w="1417"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18"/>
                <w:szCs w:val="18"/>
                <w:lang w:eastAsia="ru-RU"/>
              </w:rPr>
            </w:pPr>
            <w:r w:rsidRPr="00E67099">
              <w:rPr>
                <w:rFonts w:asciiTheme="majorHAnsi" w:eastAsia="Times New Roman" w:hAnsiTheme="majorHAnsi" w:cstheme="majorHAnsi"/>
                <w:i/>
                <w:sz w:val="18"/>
                <w:szCs w:val="18"/>
                <w:lang w:eastAsia="ru-RU"/>
              </w:rPr>
              <w:t>2</w:t>
            </w:r>
          </w:p>
        </w:tc>
        <w:tc>
          <w:tcPr>
            <w:tcW w:w="1276"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18"/>
                <w:szCs w:val="18"/>
                <w:lang w:val="en-US"/>
              </w:rPr>
            </w:pPr>
            <w:r w:rsidRPr="00E67099">
              <w:rPr>
                <w:rFonts w:asciiTheme="majorHAnsi" w:eastAsia="Times New Roman" w:hAnsiTheme="majorHAnsi" w:cstheme="majorHAnsi"/>
                <w:i/>
                <w:color w:val="000000"/>
                <w:sz w:val="18"/>
                <w:szCs w:val="18"/>
                <w:lang w:val="en-US"/>
              </w:rPr>
              <w:t>3</w:t>
            </w:r>
          </w:p>
        </w:tc>
        <w:tc>
          <w:tcPr>
            <w:tcW w:w="1275"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18"/>
                <w:szCs w:val="18"/>
                <w:lang w:eastAsia="ru-RU"/>
              </w:rPr>
            </w:pPr>
            <w:r w:rsidRPr="00E67099">
              <w:rPr>
                <w:rFonts w:asciiTheme="majorHAnsi" w:eastAsia="Times New Roman" w:hAnsiTheme="majorHAnsi" w:cstheme="majorHAnsi"/>
                <w:i/>
                <w:sz w:val="18"/>
                <w:szCs w:val="18"/>
                <w:lang w:eastAsia="ru-RU"/>
              </w:rPr>
              <w:t>4</w:t>
            </w:r>
          </w:p>
        </w:tc>
        <w:tc>
          <w:tcPr>
            <w:tcW w:w="1276" w:type="dxa"/>
          </w:tcPr>
          <w:p w:rsidR="00E67099" w:rsidRPr="00E67099" w:rsidRDefault="00E67099" w:rsidP="00E67099">
            <w:pPr>
              <w:ind w:left="-97" w:right="-3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color w:val="000000"/>
                <w:sz w:val="18"/>
                <w:szCs w:val="18"/>
                <w:lang w:val="en-US"/>
              </w:rPr>
            </w:pPr>
            <w:r w:rsidRPr="00E67099">
              <w:rPr>
                <w:rFonts w:asciiTheme="majorHAnsi" w:eastAsia="Times New Roman" w:hAnsiTheme="majorHAnsi" w:cstheme="majorHAnsi"/>
                <w:bCs/>
                <w:i/>
                <w:color w:val="000000"/>
                <w:sz w:val="18"/>
                <w:szCs w:val="18"/>
                <w:lang w:val="en-US"/>
              </w:rPr>
              <w:t>5=4-3</w:t>
            </w:r>
          </w:p>
        </w:tc>
        <w:tc>
          <w:tcPr>
            <w:tcW w:w="1134"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8"/>
                <w:szCs w:val="18"/>
              </w:rPr>
            </w:pPr>
            <w:r w:rsidRPr="00E67099">
              <w:rPr>
                <w:rFonts w:asciiTheme="majorHAnsi" w:hAnsiTheme="majorHAnsi" w:cstheme="majorHAnsi"/>
                <w:i/>
                <w:sz w:val="18"/>
                <w:szCs w:val="18"/>
              </w:rPr>
              <w:t>6=4/3*100</w:t>
            </w:r>
          </w:p>
        </w:tc>
        <w:tc>
          <w:tcPr>
            <w:tcW w:w="1245" w:type="dxa"/>
          </w:tcPr>
          <w:p w:rsidR="00E67099" w:rsidRPr="00E67099" w:rsidRDefault="00E67099" w:rsidP="00E67099">
            <w:pPr>
              <w:ind w:left="-113" w:right="-113"/>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8"/>
                <w:szCs w:val="18"/>
              </w:rPr>
            </w:pPr>
            <w:r w:rsidRPr="00E67099">
              <w:rPr>
                <w:rFonts w:asciiTheme="majorHAnsi" w:hAnsiTheme="majorHAnsi" w:cstheme="majorHAnsi"/>
                <w:i/>
                <w:sz w:val="18"/>
                <w:szCs w:val="18"/>
              </w:rPr>
              <w:t>7</w:t>
            </w:r>
          </w:p>
        </w:tc>
        <w:tc>
          <w:tcPr>
            <w:tcW w:w="1134" w:type="dxa"/>
          </w:tcPr>
          <w:p w:rsidR="00E67099" w:rsidRPr="00E67099" w:rsidRDefault="00E67099" w:rsidP="00E67099">
            <w:pPr>
              <w:ind w:left="-113" w:right="-113"/>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8"/>
                <w:szCs w:val="18"/>
              </w:rPr>
            </w:pPr>
            <w:r w:rsidRPr="00E67099">
              <w:rPr>
                <w:rFonts w:asciiTheme="majorHAnsi" w:hAnsiTheme="majorHAnsi" w:cstheme="majorHAnsi"/>
                <w:i/>
                <w:sz w:val="18"/>
                <w:szCs w:val="18"/>
              </w:rPr>
              <w:t>8=4-7</w:t>
            </w:r>
          </w:p>
        </w:tc>
        <w:tc>
          <w:tcPr>
            <w:tcW w:w="1134"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8"/>
                <w:szCs w:val="18"/>
              </w:rPr>
            </w:pPr>
            <w:r w:rsidRPr="00E67099">
              <w:rPr>
                <w:rFonts w:asciiTheme="majorHAnsi" w:hAnsiTheme="majorHAnsi" w:cstheme="majorHAnsi"/>
                <w:i/>
                <w:sz w:val="18"/>
                <w:szCs w:val="18"/>
              </w:rPr>
              <w:t>9=4/7*100</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3256" w:type="dxa"/>
          </w:tcPr>
          <w:p w:rsidR="00E67099" w:rsidRPr="00A15068" w:rsidRDefault="00E67099" w:rsidP="00E67099">
            <w:pPr>
              <w:ind w:right="-105"/>
              <w:rPr>
                <w:rFonts w:asciiTheme="majorHAnsi" w:eastAsia="Times New Roman" w:hAnsiTheme="majorHAnsi" w:cstheme="majorHAnsi"/>
                <w:sz w:val="20"/>
                <w:szCs w:val="20"/>
                <w:lang w:eastAsia="ru-RU"/>
              </w:rPr>
            </w:pPr>
            <w:r w:rsidRPr="00A15068">
              <w:rPr>
                <w:rFonts w:asciiTheme="majorHAnsi" w:eastAsia="Times New Roman" w:hAnsiTheme="majorHAnsi" w:cstheme="majorHAnsi"/>
                <w:sz w:val="20"/>
                <w:szCs w:val="20"/>
                <w:lang w:eastAsia="ru-RU"/>
              </w:rPr>
              <w:t>CHELTUIELI ȘI ACTIVE NEFINANCIARE, total:</w:t>
            </w:r>
          </w:p>
        </w:tc>
        <w:tc>
          <w:tcPr>
            <w:tcW w:w="1417"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lang w:val="en-US"/>
              </w:rPr>
            </w:pPr>
            <w:r w:rsidRPr="00A15068">
              <w:rPr>
                <w:rFonts w:asciiTheme="majorHAnsi" w:hAnsiTheme="majorHAnsi" w:cstheme="majorHAnsi"/>
                <w:b/>
                <w:bCs/>
                <w:sz w:val="20"/>
                <w:szCs w:val="20"/>
              </w:rPr>
              <w:t>47.664,2</w:t>
            </w:r>
          </w:p>
        </w:tc>
        <w:tc>
          <w:tcPr>
            <w:tcW w:w="1276"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rPr>
            </w:pPr>
            <w:r w:rsidRPr="00A15068">
              <w:rPr>
                <w:rFonts w:asciiTheme="majorHAnsi" w:hAnsiTheme="majorHAnsi" w:cstheme="majorHAnsi"/>
                <w:b/>
                <w:bCs/>
                <w:sz w:val="20"/>
                <w:szCs w:val="20"/>
              </w:rPr>
              <w:t>46.346,2</w:t>
            </w:r>
          </w:p>
        </w:tc>
        <w:tc>
          <w:tcPr>
            <w:tcW w:w="1275"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rPr>
            </w:pPr>
            <w:r w:rsidRPr="00A15068">
              <w:rPr>
                <w:rFonts w:asciiTheme="majorHAnsi" w:hAnsiTheme="majorHAnsi" w:cstheme="majorHAnsi"/>
                <w:b/>
                <w:bCs/>
                <w:sz w:val="20"/>
                <w:szCs w:val="20"/>
              </w:rPr>
              <w:t>43.073,9</w:t>
            </w:r>
          </w:p>
        </w:tc>
        <w:tc>
          <w:tcPr>
            <w:tcW w:w="1276"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lang w:val="en-US"/>
              </w:rPr>
            </w:pPr>
            <w:r w:rsidRPr="00A15068">
              <w:rPr>
                <w:rFonts w:asciiTheme="majorHAnsi" w:hAnsiTheme="majorHAnsi" w:cstheme="majorHAnsi"/>
                <w:b/>
                <w:bCs/>
                <w:color w:val="000000"/>
                <w:sz w:val="20"/>
                <w:szCs w:val="20"/>
              </w:rPr>
              <w:t>-3.272,3</w:t>
            </w:r>
          </w:p>
        </w:tc>
        <w:tc>
          <w:tcPr>
            <w:tcW w:w="1134"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rPr>
            </w:pPr>
            <w:r w:rsidRPr="00A15068">
              <w:rPr>
                <w:rFonts w:asciiTheme="majorHAnsi" w:hAnsiTheme="majorHAnsi" w:cstheme="majorHAnsi"/>
                <w:b/>
                <w:bCs/>
                <w:color w:val="000000"/>
                <w:sz w:val="20"/>
                <w:szCs w:val="20"/>
              </w:rPr>
              <w:t>92,9</w:t>
            </w:r>
          </w:p>
        </w:tc>
        <w:tc>
          <w:tcPr>
            <w:tcW w:w="1245"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eastAsia="ru-RU"/>
              </w:rPr>
            </w:pPr>
            <w:r w:rsidRPr="00A15068">
              <w:rPr>
                <w:rFonts w:asciiTheme="majorHAnsi" w:eastAsia="Times New Roman" w:hAnsiTheme="majorHAnsi" w:cstheme="majorHAnsi"/>
                <w:b/>
                <w:sz w:val="20"/>
                <w:szCs w:val="20"/>
                <w:lang w:eastAsia="ru-RU"/>
              </w:rPr>
              <w:t>38.708,3</w:t>
            </w:r>
          </w:p>
        </w:tc>
        <w:tc>
          <w:tcPr>
            <w:tcW w:w="1134"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lang w:val="en-US"/>
              </w:rPr>
            </w:pPr>
            <w:r w:rsidRPr="00A15068">
              <w:rPr>
                <w:rFonts w:asciiTheme="majorHAnsi" w:hAnsiTheme="majorHAnsi" w:cstheme="majorHAnsi"/>
                <w:b/>
                <w:bCs/>
                <w:color w:val="000000"/>
                <w:sz w:val="20"/>
                <w:szCs w:val="20"/>
              </w:rPr>
              <w:t>4.365,6</w:t>
            </w:r>
          </w:p>
        </w:tc>
        <w:tc>
          <w:tcPr>
            <w:tcW w:w="1134"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rPr>
            </w:pPr>
            <w:r w:rsidRPr="00A15068">
              <w:rPr>
                <w:rFonts w:asciiTheme="majorHAnsi" w:hAnsiTheme="majorHAnsi" w:cstheme="majorHAnsi"/>
                <w:b/>
                <w:bCs/>
                <w:color w:val="000000"/>
                <w:sz w:val="20"/>
                <w:szCs w:val="20"/>
              </w:rPr>
              <w:t>111,3</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3256" w:type="dxa"/>
          </w:tcPr>
          <w:p w:rsidR="00E67099" w:rsidRPr="00A15068" w:rsidRDefault="00E67099" w:rsidP="00E67099">
            <w:pPr>
              <w:ind w:right="-105"/>
              <w:rPr>
                <w:rFonts w:asciiTheme="majorHAnsi" w:eastAsia="Times New Roman" w:hAnsiTheme="majorHAnsi" w:cstheme="majorHAnsi"/>
                <w:sz w:val="20"/>
                <w:szCs w:val="20"/>
                <w:lang w:eastAsia="ru-RU"/>
              </w:rPr>
            </w:pPr>
            <w:r w:rsidRPr="00A15068">
              <w:rPr>
                <w:rFonts w:asciiTheme="majorHAnsi" w:eastAsia="Times New Roman" w:hAnsiTheme="majorHAnsi" w:cstheme="majorHAnsi"/>
                <w:sz w:val="20"/>
                <w:szCs w:val="20"/>
                <w:lang w:eastAsia="ru-RU"/>
              </w:rPr>
              <w:t xml:space="preserve">CHELTUIELI, total, </w:t>
            </w:r>
          </w:p>
          <w:p w:rsidR="00E67099" w:rsidRPr="00A15068" w:rsidRDefault="00E67099" w:rsidP="00E67099">
            <w:pPr>
              <w:ind w:right="-105"/>
              <w:rPr>
                <w:rFonts w:asciiTheme="majorHAnsi" w:eastAsia="Times New Roman" w:hAnsiTheme="majorHAnsi" w:cstheme="majorHAnsi"/>
                <w:i/>
                <w:sz w:val="20"/>
                <w:szCs w:val="20"/>
                <w:lang w:eastAsia="ru-RU"/>
              </w:rPr>
            </w:pPr>
            <w:r w:rsidRPr="00A15068">
              <w:rPr>
                <w:rFonts w:asciiTheme="majorHAnsi" w:eastAsia="Times New Roman" w:hAnsiTheme="majorHAnsi" w:cstheme="majorHAnsi"/>
                <w:i/>
                <w:sz w:val="20"/>
                <w:szCs w:val="20"/>
                <w:lang w:eastAsia="ru-RU"/>
              </w:rPr>
              <w:t>din care:</w:t>
            </w:r>
          </w:p>
        </w:tc>
        <w:tc>
          <w:tcPr>
            <w:tcW w:w="1417"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lang w:val="en-US"/>
              </w:rPr>
            </w:pPr>
            <w:r w:rsidRPr="00A15068">
              <w:rPr>
                <w:rFonts w:asciiTheme="majorHAnsi" w:hAnsiTheme="majorHAnsi" w:cstheme="majorHAnsi"/>
                <w:b/>
                <w:bCs/>
                <w:sz w:val="20"/>
                <w:szCs w:val="20"/>
              </w:rPr>
              <w:t>42.845,4</w:t>
            </w:r>
          </w:p>
        </w:tc>
        <w:tc>
          <w:tcPr>
            <w:tcW w:w="1276"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rPr>
            </w:pPr>
            <w:r w:rsidRPr="00A15068">
              <w:rPr>
                <w:rFonts w:asciiTheme="majorHAnsi" w:hAnsiTheme="majorHAnsi" w:cstheme="majorHAnsi"/>
                <w:b/>
                <w:bCs/>
                <w:sz w:val="20"/>
                <w:szCs w:val="20"/>
              </w:rPr>
              <w:t>42.377,4</w:t>
            </w:r>
          </w:p>
        </w:tc>
        <w:tc>
          <w:tcPr>
            <w:tcW w:w="1275"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rPr>
            </w:pPr>
            <w:r w:rsidRPr="00A15068">
              <w:rPr>
                <w:rFonts w:asciiTheme="majorHAnsi" w:hAnsiTheme="majorHAnsi" w:cstheme="majorHAnsi"/>
                <w:b/>
                <w:bCs/>
                <w:sz w:val="20"/>
                <w:szCs w:val="20"/>
              </w:rPr>
              <w:t>40.060,2</w:t>
            </w:r>
          </w:p>
        </w:tc>
        <w:tc>
          <w:tcPr>
            <w:tcW w:w="1276"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rPr>
            </w:pPr>
            <w:r w:rsidRPr="00A15068">
              <w:rPr>
                <w:rFonts w:asciiTheme="majorHAnsi" w:hAnsiTheme="majorHAnsi" w:cstheme="majorHAnsi"/>
                <w:b/>
                <w:bCs/>
                <w:color w:val="000000"/>
                <w:sz w:val="20"/>
                <w:szCs w:val="20"/>
              </w:rPr>
              <w:t>-2.317,2</w:t>
            </w:r>
          </w:p>
        </w:tc>
        <w:tc>
          <w:tcPr>
            <w:tcW w:w="1134"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rPr>
            </w:pPr>
            <w:r w:rsidRPr="00A15068">
              <w:rPr>
                <w:rFonts w:asciiTheme="majorHAnsi" w:hAnsiTheme="majorHAnsi" w:cstheme="majorHAnsi"/>
                <w:b/>
                <w:bCs/>
                <w:color w:val="000000"/>
                <w:sz w:val="20"/>
                <w:szCs w:val="20"/>
              </w:rPr>
              <w:t>94,5</w:t>
            </w:r>
          </w:p>
        </w:tc>
        <w:tc>
          <w:tcPr>
            <w:tcW w:w="1245"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eastAsia="ru-RU"/>
              </w:rPr>
            </w:pPr>
            <w:r w:rsidRPr="00A15068">
              <w:rPr>
                <w:rFonts w:asciiTheme="majorHAnsi" w:eastAsia="Times New Roman" w:hAnsiTheme="majorHAnsi" w:cstheme="majorHAnsi"/>
                <w:b/>
                <w:sz w:val="20"/>
                <w:szCs w:val="20"/>
                <w:lang w:eastAsia="ru-RU"/>
              </w:rPr>
              <w:t>35.841,7</w:t>
            </w:r>
          </w:p>
        </w:tc>
        <w:tc>
          <w:tcPr>
            <w:tcW w:w="1134"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rPr>
            </w:pPr>
            <w:r w:rsidRPr="00A15068">
              <w:rPr>
                <w:rFonts w:asciiTheme="majorHAnsi" w:hAnsiTheme="majorHAnsi" w:cstheme="majorHAnsi"/>
                <w:b/>
                <w:bCs/>
                <w:color w:val="000000"/>
                <w:sz w:val="20"/>
                <w:szCs w:val="20"/>
              </w:rPr>
              <w:t>4.218,5</w:t>
            </w:r>
          </w:p>
        </w:tc>
        <w:tc>
          <w:tcPr>
            <w:tcW w:w="1134"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rPr>
            </w:pPr>
            <w:r w:rsidRPr="00A15068">
              <w:rPr>
                <w:rFonts w:asciiTheme="majorHAnsi" w:hAnsiTheme="majorHAnsi" w:cstheme="majorHAnsi"/>
                <w:b/>
                <w:bCs/>
                <w:color w:val="000000"/>
                <w:sz w:val="20"/>
                <w:szCs w:val="20"/>
              </w:rPr>
              <w:t>111,8</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3256" w:type="dxa"/>
          </w:tcPr>
          <w:p w:rsidR="00E67099" w:rsidRPr="00A15068" w:rsidRDefault="00E67099" w:rsidP="00E67099">
            <w:pPr>
              <w:rPr>
                <w:rFonts w:asciiTheme="majorHAnsi" w:eastAsia="Times New Roman" w:hAnsiTheme="majorHAnsi" w:cstheme="majorHAnsi"/>
                <w:sz w:val="20"/>
                <w:szCs w:val="20"/>
                <w:lang w:eastAsia="ru-RU"/>
              </w:rPr>
            </w:pPr>
            <w:r w:rsidRPr="00A15068">
              <w:rPr>
                <w:rFonts w:asciiTheme="majorHAnsi" w:eastAsia="Times New Roman" w:hAnsiTheme="majorHAnsi" w:cstheme="majorHAnsi"/>
                <w:sz w:val="20"/>
                <w:szCs w:val="20"/>
                <w:lang w:eastAsia="ru-RU"/>
              </w:rPr>
              <w:t>Cheltuieli de personal</w:t>
            </w:r>
          </w:p>
        </w:tc>
        <w:tc>
          <w:tcPr>
            <w:tcW w:w="1417"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lang w:val="en-US"/>
              </w:rPr>
            </w:pPr>
            <w:r w:rsidRPr="00A15068">
              <w:rPr>
                <w:rFonts w:asciiTheme="majorHAnsi" w:hAnsiTheme="majorHAnsi" w:cstheme="majorHAnsi"/>
                <w:bCs/>
                <w:sz w:val="20"/>
                <w:szCs w:val="20"/>
              </w:rPr>
              <w:t>7.226,7</w:t>
            </w:r>
          </w:p>
        </w:tc>
        <w:tc>
          <w:tcPr>
            <w:tcW w:w="1276"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A15068">
              <w:rPr>
                <w:rFonts w:asciiTheme="majorHAnsi" w:hAnsiTheme="majorHAnsi" w:cstheme="majorHAnsi"/>
                <w:bCs/>
                <w:sz w:val="20"/>
                <w:szCs w:val="20"/>
              </w:rPr>
              <w:t>6.781,4</w:t>
            </w:r>
          </w:p>
        </w:tc>
        <w:tc>
          <w:tcPr>
            <w:tcW w:w="1275"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A15068">
              <w:rPr>
                <w:rFonts w:asciiTheme="majorHAnsi" w:hAnsiTheme="majorHAnsi" w:cstheme="majorHAnsi"/>
                <w:bCs/>
                <w:sz w:val="20"/>
                <w:szCs w:val="20"/>
              </w:rPr>
              <w:t>6.465,3</w:t>
            </w:r>
          </w:p>
        </w:tc>
        <w:tc>
          <w:tcPr>
            <w:tcW w:w="1276"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A15068">
              <w:rPr>
                <w:rFonts w:asciiTheme="majorHAnsi" w:hAnsiTheme="majorHAnsi" w:cstheme="majorHAnsi"/>
                <w:bCs/>
                <w:color w:val="000000"/>
                <w:sz w:val="20"/>
                <w:szCs w:val="20"/>
              </w:rPr>
              <w:t>-316,1</w:t>
            </w:r>
          </w:p>
        </w:tc>
        <w:tc>
          <w:tcPr>
            <w:tcW w:w="1134"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A15068">
              <w:rPr>
                <w:rFonts w:asciiTheme="majorHAnsi" w:hAnsiTheme="majorHAnsi" w:cstheme="majorHAnsi"/>
                <w:bCs/>
                <w:color w:val="000000"/>
                <w:sz w:val="20"/>
                <w:szCs w:val="20"/>
              </w:rPr>
              <w:t>95,3</w:t>
            </w:r>
          </w:p>
        </w:tc>
        <w:tc>
          <w:tcPr>
            <w:tcW w:w="1245" w:type="dxa"/>
          </w:tcPr>
          <w:p w:rsidR="00E67099" w:rsidRPr="00A15068" w:rsidRDefault="00E67099" w:rsidP="00E67099">
            <w:pPr>
              <w:ind w:left="-98" w:right="-2"/>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15068">
              <w:rPr>
                <w:rFonts w:asciiTheme="majorHAnsi" w:hAnsiTheme="majorHAnsi" w:cstheme="majorHAnsi"/>
                <w:sz w:val="20"/>
                <w:szCs w:val="20"/>
              </w:rPr>
              <w:t>6.601,7</w:t>
            </w:r>
          </w:p>
        </w:tc>
        <w:tc>
          <w:tcPr>
            <w:tcW w:w="1134"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A15068">
              <w:rPr>
                <w:rFonts w:asciiTheme="majorHAnsi" w:hAnsiTheme="majorHAnsi" w:cstheme="majorHAnsi"/>
                <w:bCs/>
                <w:color w:val="000000"/>
                <w:sz w:val="20"/>
                <w:szCs w:val="20"/>
              </w:rPr>
              <w:t>-136,4</w:t>
            </w:r>
          </w:p>
        </w:tc>
        <w:tc>
          <w:tcPr>
            <w:tcW w:w="1134"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A15068">
              <w:rPr>
                <w:rFonts w:asciiTheme="majorHAnsi" w:hAnsiTheme="majorHAnsi" w:cstheme="majorHAnsi"/>
                <w:bCs/>
                <w:color w:val="000000"/>
                <w:sz w:val="20"/>
                <w:szCs w:val="20"/>
              </w:rPr>
              <w:t>97,9</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3256" w:type="dxa"/>
          </w:tcPr>
          <w:p w:rsidR="00E67099" w:rsidRPr="00A15068" w:rsidRDefault="00E67099" w:rsidP="00E67099">
            <w:pPr>
              <w:rPr>
                <w:rFonts w:asciiTheme="majorHAnsi" w:eastAsia="Times New Roman" w:hAnsiTheme="majorHAnsi" w:cstheme="majorHAnsi"/>
                <w:sz w:val="20"/>
                <w:szCs w:val="20"/>
                <w:lang w:eastAsia="ru-RU"/>
              </w:rPr>
            </w:pPr>
            <w:r w:rsidRPr="00A15068">
              <w:rPr>
                <w:rFonts w:asciiTheme="majorHAnsi" w:eastAsia="Times New Roman" w:hAnsiTheme="majorHAnsi" w:cstheme="majorHAnsi"/>
                <w:sz w:val="20"/>
                <w:szCs w:val="20"/>
                <w:lang w:eastAsia="ru-RU"/>
              </w:rPr>
              <w:t>Bunuri și servicii</w:t>
            </w:r>
          </w:p>
        </w:tc>
        <w:tc>
          <w:tcPr>
            <w:tcW w:w="1417"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lang w:val="en-US"/>
              </w:rPr>
            </w:pPr>
            <w:r w:rsidRPr="00A15068">
              <w:rPr>
                <w:rFonts w:asciiTheme="majorHAnsi" w:hAnsiTheme="majorHAnsi" w:cstheme="majorHAnsi"/>
                <w:bCs/>
                <w:sz w:val="20"/>
                <w:szCs w:val="20"/>
              </w:rPr>
              <w:t>2.542,4</w:t>
            </w:r>
          </w:p>
        </w:tc>
        <w:tc>
          <w:tcPr>
            <w:tcW w:w="1276"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A15068">
              <w:rPr>
                <w:rFonts w:asciiTheme="majorHAnsi" w:hAnsiTheme="majorHAnsi" w:cstheme="majorHAnsi"/>
                <w:bCs/>
                <w:sz w:val="20"/>
                <w:szCs w:val="20"/>
              </w:rPr>
              <w:t>2.160,0</w:t>
            </w:r>
          </w:p>
        </w:tc>
        <w:tc>
          <w:tcPr>
            <w:tcW w:w="1275"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A15068">
              <w:rPr>
                <w:rFonts w:asciiTheme="majorHAnsi" w:hAnsiTheme="majorHAnsi" w:cstheme="majorHAnsi"/>
                <w:bCs/>
                <w:sz w:val="20"/>
                <w:szCs w:val="20"/>
              </w:rPr>
              <w:t>1.725,2</w:t>
            </w:r>
          </w:p>
        </w:tc>
        <w:tc>
          <w:tcPr>
            <w:tcW w:w="1276"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A15068">
              <w:rPr>
                <w:rFonts w:asciiTheme="majorHAnsi" w:hAnsiTheme="majorHAnsi" w:cstheme="majorHAnsi"/>
                <w:bCs/>
                <w:color w:val="000000"/>
                <w:sz w:val="20"/>
                <w:szCs w:val="20"/>
              </w:rPr>
              <w:t>-434,8</w:t>
            </w:r>
          </w:p>
        </w:tc>
        <w:tc>
          <w:tcPr>
            <w:tcW w:w="1134"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A15068">
              <w:rPr>
                <w:rFonts w:asciiTheme="majorHAnsi" w:hAnsiTheme="majorHAnsi" w:cstheme="majorHAnsi"/>
                <w:bCs/>
                <w:color w:val="000000"/>
                <w:sz w:val="20"/>
                <w:szCs w:val="20"/>
              </w:rPr>
              <w:t>79,9</w:t>
            </w:r>
          </w:p>
        </w:tc>
        <w:tc>
          <w:tcPr>
            <w:tcW w:w="1245" w:type="dxa"/>
          </w:tcPr>
          <w:p w:rsidR="00E67099" w:rsidRPr="00A15068" w:rsidRDefault="00E67099" w:rsidP="00E67099">
            <w:pPr>
              <w:ind w:left="-98" w:right="-2"/>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A15068">
              <w:rPr>
                <w:rFonts w:asciiTheme="majorHAnsi" w:eastAsia="Times New Roman" w:hAnsiTheme="majorHAnsi" w:cstheme="majorHAnsi"/>
                <w:sz w:val="20"/>
                <w:szCs w:val="20"/>
                <w:lang w:eastAsia="ru-RU"/>
              </w:rPr>
              <w:t>1.756,1</w:t>
            </w:r>
          </w:p>
        </w:tc>
        <w:tc>
          <w:tcPr>
            <w:tcW w:w="1134"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A15068">
              <w:rPr>
                <w:rFonts w:asciiTheme="majorHAnsi" w:hAnsiTheme="majorHAnsi" w:cstheme="majorHAnsi"/>
                <w:bCs/>
                <w:color w:val="000000"/>
                <w:sz w:val="20"/>
                <w:szCs w:val="20"/>
              </w:rPr>
              <w:t>-30,9</w:t>
            </w:r>
          </w:p>
        </w:tc>
        <w:tc>
          <w:tcPr>
            <w:tcW w:w="1134"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A15068">
              <w:rPr>
                <w:rFonts w:asciiTheme="majorHAnsi" w:hAnsiTheme="majorHAnsi" w:cstheme="majorHAnsi"/>
                <w:bCs/>
                <w:color w:val="000000"/>
                <w:sz w:val="20"/>
                <w:szCs w:val="20"/>
              </w:rPr>
              <w:t>98,2</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3256" w:type="dxa"/>
          </w:tcPr>
          <w:p w:rsidR="00E67099" w:rsidRPr="00A15068" w:rsidRDefault="00E67099" w:rsidP="00E67099">
            <w:pPr>
              <w:rPr>
                <w:rFonts w:asciiTheme="majorHAnsi" w:eastAsia="Times New Roman" w:hAnsiTheme="majorHAnsi" w:cstheme="majorHAnsi"/>
                <w:sz w:val="20"/>
                <w:szCs w:val="20"/>
                <w:lang w:eastAsia="ru-RU"/>
              </w:rPr>
            </w:pPr>
            <w:r w:rsidRPr="00A15068">
              <w:rPr>
                <w:rFonts w:asciiTheme="majorHAnsi" w:eastAsia="Times New Roman" w:hAnsiTheme="majorHAnsi" w:cstheme="majorHAnsi"/>
                <w:sz w:val="20"/>
                <w:szCs w:val="20"/>
                <w:lang w:eastAsia="ru-RU"/>
              </w:rPr>
              <w:t>Dobânzi</w:t>
            </w:r>
          </w:p>
        </w:tc>
        <w:tc>
          <w:tcPr>
            <w:tcW w:w="1417"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lang w:val="en-US"/>
              </w:rPr>
            </w:pPr>
            <w:r w:rsidRPr="00A15068">
              <w:rPr>
                <w:rFonts w:asciiTheme="majorHAnsi" w:hAnsiTheme="majorHAnsi" w:cstheme="majorHAnsi"/>
                <w:bCs/>
                <w:sz w:val="20"/>
                <w:szCs w:val="20"/>
              </w:rPr>
              <w:t>1.944,6</w:t>
            </w:r>
          </w:p>
        </w:tc>
        <w:tc>
          <w:tcPr>
            <w:tcW w:w="1276"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A15068">
              <w:rPr>
                <w:rFonts w:asciiTheme="majorHAnsi" w:hAnsiTheme="majorHAnsi" w:cstheme="majorHAnsi"/>
                <w:bCs/>
                <w:sz w:val="20"/>
                <w:szCs w:val="20"/>
              </w:rPr>
              <w:t>1.669,1</w:t>
            </w:r>
          </w:p>
        </w:tc>
        <w:tc>
          <w:tcPr>
            <w:tcW w:w="1275"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A15068">
              <w:rPr>
                <w:rFonts w:asciiTheme="majorHAnsi" w:hAnsiTheme="majorHAnsi" w:cstheme="majorHAnsi"/>
                <w:bCs/>
                <w:sz w:val="20"/>
                <w:szCs w:val="20"/>
              </w:rPr>
              <w:t>1.619,6</w:t>
            </w:r>
          </w:p>
        </w:tc>
        <w:tc>
          <w:tcPr>
            <w:tcW w:w="1276"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A15068">
              <w:rPr>
                <w:rFonts w:asciiTheme="majorHAnsi" w:hAnsiTheme="majorHAnsi" w:cstheme="majorHAnsi"/>
                <w:bCs/>
                <w:color w:val="000000"/>
                <w:sz w:val="20"/>
                <w:szCs w:val="20"/>
              </w:rPr>
              <w:t>-49,5</w:t>
            </w:r>
          </w:p>
        </w:tc>
        <w:tc>
          <w:tcPr>
            <w:tcW w:w="1134"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A15068">
              <w:rPr>
                <w:rFonts w:asciiTheme="majorHAnsi" w:hAnsiTheme="majorHAnsi" w:cstheme="majorHAnsi"/>
                <w:bCs/>
                <w:color w:val="000000"/>
                <w:sz w:val="20"/>
                <w:szCs w:val="20"/>
              </w:rPr>
              <w:t>97,0</w:t>
            </w:r>
          </w:p>
        </w:tc>
        <w:tc>
          <w:tcPr>
            <w:tcW w:w="1245"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A15068">
              <w:rPr>
                <w:rFonts w:asciiTheme="majorHAnsi" w:eastAsia="Times New Roman" w:hAnsiTheme="majorHAnsi" w:cstheme="majorHAnsi"/>
                <w:sz w:val="20"/>
                <w:szCs w:val="20"/>
                <w:lang w:eastAsia="ru-RU"/>
              </w:rPr>
              <w:t>1.504,8</w:t>
            </w:r>
          </w:p>
        </w:tc>
        <w:tc>
          <w:tcPr>
            <w:tcW w:w="1134"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A15068">
              <w:rPr>
                <w:rFonts w:asciiTheme="majorHAnsi" w:hAnsiTheme="majorHAnsi" w:cstheme="majorHAnsi"/>
                <w:bCs/>
                <w:color w:val="000000"/>
                <w:sz w:val="20"/>
                <w:szCs w:val="20"/>
              </w:rPr>
              <w:t>114,8</w:t>
            </w:r>
          </w:p>
        </w:tc>
        <w:tc>
          <w:tcPr>
            <w:tcW w:w="1134"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A15068">
              <w:rPr>
                <w:rFonts w:asciiTheme="majorHAnsi" w:hAnsiTheme="majorHAnsi" w:cstheme="majorHAnsi"/>
                <w:bCs/>
                <w:color w:val="000000"/>
                <w:sz w:val="20"/>
                <w:szCs w:val="20"/>
              </w:rPr>
              <w:t>107,6</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3256" w:type="dxa"/>
          </w:tcPr>
          <w:p w:rsidR="00E67099" w:rsidRPr="00A15068" w:rsidRDefault="00E67099" w:rsidP="00E67099">
            <w:pPr>
              <w:rPr>
                <w:rFonts w:asciiTheme="majorHAnsi" w:eastAsia="Times New Roman" w:hAnsiTheme="majorHAnsi" w:cstheme="majorHAnsi"/>
                <w:sz w:val="20"/>
                <w:szCs w:val="20"/>
                <w:lang w:eastAsia="ru-RU"/>
              </w:rPr>
            </w:pPr>
            <w:r w:rsidRPr="00A15068">
              <w:rPr>
                <w:rFonts w:asciiTheme="majorHAnsi" w:eastAsia="Times New Roman" w:hAnsiTheme="majorHAnsi" w:cstheme="majorHAnsi"/>
                <w:sz w:val="20"/>
                <w:szCs w:val="20"/>
                <w:lang w:eastAsia="ru-RU"/>
              </w:rPr>
              <w:t>Subsidii</w:t>
            </w:r>
          </w:p>
        </w:tc>
        <w:tc>
          <w:tcPr>
            <w:tcW w:w="1417"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lang w:val="en-US"/>
              </w:rPr>
            </w:pPr>
            <w:r w:rsidRPr="00A15068">
              <w:rPr>
                <w:rFonts w:asciiTheme="majorHAnsi" w:hAnsiTheme="majorHAnsi" w:cstheme="majorHAnsi"/>
                <w:bCs/>
                <w:sz w:val="20"/>
                <w:szCs w:val="20"/>
              </w:rPr>
              <w:t>4.082,4</w:t>
            </w:r>
          </w:p>
        </w:tc>
        <w:tc>
          <w:tcPr>
            <w:tcW w:w="1276"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A15068">
              <w:rPr>
                <w:rFonts w:asciiTheme="majorHAnsi" w:hAnsiTheme="majorHAnsi" w:cstheme="majorHAnsi"/>
                <w:bCs/>
                <w:sz w:val="20"/>
                <w:szCs w:val="20"/>
              </w:rPr>
              <w:t>4.057,1</w:t>
            </w:r>
          </w:p>
        </w:tc>
        <w:tc>
          <w:tcPr>
            <w:tcW w:w="1275"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A15068">
              <w:rPr>
                <w:rFonts w:asciiTheme="majorHAnsi" w:hAnsiTheme="majorHAnsi" w:cstheme="majorHAnsi"/>
                <w:bCs/>
                <w:sz w:val="20"/>
                <w:szCs w:val="20"/>
              </w:rPr>
              <w:t>3.895,0</w:t>
            </w:r>
          </w:p>
        </w:tc>
        <w:tc>
          <w:tcPr>
            <w:tcW w:w="1276"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A15068">
              <w:rPr>
                <w:rFonts w:asciiTheme="majorHAnsi" w:hAnsiTheme="majorHAnsi" w:cstheme="majorHAnsi"/>
                <w:bCs/>
                <w:color w:val="000000"/>
                <w:sz w:val="20"/>
                <w:szCs w:val="20"/>
              </w:rPr>
              <w:t>-162,1</w:t>
            </w:r>
          </w:p>
        </w:tc>
        <w:tc>
          <w:tcPr>
            <w:tcW w:w="1134"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A15068">
              <w:rPr>
                <w:rFonts w:asciiTheme="majorHAnsi" w:hAnsiTheme="majorHAnsi" w:cstheme="majorHAnsi"/>
                <w:bCs/>
                <w:color w:val="000000"/>
                <w:sz w:val="20"/>
                <w:szCs w:val="20"/>
              </w:rPr>
              <w:t>96,0</w:t>
            </w:r>
          </w:p>
        </w:tc>
        <w:tc>
          <w:tcPr>
            <w:tcW w:w="1245"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A15068">
              <w:rPr>
                <w:rFonts w:asciiTheme="majorHAnsi" w:eastAsia="Times New Roman" w:hAnsiTheme="majorHAnsi" w:cstheme="majorHAnsi"/>
                <w:sz w:val="20"/>
                <w:szCs w:val="20"/>
                <w:lang w:eastAsia="ru-RU"/>
              </w:rPr>
              <w:t>4.041,9</w:t>
            </w:r>
          </w:p>
        </w:tc>
        <w:tc>
          <w:tcPr>
            <w:tcW w:w="1134"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A15068">
              <w:rPr>
                <w:rFonts w:asciiTheme="majorHAnsi" w:hAnsiTheme="majorHAnsi" w:cstheme="majorHAnsi"/>
                <w:bCs/>
                <w:color w:val="000000"/>
                <w:sz w:val="20"/>
                <w:szCs w:val="20"/>
              </w:rPr>
              <w:t>-146,9</w:t>
            </w:r>
          </w:p>
        </w:tc>
        <w:tc>
          <w:tcPr>
            <w:tcW w:w="1134"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A15068">
              <w:rPr>
                <w:rFonts w:asciiTheme="majorHAnsi" w:hAnsiTheme="majorHAnsi" w:cstheme="majorHAnsi"/>
                <w:bCs/>
                <w:color w:val="000000"/>
                <w:sz w:val="20"/>
                <w:szCs w:val="20"/>
              </w:rPr>
              <w:t>96,4</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3256" w:type="dxa"/>
          </w:tcPr>
          <w:p w:rsidR="00E67099" w:rsidRPr="00A15068" w:rsidRDefault="00E67099" w:rsidP="00E67099">
            <w:pPr>
              <w:rPr>
                <w:rFonts w:asciiTheme="majorHAnsi" w:eastAsia="Times New Roman" w:hAnsiTheme="majorHAnsi" w:cstheme="majorHAnsi"/>
                <w:sz w:val="20"/>
                <w:szCs w:val="20"/>
                <w:lang w:eastAsia="ru-RU"/>
              </w:rPr>
            </w:pPr>
            <w:r w:rsidRPr="00A15068">
              <w:rPr>
                <w:rFonts w:asciiTheme="majorHAnsi" w:eastAsia="Times New Roman" w:hAnsiTheme="majorHAnsi" w:cstheme="majorHAnsi"/>
                <w:sz w:val="20"/>
                <w:szCs w:val="20"/>
                <w:lang w:eastAsia="ru-RU"/>
              </w:rPr>
              <w:t>Granturi acordate</w:t>
            </w:r>
          </w:p>
        </w:tc>
        <w:tc>
          <w:tcPr>
            <w:tcW w:w="1417"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lang w:val="en-US"/>
              </w:rPr>
            </w:pPr>
            <w:r w:rsidRPr="00A15068">
              <w:rPr>
                <w:rFonts w:asciiTheme="majorHAnsi" w:hAnsiTheme="majorHAnsi" w:cstheme="majorHAnsi"/>
                <w:bCs/>
                <w:sz w:val="20"/>
                <w:szCs w:val="20"/>
              </w:rPr>
              <w:t>25,4</w:t>
            </w:r>
          </w:p>
        </w:tc>
        <w:tc>
          <w:tcPr>
            <w:tcW w:w="1276"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A15068">
              <w:rPr>
                <w:rFonts w:asciiTheme="majorHAnsi" w:hAnsiTheme="majorHAnsi" w:cstheme="majorHAnsi"/>
                <w:bCs/>
                <w:sz w:val="20"/>
                <w:szCs w:val="20"/>
              </w:rPr>
              <w:t>52,96</w:t>
            </w:r>
          </w:p>
        </w:tc>
        <w:tc>
          <w:tcPr>
            <w:tcW w:w="1275"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A15068">
              <w:rPr>
                <w:rFonts w:asciiTheme="majorHAnsi" w:hAnsiTheme="majorHAnsi" w:cstheme="majorHAnsi"/>
                <w:bCs/>
                <w:sz w:val="20"/>
                <w:szCs w:val="20"/>
              </w:rPr>
              <w:t>32,9</w:t>
            </w:r>
          </w:p>
        </w:tc>
        <w:tc>
          <w:tcPr>
            <w:tcW w:w="1276"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A15068">
              <w:rPr>
                <w:rFonts w:asciiTheme="majorHAnsi" w:hAnsiTheme="majorHAnsi" w:cstheme="majorHAnsi"/>
                <w:bCs/>
                <w:color w:val="000000"/>
                <w:sz w:val="20"/>
                <w:szCs w:val="20"/>
              </w:rPr>
              <w:t>-20,1</w:t>
            </w:r>
          </w:p>
        </w:tc>
        <w:tc>
          <w:tcPr>
            <w:tcW w:w="1134"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A15068">
              <w:rPr>
                <w:rFonts w:asciiTheme="majorHAnsi" w:hAnsiTheme="majorHAnsi" w:cstheme="majorHAnsi"/>
                <w:bCs/>
                <w:color w:val="000000"/>
                <w:sz w:val="20"/>
                <w:szCs w:val="20"/>
              </w:rPr>
              <w:t>62,1</w:t>
            </w:r>
          </w:p>
        </w:tc>
        <w:tc>
          <w:tcPr>
            <w:tcW w:w="1245"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A15068">
              <w:rPr>
                <w:rFonts w:asciiTheme="majorHAnsi" w:eastAsia="Times New Roman" w:hAnsiTheme="majorHAnsi" w:cstheme="majorHAnsi"/>
                <w:sz w:val="20"/>
                <w:szCs w:val="20"/>
                <w:lang w:eastAsia="ru-RU"/>
              </w:rPr>
              <w:t>21,5</w:t>
            </w:r>
          </w:p>
        </w:tc>
        <w:tc>
          <w:tcPr>
            <w:tcW w:w="1134"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A15068">
              <w:rPr>
                <w:rFonts w:asciiTheme="majorHAnsi" w:hAnsiTheme="majorHAnsi" w:cstheme="majorHAnsi"/>
                <w:bCs/>
                <w:color w:val="000000"/>
                <w:sz w:val="20"/>
                <w:szCs w:val="20"/>
              </w:rPr>
              <w:t>11,4</w:t>
            </w:r>
          </w:p>
        </w:tc>
        <w:tc>
          <w:tcPr>
            <w:tcW w:w="1134"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A15068">
              <w:rPr>
                <w:rFonts w:asciiTheme="majorHAnsi" w:hAnsiTheme="majorHAnsi" w:cstheme="majorHAnsi"/>
                <w:bCs/>
                <w:color w:val="000000"/>
                <w:sz w:val="20"/>
                <w:szCs w:val="20"/>
              </w:rPr>
              <w:t>153,0</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3256" w:type="dxa"/>
          </w:tcPr>
          <w:p w:rsidR="00E67099" w:rsidRPr="00A15068" w:rsidRDefault="00E67099" w:rsidP="00E67099">
            <w:pPr>
              <w:rPr>
                <w:rFonts w:asciiTheme="majorHAnsi" w:eastAsia="Times New Roman" w:hAnsiTheme="majorHAnsi" w:cstheme="majorHAnsi"/>
                <w:sz w:val="20"/>
                <w:szCs w:val="20"/>
                <w:lang w:eastAsia="ru-RU"/>
              </w:rPr>
            </w:pPr>
            <w:r w:rsidRPr="00A15068">
              <w:rPr>
                <w:rFonts w:asciiTheme="majorHAnsi" w:eastAsia="Times New Roman" w:hAnsiTheme="majorHAnsi" w:cstheme="majorHAnsi"/>
                <w:sz w:val="20"/>
                <w:szCs w:val="20"/>
                <w:lang w:eastAsia="ru-RU"/>
              </w:rPr>
              <w:t>Prestații sociale</w:t>
            </w:r>
          </w:p>
        </w:tc>
        <w:tc>
          <w:tcPr>
            <w:tcW w:w="1417"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lang w:val="en-US"/>
              </w:rPr>
            </w:pPr>
            <w:r w:rsidRPr="00A15068">
              <w:rPr>
                <w:rFonts w:asciiTheme="majorHAnsi" w:hAnsiTheme="majorHAnsi" w:cstheme="majorHAnsi"/>
                <w:bCs/>
                <w:sz w:val="20"/>
                <w:szCs w:val="20"/>
              </w:rPr>
              <w:t>474,5</w:t>
            </w:r>
          </w:p>
        </w:tc>
        <w:tc>
          <w:tcPr>
            <w:tcW w:w="1276"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A15068">
              <w:rPr>
                <w:rFonts w:asciiTheme="majorHAnsi" w:hAnsiTheme="majorHAnsi" w:cstheme="majorHAnsi"/>
                <w:bCs/>
                <w:sz w:val="20"/>
                <w:szCs w:val="20"/>
              </w:rPr>
              <w:t>482,1</w:t>
            </w:r>
          </w:p>
        </w:tc>
        <w:tc>
          <w:tcPr>
            <w:tcW w:w="1275"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A15068">
              <w:rPr>
                <w:rFonts w:asciiTheme="majorHAnsi" w:hAnsiTheme="majorHAnsi" w:cstheme="majorHAnsi"/>
                <w:bCs/>
                <w:sz w:val="20"/>
                <w:szCs w:val="20"/>
              </w:rPr>
              <w:t>399,3</w:t>
            </w:r>
          </w:p>
        </w:tc>
        <w:tc>
          <w:tcPr>
            <w:tcW w:w="1276"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A15068">
              <w:rPr>
                <w:rFonts w:asciiTheme="majorHAnsi" w:hAnsiTheme="majorHAnsi" w:cstheme="majorHAnsi"/>
                <w:bCs/>
                <w:color w:val="000000"/>
                <w:sz w:val="20"/>
                <w:szCs w:val="20"/>
              </w:rPr>
              <w:t>-82,8</w:t>
            </w:r>
          </w:p>
        </w:tc>
        <w:tc>
          <w:tcPr>
            <w:tcW w:w="1134"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A15068">
              <w:rPr>
                <w:rFonts w:asciiTheme="majorHAnsi" w:hAnsiTheme="majorHAnsi" w:cstheme="majorHAnsi"/>
                <w:bCs/>
                <w:color w:val="000000"/>
                <w:sz w:val="20"/>
                <w:szCs w:val="20"/>
              </w:rPr>
              <w:t>82,8</w:t>
            </w:r>
          </w:p>
        </w:tc>
        <w:tc>
          <w:tcPr>
            <w:tcW w:w="1245"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A15068">
              <w:rPr>
                <w:rFonts w:asciiTheme="majorHAnsi" w:eastAsia="Times New Roman" w:hAnsiTheme="majorHAnsi" w:cstheme="majorHAnsi"/>
                <w:sz w:val="20"/>
                <w:szCs w:val="20"/>
                <w:lang w:eastAsia="ru-RU"/>
              </w:rPr>
              <w:t>342,3</w:t>
            </w:r>
          </w:p>
        </w:tc>
        <w:tc>
          <w:tcPr>
            <w:tcW w:w="1134"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A15068">
              <w:rPr>
                <w:rFonts w:asciiTheme="majorHAnsi" w:hAnsiTheme="majorHAnsi" w:cstheme="majorHAnsi"/>
                <w:bCs/>
                <w:color w:val="000000"/>
                <w:sz w:val="20"/>
                <w:szCs w:val="20"/>
              </w:rPr>
              <w:t>57,0</w:t>
            </w:r>
          </w:p>
        </w:tc>
        <w:tc>
          <w:tcPr>
            <w:tcW w:w="1134"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A15068">
              <w:rPr>
                <w:rFonts w:asciiTheme="majorHAnsi" w:hAnsiTheme="majorHAnsi" w:cstheme="majorHAnsi"/>
                <w:bCs/>
                <w:color w:val="000000"/>
                <w:sz w:val="20"/>
                <w:szCs w:val="20"/>
              </w:rPr>
              <w:t>116,7</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3256" w:type="dxa"/>
          </w:tcPr>
          <w:p w:rsidR="00E67099" w:rsidRPr="00A15068" w:rsidRDefault="00E67099" w:rsidP="00E67099">
            <w:pPr>
              <w:rPr>
                <w:rFonts w:asciiTheme="majorHAnsi" w:eastAsia="Times New Roman" w:hAnsiTheme="majorHAnsi" w:cstheme="majorHAnsi"/>
                <w:sz w:val="20"/>
                <w:szCs w:val="20"/>
                <w:lang w:eastAsia="ru-RU"/>
              </w:rPr>
            </w:pPr>
            <w:r w:rsidRPr="00A15068">
              <w:rPr>
                <w:rFonts w:asciiTheme="majorHAnsi" w:eastAsia="Times New Roman" w:hAnsiTheme="majorHAnsi" w:cstheme="majorHAnsi"/>
                <w:sz w:val="20"/>
                <w:szCs w:val="20"/>
                <w:lang w:eastAsia="ru-RU"/>
              </w:rPr>
              <w:t>Alte cheltuieli</w:t>
            </w:r>
          </w:p>
        </w:tc>
        <w:tc>
          <w:tcPr>
            <w:tcW w:w="1417"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lang w:val="en-US"/>
              </w:rPr>
            </w:pPr>
            <w:r w:rsidRPr="00A15068">
              <w:rPr>
                <w:rFonts w:asciiTheme="majorHAnsi" w:hAnsiTheme="majorHAnsi" w:cstheme="majorHAnsi"/>
                <w:bCs/>
                <w:sz w:val="20"/>
                <w:szCs w:val="20"/>
              </w:rPr>
              <w:t>3.994,0</w:t>
            </w:r>
          </w:p>
        </w:tc>
        <w:tc>
          <w:tcPr>
            <w:tcW w:w="1276"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A15068">
              <w:rPr>
                <w:rFonts w:asciiTheme="majorHAnsi" w:hAnsiTheme="majorHAnsi" w:cstheme="majorHAnsi"/>
                <w:bCs/>
                <w:sz w:val="20"/>
                <w:szCs w:val="20"/>
              </w:rPr>
              <w:t>3.444,7</w:t>
            </w:r>
          </w:p>
        </w:tc>
        <w:tc>
          <w:tcPr>
            <w:tcW w:w="1275"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A15068">
              <w:rPr>
                <w:rFonts w:asciiTheme="majorHAnsi" w:hAnsiTheme="majorHAnsi" w:cstheme="majorHAnsi"/>
                <w:bCs/>
                <w:sz w:val="20"/>
                <w:szCs w:val="20"/>
              </w:rPr>
              <w:t>2.824,2</w:t>
            </w:r>
          </w:p>
        </w:tc>
        <w:tc>
          <w:tcPr>
            <w:tcW w:w="1276"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A15068">
              <w:rPr>
                <w:rFonts w:asciiTheme="majorHAnsi" w:hAnsiTheme="majorHAnsi" w:cstheme="majorHAnsi"/>
                <w:bCs/>
                <w:color w:val="000000"/>
                <w:sz w:val="20"/>
                <w:szCs w:val="20"/>
              </w:rPr>
              <w:t>-620,5</w:t>
            </w:r>
          </w:p>
        </w:tc>
        <w:tc>
          <w:tcPr>
            <w:tcW w:w="1134"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A15068">
              <w:rPr>
                <w:rFonts w:asciiTheme="majorHAnsi" w:hAnsiTheme="majorHAnsi" w:cstheme="majorHAnsi"/>
                <w:bCs/>
                <w:color w:val="000000"/>
                <w:sz w:val="20"/>
                <w:szCs w:val="20"/>
              </w:rPr>
              <w:t>82,0</w:t>
            </w:r>
          </w:p>
        </w:tc>
        <w:tc>
          <w:tcPr>
            <w:tcW w:w="1245"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A15068">
              <w:rPr>
                <w:rFonts w:asciiTheme="majorHAnsi" w:eastAsia="Times New Roman" w:hAnsiTheme="majorHAnsi" w:cstheme="majorHAnsi"/>
                <w:sz w:val="20"/>
                <w:szCs w:val="20"/>
                <w:lang w:eastAsia="ru-RU"/>
              </w:rPr>
              <w:t>1.817,7</w:t>
            </w:r>
          </w:p>
        </w:tc>
        <w:tc>
          <w:tcPr>
            <w:tcW w:w="1134"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A15068">
              <w:rPr>
                <w:rFonts w:asciiTheme="majorHAnsi" w:hAnsiTheme="majorHAnsi" w:cstheme="majorHAnsi"/>
                <w:bCs/>
                <w:color w:val="000000"/>
                <w:sz w:val="20"/>
                <w:szCs w:val="20"/>
              </w:rPr>
              <w:t>1.006,5</w:t>
            </w:r>
          </w:p>
        </w:tc>
        <w:tc>
          <w:tcPr>
            <w:tcW w:w="1134"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A15068">
              <w:rPr>
                <w:rFonts w:asciiTheme="majorHAnsi" w:hAnsiTheme="majorHAnsi" w:cstheme="majorHAnsi"/>
                <w:bCs/>
                <w:color w:val="000000"/>
                <w:sz w:val="20"/>
                <w:szCs w:val="20"/>
              </w:rPr>
              <w:t>155,4</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3256" w:type="dxa"/>
          </w:tcPr>
          <w:p w:rsidR="00E67099" w:rsidRPr="00A15068" w:rsidRDefault="00E67099" w:rsidP="00E67099">
            <w:pPr>
              <w:rPr>
                <w:rFonts w:asciiTheme="majorHAnsi" w:eastAsia="Times New Roman" w:hAnsiTheme="majorHAnsi" w:cstheme="majorHAnsi"/>
                <w:sz w:val="20"/>
                <w:szCs w:val="20"/>
                <w:lang w:eastAsia="ru-RU"/>
              </w:rPr>
            </w:pPr>
            <w:r w:rsidRPr="00A15068">
              <w:rPr>
                <w:rFonts w:asciiTheme="majorHAnsi" w:eastAsia="Times New Roman" w:hAnsiTheme="majorHAnsi" w:cstheme="majorHAnsi"/>
                <w:sz w:val="20"/>
                <w:szCs w:val="20"/>
                <w:lang w:eastAsia="ru-RU"/>
              </w:rPr>
              <w:t>Transferuri acordate în cadrul BPN</w:t>
            </w:r>
          </w:p>
        </w:tc>
        <w:tc>
          <w:tcPr>
            <w:tcW w:w="1417"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lang w:val="en-US"/>
              </w:rPr>
            </w:pPr>
            <w:r w:rsidRPr="00A15068">
              <w:rPr>
                <w:rFonts w:asciiTheme="majorHAnsi" w:hAnsiTheme="majorHAnsi" w:cstheme="majorHAnsi"/>
                <w:bCs/>
                <w:sz w:val="20"/>
                <w:szCs w:val="20"/>
              </w:rPr>
              <w:t>22.555,4</w:t>
            </w:r>
          </w:p>
        </w:tc>
        <w:tc>
          <w:tcPr>
            <w:tcW w:w="1276"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A15068">
              <w:rPr>
                <w:rFonts w:asciiTheme="majorHAnsi" w:hAnsiTheme="majorHAnsi" w:cstheme="majorHAnsi"/>
                <w:bCs/>
                <w:sz w:val="20"/>
                <w:szCs w:val="20"/>
              </w:rPr>
              <w:t>23.729,97</w:t>
            </w:r>
          </w:p>
        </w:tc>
        <w:tc>
          <w:tcPr>
            <w:tcW w:w="1275"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A15068">
              <w:rPr>
                <w:rFonts w:asciiTheme="majorHAnsi" w:hAnsiTheme="majorHAnsi" w:cstheme="majorHAnsi"/>
                <w:bCs/>
                <w:sz w:val="20"/>
                <w:szCs w:val="20"/>
              </w:rPr>
              <w:t>23.098,8</w:t>
            </w:r>
          </w:p>
        </w:tc>
        <w:tc>
          <w:tcPr>
            <w:tcW w:w="1276"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A15068">
              <w:rPr>
                <w:rFonts w:asciiTheme="majorHAnsi" w:hAnsiTheme="majorHAnsi" w:cstheme="majorHAnsi"/>
                <w:bCs/>
                <w:color w:val="000000"/>
                <w:sz w:val="20"/>
                <w:szCs w:val="20"/>
              </w:rPr>
              <w:t>-631,2</w:t>
            </w:r>
          </w:p>
        </w:tc>
        <w:tc>
          <w:tcPr>
            <w:tcW w:w="1134"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A15068">
              <w:rPr>
                <w:rFonts w:asciiTheme="majorHAnsi" w:hAnsiTheme="majorHAnsi" w:cstheme="majorHAnsi"/>
                <w:bCs/>
                <w:color w:val="000000"/>
                <w:sz w:val="20"/>
                <w:szCs w:val="20"/>
              </w:rPr>
              <w:t>97,3</w:t>
            </w:r>
          </w:p>
        </w:tc>
        <w:tc>
          <w:tcPr>
            <w:tcW w:w="1245"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A15068">
              <w:rPr>
                <w:rFonts w:asciiTheme="majorHAnsi" w:eastAsia="Times New Roman" w:hAnsiTheme="majorHAnsi" w:cstheme="majorHAnsi"/>
                <w:sz w:val="20"/>
                <w:szCs w:val="20"/>
                <w:lang w:eastAsia="ru-RU"/>
              </w:rPr>
              <w:t>19.755,6</w:t>
            </w:r>
          </w:p>
        </w:tc>
        <w:tc>
          <w:tcPr>
            <w:tcW w:w="1134"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A15068">
              <w:rPr>
                <w:rFonts w:asciiTheme="majorHAnsi" w:hAnsiTheme="majorHAnsi" w:cstheme="majorHAnsi"/>
                <w:bCs/>
                <w:color w:val="000000"/>
                <w:sz w:val="20"/>
                <w:szCs w:val="20"/>
              </w:rPr>
              <w:t>3.343,2</w:t>
            </w:r>
          </w:p>
        </w:tc>
        <w:tc>
          <w:tcPr>
            <w:tcW w:w="1134"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A15068">
              <w:rPr>
                <w:rFonts w:asciiTheme="majorHAnsi" w:hAnsiTheme="majorHAnsi" w:cstheme="majorHAnsi"/>
                <w:bCs/>
                <w:color w:val="000000"/>
                <w:sz w:val="20"/>
                <w:szCs w:val="20"/>
              </w:rPr>
              <w:t>116,9</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3256" w:type="dxa"/>
          </w:tcPr>
          <w:p w:rsidR="00E67099" w:rsidRPr="00A15068" w:rsidRDefault="00E67099" w:rsidP="00E67099">
            <w:pPr>
              <w:ind w:right="-115"/>
              <w:rPr>
                <w:rFonts w:asciiTheme="majorHAnsi" w:eastAsia="Times New Roman" w:hAnsiTheme="majorHAnsi" w:cstheme="majorHAnsi"/>
                <w:sz w:val="20"/>
                <w:szCs w:val="20"/>
                <w:lang w:eastAsia="ru-RU"/>
              </w:rPr>
            </w:pPr>
            <w:r w:rsidRPr="00A15068">
              <w:rPr>
                <w:rFonts w:asciiTheme="majorHAnsi" w:eastAsia="Times New Roman" w:hAnsiTheme="majorHAnsi" w:cstheme="majorHAnsi"/>
                <w:sz w:val="20"/>
                <w:szCs w:val="20"/>
                <w:lang w:eastAsia="ru-RU"/>
              </w:rPr>
              <w:t xml:space="preserve">ACTIVE NEFINANCIARE, </w:t>
            </w:r>
          </w:p>
          <w:p w:rsidR="00E67099" w:rsidRPr="00A15068" w:rsidRDefault="00E67099" w:rsidP="00E67099">
            <w:pPr>
              <w:ind w:right="-115"/>
              <w:rPr>
                <w:rFonts w:asciiTheme="majorHAnsi" w:eastAsia="Times New Roman" w:hAnsiTheme="majorHAnsi" w:cstheme="majorHAnsi"/>
                <w:i/>
                <w:sz w:val="20"/>
                <w:szCs w:val="20"/>
                <w:lang w:eastAsia="ru-RU"/>
              </w:rPr>
            </w:pPr>
            <w:r w:rsidRPr="00A15068">
              <w:rPr>
                <w:rFonts w:asciiTheme="majorHAnsi" w:eastAsia="Times New Roman" w:hAnsiTheme="majorHAnsi" w:cstheme="majorHAnsi"/>
                <w:i/>
                <w:sz w:val="20"/>
                <w:szCs w:val="20"/>
                <w:lang w:eastAsia="ru-RU"/>
              </w:rPr>
              <w:t>din care:</w:t>
            </w:r>
          </w:p>
        </w:tc>
        <w:tc>
          <w:tcPr>
            <w:tcW w:w="1417"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lang w:val="en-US"/>
              </w:rPr>
            </w:pPr>
            <w:r w:rsidRPr="00A15068">
              <w:rPr>
                <w:rFonts w:asciiTheme="majorHAnsi" w:hAnsiTheme="majorHAnsi" w:cstheme="majorHAnsi"/>
                <w:b/>
                <w:bCs/>
                <w:sz w:val="20"/>
                <w:szCs w:val="20"/>
              </w:rPr>
              <w:t>4.818,8</w:t>
            </w:r>
          </w:p>
        </w:tc>
        <w:tc>
          <w:tcPr>
            <w:tcW w:w="1276"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rPr>
            </w:pPr>
            <w:r w:rsidRPr="00A15068">
              <w:rPr>
                <w:rFonts w:asciiTheme="majorHAnsi" w:hAnsiTheme="majorHAnsi" w:cstheme="majorHAnsi"/>
                <w:b/>
                <w:bCs/>
                <w:sz w:val="20"/>
                <w:szCs w:val="20"/>
              </w:rPr>
              <w:t>3.968,8</w:t>
            </w:r>
          </w:p>
        </w:tc>
        <w:tc>
          <w:tcPr>
            <w:tcW w:w="1275"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rPr>
            </w:pPr>
            <w:r w:rsidRPr="00A15068">
              <w:rPr>
                <w:rFonts w:asciiTheme="majorHAnsi" w:hAnsiTheme="majorHAnsi" w:cstheme="majorHAnsi"/>
                <w:b/>
                <w:bCs/>
                <w:sz w:val="20"/>
                <w:szCs w:val="20"/>
              </w:rPr>
              <w:t>3.013,7</w:t>
            </w:r>
          </w:p>
        </w:tc>
        <w:tc>
          <w:tcPr>
            <w:tcW w:w="1276"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lang w:val="en-US"/>
              </w:rPr>
            </w:pPr>
            <w:r w:rsidRPr="00A15068">
              <w:rPr>
                <w:rFonts w:asciiTheme="majorHAnsi" w:hAnsiTheme="majorHAnsi" w:cstheme="majorHAnsi"/>
                <w:b/>
                <w:bCs/>
                <w:color w:val="000000"/>
                <w:sz w:val="20"/>
                <w:szCs w:val="20"/>
              </w:rPr>
              <w:t>-955,1</w:t>
            </w:r>
          </w:p>
        </w:tc>
        <w:tc>
          <w:tcPr>
            <w:tcW w:w="1134"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rPr>
            </w:pPr>
            <w:r w:rsidRPr="00A15068">
              <w:rPr>
                <w:rFonts w:asciiTheme="majorHAnsi" w:hAnsiTheme="majorHAnsi" w:cstheme="majorHAnsi"/>
                <w:b/>
                <w:bCs/>
                <w:color w:val="000000"/>
                <w:sz w:val="20"/>
                <w:szCs w:val="20"/>
              </w:rPr>
              <w:t>75,9</w:t>
            </w:r>
          </w:p>
        </w:tc>
        <w:tc>
          <w:tcPr>
            <w:tcW w:w="1245"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eastAsia="ru-RU"/>
              </w:rPr>
            </w:pPr>
            <w:r w:rsidRPr="00A15068">
              <w:rPr>
                <w:rFonts w:asciiTheme="majorHAnsi" w:eastAsia="Times New Roman" w:hAnsiTheme="majorHAnsi" w:cstheme="majorHAnsi"/>
                <w:b/>
                <w:sz w:val="20"/>
                <w:szCs w:val="20"/>
                <w:lang w:eastAsia="ru-RU"/>
              </w:rPr>
              <w:t>2.866,6</w:t>
            </w:r>
          </w:p>
        </w:tc>
        <w:tc>
          <w:tcPr>
            <w:tcW w:w="1134"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rPr>
            </w:pPr>
            <w:r w:rsidRPr="00A15068">
              <w:rPr>
                <w:rFonts w:asciiTheme="majorHAnsi" w:hAnsiTheme="majorHAnsi" w:cstheme="majorHAnsi"/>
                <w:b/>
                <w:bCs/>
                <w:color w:val="000000"/>
                <w:sz w:val="20"/>
                <w:szCs w:val="20"/>
              </w:rPr>
              <w:t>147,1</w:t>
            </w:r>
          </w:p>
        </w:tc>
        <w:tc>
          <w:tcPr>
            <w:tcW w:w="1134"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rPr>
            </w:pPr>
            <w:r w:rsidRPr="00A15068">
              <w:rPr>
                <w:rFonts w:asciiTheme="majorHAnsi" w:hAnsiTheme="majorHAnsi" w:cstheme="majorHAnsi"/>
                <w:b/>
                <w:bCs/>
                <w:color w:val="000000"/>
                <w:sz w:val="20"/>
                <w:szCs w:val="20"/>
              </w:rPr>
              <w:t>105,1</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3256" w:type="dxa"/>
          </w:tcPr>
          <w:p w:rsidR="00E67099" w:rsidRPr="00A15068" w:rsidRDefault="00E67099" w:rsidP="00E67099">
            <w:pPr>
              <w:rPr>
                <w:rFonts w:asciiTheme="majorHAnsi" w:eastAsia="Times New Roman" w:hAnsiTheme="majorHAnsi" w:cstheme="majorHAnsi"/>
                <w:sz w:val="20"/>
                <w:szCs w:val="20"/>
                <w:lang w:eastAsia="ru-RU"/>
              </w:rPr>
            </w:pPr>
            <w:r w:rsidRPr="00A15068">
              <w:rPr>
                <w:rFonts w:asciiTheme="majorHAnsi" w:eastAsia="Times New Roman" w:hAnsiTheme="majorHAnsi" w:cstheme="majorHAnsi"/>
                <w:sz w:val="20"/>
                <w:szCs w:val="20"/>
                <w:lang w:eastAsia="ru-RU"/>
              </w:rPr>
              <w:t xml:space="preserve">Mijloace fixe, </w:t>
            </w:r>
            <w:r w:rsidRPr="00A15068">
              <w:rPr>
                <w:rFonts w:asciiTheme="majorHAnsi" w:eastAsia="Times New Roman" w:hAnsiTheme="majorHAnsi" w:cstheme="majorHAnsi"/>
                <w:i/>
                <w:sz w:val="20"/>
                <w:szCs w:val="20"/>
                <w:lang w:eastAsia="ru-RU"/>
              </w:rPr>
              <w:t>inclusiv:</w:t>
            </w:r>
          </w:p>
        </w:tc>
        <w:tc>
          <w:tcPr>
            <w:tcW w:w="1417"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lang w:val="en-US"/>
              </w:rPr>
            </w:pPr>
            <w:r w:rsidRPr="00A15068">
              <w:rPr>
                <w:rFonts w:asciiTheme="majorHAnsi" w:hAnsiTheme="majorHAnsi" w:cstheme="majorHAnsi"/>
                <w:b/>
                <w:bCs/>
                <w:sz w:val="20"/>
                <w:szCs w:val="20"/>
              </w:rPr>
              <w:t>3.607,1</w:t>
            </w:r>
          </w:p>
        </w:tc>
        <w:tc>
          <w:tcPr>
            <w:tcW w:w="1276"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rPr>
            </w:pPr>
            <w:r w:rsidRPr="00A15068">
              <w:rPr>
                <w:rFonts w:asciiTheme="majorHAnsi" w:hAnsiTheme="majorHAnsi" w:cstheme="majorHAnsi"/>
                <w:b/>
                <w:bCs/>
                <w:sz w:val="20"/>
                <w:szCs w:val="20"/>
              </w:rPr>
              <w:t>2.915,6</w:t>
            </w:r>
          </w:p>
        </w:tc>
        <w:tc>
          <w:tcPr>
            <w:tcW w:w="1275"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rPr>
            </w:pPr>
            <w:r w:rsidRPr="00A15068">
              <w:rPr>
                <w:rFonts w:asciiTheme="majorHAnsi" w:hAnsiTheme="majorHAnsi" w:cstheme="majorHAnsi"/>
                <w:b/>
                <w:bCs/>
                <w:sz w:val="20"/>
                <w:szCs w:val="20"/>
              </w:rPr>
              <w:t>2.114,8</w:t>
            </w:r>
          </w:p>
        </w:tc>
        <w:tc>
          <w:tcPr>
            <w:tcW w:w="1276"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rPr>
            </w:pPr>
            <w:r w:rsidRPr="00A15068">
              <w:rPr>
                <w:rFonts w:asciiTheme="majorHAnsi" w:hAnsiTheme="majorHAnsi" w:cstheme="majorHAnsi"/>
                <w:b/>
                <w:bCs/>
                <w:color w:val="000000"/>
                <w:sz w:val="20"/>
                <w:szCs w:val="20"/>
              </w:rPr>
              <w:t>-800,8</w:t>
            </w:r>
          </w:p>
        </w:tc>
        <w:tc>
          <w:tcPr>
            <w:tcW w:w="1134"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rPr>
            </w:pPr>
            <w:r w:rsidRPr="00A15068">
              <w:rPr>
                <w:rFonts w:asciiTheme="majorHAnsi" w:hAnsiTheme="majorHAnsi" w:cstheme="majorHAnsi"/>
                <w:b/>
                <w:bCs/>
                <w:color w:val="000000"/>
                <w:sz w:val="20"/>
                <w:szCs w:val="20"/>
              </w:rPr>
              <w:t>72,5</w:t>
            </w:r>
          </w:p>
        </w:tc>
        <w:tc>
          <w:tcPr>
            <w:tcW w:w="1245"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eastAsia="ru-RU"/>
              </w:rPr>
            </w:pPr>
            <w:r w:rsidRPr="00A15068">
              <w:rPr>
                <w:rFonts w:asciiTheme="majorHAnsi" w:eastAsia="Times New Roman" w:hAnsiTheme="majorHAnsi" w:cstheme="majorHAnsi"/>
                <w:b/>
                <w:sz w:val="20"/>
                <w:szCs w:val="20"/>
                <w:lang w:eastAsia="ru-RU"/>
              </w:rPr>
              <w:t>1.964,1</w:t>
            </w:r>
          </w:p>
        </w:tc>
        <w:tc>
          <w:tcPr>
            <w:tcW w:w="1134"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rPr>
            </w:pPr>
            <w:r w:rsidRPr="00A15068">
              <w:rPr>
                <w:rFonts w:asciiTheme="majorHAnsi" w:hAnsiTheme="majorHAnsi" w:cstheme="majorHAnsi"/>
                <w:b/>
                <w:bCs/>
                <w:color w:val="000000"/>
                <w:sz w:val="20"/>
                <w:szCs w:val="20"/>
              </w:rPr>
              <w:t>150,7</w:t>
            </w:r>
          </w:p>
        </w:tc>
        <w:tc>
          <w:tcPr>
            <w:tcW w:w="1134"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rPr>
            </w:pPr>
            <w:r w:rsidRPr="00A15068">
              <w:rPr>
                <w:rFonts w:asciiTheme="majorHAnsi" w:hAnsiTheme="majorHAnsi" w:cstheme="majorHAnsi"/>
                <w:b/>
                <w:bCs/>
                <w:color w:val="000000"/>
                <w:sz w:val="20"/>
                <w:szCs w:val="20"/>
              </w:rPr>
              <w:t>107,7</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3256" w:type="dxa"/>
          </w:tcPr>
          <w:p w:rsidR="00E67099" w:rsidRPr="00A15068" w:rsidRDefault="00E67099" w:rsidP="00E67099">
            <w:pPr>
              <w:ind w:left="456" w:right="-114"/>
              <w:rPr>
                <w:rFonts w:asciiTheme="majorHAnsi" w:eastAsia="Times New Roman" w:hAnsiTheme="majorHAnsi" w:cstheme="majorHAnsi"/>
                <w:i/>
                <w:sz w:val="20"/>
                <w:szCs w:val="20"/>
                <w:lang w:eastAsia="ru-RU"/>
              </w:rPr>
            </w:pPr>
            <w:r w:rsidRPr="00A15068">
              <w:rPr>
                <w:rFonts w:asciiTheme="majorHAnsi" w:eastAsia="Times New Roman" w:hAnsiTheme="majorHAnsi" w:cstheme="majorHAnsi"/>
                <w:i/>
                <w:sz w:val="20"/>
                <w:szCs w:val="20"/>
                <w:lang w:eastAsia="ru-RU"/>
              </w:rPr>
              <w:t>investiții capitale în active în curs de execuție</w:t>
            </w:r>
          </w:p>
        </w:tc>
        <w:tc>
          <w:tcPr>
            <w:tcW w:w="1417"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n-US"/>
              </w:rPr>
            </w:pPr>
            <w:r w:rsidRPr="00A15068">
              <w:rPr>
                <w:rFonts w:asciiTheme="majorHAnsi" w:hAnsiTheme="majorHAnsi" w:cstheme="majorHAnsi"/>
                <w:sz w:val="20"/>
                <w:szCs w:val="20"/>
              </w:rPr>
              <w:t>2.374,2</w:t>
            </w:r>
          </w:p>
        </w:tc>
        <w:tc>
          <w:tcPr>
            <w:tcW w:w="1276"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15068">
              <w:rPr>
                <w:rFonts w:asciiTheme="majorHAnsi" w:hAnsiTheme="majorHAnsi" w:cstheme="majorHAnsi"/>
                <w:sz w:val="20"/>
                <w:szCs w:val="20"/>
              </w:rPr>
              <w:t>1.665,4</w:t>
            </w:r>
          </w:p>
        </w:tc>
        <w:tc>
          <w:tcPr>
            <w:tcW w:w="1275"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15068">
              <w:rPr>
                <w:rFonts w:asciiTheme="majorHAnsi" w:hAnsiTheme="majorHAnsi" w:cstheme="majorHAnsi"/>
                <w:sz w:val="20"/>
                <w:szCs w:val="20"/>
              </w:rPr>
              <w:t>1.278,7</w:t>
            </w:r>
          </w:p>
        </w:tc>
        <w:tc>
          <w:tcPr>
            <w:tcW w:w="1276"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A15068">
              <w:rPr>
                <w:rFonts w:asciiTheme="majorHAnsi" w:hAnsiTheme="majorHAnsi" w:cstheme="majorHAnsi"/>
                <w:bCs/>
                <w:color w:val="000000"/>
                <w:sz w:val="20"/>
                <w:szCs w:val="20"/>
              </w:rPr>
              <w:t>-386,7</w:t>
            </w:r>
          </w:p>
        </w:tc>
        <w:tc>
          <w:tcPr>
            <w:tcW w:w="1134"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A15068">
              <w:rPr>
                <w:rFonts w:asciiTheme="majorHAnsi" w:hAnsiTheme="majorHAnsi" w:cstheme="majorHAnsi"/>
                <w:bCs/>
                <w:color w:val="000000"/>
                <w:sz w:val="20"/>
                <w:szCs w:val="20"/>
              </w:rPr>
              <w:t>76,8</w:t>
            </w:r>
          </w:p>
        </w:tc>
        <w:tc>
          <w:tcPr>
            <w:tcW w:w="1245"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20"/>
                <w:szCs w:val="20"/>
                <w:lang w:eastAsia="ru-RU"/>
              </w:rPr>
            </w:pPr>
            <w:r w:rsidRPr="00A15068">
              <w:rPr>
                <w:rFonts w:asciiTheme="majorHAnsi" w:eastAsia="Times New Roman" w:hAnsiTheme="majorHAnsi" w:cstheme="majorHAnsi"/>
                <w:i/>
                <w:sz w:val="20"/>
                <w:szCs w:val="20"/>
                <w:lang w:eastAsia="ru-RU"/>
              </w:rPr>
              <w:t>850,3</w:t>
            </w:r>
          </w:p>
        </w:tc>
        <w:tc>
          <w:tcPr>
            <w:tcW w:w="1134"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A15068">
              <w:rPr>
                <w:rFonts w:asciiTheme="majorHAnsi" w:hAnsiTheme="majorHAnsi" w:cstheme="majorHAnsi"/>
                <w:bCs/>
                <w:color w:val="000000"/>
                <w:sz w:val="20"/>
                <w:szCs w:val="20"/>
              </w:rPr>
              <w:t>428,4</w:t>
            </w:r>
          </w:p>
        </w:tc>
        <w:tc>
          <w:tcPr>
            <w:tcW w:w="1134"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A15068">
              <w:rPr>
                <w:rFonts w:asciiTheme="majorHAnsi" w:hAnsiTheme="majorHAnsi" w:cstheme="majorHAnsi"/>
                <w:bCs/>
                <w:color w:val="000000"/>
                <w:sz w:val="20"/>
                <w:szCs w:val="20"/>
              </w:rPr>
              <w:t>150,4</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3256" w:type="dxa"/>
          </w:tcPr>
          <w:p w:rsidR="00E67099" w:rsidRPr="00A15068" w:rsidRDefault="00E67099" w:rsidP="00E67099">
            <w:pPr>
              <w:rPr>
                <w:rFonts w:asciiTheme="majorHAnsi" w:eastAsia="Times New Roman" w:hAnsiTheme="majorHAnsi" w:cstheme="majorHAnsi"/>
                <w:sz w:val="20"/>
                <w:szCs w:val="20"/>
                <w:lang w:eastAsia="ru-RU"/>
              </w:rPr>
            </w:pPr>
            <w:r w:rsidRPr="00A15068">
              <w:rPr>
                <w:rFonts w:asciiTheme="majorHAnsi" w:eastAsia="Times New Roman" w:hAnsiTheme="majorHAnsi" w:cstheme="majorHAnsi"/>
                <w:sz w:val="20"/>
                <w:szCs w:val="20"/>
                <w:lang w:eastAsia="ru-RU"/>
              </w:rPr>
              <w:t>Stocuri de materiale circulante</w:t>
            </w:r>
          </w:p>
        </w:tc>
        <w:tc>
          <w:tcPr>
            <w:tcW w:w="1417"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lang w:val="en-US"/>
              </w:rPr>
            </w:pPr>
            <w:r w:rsidRPr="00A15068">
              <w:rPr>
                <w:rFonts w:asciiTheme="majorHAnsi" w:hAnsiTheme="majorHAnsi" w:cstheme="majorHAnsi"/>
                <w:bCs/>
                <w:sz w:val="20"/>
                <w:szCs w:val="20"/>
              </w:rPr>
              <w:t>1.206,0</w:t>
            </w:r>
          </w:p>
        </w:tc>
        <w:tc>
          <w:tcPr>
            <w:tcW w:w="1276"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A15068">
              <w:rPr>
                <w:rFonts w:asciiTheme="majorHAnsi" w:hAnsiTheme="majorHAnsi" w:cstheme="majorHAnsi"/>
                <w:bCs/>
                <w:sz w:val="20"/>
                <w:szCs w:val="20"/>
              </w:rPr>
              <w:t>1.012,6</w:t>
            </w:r>
          </w:p>
        </w:tc>
        <w:tc>
          <w:tcPr>
            <w:tcW w:w="1275"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A15068">
              <w:rPr>
                <w:rFonts w:asciiTheme="majorHAnsi" w:hAnsiTheme="majorHAnsi" w:cstheme="majorHAnsi"/>
                <w:bCs/>
                <w:sz w:val="20"/>
                <w:szCs w:val="20"/>
              </w:rPr>
              <w:t>867,1</w:t>
            </w:r>
          </w:p>
        </w:tc>
        <w:tc>
          <w:tcPr>
            <w:tcW w:w="1276"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A15068">
              <w:rPr>
                <w:rFonts w:asciiTheme="majorHAnsi" w:hAnsiTheme="majorHAnsi" w:cstheme="majorHAnsi"/>
                <w:bCs/>
                <w:color w:val="000000"/>
                <w:sz w:val="20"/>
                <w:szCs w:val="20"/>
              </w:rPr>
              <w:t>-145,5</w:t>
            </w:r>
          </w:p>
        </w:tc>
        <w:tc>
          <w:tcPr>
            <w:tcW w:w="1134"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A15068">
              <w:rPr>
                <w:rFonts w:asciiTheme="majorHAnsi" w:hAnsiTheme="majorHAnsi" w:cstheme="majorHAnsi"/>
                <w:bCs/>
                <w:color w:val="000000"/>
                <w:sz w:val="20"/>
                <w:szCs w:val="20"/>
              </w:rPr>
              <w:t>85,6</w:t>
            </w:r>
          </w:p>
        </w:tc>
        <w:tc>
          <w:tcPr>
            <w:tcW w:w="1245"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A15068">
              <w:rPr>
                <w:rFonts w:asciiTheme="majorHAnsi" w:eastAsia="Times New Roman" w:hAnsiTheme="majorHAnsi" w:cstheme="majorHAnsi"/>
                <w:sz w:val="20"/>
                <w:szCs w:val="20"/>
                <w:lang w:eastAsia="ru-RU"/>
              </w:rPr>
              <w:t>913,1</w:t>
            </w:r>
          </w:p>
        </w:tc>
        <w:tc>
          <w:tcPr>
            <w:tcW w:w="1134"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A15068">
              <w:rPr>
                <w:rFonts w:asciiTheme="majorHAnsi" w:hAnsiTheme="majorHAnsi" w:cstheme="majorHAnsi"/>
                <w:bCs/>
                <w:color w:val="000000"/>
                <w:sz w:val="20"/>
                <w:szCs w:val="20"/>
              </w:rPr>
              <w:t>-46,0</w:t>
            </w:r>
          </w:p>
        </w:tc>
        <w:tc>
          <w:tcPr>
            <w:tcW w:w="1134"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A15068">
              <w:rPr>
                <w:rFonts w:asciiTheme="majorHAnsi" w:hAnsiTheme="majorHAnsi" w:cstheme="majorHAnsi"/>
                <w:bCs/>
                <w:color w:val="000000"/>
                <w:sz w:val="20"/>
                <w:szCs w:val="20"/>
              </w:rPr>
              <w:t>95,0</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3256" w:type="dxa"/>
          </w:tcPr>
          <w:p w:rsidR="00E67099" w:rsidRPr="00A15068" w:rsidRDefault="00E67099" w:rsidP="00E67099">
            <w:pPr>
              <w:rPr>
                <w:rFonts w:asciiTheme="majorHAnsi" w:eastAsia="Times New Roman" w:hAnsiTheme="majorHAnsi" w:cstheme="majorHAnsi"/>
                <w:sz w:val="20"/>
                <w:szCs w:val="20"/>
                <w:lang w:eastAsia="ru-RU"/>
              </w:rPr>
            </w:pPr>
            <w:r w:rsidRPr="00A15068">
              <w:rPr>
                <w:rFonts w:asciiTheme="majorHAnsi" w:eastAsia="Times New Roman" w:hAnsiTheme="majorHAnsi" w:cstheme="majorHAnsi"/>
                <w:sz w:val="20"/>
                <w:szCs w:val="20"/>
                <w:lang w:eastAsia="ru-RU"/>
              </w:rPr>
              <w:t>Producție în curs de execuție, produse și producție finită, animale tinere de îngrășat</w:t>
            </w:r>
          </w:p>
        </w:tc>
        <w:tc>
          <w:tcPr>
            <w:tcW w:w="1417"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lang w:val="en-US"/>
              </w:rPr>
            </w:pPr>
            <w:r w:rsidRPr="00A15068">
              <w:rPr>
                <w:rFonts w:asciiTheme="majorHAnsi" w:hAnsiTheme="majorHAnsi" w:cstheme="majorHAnsi"/>
                <w:bCs/>
                <w:sz w:val="20"/>
                <w:szCs w:val="20"/>
              </w:rPr>
              <w:t>-4,2</w:t>
            </w:r>
          </w:p>
        </w:tc>
        <w:tc>
          <w:tcPr>
            <w:tcW w:w="1276"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A15068">
              <w:rPr>
                <w:rFonts w:asciiTheme="majorHAnsi" w:hAnsiTheme="majorHAnsi" w:cstheme="majorHAnsi"/>
                <w:bCs/>
                <w:sz w:val="20"/>
                <w:szCs w:val="20"/>
              </w:rPr>
              <w:t>-4,05</w:t>
            </w:r>
          </w:p>
        </w:tc>
        <w:tc>
          <w:tcPr>
            <w:tcW w:w="1275"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A15068">
              <w:rPr>
                <w:rFonts w:asciiTheme="majorHAnsi" w:hAnsiTheme="majorHAnsi" w:cstheme="majorHAnsi"/>
                <w:bCs/>
                <w:sz w:val="20"/>
                <w:szCs w:val="20"/>
              </w:rPr>
              <w:t>-4,56</w:t>
            </w:r>
          </w:p>
        </w:tc>
        <w:tc>
          <w:tcPr>
            <w:tcW w:w="1276"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A15068">
              <w:rPr>
                <w:rFonts w:asciiTheme="majorHAnsi" w:hAnsiTheme="majorHAnsi" w:cstheme="majorHAnsi"/>
                <w:bCs/>
                <w:color w:val="000000"/>
                <w:sz w:val="20"/>
                <w:szCs w:val="20"/>
              </w:rPr>
              <w:t>-0,5</w:t>
            </w:r>
          </w:p>
        </w:tc>
        <w:tc>
          <w:tcPr>
            <w:tcW w:w="1134"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A15068">
              <w:rPr>
                <w:rFonts w:asciiTheme="majorHAnsi" w:hAnsiTheme="majorHAnsi" w:cstheme="majorHAnsi"/>
                <w:bCs/>
                <w:color w:val="000000"/>
                <w:sz w:val="20"/>
                <w:szCs w:val="20"/>
              </w:rPr>
              <w:t>112,6</w:t>
            </w:r>
          </w:p>
        </w:tc>
        <w:tc>
          <w:tcPr>
            <w:tcW w:w="1245"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A15068">
              <w:rPr>
                <w:rFonts w:asciiTheme="majorHAnsi" w:eastAsia="Times New Roman" w:hAnsiTheme="majorHAnsi" w:cstheme="majorHAnsi"/>
                <w:sz w:val="20"/>
                <w:szCs w:val="20"/>
                <w:lang w:eastAsia="ru-RU"/>
              </w:rPr>
              <w:t>-15,6</w:t>
            </w:r>
          </w:p>
        </w:tc>
        <w:tc>
          <w:tcPr>
            <w:tcW w:w="1134"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A15068">
              <w:rPr>
                <w:rFonts w:asciiTheme="majorHAnsi" w:hAnsiTheme="majorHAnsi" w:cstheme="majorHAnsi"/>
                <w:bCs/>
                <w:color w:val="000000"/>
                <w:sz w:val="20"/>
                <w:szCs w:val="20"/>
              </w:rPr>
              <w:t>11,0</w:t>
            </w:r>
          </w:p>
        </w:tc>
        <w:tc>
          <w:tcPr>
            <w:tcW w:w="1134"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A15068">
              <w:rPr>
                <w:rFonts w:asciiTheme="majorHAnsi" w:hAnsiTheme="majorHAnsi" w:cstheme="majorHAnsi"/>
                <w:bCs/>
                <w:color w:val="000000"/>
                <w:sz w:val="20"/>
                <w:szCs w:val="20"/>
              </w:rPr>
              <w:t>29,2</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3256" w:type="dxa"/>
          </w:tcPr>
          <w:p w:rsidR="00E67099" w:rsidRPr="00A15068" w:rsidRDefault="00E67099" w:rsidP="00E67099">
            <w:pPr>
              <w:rPr>
                <w:rFonts w:asciiTheme="majorHAnsi" w:eastAsia="Times New Roman" w:hAnsiTheme="majorHAnsi" w:cstheme="majorHAnsi"/>
                <w:sz w:val="20"/>
                <w:szCs w:val="20"/>
                <w:lang w:eastAsia="ru-RU"/>
              </w:rPr>
            </w:pPr>
            <w:r w:rsidRPr="00A15068">
              <w:rPr>
                <w:rFonts w:asciiTheme="majorHAnsi" w:eastAsia="Times New Roman" w:hAnsiTheme="majorHAnsi" w:cstheme="majorHAnsi"/>
                <w:sz w:val="20"/>
                <w:szCs w:val="20"/>
                <w:lang w:eastAsia="ru-RU"/>
              </w:rPr>
              <w:t>Mărfuri</w:t>
            </w:r>
          </w:p>
        </w:tc>
        <w:tc>
          <w:tcPr>
            <w:tcW w:w="1417"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lang w:val="en-US"/>
              </w:rPr>
            </w:pPr>
            <w:r w:rsidRPr="00A15068">
              <w:rPr>
                <w:rFonts w:asciiTheme="majorHAnsi" w:hAnsiTheme="majorHAnsi" w:cstheme="majorHAnsi"/>
                <w:bCs/>
                <w:sz w:val="20"/>
                <w:szCs w:val="20"/>
              </w:rPr>
              <w:t>9,9</w:t>
            </w:r>
          </w:p>
        </w:tc>
        <w:tc>
          <w:tcPr>
            <w:tcW w:w="1276"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A15068">
              <w:rPr>
                <w:rFonts w:asciiTheme="majorHAnsi" w:hAnsiTheme="majorHAnsi" w:cstheme="majorHAnsi"/>
                <w:bCs/>
                <w:sz w:val="20"/>
                <w:szCs w:val="20"/>
              </w:rPr>
              <w:t>44,6</w:t>
            </w:r>
          </w:p>
        </w:tc>
        <w:tc>
          <w:tcPr>
            <w:tcW w:w="1275"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A15068">
              <w:rPr>
                <w:rFonts w:asciiTheme="majorHAnsi" w:hAnsiTheme="majorHAnsi" w:cstheme="majorHAnsi"/>
                <w:bCs/>
                <w:sz w:val="20"/>
                <w:szCs w:val="20"/>
              </w:rPr>
              <w:t>36,4</w:t>
            </w:r>
          </w:p>
        </w:tc>
        <w:tc>
          <w:tcPr>
            <w:tcW w:w="1276"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A15068">
              <w:rPr>
                <w:rFonts w:asciiTheme="majorHAnsi" w:hAnsiTheme="majorHAnsi" w:cstheme="majorHAnsi"/>
                <w:bCs/>
                <w:color w:val="000000"/>
                <w:sz w:val="20"/>
                <w:szCs w:val="20"/>
              </w:rPr>
              <w:t>-8,2</w:t>
            </w:r>
          </w:p>
        </w:tc>
        <w:tc>
          <w:tcPr>
            <w:tcW w:w="1134"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A15068">
              <w:rPr>
                <w:rFonts w:asciiTheme="majorHAnsi" w:hAnsiTheme="majorHAnsi" w:cstheme="majorHAnsi"/>
                <w:bCs/>
                <w:color w:val="000000"/>
                <w:sz w:val="20"/>
                <w:szCs w:val="20"/>
              </w:rPr>
              <w:t>81,6</w:t>
            </w:r>
          </w:p>
        </w:tc>
        <w:tc>
          <w:tcPr>
            <w:tcW w:w="1245"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sidRPr="00A15068">
              <w:rPr>
                <w:rFonts w:asciiTheme="majorHAnsi" w:eastAsia="Times New Roman" w:hAnsiTheme="majorHAnsi" w:cstheme="majorHAnsi"/>
                <w:color w:val="000000"/>
                <w:sz w:val="20"/>
                <w:szCs w:val="20"/>
                <w:lang w:eastAsia="ru-RU"/>
              </w:rPr>
              <w:t>0,0</w:t>
            </w:r>
          </w:p>
        </w:tc>
        <w:tc>
          <w:tcPr>
            <w:tcW w:w="1134"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A15068">
              <w:rPr>
                <w:rFonts w:asciiTheme="majorHAnsi" w:hAnsiTheme="majorHAnsi" w:cstheme="majorHAnsi"/>
                <w:bCs/>
                <w:color w:val="000000"/>
                <w:sz w:val="20"/>
                <w:szCs w:val="20"/>
              </w:rPr>
              <w:t>36,4</w:t>
            </w:r>
          </w:p>
        </w:tc>
        <w:tc>
          <w:tcPr>
            <w:tcW w:w="1134"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A15068">
              <w:rPr>
                <w:rFonts w:asciiTheme="majorHAnsi" w:hAnsiTheme="majorHAnsi" w:cstheme="majorHAnsi"/>
                <w:bCs/>
                <w:color w:val="000000"/>
                <w:sz w:val="20"/>
                <w:szCs w:val="20"/>
              </w:rPr>
              <w:t>-</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3256" w:type="dxa"/>
          </w:tcPr>
          <w:p w:rsidR="00E67099" w:rsidRPr="00A15068" w:rsidRDefault="00E67099" w:rsidP="00E67099">
            <w:pPr>
              <w:rPr>
                <w:rFonts w:asciiTheme="majorHAnsi" w:eastAsia="Times New Roman" w:hAnsiTheme="majorHAnsi" w:cstheme="majorHAnsi"/>
                <w:sz w:val="20"/>
                <w:szCs w:val="20"/>
                <w:lang w:eastAsia="ru-RU"/>
              </w:rPr>
            </w:pPr>
            <w:r w:rsidRPr="00A15068">
              <w:rPr>
                <w:rFonts w:asciiTheme="majorHAnsi" w:eastAsia="Times New Roman" w:hAnsiTheme="majorHAnsi" w:cstheme="majorHAnsi"/>
                <w:sz w:val="20"/>
                <w:szCs w:val="20"/>
                <w:lang w:eastAsia="ru-RU"/>
              </w:rPr>
              <w:t>Active neproductive</w:t>
            </w:r>
          </w:p>
        </w:tc>
        <w:tc>
          <w:tcPr>
            <w:tcW w:w="1417"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lang w:val="en-US"/>
              </w:rPr>
            </w:pPr>
            <w:r w:rsidRPr="00A15068">
              <w:rPr>
                <w:rFonts w:asciiTheme="majorHAnsi" w:hAnsiTheme="majorHAnsi" w:cstheme="majorHAnsi"/>
                <w:bCs/>
                <w:sz w:val="20"/>
                <w:szCs w:val="20"/>
              </w:rPr>
              <w:t> -</w:t>
            </w:r>
          </w:p>
        </w:tc>
        <w:tc>
          <w:tcPr>
            <w:tcW w:w="1276"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A15068">
              <w:rPr>
                <w:rFonts w:asciiTheme="majorHAnsi" w:hAnsiTheme="majorHAnsi" w:cstheme="majorHAnsi"/>
                <w:bCs/>
                <w:sz w:val="20"/>
                <w:szCs w:val="20"/>
              </w:rPr>
              <w:t>0,03</w:t>
            </w:r>
          </w:p>
        </w:tc>
        <w:tc>
          <w:tcPr>
            <w:tcW w:w="1275"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A15068">
              <w:rPr>
                <w:rFonts w:asciiTheme="majorHAnsi" w:hAnsiTheme="majorHAnsi" w:cstheme="majorHAnsi"/>
                <w:bCs/>
                <w:sz w:val="20"/>
                <w:szCs w:val="20"/>
              </w:rPr>
              <w:t>0,03</w:t>
            </w:r>
          </w:p>
        </w:tc>
        <w:tc>
          <w:tcPr>
            <w:tcW w:w="1276"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A15068">
              <w:rPr>
                <w:rFonts w:asciiTheme="majorHAnsi" w:hAnsiTheme="majorHAnsi" w:cstheme="majorHAnsi"/>
                <w:bCs/>
                <w:color w:val="000000"/>
                <w:sz w:val="20"/>
                <w:szCs w:val="20"/>
              </w:rPr>
              <w:t>0,0</w:t>
            </w:r>
          </w:p>
        </w:tc>
        <w:tc>
          <w:tcPr>
            <w:tcW w:w="1134"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A15068">
              <w:rPr>
                <w:rFonts w:asciiTheme="majorHAnsi" w:hAnsiTheme="majorHAnsi" w:cstheme="majorHAnsi"/>
                <w:bCs/>
                <w:color w:val="000000"/>
                <w:sz w:val="20"/>
                <w:szCs w:val="20"/>
              </w:rPr>
              <w:t>100,0</w:t>
            </w:r>
          </w:p>
        </w:tc>
        <w:tc>
          <w:tcPr>
            <w:tcW w:w="1245"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sidRPr="00A15068">
              <w:rPr>
                <w:rFonts w:asciiTheme="majorHAnsi" w:eastAsia="Times New Roman" w:hAnsiTheme="majorHAnsi" w:cstheme="majorHAnsi"/>
                <w:color w:val="000000"/>
                <w:sz w:val="20"/>
                <w:szCs w:val="20"/>
                <w:lang w:eastAsia="ru-RU"/>
              </w:rPr>
              <w:t>0,0</w:t>
            </w:r>
          </w:p>
        </w:tc>
        <w:tc>
          <w:tcPr>
            <w:tcW w:w="1134"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A15068">
              <w:rPr>
                <w:rFonts w:asciiTheme="majorHAnsi" w:hAnsiTheme="majorHAnsi" w:cstheme="majorHAnsi"/>
                <w:bCs/>
                <w:color w:val="000000"/>
                <w:sz w:val="20"/>
                <w:szCs w:val="20"/>
              </w:rPr>
              <w:t>0,0</w:t>
            </w:r>
          </w:p>
        </w:tc>
        <w:tc>
          <w:tcPr>
            <w:tcW w:w="1134" w:type="dxa"/>
          </w:tcPr>
          <w:p w:rsidR="00E67099" w:rsidRPr="00A1506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A15068">
              <w:rPr>
                <w:rFonts w:asciiTheme="majorHAnsi" w:hAnsiTheme="majorHAnsi" w:cstheme="majorHAnsi"/>
                <w:bCs/>
                <w:color w:val="000000"/>
                <w:sz w:val="20"/>
                <w:szCs w:val="20"/>
              </w:rPr>
              <w:t>-</w:t>
            </w:r>
          </w:p>
        </w:tc>
      </w:tr>
    </w:tbl>
    <w:p w:rsidR="00E67099" w:rsidRPr="00E67099" w:rsidRDefault="00E67099" w:rsidP="00E67099">
      <w:pPr>
        <w:spacing w:after="0" w:line="276" w:lineRule="auto"/>
        <w:jc w:val="both"/>
        <w:rPr>
          <w:rFonts w:asciiTheme="majorHAnsi" w:eastAsia="Times New Roman" w:hAnsiTheme="majorHAnsi" w:cstheme="majorHAnsi"/>
          <w:szCs w:val="24"/>
          <w:lang w:eastAsia="ru-RU"/>
        </w:rPr>
      </w:pPr>
      <w:r w:rsidRPr="00E67099">
        <w:rPr>
          <w:rFonts w:asciiTheme="majorHAnsi" w:eastAsia="Times New Roman" w:hAnsiTheme="majorHAnsi" w:cstheme="majorHAnsi"/>
          <w:b/>
          <w:i/>
          <w:sz w:val="20"/>
          <w:szCs w:val="24"/>
          <w:lang w:eastAsia="ru-RU"/>
        </w:rPr>
        <w:t>Sursă:</w:t>
      </w:r>
      <w:r w:rsidRPr="00E67099">
        <w:rPr>
          <w:rFonts w:asciiTheme="majorHAnsi" w:eastAsia="Times New Roman" w:hAnsiTheme="majorHAnsi" w:cstheme="majorHAnsi"/>
          <w:i/>
          <w:sz w:val="20"/>
          <w:szCs w:val="24"/>
          <w:lang w:eastAsia="ru-RU"/>
        </w:rPr>
        <w:t xml:space="preserve"> Date generalizate de echipa de audit conform Raportului privind executarea bugetului de stat pe anul 2019, Formularul nr.8.</w:t>
      </w:r>
    </w:p>
    <w:p w:rsidR="00E67099" w:rsidRPr="00E67099" w:rsidRDefault="00E67099" w:rsidP="00E67099">
      <w:pPr>
        <w:shd w:val="clear" w:color="auto" w:fill="FFFFFF" w:themeFill="background1"/>
        <w:tabs>
          <w:tab w:val="left" w:pos="284"/>
          <w:tab w:val="left" w:pos="567"/>
          <w:tab w:val="left" w:pos="6237"/>
          <w:tab w:val="left" w:pos="6379"/>
        </w:tabs>
        <w:spacing w:after="0" w:line="276" w:lineRule="auto"/>
        <w:contextualSpacing/>
        <w:jc w:val="right"/>
        <w:rPr>
          <w:rFonts w:asciiTheme="majorHAnsi" w:eastAsia="Times New Roman" w:hAnsiTheme="majorHAnsi" w:cstheme="majorHAnsi"/>
          <w:b/>
          <w:i/>
          <w:sz w:val="24"/>
          <w:szCs w:val="24"/>
        </w:rPr>
      </w:pPr>
    </w:p>
    <w:p w:rsidR="00E67099" w:rsidRPr="00E67099" w:rsidRDefault="00E67099" w:rsidP="00E67099">
      <w:pPr>
        <w:shd w:val="clear" w:color="auto" w:fill="FFFFFF" w:themeFill="background1"/>
        <w:tabs>
          <w:tab w:val="left" w:pos="284"/>
          <w:tab w:val="left" w:pos="993"/>
          <w:tab w:val="left" w:pos="6663"/>
        </w:tabs>
        <w:spacing w:after="0" w:line="276" w:lineRule="auto"/>
        <w:ind w:left="1440"/>
        <w:contextualSpacing/>
        <w:jc w:val="right"/>
        <w:rPr>
          <w:rFonts w:asciiTheme="majorHAnsi" w:eastAsia="Times New Roman" w:hAnsiTheme="majorHAnsi" w:cstheme="majorHAnsi"/>
          <w:b/>
          <w:i/>
          <w:sz w:val="24"/>
          <w:szCs w:val="24"/>
        </w:rPr>
      </w:pPr>
      <w:r w:rsidRPr="00E67099">
        <w:rPr>
          <w:rFonts w:asciiTheme="majorHAnsi" w:eastAsia="Times New Roman" w:hAnsiTheme="majorHAnsi" w:cstheme="majorHAnsi"/>
          <w:b/>
          <w:i/>
          <w:sz w:val="24"/>
          <w:szCs w:val="24"/>
        </w:rPr>
        <w:t>Anexa nr.13</w:t>
      </w:r>
    </w:p>
    <w:p w:rsidR="00E67099" w:rsidRPr="00E67099" w:rsidRDefault="00E67099" w:rsidP="00E67099">
      <w:pPr>
        <w:spacing w:after="0" w:line="276" w:lineRule="auto"/>
        <w:jc w:val="center"/>
        <w:rPr>
          <w:rFonts w:asciiTheme="majorHAnsi" w:eastAsia="Times New Roman" w:hAnsiTheme="majorHAnsi" w:cstheme="majorHAnsi"/>
          <w:b/>
          <w:sz w:val="24"/>
          <w:szCs w:val="24"/>
          <w:lang w:eastAsia="ru-RU"/>
        </w:rPr>
      </w:pPr>
      <w:r w:rsidRPr="00E67099">
        <w:rPr>
          <w:rFonts w:asciiTheme="majorHAnsi" w:eastAsia="Times New Roman" w:hAnsiTheme="majorHAnsi" w:cstheme="majorHAnsi"/>
          <w:b/>
          <w:sz w:val="24"/>
          <w:szCs w:val="24"/>
          <w:lang w:eastAsia="ru-RU"/>
        </w:rPr>
        <w:t xml:space="preserve">Analiza executării cheltuielilor bugetului de stat conform clasificației funcționale pe anul 2019, </w:t>
      </w:r>
    </w:p>
    <w:p w:rsidR="00E67099" w:rsidRPr="00E67099" w:rsidRDefault="00E67099" w:rsidP="00E67099">
      <w:pPr>
        <w:spacing w:after="0" w:line="276" w:lineRule="auto"/>
        <w:jc w:val="center"/>
        <w:rPr>
          <w:rFonts w:asciiTheme="majorHAnsi" w:eastAsia="Times New Roman" w:hAnsiTheme="majorHAnsi" w:cstheme="majorHAnsi"/>
          <w:b/>
          <w:sz w:val="24"/>
          <w:szCs w:val="24"/>
          <w:lang w:eastAsia="ru-RU"/>
        </w:rPr>
      </w:pPr>
      <w:r w:rsidRPr="00E67099">
        <w:rPr>
          <w:rFonts w:asciiTheme="majorHAnsi" w:eastAsia="Times New Roman" w:hAnsiTheme="majorHAnsi" w:cstheme="majorHAnsi"/>
          <w:b/>
          <w:sz w:val="24"/>
          <w:szCs w:val="24"/>
          <w:lang w:eastAsia="ru-RU"/>
        </w:rPr>
        <w:t>comparativ cu anul 2018</w:t>
      </w:r>
    </w:p>
    <w:p w:rsidR="00E67099" w:rsidRPr="00E67099" w:rsidRDefault="00E67099" w:rsidP="00E67099">
      <w:pPr>
        <w:spacing w:after="0" w:line="276" w:lineRule="auto"/>
        <w:jc w:val="right"/>
        <w:rPr>
          <w:rFonts w:asciiTheme="majorHAnsi" w:eastAsia="Times New Roman" w:hAnsiTheme="majorHAnsi" w:cstheme="majorHAnsi"/>
          <w:b/>
          <w:sz w:val="24"/>
          <w:szCs w:val="24"/>
          <w:lang w:eastAsia="ru-RU"/>
        </w:rPr>
      </w:pPr>
      <w:r w:rsidRPr="00E67099">
        <w:rPr>
          <w:rFonts w:asciiTheme="majorHAnsi" w:eastAsia="Times New Roman" w:hAnsiTheme="majorHAnsi" w:cstheme="majorHAnsi"/>
          <w:b/>
          <w:sz w:val="24"/>
          <w:szCs w:val="24"/>
          <w:lang w:eastAsia="ru-RU"/>
        </w:rPr>
        <w:t>(mil. lei)</w:t>
      </w:r>
    </w:p>
    <w:tbl>
      <w:tblPr>
        <w:tblStyle w:val="GridTable1Light12"/>
        <w:tblW w:w="13345" w:type="dxa"/>
        <w:tblLayout w:type="fixed"/>
        <w:tblLook w:val="04A0" w:firstRow="1" w:lastRow="0" w:firstColumn="1" w:lastColumn="0" w:noHBand="0" w:noVBand="1"/>
      </w:tblPr>
      <w:tblGrid>
        <w:gridCol w:w="4106"/>
        <w:gridCol w:w="1134"/>
        <w:gridCol w:w="1176"/>
        <w:gridCol w:w="1370"/>
        <w:gridCol w:w="1098"/>
        <w:gridCol w:w="1017"/>
        <w:gridCol w:w="1134"/>
        <w:gridCol w:w="1234"/>
        <w:gridCol w:w="1076"/>
      </w:tblGrid>
      <w:tr w:rsidR="00E67099" w:rsidRPr="00E67099" w:rsidTr="00A367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vMerge w:val="restart"/>
            <w:vAlign w:val="center"/>
          </w:tcPr>
          <w:p w:rsidR="00E67099" w:rsidRPr="00276DE8" w:rsidRDefault="00E67099" w:rsidP="00E67099">
            <w:pPr>
              <w:jc w:val="center"/>
              <w:rPr>
                <w:rFonts w:asciiTheme="majorHAnsi" w:eastAsia="Times New Roman" w:hAnsiTheme="majorHAnsi" w:cstheme="majorHAnsi"/>
                <w:sz w:val="20"/>
                <w:szCs w:val="20"/>
                <w:lang w:eastAsia="ru-RU"/>
              </w:rPr>
            </w:pPr>
            <w:r w:rsidRPr="00276DE8">
              <w:rPr>
                <w:rFonts w:asciiTheme="majorHAnsi" w:eastAsia="Times New Roman" w:hAnsiTheme="majorHAnsi" w:cstheme="majorHAnsi"/>
                <w:sz w:val="20"/>
                <w:szCs w:val="20"/>
                <w:lang w:eastAsia="ru-RU"/>
              </w:rPr>
              <w:br w:type="page"/>
              <w:t>Indicatori</w:t>
            </w:r>
          </w:p>
        </w:tc>
        <w:tc>
          <w:tcPr>
            <w:tcW w:w="1134" w:type="dxa"/>
            <w:vMerge w:val="restart"/>
            <w:vAlign w:val="center"/>
          </w:tcPr>
          <w:p w:rsidR="00E67099" w:rsidRPr="00276DE8" w:rsidRDefault="00E67099" w:rsidP="00E67099">
            <w:pPr>
              <w:ind w:left="-108" w:right="-111"/>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276DE8">
              <w:rPr>
                <w:rFonts w:asciiTheme="majorHAnsi" w:eastAsia="Times New Roman" w:hAnsiTheme="majorHAnsi" w:cstheme="majorHAnsi"/>
                <w:sz w:val="20"/>
                <w:szCs w:val="20"/>
                <w:lang w:eastAsia="ru-RU"/>
              </w:rPr>
              <w:t>Aprobat</w:t>
            </w:r>
          </w:p>
        </w:tc>
        <w:tc>
          <w:tcPr>
            <w:tcW w:w="1176" w:type="dxa"/>
            <w:vMerge w:val="restart"/>
            <w:vAlign w:val="center"/>
          </w:tcPr>
          <w:p w:rsidR="00E67099" w:rsidRPr="00276DE8" w:rsidRDefault="00E67099" w:rsidP="00E67099">
            <w:pPr>
              <w:ind w:left="-108" w:right="-111"/>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276DE8">
              <w:rPr>
                <w:rFonts w:asciiTheme="majorHAnsi" w:eastAsia="Times New Roman" w:hAnsiTheme="majorHAnsi" w:cstheme="majorHAnsi"/>
                <w:sz w:val="20"/>
                <w:szCs w:val="20"/>
                <w:lang w:eastAsia="ru-RU"/>
              </w:rPr>
              <w:t xml:space="preserve">Precizat </w:t>
            </w:r>
          </w:p>
        </w:tc>
        <w:tc>
          <w:tcPr>
            <w:tcW w:w="1370" w:type="dxa"/>
            <w:vMerge w:val="restart"/>
            <w:vAlign w:val="center"/>
          </w:tcPr>
          <w:p w:rsidR="00E67099" w:rsidRPr="00276DE8" w:rsidRDefault="00E67099" w:rsidP="00E67099">
            <w:pPr>
              <w:ind w:left="-117" w:right="-124"/>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276DE8">
              <w:rPr>
                <w:rFonts w:asciiTheme="majorHAnsi" w:eastAsia="Times New Roman" w:hAnsiTheme="majorHAnsi" w:cstheme="majorHAnsi"/>
                <w:sz w:val="20"/>
                <w:szCs w:val="20"/>
                <w:lang w:eastAsia="ru-RU"/>
              </w:rPr>
              <w:t>Executat anul 2019</w:t>
            </w:r>
          </w:p>
        </w:tc>
        <w:tc>
          <w:tcPr>
            <w:tcW w:w="2115" w:type="dxa"/>
            <w:gridSpan w:val="2"/>
            <w:vAlign w:val="center"/>
          </w:tcPr>
          <w:p w:rsidR="00E67099" w:rsidRPr="00276DE8" w:rsidRDefault="00E67099" w:rsidP="00E67099">
            <w:pPr>
              <w:ind w:left="-80" w:right="-106"/>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276DE8">
              <w:rPr>
                <w:rFonts w:asciiTheme="majorHAnsi" w:eastAsia="Times New Roman" w:hAnsiTheme="majorHAnsi" w:cstheme="majorHAnsi"/>
                <w:sz w:val="20"/>
                <w:szCs w:val="20"/>
                <w:lang w:eastAsia="ru-RU"/>
              </w:rPr>
              <w:t>Executat față de precizat pe an</w:t>
            </w:r>
          </w:p>
        </w:tc>
        <w:tc>
          <w:tcPr>
            <w:tcW w:w="1134" w:type="dxa"/>
            <w:vMerge w:val="restart"/>
            <w:vAlign w:val="center"/>
          </w:tcPr>
          <w:p w:rsidR="00E67099" w:rsidRPr="00276DE8" w:rsidRDefault="00E67099" w:rsidP="00E67099">
            <w:pPr>
              <w:ind w:left="-98"/>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276DE8">
              <w:rPr>
                <w:rFonts w:asciiTheme="majorHAnsi" w:eastAsia="Times New Roman" w:hAnsiTheme="majorHAnsi" w:cstheme="majorHAnsi"/>
                <w:sz w:val="20"/>
                <w:szCs w:val="20"/>
                <w:lang w:eastAsia="ru-RU"/>
              </w:rPr>
              <w:t xml:space="preserve">Executat </w:t>
            </w:r>
          </w:p>
          <w:p w:rsidR="00E67099" w:rsidRPr="00276DE8" w:rsidRDefault="00E67099" w:rsidP="00E67099">
            <w:pPr>
              <w:ind w:left="-98"/>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276DE8">
              <w:rPr>
                <w:rFonts w:asciiTheme="majorHAnsi" w:eastAsia="Times New Roman" w:hAnsiTheme="majorHAnsi" w:cstheme="majorHAnsi"/>
                <w:sz w:val="20"/>
                <w:szCs w:val="20"/>
                <w:lang w:eastAsia="ru-RU"/>
              </w:rPr>
              <w:t>în anul 2018</w:t>
            </w:r>
          </w:p>
        </w:tc>
        <w:tc>
          <w:tcPr>
            <w:tcW w:w="2310" w:type="dxa"/>
            <w:gridSpan w:val="2"/>
            <w:vAlign w:val="center"/>
          </w:tcPr>
          <w:p w:rsidR="00E67099" w:rsidRPr="00276DE8" w:rsidRDefault="00E67099" w:rsidP="00E67099">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276DE8">
              <w:rPr>
                <w:rFonts w:asciiTheme="majorHAnsi" w:eastAsia="Times New Roman" w:hAnsiTheme="majorHAnsi" w:cstheme="majorHAnsi"/>
                <w:sz w:val="20"/>
                <w:szCs w:val="20"/>
                <w:lang w:eastAsia="ru-RU"/>
              </w:rPr>
              <w:t>Executat anul curent față de precedent</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4106" w:type="dxa"/>
            <w:vMerge/>
            <w:vAlign w:val="center"/>
          </w:tcPr>
          <w:p w:rsidR="00E67099" w:rsidRPr="00276DE8" w:rsidRDefault="00E67099" w:rsidP="00E67099">
            <w:pPr>
              <w:jc w:val="center"/>
              <w:rPr>
                <w:rFonts w:asciiTheme="majorHAnsi" w:eastAsia="Times New Roman" w:hAnsiTheme="majorHAnsi" w:cstheme="majorHAnsi"/>
                <w:sz w:val="20"/>
                <w:szCs w:val="20"/>
                <w:lang w:eastAsia="ru-RU"/>
              </w:rPr>
            </w:pPr>
          </w:p>
        </w:tc>
        <w:tc>
          <w:tcPr>
            <w:tcW w:w="1134" w:type="dxa"/>
            <w:vMerge/>
            <w:vAlign w:val="center"/>
          </w:tcPr>
          <w:p w:rsidR="00E67099" w:rsidRPr="00276DE8"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eastAsia="ru-RU"/>
              </w:rPr>
            </w:pPr>
          </w:p>
        </w:tc>
        <w:tc>
          <w:tcPr>
            <w:tcW w:w="1176" w:type="dxa"/>
            <w:vMerge/>
            <w:vAlign w:val="center"/>
          </w:tcPr>
          <w:p w:rsidR="00E67099" w:rsidRPr="00276DE8"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eastAsia="ru-RU"/>
              </w:rPr>
            </w:pPr>
          </w:p>
        </w:tc>
        <w:tc>
          <w:tcPr>
            <w:tcW w:w="1370" w:type="dxa"/>
            <w:vMerge/>
            <w:vAlign w:val="center"/>
          </w:tcPr>
          <w:p w:rsidR="00E67099" w:rsidRPr="00276DE8"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eastAsia="ru-RU"/>
              </w:rPr>
            </w:pPr>
          </w:p>
        </w:tc>
        <w:tc>
          <w:tcPr>
            <w:tcW w:w="1098" w:type="dxa"/>
            <w:vAlign w:val="center"/>
          </w:tcPr>
          <w:p w:rsidR="00E67099" w:rsidRPr="00276DE8" w:rsidRDefault="00E67099" w:rsidP="00E67099">
            <w:pPr>
              <w:ind w:left="-113" w:right="-113"/>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eastAsia="ru-RU"/>
              </w:rPr>
            </w:pPr>
            <w:r w:rsidRPr="00276DE8">
              <w:rPr>
                <w:rFonts w:asciiTheme="majorHAnsi" w:eastAsia="Times New Roman" w:hAnsiTheme="majorHAnsi" w:cstheme="majorHAnsi"/>
                <w:b/>
                <w:sz w:val="20"/>
                <w:szCs w:val="20"/>
                <w:lang w:eastAsia="ru-RU"/>
              </w:rPr>
              <w:t xml:space="preserve">devieri </w:t>
            </w:r>
          </w:p>
          <w:p w:rsidR="00E67099" w:rsidRPr="00276DE8" w:rsidRDefault="00E67099" w:rsidP="00E67099">
            <w:pPr>
              <w:ind w:left="-113" w:right="-113"/>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eastAsia="ru-RU"/>
              </w:rPr>
            </w:pPr>
            <w:r w:rsidRPr="00276DE8">
              <w:rPr>
                <w:rFonts w:asciiTheme="majorHAnsi" w:eastAsia="Times New Roman" w:hAnsiTheme="majorHAnsi" w:cstheme="majorHAnsi"/>
                <w:b/>
                <w:sz w:val="20"/>
                <w:szCs w:val="20"/>
                <w:lang w:eastAsia="ru-RU"/>
              </w:rPr>
              <w:t>(+/-)</w:t>
            </w:r>
          </w:p>
        </w:tc>
        <w:tc>
          <w:tcPr>
            <w:tcW w:w="1017" w:type="dxa"/>
            <w:vAlign w:val="center"/>
          </w:tcPr>
          <w:p w:rsidR="00E67099" w:rsidRPr="00276DE8"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eastAsia="ru-RU"/>
              </w:rPr>
            </w:pPr>
            <w:r w:rsidRPr="00276DE8">
              <w:rPr>
                <w:rFonts w:asciiTheme="majorHAnsi" w:eastAsia="Times New Roman" w:hAnsiTheme="majorHAnsi" w:cstheme="majorHAnsi"/>
                <w:b/>
                <w:sz w:val="20"/>
                <w:szCs w:val="20"/>
                <w:lang w:eastAsia="ru-RU"/>
              </w:rPr>
              <w:t>în %</w:t>
            </w:r>
          </w:p>
        </w:tc>
        <w:tc>
          <w:tcPr>
            <w:tcW w:w="1134" w:type="dxa"/>
            <w:vMerge/>
            <w:vAlign w:val="center"/>
          </w:tcPr>
          <w:p w:rsidR="00E67099" w:rsidRPr="00276DE8" w:rsidRDefault="00E67099" w:rsidP="00E67099">
            <w:pPr>
              <w:ind w:left="-113" w:right="-113"/>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eastAsia="ru-RU"/>
              </w:rPr>
            </w:pPr>
          </w:p>
        </w:tc>
        <w:tc>
          <w:tcPr>
            <w:tcW w:w="1234" w:type="dxa"/>
            <w:vAlign w:val="center"/>
          </w:tcPr>
          <w:p w:rsidR="00E67099" w:rsidRPr="00276DE8" w:rsidRDefault="00E67099" w:rsidP="00E67099">
            <w:pPr>
              <w:ind w:left="-113" w:right="-113"/>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eastAsia="ru-RU"/>
              </w:rPr>
            </w:pPr>
            <w:r w:rsidRPr="00276DE8">
              <w:rPr>
                <w:rFonts w:asciiTheme="majorHAnsi" w:eastAsia="Times New Roman" w:hAnsiTheme="majorHAnsi" w:cstheme="majorHAnsi"/>
                <w:b/>
                <w:sz w:val="20"/>
                <w:szCs w:val="20"/>
                <w:lang w:eastAsia="ru-RU"/>
              </w:rPr>
              <w:t>devieri (+/-)</w:t>
            </w:r>
          </w:p>
        </w:tc>
        <w:tc>
          <w:tcPr>
            <w:tcW w:w="1076" w:type="dxa"/>
            <w:vAlign w:val="center"/>
          </w:tcPr>
          <w:p w:rsidR="00E67099" w:rsidRPr="00276DE8"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eastAsia="ru-RU"/>
              </w:rPr>
            </w:pPr>
            <w:r w:rsidRPr="00276DE8">
              <w:rPr>
                <w:rFonts w:asciiTheme="majorHAnsi" w:eastAsia="Times New Roman" w:hAnsiTheme="majorHAnsi" w:cstheme="majorHAnsi"/>
                <w:b/>
                <w:sz w:val="20"/>
                <w:szCs w:val="20"/>
                <w:lang w:eastAsia="ru-RU"/>
              </w:rPr>
              <w:t>în %</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4106" w:type="dxa"/>
          </w:tcPr>
          <w:p w:rsidR="00E67099" w:rsidRPr="00E67099" w:rsidRDefault="00E67099" w:rsidP="00E67099">
            <w:pPr>
              <w:ind w:right="-105"/>
              <w:jc w:val="center"/>
              <w:rPr>
                <w:rFonts w:asciiTheme="majorHAnsi" w:eastAsia="Times New Roman" w:hAnsiTheme="majorHAnsi" w:cstheme="majorHAnsi"/>
                <w:i/>
                <w:sz w:val="18"/>
                <w:szCs w:val="18"/>
                <w:lang w:eastAsia="ru-RU"/>
              </w:rPr>
            </w:pPr>
            <w:r w:rsidRPr="00E67099">
              <w:rPr>
                <w:rFonts w:asciiTheme="majorHAnsi" w:eastAsia="Times New Roman" w:hAnsiTheme="majorHAnsi" w:cstheme="majorHAnsi"/>
                <w:i/>
                <w:sz w:val="18"/>
                <w:szCs w:val="18"/>
                <w:lang w:eastAsia="ru-RU"/>
              </w:rPr>
              <w:t>1</w:t>
            </w:r>
          </w:p>
        </w:tc>
        <w:tc>
          <w:tcPr>
            <w:tcW w:w="1134"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18"/>
                <w:szCs w:val="18"/>
                <w:lang w:val="en-US"/>
              </w:rPr>
            </w:pPr>
            <w:r w:rsidRPr="00E67099">
              <w:rPr>
                <w:rFonts w:asciiTheme="majorHAnsi" w:eastAsia="Times New Roman" w:hAnsiTheme="majorHAnsi" w:cstheme="majorHAnsi"/>
                <w:i/>
                <w:color w:val="000000"/>
                <w:sz w:val="18"/>
                <w:szCs w:val="18"/>
                <w:lang w:val="en-US"/>
              </w:rPr>
              <w:t>2</w:t>
            </w:r>
          </w:p>
        </w:tc>
        <w:tc>
          <w:tcPr>
            <w:tcW w:w="1176"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18"/>
                <w:szCs w:val="18"/>
                <w:lang w:val="en-US"/>
              </w:rPr>
            </w:pPr>
            <w:r w:rsidRPr="00E67099">
              <w:rPr>
                <w:rFonts w:asciiTheme="majorHAnsi" w:eastAsia="Times New Roman" w:hAnsiTheme="majorHAnsi" w:cstheme="majorHAnsi"/>
                <w:i/>
                <w:color w:val="000000"/>
                <w:sz w:val="18"/>
                <w:szCs w:val="18"/>
                <w:lang w:val="en-US"/>
              </w:rPr>
              <w:t>3</w:t>
            </w:r>
          </w:p>
        </w:tc>
        <w:tc>
          <w:tcPr>
            <w:tcW w:w="1370"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18"/>
                <w:szCs w:val="18"/>
                <w:lang w:eastAsia="ru-RU"/>
              </w:rPr>
            </w:pPr>
            <w:r w:rsidRPr="00E67099">
              <w:rPr>
                <w:rFonts w:asciiTheme="majorHAnsi" w:eastAsia="Times New Roman" w:hAnsiTheme="majorHAnsi" w:cstheme="majorHAnsi"/>
                <w:i/>
                <w:sz w:val="18"/>
                <w:szCs w:val="18"/>
                <w:lang w:eastAsia="ru-RU"/>
              </w:rPr>
              <w:t>4</w:t>
            </w:r>
          </w:p>
        </w:tc>
        <w:tc>
          <w:tcPr>
            <w:tcW w:w="1098" w:type="dxa"/>
          </w:tcPr>
          <w:p w:rsidR="00E67099" w:rsidRPr="00E67099" w:rsidRDefault="00E67099" w:rsidP="00E67099">
            <w:pPr>
              <w:ind w:left="-97" w:right="-3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color w:val="000000"/>
                <w:sz w:val="18"/>
                <w:szCs w:val="18"/>
                <w:lang w:val="en-US"/>
              </w:rPr>
            </w:pPr>
            <w:r w:rsidRPr="00E67099">
              <w:rPr>
                <w:rFonts w:asciiTheme="majorHAnsi" w:eastAsia="Times New Roman" w:hAnsiTheme="majorHAnsi" w:cstheme="majorHAnsi"/>
                <w:bCs/>
                <w:i/>
                <w:color w:val="000000"/>
                <w:sz w:val="18"/>
                <w:szCs w:val="18"/>
                <w:lang w:val="en-US"/>
              </w:rPr>
              <w:t>5=4-3</w:t>
            </w:r>
          </w:p>
        </w:tc>
        <w:tc>
          <w:tcPr>
            <w:tcW w:w="1017"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8"/>
                <w:szCs w:val="18"/>
              </w:rPr>
            </w:pPr>
            <w:r w:rsidRPr="00E67099">
              <w:rPr>
                <w:rFonts w:asciiTheme="majorHAnsi" w:hAnsiTheme="majorHAnsi" w:cstheme="majorHAnsi"/>
                <w:i/>
                <w:sz w:val="18"/>
                <w:szCs w:val="18"/>
              </w:rPr>
              <w:t>6=4/3*100</w:t>
            </w:r>
          </w:p>
        </w:tc>
        <w:tc>
          <w:tcPr>
            <w:tcW w:w="1134" w:type="dxa"/>
          </w:tcPr>
          <w:p w:rsidR="00E67099" w:rsidRPr="00E67099" w:rsidRDefault="00E67099" w:rsidP="00E67099">
            <w:pPr>
              <w:ind w:left="-113" w:right="-113"/>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8"/>
                <w:szCs w:val="18"/>
              </w:rPr>
            </w:pPr>
            <w:r w:rsidRPr="00E67099">
              <w:rPr>
                <w:rFonts w:asciiTheme="majorHAnsi" w:hAnsiTheme="majorHAnsi" w:cstheme="majorHAnsi"/>
                <w:i/>
                <w:sz w:val="18"/>
                <w:szCs w:val="18"/>
              </w:rPr>
              <w:t>7</w:t>
            </w:r>
          </w:p>
        </w:tc>
        <w:tc>
          <w:tcPr>
            <w:tcW w:w="1234" w:type="dxa"/>
          </w:tcPr>
          <w:p w:rsidR="00E67099" w:rsidRPr="00E67099" w:rsidRDefault="00E67099" w:rsidP="00E67099">
            <w:pPr>
              <w:ind w:left="-113" w:right="-113"/>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8"/>
                <w:szCs w:val="18"/>
              </w:rPr>
            </w:pPr>
            <w:r w:rsidRPr="00E67099">
              <w:rPr>
                <w:rFonts w:asciiTheme="majorHAnsi" w:hAnsiTheme="majorHAnsi" w:cstheme="majorHAnsi"/>
                <w:i/>
                <w:sz w:val="18"/>
                <w:szCs w:val="18"/>
              </w:rPr>
              <w:t>8=4-7</w:t>
            </w:r>
          </w:p>
        </w:tc>
        <w:tc>
          <w:tcPr>
            <w:tcW w:w="1076"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8"/>
                <w:szCs w:val="18"/>
              </w:rPr>
            </w:pPr>
            <w:r w:rsidRPr="00E67099">
              <w:rPr>
                <w:rFonts w:asciiTheme="majorHAnsi" w:hAnsiTheme="majorHAnsi" w:cstheme="majorHAnsi"/>
                <w:i/>
                <w:sz w:val="18"/>
                <w:szCs w:val="18"/>
              </w:rPr>
              <w:t>9=4/7*100</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4106" w:type="dxa"/>
          </w:tcPr>
          <w:p w:rsidR="00E67099" w:rsidRPr="00276DE8" w:rsidRDefault="00E67099" w:rsidP="00E67099">
            <w:pPr>
              <w:ind w:right="-105"/>
              <w:rPr>
                <w:rFonts w:asciiTheme="majorHAnsi" w:eastAsia="Times New Roman" w:hAnsiTheme="majorHAnsi" w:cstheme="majorHAnsi"/>
                <w:sz w:val="20"/>
                <w:szCs w:val="20"/>
                <w:lang w:eastAsia="ru-RU"/>
              </w:rPr>
            </w:pPr>
            <w:r w:rsidRPr="00276DE8">
              <w:rPr>
                <w:rFonts w:asciiTheme="majorHAnsi" w:eastAsia="Times New Roman" w:hAnsiTheme="majorHAnsi" w:cstheme="majorHAnsi"/>
                <w:sz w:val="20"/>
                <w:szCs w:val="20"/>
                <w:lang w:eastAsia="ru-RU"/>
              </w:rPr>
              <w:t>CHELTUIELI, total:</w:t>
            </w:r>
          </w:p>
        </w:tc>
        <w:tc>
          <w:tcPr>
            <w:tcW w:w="1134"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lang w:val="en-US"/>
              </w:rPr>
            </w:pPr>
            <w:r w:rsidRPr="00276DE8">
              <w:rPr>
                <w:rFonts w:asciiTheme="majorHAnsi" w:hAnsiTheme="majorHAnsi" w:cstheme="majorHAnsi"/>
                <w:b/>
                <w:bCs/>
                <w:sz w:val="20"/>
                <w:szCs w:val="20"/>
              </w:rPr>
              <w:t>47.664,2</w:t>
            </w:r>
          </w:p>
        </w:tc>
        <w:tc>
          <w:tcPr>
            <w:tcW w:w="1176"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rPr>
            </w:pPr>
            <w:r w:rsidRPr="00276DE8">
              <w:rPr>
                <w:rFonts w:asciiTheme="majorHAnsi" w:hAnsiTheme="majorHAnsi" w:cstheme="majorHAnsi"/>
                <w:b/>
                <w:bCs/>
                <w:sz w:val="20"/>
                <w:szCs w:val="20"/>
              </w:rPr>
              <w:t>46.346,2</w:t>
            </w:r>
          </w:p>
        </w:tc>
        <w:tc>
          <w:tcPr>
            <w:tcW w:w="1370"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rPr>
            </w:pPr>
            <w:r w:rsidRPr="00276DE8">
              <w:rPr>
                <w:rFonts w:asciiTheme="majorHAnsi" w:hAnsiTheme="majorHAnsi" w:cstheme="majorHAnsi"/>
                <w:b/>
                <w:bCs/>
                <w:sz w:val="20"/>
                <w:szCs w:val="20"/>
              </w:rPr>
              <w:t>43.073,9</w:t>
            </w:r>
          </w:p>
        </w:tc>
        <w:tc>
          <w:tcPr>
            <w:tcW w:w="1098"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lang w:val="en-US"/>
              </w:rPr>
            </w:pPr>
            <w:r w:rsidRPr="00276DE8">
              <w:rPr>
                <w:rFonts w:asciiTheme="majorHAnsi" w:hAnsiTheme="majorHAnsi" w:cstheme="majorHAnsi"/>
                <w:b/>
                <w:bCs/>
                <w:color w:val="000000"/>
                <w:sz w:val="20"/>
                <w:szCs w:val="20"/>
              </w:rPr>
              <w:t>-3.272,3</w:t>
            </w:r>
          </w:p>
        </w:tc>
        <w:tc>
          <w:tcPr>
            <w:tcW w:w="1017"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rPr>
            </w:pPr>
            <w:r w:rsidRPr="00276DE8">
              <w:rPr>
                <w:rFonts w:asciiTheme="majorHAnsi" w:hAnsiTheme="majorHAnsi" w:cstheme="majorHAnsi"/>
                <w:b/>
                <w:bCs/>
                <w:color w:val="000000"/>
                <w:sz w:val="20"/>
                <w:szCs w:val="20"/>
              </w:rPr>
              <w:t>92,9</w:t>
            </w:r>
          </w:p>
        </w:tc>
        <w:tc>
          <w:tcPr>
            <w:tcW w:w="1134"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eastAsia="ru-RU"/>
              </w:rPr>
            </w:pPr>
            <w:r w:rsidRPr="00276DE8">
              <w:rPr>
                <w:rFonts w:asciiTheme="majorHAnsi" w:eastAsia="Times New Roman" w:hAnsiTheme="majorHAnsi" w:cstheme="majorHAnsi"/>
                <w:b/>
                <w:sz w:val="20"/>
                <w:szCs w:val="20"/>
                <w:lang w:eastAsia="ru-RU"/>
              </w:rPr>
              <w:t>38.708,3</w:t>
            </w:r>
          </w:p>
        </w:tc>
        <w:tc>
          <w:tcPr>
            <w:tcW w:w="1234"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lang w:val="en-US"/>
              </w:rPr>
            </w:pPr>
            <w:r w:rsidRPr="00276DE8">
              <w:rPr>
                <w:rFonts w:asciiTheme="majorHAnsi" w:hAnsiTheme="majorHAnsi" w:cstheme="majorHAnsi"/>
                <w:b/>
                <w:bCs/>
                <w:color w:val="000000"/>
                <w:sz w:val="20"/>
                <w:szCs w:val="20"/>
              </w:rPr>
              <w:t>4.365,6</w:t>
            </w:r>
          </w:p>
        </w:tc>
        <w:tc>
          <w:tcPr>
            <w:tcW w:w="1076"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rPr>
            </w:pPr>
            <w:r w:rsidRPr="00276DE8">
              <w:rPr>
                <w:rFonts w:asciiTheme="majorHAnsi" w:hAnsiTheme="majorHAnsi" w:cstheme="majorHAnsi"/>
                <w:b/>
                <w:bCs/>
                <w:color w:val="000000"/>
                <w:sz w:val="20"/>
                <w:szCs w:val="20"/>
              </w:rPr>
              <w:t>111,3</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4106" w:type="dxa"/>
          </w:tcPr>
          <w:p w:rsidR="00E67099" w:rsidRPr="00276DE8" w:rsidRDefault="00E67099" w:rsidP="00E67099">
            <w:pPr>
              <w:ind w:right="37"/>
              <w:rPr>
                <w:rFonts w:asciiTheme="majorHAnsi" w:eastAsia="Times New Roman" w:hAnsiTheme="majorHAnsi" w:cstheme="majorHAnsi"/>
                <w:sz w:val="20"/>
                <w:szCs w:val="20"/>
                <w:lang w:eastAsia="ru-RU"/>
              </w:rPr>
            </w:pPr>
            <w:r w:rsidRPr="00276DE8">
              <w:rPr>
                <w:rFonts w:asciiTheme="majorHAnsi" w:eastAsia="Times New Roman" w:hAnsiTheme="majorHAnsi" w:cstheme="majorHAnsi"/>
                <w:sz w:val="20"/>
                <w:szCs w:val="20"/>
                <w:lang w:eastAsia="ru-RU"/>
              </w:rPr>
              <w:t>Servicii de stat cu destinație generală</w:t>
            </w:r>
          </w:p>
        </w:tc>
        <w:tc>
          <w:tcPr>
            <w:tcW w:w="1134"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lang w:val="en-US"/>
              </w:rPr>
            </w:pPr>
            <w:r w:rsidRPr="00276DE8">
              <w:rPr>
                <w:rFonts w:asciiTheme="majorHAnsi" w:hAnsiTheme="majorHAnsi" w:cstheme="majorHAnsi"/>
                <w:bCs/>
                <w:sz w:val="20"/>
                <w:szCs w:val="20"/>
              </w:rPr>
              <w:t>8.550,0</w:t>
            </w:r>
          </w:p>
        </w:tc>
        <w:tc>
          <w:tcPr>
            <w:tcW w:w="1176"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276DE8">
              <w:rPr>
                <w:rFonts w:asciiTheme="majorHAnsi" w:hAnsiTheme="majorHAnsi" w:cstheme="majorHAnsi"/>
                <w:bCs/>
                <w:sz w:val="20"/>
                <w:szCs w:val="20"/>
              </w:rPr>
              <w:t>7.948,4</w:t>
            </w:r>
          </w:p>
        </w:tc>
        <w:tc>
          <w:tcPr>
            <w:tcW w:w="1370"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276DE8">
              <w:rPr>
                <w:rFonts w:asciiTheme="majorHAnsi" w:hAnsiTheme="majorHAnsi" w:cstheme="majorHAnsi"/>
                <w:bCs/>
                <w:sz w:val="20"/>
                <w:szCs w:val="20"/>
              </w:rPr>
              <w:t>7.147,8</w:t>
            </w:r>
          </w:p>
        </w:tc>
        <w:tc>
          <w:tcPr>
            <w:tcW w:w="1098"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276DE8">
              <w:rPr>
                <w:rFonts w:asciiTheme="majorHAnsi" w:hAnsiTheme="majorHAnsi" w:cstheme="majorHAnsi"/>
                <w:bCs/>
                <w:color w:val="000000"/>
                <w:sz w:val="20"/>
                <w:szCs w:val="20"/>
              </w:rPr>
              <w:t>-800,6</w:t>
            </w:r>
          </w:p>
        </w:tc>
        <w:tc>
          <w:tcPr>
            <w:tcW w:w="1017"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276DE8">
              <w:rPr>
                <w:rFonts w:asciiTheme="majorHAnsi" w:hAnsiTheme="majorHAnsi" w:cstheme="majorHAnsi"/>
                <w:bCs/>
                <w:color w:val="000000"/>
                <w:sz w:val="20"/>
                <w:szCs w:val="20"/>
              </w:rPr>
              <w:t>89,9</w:t>
            </w:r>
          </w:p>
        </w:tc>
        <w:tc>
          <w:tcPr>
            <w:tcW w:w="1134" w:type="dxa"/>
            <w:vAlign w:val="center"/>
          </w:tcPr>
          <w:p w:rsidR="00E67099" w:rsidRPr="00276DE8" w:rsidRDefault="00E67099" w:rsidP="00E67099">
            <w:pPr>
              <w:ind w:left="-98" w:right="-2"/>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276DE8">
              <w:rPr>
                <w:rFonts w:asciiTheme="majorHAnsi" w:eastAsia="Times New Roman" w:hAnsiTheme="majorHAnsi" w:cstheme="majorHAnsi"/>
                <w:sz w:val="20"/>
                <w:szCs w:val="20"/>
                <w:lang w:eastAsia="ru-RU"/>
              </w:rPr>
              <w:t>5.926,9</w:t>
            </w:r>
          </w:p>
        </w:tc>
        <w:tc>
          <w:tcPr>
            <w:tcW w:w="1234"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276DE8">
              <w:rPr>
                <w:rFonts w:asciiTheme="majorHAnsi" w:hAnsiTheme="majorHAnsi" w:cstheme="majorHAnsi"/>
                <w:bCs/>
                <w:color w:val="000000"/>
                <w:sz w:val="20"/>
                <w:szCs w:val="20"/>
              </w:rPr>
              <w:t>1.220,9</w:t>
            </w:r>
          </w:p>
        </w:tc>
        <w:tc>
          <w:tcPr>
            <w:tcW w:w="1076"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276DE8">
              <w:rPr>
                <w:rFonts w:asciiTheme="majorHAnsi" w:hAnsiTheme="majorHAnsi" w:cstheme="majorHAnsi"/>
                <w:bCs/>
                <w:color w:val="000000"/>
                <w:sz w:val="20"/>
                <w:szCs w:val="20"/>
              </w:rPr>
              <w:t>120,6</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4106" w:type="dxa"/>
          </w:tcPr>
          <w:p w:rsidR="00E67099" w:rsidRPr="00276DE8" w:rsidRDefault="00E67099" w:rsidP="00E67099">
            <w:pPr>
              <w:rPr>
                <w:rFonts w:asciiTheme="majorHAnsi" w:eastAsia="Times New Roman" w:hAnsiTheme="majorHAnsi" w:cstheme="majorHAnsi"/>
                <w:sz w:val="20"/>
                <w:szCs w:val="20"/>
                <w:lang w:eastAsia="ru-RU"/>
              </w:rPr>
            </w:pPr>
            <w:r w:rsidRPr="00276DE8">
              <w:rPr>
                <w:rFonts w:asciiTheme="majorHAnsi" w:eastAsia="Times New Roman" w:hAnsiTheme="majorHAnsi" w:cstheme="majorHAnsi"/>
                <w:sz w:val="20"/>
                <w:szCs w:val="20"/>
                <w:lang w:eastAsia="ru-RU"/>
              </w:rPr>
              <w:t>Apărare națională</w:t>
            </w:r>
          </w:p>
        </w:tc>
        <w:tc>
          <w:tcPr>
            <w:tcW w:w="1134"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lang w:val="en-US"/>
              </w:rPr>
            </w:pPr>
            <w:r w:rsidRPr="00276DE8">
              <w:rPr>
                <w:rFonts w:asciiTheme="majorHAnsi" w:hAnsiTheme="majorHAnsi" w:cstheme="majorHAnsi"/>
                <w:bCs/>
                <w:sz w:val="20"/>
                <w:szCs w:val="20"/>
              </w:rPr>
              <w:t>636,2</w:t>
            </w:r>
          </w:p>
        </w:tc>
        <w:tc>
          <w:tcPr>
            <w:tcW w:w="1176"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276DE8">
              <w:rPr>
                <w:rFonts w:asciiTheme="majorHAnsi" w:hAnsiTheme="majorHAnsi" w:cstheme="majorHAnsi"/>
                <w:bCs/>
                <w:sz w:val="20"/>
                <w:szCs w:val="20"/>
              </w:rPr>
              <w:t>617,1</w:t>
            </w:r>
          </w:p>
        </w:tc>
        <w:tc>
          <w:tcPr>
            <w:tcW w:w="1370"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276DE8">
              <w:rPr>
                <w:rFonts w:asciiTheme="majorHAnsi" w:hAnsiTheme="majorHAnsi" w:cstheme="majorHAnsi"/>
                <w:bCs/>
                <w:sz w:val="20"/>
                <w:szCs w:val="20"/>
              </w:rPr>
              <w:t>598,5</w:t>
            </w:r>
          </w:p>
        </w:tc>
        <w:tc>
          <w:tcPr>
            <w:tcW w:w="1098"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276DE8">
              <w:rPr>
                <w:rFonts w:asciiTheme="majorHAnsi" w:hAnsiTheme="majorHAnsi" w:cstheme="majorHAnsi"/>
                <w:bCs/>
                <w:color w:val="000000"/>
                <w:sz w:val="20"/>
                <w:szCs w:val="20"/>
              </w:rPr>
              <w:t>-18,6</w:t>
            </w:r>
          </w:p>
        </w:tc>
        <w:tc>
          <w:tcPr>
            <w:tcW w:w="1017"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276DE8">
              <w:rPr>
                <w:rFonts w:asciiTheme="majorHAnsi" w:hAnsiTheme="majorHAnsi" w:cstheme="majorHAnsi"/>
                <w:bCs/>
                <w:color w:val="000000"/>
                <w:sz w:val="20"/>
                <w:szCs w:val="20"/>
              </w:rPr>
              <w:t>97,0</w:t>
            </w:r>
          </w:p>
        </w:tc>
        <w:tc>
          <w:tcPr>
            <w:tcW w:w="1134"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276DE8">
              <w:rPr>
                <w:rFonts w:asciiTheme="majorHAnsi" w:eastAsia="Times New Roman" w:hAnsiTheme="majorHAnsi" w:cstheme="majorHAnsi"/>
                <w:sz w:val="20"/>
                <w:szCs w:val="20"/>
                <w:lang w:eastAsia="ru-RU"/>
              </w:rPr>
              <w:t>631,7</w:t>
            </w:r>
          </w:p>
        </w:tc>
        <w:tc>
          <w:tcPr>
            <w:tcW w:w="1234"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276DE8">
              <w:rPr>
                <w:rFonts w:asciiTheme="majorHAnsi" w:hAnsiTheme="majorHAnsi" w:cstheme="majorHAnsi"/>
                <w:bCs/>
                <w:color w:val="000000"/>
                <w:sz w:val="20"/>
                <w:szCs w:val="20"/>
              </w:rPr>
              <w:t>-33,2</w:t>
            </w:r>
          </w:p>
        </w:tc>
        <w:tc>
          <w:tcPr>
            <w:tcW w:w="1076"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276DE8">
              <w:rPr>
                <w:rFonts w:asciiTheme="majorHAnsi" w:hAnsiTheme="majorHAnsi" w:cstheme="majorHAnsi"/>
                <w:bCs/>
                <w:color w:val="000000"/>
                <w:sz w:val="20"/>
                <w:szCs w:val="20"/>
              </w:rPr>
              <w:t>94,7</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4106" w:type="dxa"/>
          </w:tcPr>
          <w:p w:rsidR="00E67099" w:rsidRPr="00276DE8" w:rsidRDefault="00E67099" w:rsidP="00E67099">
            <w:pPr>
              <w:rPr>
                <w:rFonts w:asciiTheme="majorHAnsi" w:eastAsia="Times New Roman" w:hAnsiTheme="majorHAnsi" w:cstheme="majorHAnsi"/>
                <w:sz w:val="20"/>
                <w:szCs w:val="20"/>
                <w:lang w:eastAsia="ru-RU"/>
              </w:rPr>
            </w:pPr>
            <w:r w:rsidRPr="00276DE8">
              <w:rPr>
                <w:rFonts w:asciiTheme="majorHAnsi" w:eastAsia="Times New Roman" w:hAnsiTheme="majorHAnsi" w:cstheme="majorHAnsi"/>
                <w:sz w:val="20"/>
                <w:szCs w:val="20"/>
                <w:lang w:eastAsia="ru-RU"/>
              </w:rPr>
              <w:t>Ordine publică și securitate națională</w:t>
            </w:r>
          </w:p>
        </w:tc>
        <w:tc>
          <w:tcPr>
            <w:tcW w:w="1134"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lang w:val="en-US"/>
              </w:rPr>
            </w:pPr>
            <w:r w:rsidRPr="00276DE8">
              <w:rPr>
                <w:rFonts w:asciiTheme="majorHAnsi" w:hAnsiTheme="majorHAnsi" w:cstheme="majorHAnsi"/>
                <w:bCs/>
                <w:sz w:val="20"/>
                <w:szCs w:val="20"/>
              </w:rPr>
              <w:t>4.743,3</w:t>
            </w:r>
          </w:p>
        </w:tc>
        <w:tc>
          <w:tcPr>
            <w:tcW w:w="1176"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276DE8">
              <w:rPr>
                <w:rFonts w:asciiTheme="majorHAnsi" w:hAnsiTheme="majorHAnsi" w:cstheme="majorHAnsi"/>
                <w:bCs/>
                <w:sz w:val="20"/>
                <w:szCs w:val="20"/>
              </w:rPr>
              <w:t>4.548,1</w:t>
            </w:r>
          </w:p>
        </w:tc>
        <w:tc>
          <w:tcPr>
            <w:tcW w:w="1370"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276DE8">
              <w:rPr>
                <w:rFonts w:asciiTheme="majorHAnsi" w:hAnsiTheme="majorHAnsi" w:cstheme="majorHAnsi"/>
                <w:bCs/>
                <w:sz w:val="20"/>
                <w:szCs w:val="20"/>
              </w:rPr>
              <w:t>4.304,6</w:t>
            </w:r>
          </w:p>
        </w:tc>
        <w:tc>
          <w:tcPr>
            <w:tcW w:w="1098"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276DE8">
              <w:rPr>
                <w:rFonts w:asciiTheme="majorHAnsi" w:hAnsiTheme="majorHAnsi" w:cstheme="majorHAnsi"/>
                <w:bCs/>
                <w:color w:val="000000"/>
                <w:sz w:val="20"/>
                <w:szCs w:val="20"/>
              </w:rPr>
              <w:t>-243,5</w:t>
            </w:r>
          </w:p>
        </w:tc>
        <w:tc>
          <w:tcPr>
            <w:tcW w:w="1017"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276DE8">
              <w:rPr>
                <w:rFonts w:asciiTheme="majorHAnsi" w:hAnsiTheme="majorHAnsi" w:cstheme="majorHAnsi"/>
                <w:bCs/>
                <w:color w:val="000000"/>
                <w:sz w:val="20"/>
                <w:szCs w:val="20"/>
              </w:rPr>
              <w:t>94,6</w:t>
            </w:r>
          </w:p>
        </w:tc>
        <w:tc>
          <w:tcPr>
            <w:tcW w:w="1134"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276DE8">
              <w:rPr>
                <w:rFonts w:asciiTheme="majorHAnsi" w:eastAsia="Times New Roman" w:hAnsiTheme="majorHAnsi" w:cstheme="majorHAnsi"/>
                <w:sz w:val="20"/>
                <w:szCs w:val="20"/>
                <w:lang w:eastAsia="ru-RU"/>
              </w:rPr>
              <w:t>4.357,6</w:t>
            </w:r>
          </w:p>
        </w:tc>
        <w:tc>
          <w:tcPr>
            <w:tcW w:w="1234"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276DE8">
              <w:rPr>
                <w:rFonts w:asciiTheme="majorHAnsi" w:hAnsiTheme="majorHAnsi" w:cstheme="majorHAnsi"/>
                <w:bCs/>
                <w:color w:val="000000"/>
                <w:sz w:val="20"/>
                <w:szCs w:val="20"/>
              </w:rPr>
              <w:t>-53,0</w:t>
            </w:r>
          </w:p>
        </w:tc>
        <w:tc>
          <w:tcPr>
            <w:tcW w:w="1076"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276DE8">
              <w:rPr>
                <w:rFonts w:asciiTheme="majorHAnsi" w:hAnsiTheme="majorHAnsi" w:cstheme="majorHAnsi"/>
                <w:bCs/>
                <w:color w:val="000000"/>
                <w:sz w:val="20"/>
                <w:szCs w:val="20"/>
              </w:rPr>
              <w:t>98,8</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4106" w:type="dxa"/>
          </w:tcPr>
          <w:p w:rsidR="00E67099" w:rsidRPr="00276DE8" w:rsidRDefault="00E67099" w:rsidP="00E67099">
            <w:pPr>
              <w:rPr>
                <w:rFonts w:asciiTheme="majorHAnsi" w:eastAsia="Times New Roman" w:hAnsiTheme="majorHAnsi" w:cstheme="majorHAnsi"/>
                <w:sz w:val="20"/>
                <w:szCs w:val="20"/>
                <w:lang w:eastAsia="ru-RU"/>
              </w:rPr>
            </w:pPr>
            <w:r w:rsidRPr="00276DE8">
              <w:rPr>
                <w:rFonts w:asciiTheme="majorHAnsi" w:eastAsia="Times New Roman" w:hAnsiTheme="majorHAnsi" w:cstheme="majorHAnsi"/>
                <w:sz w:val="20"/>
                <w:szCs w:val="20"/>
                <w:lang w:eastAsia="ru-RU"/>
              </w:rPr>
              <w:t>Servicii în domeniul economiei</w:t>
            </w:r>
          </w:p>
        </w:tc>
        <w:tc>
          <w:tcPr>
            <w:tcW w:w="1134"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lang w:val="en-US"/>
              </w:rPr>
            </w:pPr>
            <w:r w:rsidRPr="00276DE8">
              <w:rPr>
                <w:rFonts w:asciiTheme="majorHAnsi" w:hAnsiTheme="majorHAnsi" w:cstheme="majorHAnsi"/>
                <w:bCs/>
                <w:sz w:val="20"/>
                <w:szCs w:val="20"/>
              </w:rPr>
              <w:t>7.811,2</w:t>
            </w:r>
          </w:p>
        </w:tc>
        <w:tc>
          <w:tcPr>
            <w:tcW w:w="1176"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276DE8">
              <w:rPr>
                <w:rFonts w:asciiTheme="majorHAnsi" w:hAnsiTheme="majorHAnsi" w:cstheme="majorHAnsi"/>
                <w:bCs/>
                <w:sz w:val="20"/>
                <w:szCs w:val="20"/>
              </w:rPr>
              <w:t>7.023,9</w:t>
            </w:r>
          </w:p>
        </w:tc>
        <w:tc>
          <w:tcPr>
            <w:tcW w:w="1370"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276DE8">
              <w:rPr>
                <w:rFonts w:asciiTheme="majorHAnsi" w:hAnsiTheme="majorHAnsi" w:cstheme="majorHAnsi"/>
                <w:bCs/>
                <w:sz w:val="20"/>
                <w:szCs w:val="20"/>
              </w:rPr>
              <w:t>6.192,6</w:t>
            </w:r>
          </w:p>
        </w:tc>
        <w:tc>
          <w:tcPr>
            <w:tcW w:w="1098"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276DE8">
              <w:rPr>
                <w:rFonts w:asciiTheme="majorHAnsi" w:hAnsiTheme="majorHAnsi" w:cstheme="majorHAnsi"/>
                <w:bCs/>
                <w:color w:val="000000"/>
                <w:sz w:val="20"/>
                <w:szCs w:val="20"/>
              </w:rPr>
              <w:t>-831,3</w:t>
            </w:r>
          </w:p>
        </w:tc>
        <w:tc>
          <w:tcPr>
            <w:tcW w:w="1017"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276DE8">
              <w:rPr>
                <w:rFonts w:asciiTheme="majorHAnsi" w:hAnsiTheme="majorHAnsi" w:cstheme="majorHAnsi"/>
                <w:bCs/>
                <w:color w:val="000000"/>
                <w:sz w:val="20"/>
                <w:szCs w:val="20"/>
              </w:rPr>
              <w:t>88,2</w:t>
            </w:r>
          </w:p>
        </w:tc>
        <w:tc>
          <w:tcPr>
            <w:tcW w:w="1134"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276DE8">
              <w:rPr>
                <w:rFonts w:asciiTheme="majorHAnsi" w:eastAsia="Times New Roman" w:hAnsiTheme="majorHAnsi" w:cstheme="majorHAnsi"/>
                <w:sz w:val="20"/>
                <w:szCs w:val="20"/>
                <w:lang w:eastAsia="ru-RU"/>
              </w:rPr>
              <w:t>5.807,6</w:t>
            </w:r>
          </w:p>
        </w:tc>
        <w:tc>
          <w:tcPr>
            <w:tcW w:w="1234"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276DE8">
              <w:rPr>
                <w:rFonts w:asciiTheme="majorHAnsi" w:hAnsiTheme="majorHAnsi" w:cstheme="majorHAnsi"/>
                <w:bCs/>
                <w:color w:val="000000"/>
                <w:sz w:val="20"/>
                <w:szCs w:val="20"/>
              </w:rPr>
              <w:t>385,0</w:t>
            </w:r>
          </w:p>
        </w:tc>
        <w:tc>
          <w:tcPr>
            <w:tcW w:w="1076"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276DE8">
              <w:rPr>
                <w:rFonts w:asciiTheme="majorHAnsi" w:hAnsiTheme="majorHAnsi" w:cstheme="majorHAnsi"/>
                <w:bCs/>
                <w:color w:val="000000"/>
                <w:sz w:val="20"/>
                <w:szCs w:val="20"/>
              </w:rPr>
              <w:t>106,6</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4106" w:type="dxa"/>
          </w:tcPr>
          <w:p w:rsidR="00E67099" w:rsidRPr="00276DE8" w:rsidRDefault="00E67099" w:rsidP="00E67099">
            <w:pPr>
              <w:rPr>
                <w:rFonts w:asciiTheme="majorHAnsi" w:eastAsia="Times New Roman" w:hAnsiTheme="majorHAnsi" w:cstheme="majorHAnsi"/>
                <w:sz w:val="20"/>
                <w:szCs w:val="20"/>
                <w:lang w:eastAsia="ru-RU"/>
              </w:rPr>
            </w:pPr>
            <w:r w:rsidRPr="00276DE8">
              <w:rPr>
                <w:rFonts w:asciiTheme="majorHAnsi" w:eastAsia="Times New Roman" w:hAnsiTheme="majorHAnsi" w:cstheme="majorHAnsi"/>
                <w:sz w:val="20"/>
                <w:szCs w:val="20"/>
                <w:lang w:eastAsia="ru-RU"/>
              </w:rPr>
              <w:t>Protecția mediului</w:t>
            </w:r>
          </w:p>
        </w:tc>
        <w:tc>
          <w:tcPr>
            <w:tcW w:w="1134"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lang w:val="en-US"/>
              </w:rPr>
            </w:pPr>
            <w:r w:rsidRPr="00276DE8">
              <w:rPr>
                <w:rFonts w:asciiTheme="majorHAnsi" w:hAnsiTheme="majorHAnsi" w:cstheme="majorHAnsi"/>
                <w:bCs/>
                <w:sz w:val="20"/>
                <w:szCs w:val="20"/>
              </w:rPr>
              <w:t>226,3</w:t>
            </w:r>
          </w:p>
        </w:tc>
        <w:tc>
          <w:tcPr>
            <w:tcW w:w="1176"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276DE8">
              <w:rPr>
                <w:rFonts w:asciiTheme="majorHAnsi" w:hAnsiTheme="majorHAnsi" w:cstheme="majorHAnsi"/>
                <w:bCs/>
                <w:sz w:val="20"/>
                <w:szCs w:val="20"/>
              </w:rPr>
              <w:t>212,3</w:t>
            </w:r>
          </w:p>
        </w:tc>
        <w:tc>
          <w:tcPr>
            <w:tcW w:w="1370"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276DE8">
              <w:rPr>
                <w:rFonts w:asciiTheme="majorHAnsi" w:hAnsiTheme="majorHAnsi" w:cstheme="majorHAnsi"/>
                <w:bCs/>
                <w:sz w:val="20"/>
                <w:szCs w:val="20"/>
              </w:rPr>
              <w:t>133,7</w:t>
            </w:r>
          </w:p>
        </w:tc>
        <w:tc>
          <w:tcPr>
            <w:tcW w:w="1098"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276DE8">
              <w:rPr>
                <w:rFonts w:asciiTheme="majorHAnsi" w:hAnsiTheme="majorHAnsi" w:cstheme="majorHAnsi"/>
                <w:bCs/>
                <w:color w:val="000000"/>
                <w:sz w:val="20"/>
                <w:szCs w:val="20"/>
              </w:rPr>
              <w:t>-78,6</w:t>
            </w:r>
          </w:p>
        </w:tc>
        <w:tc>
          <w:tcPr>
            <w:tcW w:w="1017"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276DE8">
              <w:rPr>
                <w:rFonts w:asciiTheme="majorHAnsi" w:hAnsiTheme="majorHAnsi" w:cstheme="majorHAnsi"/>
                <w:bCs/>
                <w:color w:val="000000"/>
                <w:sz w:val="20"/>
                <w:szCs w:val="20"/>
              </w:rPr>
              <w:t>63,0</w:t>
            </w:r>
          </w:p>
        </w:tc>
        <w:tc>
          <w:tcPr>
            <w:tcW w:w="1134"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276DE8">
              <w:rPr>
                <w:rFonts w:asciiTheme="majorHAnsi" w:eastAsia="Times New Roman" w:hAnsiTheme="majorHAnsi" w:cstheme="majorHAnsi"/>
                <w:sz w:val="20"/>
                <w:szCs w:val="20"/>
                <w:lang w:eastAsia="ru-RU"/>
              </w:rPr>
              <w:t>99,5</w:t>
            </w:r>
          </w:p>
        </w:tc>
        <w:tc>
          <w:tcPr>
            <w:tcW w:w="1234"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276DE8">
              <w:rPr>
                <w:rFonts w:asciiTheme="majorHAnsi" w:hAnsiTheme="majorHAnsi" w:cstheme="majorHAnsi"/>
                <w:bCs/>
                <w:color w:val="000000"/>
                <w:sz w:val="20"/>
                <w:szCs w:val="20"/>
              </w:rPr>
              <w:t>34,2</w:t>
            </w:r>
          </w:p>
        </w:tc>
        <w:tc>
          <w:tcPr>
            <w:tcW w:w="1076"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276DE8">
              <w:rPr>
                <w:rFonts w:asciiTheme="majorHAnsi" w:hAnsiTheme="majorHAnsi" w:cstheme="majorHAnsi"/>
                <w:bCs/>
                <w:color w:val="000000"/>
                <w:sz w:val="20"/>
                <w:szCs w:val="20"/>
              </w:rPr>
              <w:t>134,4</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4106" w:type="dxa"/>
          </w:tcPr>
          <w:p w:rsidR="00E67099" w:rsidRPr="00276DE8" w:rsidRDefault="00E67099" w:rsidP="00E67099">
            <w:pPr>
              <w:rPr>
                <w:rFonts w:asciiTheme="majorHAnsi" w:eastAsia="Times New Roman" w:hAnsiTheme="majorHAnsi" w:cstheme="majorHAnsi"/>
                <w:sz w:val="20"/>
                <w:szCs w:val="20"/>
                <w:lang w:eastAsia="ru-RU"/>
              </w:rPr>
            </w:pPr>
            <w:r w:rsidRPr="00276DE8">
              <w:rPr>
                <w:rFonts w:asciiTheme="majorHAnsi" w:eastAsia="Times New Roman" w:hAnsiTheme="majorHAnsi" w:cstheme="majorHAnsi"/>
                <w:sz w:val="20"/>
                <w:szCs w:val="20"/>
                <w:lang w:eastAsia="ru-RU"/>
              </w:rPr>
              <w:t>Gospodăria de locuințe și gospodăria serviciilor comunale</w:t>
            </w:r>
          </w:p>
        </w:tc>
        <w:tc>
          <w:tcPr>
            <w:tcW w:w="1134"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lang w:val="en-US"/>
              </w:rPr>
            </w:pPr>
            <w:r w:rsidRPr="00276DE8">
              <w:rPr>
                <w:rFonts w:asciiTheme="majorHAnsi" w:hAnsiTheme="majorHAnsi" w:cstheme="majorHAnsi"/>
                <w:bCs/>
                <w:sz w:val="20"/>
                <w:szCs w:val="20"/>
              </w:rPr>
              <w:t>406,6</w:t>
            </w:r>
          </w:p>
        </w:tc>
        <w:tc>
          <w:tcPr>
            <w:tcW w:w="1176"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276DE8">
              <w:rPr>
                <w:rFonts w:asciiTheme="majorHAnsi" w:hAnsiTheme="majorHAnsi" w:cstheme="majorHAnsi"/>
                <w:bCs/>
                <w:sz w:val="20"/>
                <w:szCs w:val="20"/>
              </w:rPr>
              <w:t>377,3</w:t>
            </w:r>
          </w:p>
        </w:tc>
        <w:tc>
          <w:tcPr>
            <w:tcW w:w="1370"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276DE8">
              <w:rPr>
                <w:rFonts w:asciiTheme="majorHAnsi" w:hAnsiTheme="majorHAnsi" w:cstheme="majorHAnsi"/>
                <w:bCs/>
                <w:sz w:val="20"/>
                <w:szCs w:val="20"/>
              </w:rPr>
              <w:t>292,2</w:t>
            </w:r>
          </w:p>
        </w:tc>
        <w:tc>
          <w:tcPr>
            <w:tcW w:w="1098"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276DE8">
              <w:rPr>
                <w:rFonts w:asciiTheme="majorHAnsi" w:hAnsiTheme="majorHAnsi" w:cstheme="majorHAnsi"/>
                <w:bCs/>
                <w:color w:val="000000"/>
                <w:sz w:val="20"/>
                <w:szCs w:val="20"/>
              </w:rPr>
              <w:t>-85,1</w:t>
            </w:r>
          </w:p>
        </w:tc>
        <w:tc>
          <w:tcPr>
            <w:tcW w:w="1017"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276DE8">
              <w:rPr>
                <w:rFonts w:asciiTheme="majorHAnsi" w:hAnsiTheme="majorHAnsi" w:cstheme="majorHAnsi"/>
                <w:bCs/>
                <w:color w:val="000000"/>
                <w:sz w:val="20"/>
                <w:szCs w:val="20"/>
              </w:rPr>
              <w:t>77,4</w:t>
            </w:r>
          </w:p>
        </w:tc>
        <w:tc>
          <w:tcPr>
            <w:tcW w:w="1134"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276DE8">
              <w:rPr>
                <w:rFonts w:asciiTheme="majorHAnsi" w:eastAsia="Times New Roman" w:hAnsiTheme="majorHAnsi" w:cstheme="majorHAnsi"/>
                <w:sz w:val="20"/>
                <w:szCs w:val="20"/>
                <w:lang w:eastAsia="ru-RU"/>
              </w:rPr>
              <w:t>371,9</w:t>
            </w:r>
          </w:p>
        </w:tc>
        <w:tc>
          <w:tcPr>
            <w:tcW w:w="1234"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276DE8">
              <w:rPr>
                <w:rFonts w:asciiTheme="majorHAnsi" w:hAnsiTheme="majorHAnsi" w:cstheme="majorHAnsi"/>
                <w:bCs/>
                <w:color w:val="000000"/>
                <w:sz w:val="20"/>
                <w:szCs w:val="20"/>
              </w:rPr>
              <w:t>-79,7</w:t>
            </w:r>
          </w:p>
        </w:tc>
        <w:tc>
          <w:tcPr>
            <w:tcW w:w="1076"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276DE8">
              <w:rPr>
                <w:rFonts w:asciiTheme="majorHAnsi" w:hAnsiTheme="majorHAnsi" w:cstheme="majorHAnsi"/>
                <w:bCs/>
                <w:color w:val="000000"/>
                <w:sz w:val="20"/>
                <w:szCs w:val="20"/>
              </w:rPr>
              <w:t>78,6</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4106" w:type="dxa"/>
          </w:tcPr>
          <w:p w:rsidR="00E67099" w:rsidRPr="00276DE8" w:rsidRDefault="00E67099" w:rsidP="00E67099">
            <w:pPr>
              <w:rPr>
                <w:rFonts w:asciiTheme="majorHAnsi" w:eastAsia="Times New Roman" w:hAnsiTheme="majorHAnsi" w:cstheme="majorHAnsi"/>
                <w:sz w:val="20"/>
                <w:szCs w:val="20"/>
                <w:lang w:eastAsia="ru-RU"/>
              </w:rPr>
            </w:pPr>
            <w:r w:rsidRPr="00276DE8">
              <w:rPr>
                <w:rFonts w:asciiTheme="majorHAnsi" w:eastAsia="Times New Roman" w:hAnsiTheme="majorHAnsi" w:cstheme="majorHAnsi"/>
                <w:sz w:val="20"/>
                <w:szCs w:val="20"/>
                <w:lang w:eastAsia="ru-RU"/>
              </w:rPr>
              <w:t xml:space="preserve">Ocrotirea sănătății </w:t>
            </w:r>
          </w:p>
        </w:tc>
        <w:tc>
          <w:tcPr>
            <w:tcW w:w="1134"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lang w:val="en-US"/>
              </w:rPr>
            </w:pPr>
            <w:r w:rsidRPr="00276DE8">
              <w:rPr>
                <w:rFonts w:asciiTheme="majorHAnsi" w:hAnsiTheme="majorHAnsi" w:cstheme="majorHAnsi"/>
                <w:bCs/>
                <w:sz w:val="20"/>
                <w:szCs w:val="20"/>
              </w:rPr>
              <w:t>4.316,2</w:t>
            </w:r>
          </w:p>
        </w:tc>
        <w:tc>
          <w:tcPr>
            <w:tcW w:w="1176"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276DE8">
              <w:rPr>
                <w:rFonts w:asciiTheme="majorHAnsi" w:hAnsiTheme="majorHAnsi" w:cstheme="majorHAnsi"/>
                <w:bCs/>
                <w:sz w:val="20"/>
                <w:szCs w:val="20"/>
              </w:rPr>
              <w:t>4.094,9</w:t>
            </w:r>
          </w:p>
        </w:tc>
        <w:tc>
          <w:tcPr>
            <w:tcW w:w="1370"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276DE8">
              <w:rPr>
                <w:rFonts w:asciiTheme="majorHAnsi" w:hAnsiTheme="majorHAnsi" w:cstheme="majorHAnsi"/>
                <w:bCs/>
                <w:sz w:val="20"/>
                <w:szCs w:val="20"/>
              </w:rPr>
              <w:t>3.786,7</w:t>
            </w:r>
          </w:p>
        </w:tc>
        <w:tc>
          <w:tcPr>
            <w:tcW w:w="1098"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276DE8">
              <w:rPr>
                <w:rFonts w:asciiTheme="majorHAnsi" w:hAnsiTheme="majorHAnsi" w:cstheme="majorHAnsi"/>
                <w:bCs/>
                <w:color w:val="000000"/>
                <w:sz w:val="20"/>
                <w:szCs w:val="20"/>
              </w:rPr>
              <w:t>-308,2</w:t>
            </w:r>
          </w:p>
        </w:tc>
        <w:tc>
          <w:tcPr>
            <w:tcW w:w="1017"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276DE8">
              <w:rPr>
                <w:rFonts w:asciiTheme="majorHAnsi" w:hAnsiTheme="majorHAnsi" w:cstheme="majorHAnsi"/>
                <w:bCs/>
                <w:color w:val="000000"/>
                <w:sz w:val="20"/>
                <w:szCs w:val="20"/>
              </w:rPr>
              <w:t>92,5</w:t>
            </w:r>
          </w:p>
        </w:tc>
        <w:tc>
          <w:tcPr>
            <w:tcW w:w="1134"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276DE8">
              <w:rPr>
                <w:rFonts w:asciiTheme="majorHAnsi" w:eastAsia="Times New Roman" w:hAnsiTheme="majorHAnsi" w:cstheme="majorHAnsi"/>
                <w:sz w:val="20"/>
                <w:szCs w:val="20"/>
                <w:lang w:eastAsia="ru-RU"/>
              </w:rPr>
              <w:t>3.646,0</w:t>
            </w:r>
          </w:p>
        </w:tc>
        <w:tc>
          <w:tcPr>
            <w:tcW w:w="1234"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276DE8">
              <w:rPr>
                <w:rFonts w:asciiTheme="majorHAnsi" w:hAnsiTheme="majorHAnsi" w:cstheme="majorHAnsi"/>
                <w:bCs/>
                <w:color w:val="000000"/>
                <w:sz w:val="20"/>
                <w:szCs w:val="20"/>
              </w:rPr>
              <w:t>140,7</w:t>
            </w:r>
          </w:p>
        </w:tc>
        <w:tc>
          <w:tcPr>
            <w:tcW w:w="1076"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276DE8">
              <w:rPr>
                <w:rFonts w:asciiTheme="majorHAnsi" w:hAnsiTheme="majorHAnsi" w:cstheme="majorHAnsi"/>
                <w:bCs/>
                <w:color w:val="000000"/>
                <w:sz w:val="20"/>
                <w:szCs w:val="20"/>
              </w:rPr>
              <w:t>103,9</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4106" w:type="dxa"/>
          </w:tcPr>
          <w:p w:rsidR="00E67099" w:rsidRPr="00276DE8" w:rsidRDefault="00E67099" w:rsidP="00E67099">
            <w:pPr>
              <w:rPr>
                <w:rFonts w:asciiTheme="majorHAnsi" w:eastAsia="Times New Roman" w:hAnsiTheme="majorHAnsi" w:cstheme="majorHAnsi"/>
                <w:sz w:val="20"/>
                <w:szCs w:val="20"/>
                <w:lang w:eastAsia="ru-RU"/>
              </w:rPr>
            </w:pPr>
            <w:r w:rsidRPr="00276DE8">
              <w:rPr>
                <w:rFonts w:asciiTheme="majorHAnsi" w:eastAsia="Times New Roman" w:hAnsiTheme="majorHAnsi" w:cstheme="majorHAnsi"/>
                <w:sz w:val="20"/>
                <w:szCs w:val="20"/>
                <w:lang w:eastAsia="ru-RU"/>
              </w:rPr>
              <w:t>Cultură, sport, tineret, culte și odihnă</w:t>
            </w:r>
          </w:p>
        </w:tc>
        <w:tc>
          <w:tcPr>
            <w:tcW w:w="1134"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lang w:val="en-US"/>
              </w:rPr>
            </w:pPr>
            <w:r w:rsidRPr="00276DE8">
              <w:rPr>
                <w:rFonts w:asciiTheme="majorHAnsi" w:hAnsiTheme="majorHAnsi" w:cstheme="majorHAnsi"/>
                <w:bCs/>
                <w:sz w:val="20"/>
                <w:szCs w:val="20"/>
              </w:rPr>
              <w:t>789,1</w:t>
            </w:r>
          </w:p>
        </w:tc>
        <w:tc>
          <w:tcPr>
            <w:tcW w:w="1176"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276DE8">
              <w:rPr>
                <w:rFonts w:asciiTheme="majorHAnsi" w:hAnsiTheme="majorHAnsi" w:cstheme="majorHAnsi"/>
                <w:bCs/>
                <w:sz w:val="20"/>
                <w:szCs w:val="20"/>
              </w:rPr>
              <w:t>855,8</w:t>
            </w:r>
          </w:p>
        </w:tc>
        <w:tc>
          <w:tcPr>
            <w:tcW w:w="1370"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276DE8">
              <w:rPr>
                <w:rFonts w:asciiTheme="majorHAnsi" w:hAnsiTheme="majorHAnsi" w:cstheme="majorHAnsi"/>
                <w:bCs/>
                <w:sz w:val="20"/>
                <w:szCs w:val="20"/>
              </w:rPr>
              <w:t>809,5</w:t>
            </w:r>
          </w:p>
        </w:tc>
        <w:tc>
          <w:tcPr>
            <w:tcW w:w="1098"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276DE8">
              <w:rPr>
                <w:rFonts w:asciiTheme="majorHAnsi" w:hAnsiTheme="majorHAnsi" w:cstheme="majorHAnsi"/>
                <w:bCs/>
                <w:color w:val="000000"/>
                <w:sz w:val="20"/>
                <w:szCs w:val="20"/>
              </w:rPr>
              <w:t>-46,3</w:t>
            </w:r>
          </w:p>
        </w:tc>
        <w:tc>
          <w:tcPr>
            <w:tcW w:w="1017"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276DE8">
              <w:rPr>
                <w:rFonts w:asciiTheme="majorHAnsi" w:hAnsiTheme="majorHAnsi" w:cstheme="majorHAnsi"/>
                <w:bCs/>
                <w:color w:val="000000"/>
                <w:sz w:val="20"/>
                <w:szCs w:val="20"/>
              </w:rPr>
              <w:t>94,6</w:t>
            </w:r>
          </w:p>
        </w:tc>
        <w:tc>
          <w:tcPr>
            <w:tcW w:w="1134"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276DE8">
              <w:rPr>
                <w:rFonts w:asciiTheme="majorHAnsi" w:eastAsia="Times New Roman" w:hAnsiTheme="majorHAnsi" w:cstheme="majorHAnsi"/>
                <w:sz w:val="20"/>
                <w:szCs w:val="20"/>
                <w:lang w:eastAsia="ru-RU"/>
              </w:rPr>
              <w:t>700,2</w:t>
            </w:r>
          </w:p>
        </w:tc>
        <w:tc>
          <w:tcPr>
            <w:tcW w:w="1234"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276DE8">
              <w:rPr>
                <w:rFonts w:asciiTheme="majorHAnsi" w:hAnsiTheme="majorHAnsi" w:cstheme="majorHAnsi"/>
                <w:bCs/>
                <w:color w:val="000000"/>
                <w:sz w:val="20"/>
                <w:szCs w:val="20"/>
              </w:rPr>
              <w:t>109,3</w:t>
            </w:r>
          </w:p>
        </w:tc>
        <w:tc>
          <w:tcPr>
            <w:tcW w:w="1076"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276DE8">
              <w:rPr>
                <w:rFonts w:asciiTheme="majorHAnsi" w:hAnsiTheme="majorHAnsi" w:cstheme="majorHAnsi"/>
                <w:bCs/>
                <w:color w:val="000000"/>
                <w:sz w:val="20"/>
                <w:szCs w:val="20"/>
              </w:rPr>
              <w:t>115,6</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4106" w:type="dxa"/>
          </w:tcPr>
          <w:p w:rsidR="00E67099" w:rsidRPr="00276DE8" w:rsidRDefault="00E67099" w:rsidP="00E67099">
            <w:pPr>
              <w:rPr>
                <w:rFonts w:asciiTheme="majorHAnsi" w:eastAsia="Times New Roman" w:hAnsiTheme="majorHAnsi" w:cstheme="majorHAnsi"/>
                <w:sz w:val="20"/>
                <w:szCs w:val="20"/>
                <w:lang w:eastAsia="ru-RU"/>
              </w:rPr>
            </w:pPr>
            <w:r w:rsidRPr="00276DE8">
              <w:rPr>
                <w:rFonts w:asciiTheme="majorHAnsi" w:eastAsia="Times New Roman" w:hAnsiTheme="majorHAnsi" w:cstheme="majorHAnsi"/>
                <w:sz w:val="20"/>
                <w:szCs w:val="20"/>
                <w:lang w:eastAsia="ru-RU"/>
              </w:rPr>
              <w:t>Învățământ</w:t>
            </w:r>
          </w:p>
        </w:tc>
        <w:tc>
          <w:tcPr>
            <w:tcW w:w="1134"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lang w:val="en-US"/>
              </w:rPr>
            </w:pPr>
            <w:r w:rsidRPr="00276DE8">
              <w:rPr>
                <w:rFonts w:asciiTheme="majorHAnsi" w:hAnsiTheme="majorHAnsi" w:cstheme="majorHAnsi"/>
                <w:bCs/>
                <w:sz w:val="20"/>
                <w:szCs w:val="20"/>
              </w:rPr>
              <w:t>10.610,1</w:t>
            </w:r>
          </w:p>
        </w:tc>
        <w:tc>
          <w:tcPr>
            <w:tcW w:w="1176"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276DE8">
              <w:rPr>
                <w:rFonts w:asciiTheme="majorHAnsi" w:hAnsiTheme="majorHAnsi" w:cstheme="majorHAnsi"/>
                <w:bCs/>
                <w:sz w:val="20"/>
                <w:szCs w:val="20"/>
              </w:rPr>
              <w:t>11.572,1</w:t>
            </w:r>
          </w:p>
        </w:tc>
        <w:tc>
          <w:tcPr>
            <w:tcW w:w="1370"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276DE8">
              <w:rPr>
                <w:rFonts w:asciiTheme="majorHAnsi" w:hAnsiTheme="majorHAnsi" w:cstheme="majorHAnsi"/>
                <w:bCs/>
                <w:sz w:val="20"/>
                <w:szCs w:val="20"/>
              </w:rPr>
              <w:t>11.045,6</w:t>
            </w:r>
          </w:p>
        </w:tc>
        <w:tc>
          <w:tcPr>
            <w:tcW w:w="1098"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276DE8">
              <w:rPr>
                <w:rFonts w:asciiTheme="majorHAnsi" w:hAnsiTheme="majorHAnsi" w:cstheme="majorHAnsi"/>
                <w:bCs/>
                <w:color w:val="000000"/>
                <w:sz w:val="20"/>
                <w:szCs w:val="20"/>
              </w:rPr>
              <w:t>-526,5</w:t>
            </w:r>
          </w:p>
        </w:tc>
        <w:tc>
          <w:tcPr>
            <w:tcW w:w="1017"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276DE8">
              <w:rPr>
                <w:rFonts w:asciiTheme="majorHAnsi" w:hAnsiTheme="majorHAnsi" w:cstheme="majorHAnsi"/>
                <w:bCs/>
                <w:color w:val="000000"/>
                <w:sz w:val="20"/>
                <w:szCs w:val="20"/>
              </w:rPr>
              <w:t>95,5</w:t>
            </w:r>
          </w:p>
        </w:tc>
        <w:tc>
          <w:tcPr>
            <w:tcW w:w="1134"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276DE8">
              <w:rPr>
                <w:rFonts w:asciiTheme="majorHAnsi" w:eastAsia="Times New Roman" w:hAnsiTheme="majorHAnsi" w:cstheme="majorHAnsi"/>
                <w:sz w:val="20"/>
                <w:szCs w:val="20"/>
                <w:lang w:eastAsia="ru-RU"/>
              </w:rPr>
              <w:t>9.730,8</w:t>
            </w:r>
          </w:p>
        </w:tc>
        <w:tc>
          <w:tcPr>
            <w:tcW w:w="1234"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276DE8">
              <w:rPr>
                <w:rFonts w:asciiTheme="majorHAnsi" w:hAnsiTheme="majorHAnsi" w:cstheme="majorHAnsi"/>
                <w:bCs/>
                <w:color w:val="000000"/>
                <w:sz w:val="20"/>
                <w:szCs w:val="20"/>
              </w:rPr>
              <w:t>1.314,8</w:t>
            </w:r>
          </w:p>
        </w:tc>
        <w:tc>
          <w:tcPr>
            <w:tcW w:w="1076"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276DE8">
              <w:rPr>
                <w:rFonts w:asciiTheme="majorHAnsi" w:hAnsiTheme="majorHAnsi" w:cstheme="majorHAnsi"/>
                <w:bCs/>
                <w:color w:val="000000"/>
                <w:sz w:val="20"/>
                <w:szCs w:val="20"/>
              </w:rPr>
              <w:t>113,5</w:t>
            </w:r>
          </w:p>
        </w:tc>
      </w:tr>
      <w:tr w:rsidR="00E67099" w:rsidRPr="00E67099" w:rsidTr="00A36731">
        <w:tc>
          <w:tcPr>
            <w:cnfStyle w:val="001000000000" w:firstRow="0" w:lastRow="0" w:firstColumn="1" w:lastColumn="0" w:oddVBand="0" w:evenVBand="0" w:oddHBand="0" w:evenHBand="0" w:firstRowFirstColumn="0" w:firstRowLastColumn="0" w:lastRowFirstColumn="0" w:lastRowLastColumn="0"/>
            <w:tcW w:w="4106" w:type="dxa"/>
          </w:tcPr>
          <w:p w:rsidR="00E67099" w:rsidRPr="00276DE8" w:rsidRDefault="00E67099" w:rsidP="00E67099">
            <w:pPr>
              <w:rPr>
                <w:rFonts w:asciiTheme="majorHAnsi" w:eastAsia="Times New Roman" w:hAnsiTheme="majorHAnsi" w:cstheme="majorHAnsi"/>
                <w:sz w:val="20"/>
                <w:szCs w:val="20"/>
                <w:lang w:eastAsia="ru-RU"/>
              </w:rPr>
            </w:pPr>
            <w:r w:rsidRPr="00276DE8">
              <w:rPr>
                <w:rFonts w:asciiTheme="majorHAnsi" w:eastAsia="Times New Roman" w:hAnsiTheme="majorHAnsi" w:cstheme="majorHAnsi"/>
                <w:sz w:val="20"/>
                <w:szCs w:val="20"/>
                <w:lang w:eastAsia="ru-RU"/>
              </w:rPr>
              <w:t>Protecție socială</w:t>
            </w:r>
          </w:p>
        </w:tc>
        <w:tc>
          <w:tcPr>
            <w:tcW w:w="1134"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lang w:val="en-US"/>
              </w:rPr>
            </w:pPr>
            <w:r w:rsidRPr="00276DE8">
              <w:rPr>
                <w:rFonts w:asciiTheme="majorHAnsi" w:hAnsiTheme="majorHAnsi" w:cstheme="majorHAnsi"/>
                <w:bCs/>
                <w:sz w:val="20"/>
                <w:szCs w:val="20"/>
              </w:rPr>
              <w:t>9.575,0</w:t>
            </w:r>
          </w:p>
        </w:tc>
        <w:tc>
          <w:tcPr>
            <w:tcW w:w="1176"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276DE8">
              <w:rPr>
                <w:rFonts w:asciiTheme="majorHAnsi" w:hAnsiTheme="majorHAnsi" w:cstheme="majorHAnsi"/>
                <w:bCs/>
                <w:sz w:val="20"/>
                <w:szCs w:val="20"/>
              </w:rPr>
              <w:t>9.096,2</w:t>
            </w:r>
          </w:p>
        </w:tc>
        <w:tc>
          <w:tcPr>
            <w:tcW w:w="1370"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276DE8">
              <w:rPr>
                <w:rFonts w:asciiTheme="majorHAnsi" w:hAnsiTheme="majorHAnsi" w:cstheme="majorHAnsi"/>
                <w:bCs/>
                <w:sz w:val="20"/>
                <w:szCs w:val="20"/>
              </w:rPr>
              <w:t>8.762,7</w:t>
            </w:r>
          </w:p>
        </w:tc>
        <w:tc>
          <w:tcPr>
            <w:tcW w:w="1098"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276DE8">
              <w:rPr>
                <w:rFonts w:asciiTheme="majorHAnsi" w:hAnsiTheme="majorHAnsi" w:cstheme="majorHAnsi"/>
                <w:bCs/>
                <w:color w:val="000000"/>
                <w:sz w:val="20"/>
                <w:szCs w:val="20"/>
              </w:rPr>
              <w:t>-333,5</w:t>
            </w:r>
          </w:p>
        </w:tc>
        <w:tc>
          <w:tcPr>
            <w:tcW w:w="1017"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276DE8">
              <w:rPr>
                <w:rFonts w:asciiTheme="majorHAnsi" w:hAnsiTheme="majorHAnsi" w:cstheme="majorHAnsi"/>
                <w:bCs/>
                <w:color w:val="000000"/>
                <w:sz w:val="20"/>
                <w:szCs w:val="20"/>
              </w:rPr>
              <w:t>96,3</w:t>
            </w:r>
          </w:p>
        </w:tc>
        <w:tc>
          <w:tcPr>
            <w:tcW w:w="1134"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276DE8">
              <w:rPr>
                <w:rFonts w:asciiTheme="majorHAnsi" w:eastAsia="Times New Roman" w:hAnsiTheme="majorHAnsi" w:cstheme="majorHAnsi"/>
                <w:sz w:val="20"/>
                <w:szCs w:val="20"/>
                <w:lang w:eastAsia="ru-RU"/>
              </w:rPr>
              <w:t>7.436,1</w:t>
            </w:r>
          </w:p>
        </w:tc>
        <w:tc>
          <w:tcPr>
            <w:tcW w:w="1234"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276DE8">
              <w:rPr>
                <w:rFonts w:asciiTheme="majorHAnsi" w:hAnsiTheme="majorHAnsi" w:cstheme="majorHAnsi"/>
                <w:bCs/>
                <w:color w:val="000000"/>
                <w:sz w:val="20"/>
                <w:szCs w:val="20"/>
              </w:rPr>
              <w:t>1.326,6</w:t>
            </w:r>
          </w:p>
        </w:tc>
        <w:tc>
          <w:tcPr>
            <w:tcW w:w="1076" w:type="dxa"/>
            <w:vAlign w:val="center"/>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276DE8">
              <w:rPr>
                <w:rFonts w:asciiTheme="majorHAnsi" w:hAnsiTheme="majorHAnsi" w:cstheme="majorHAnsi"/>
                <w:bCs/>
                <w:color w:val="000000"/>
                <w:sz w:val="20"/>
                <w:szCs w:val="20"/>
              </w:rPr>
              <w:t>117,8</w:t>
            </w:r>
          </w:p>
        </w:tc>
      </w:tr>
    </w:tbl>
    <w:p w:rsidR="00E67099" w:rsidRPr="00E67099" w:rsidRDefault="00E67099" w:rsidP="00E67099">
      <w:pPr>
        <w:spacing w:after="0" w:line="240" w:lineRule="auto"/>
        <w:jc w:val="both"/>
        <w:rPr>
          <w:rFonts w:asciiTheme="majorHAnsi" w:eastAsia="Times New Roman" w:hAnsiTheme="majorHAnsi" w:cstheme="majorHAnsi"/>
          <w:i/>
          <w:sz w:val="20"/>
          <w:szCs w:val="24"/>
          <w:lang w:eastAsia="ru-RU"/>
        </w:rPr>
      </w:pPr>
      <w:r w:rsidRPr="00E67099">
        <w:rPr>
          <w:rFonts w:asciiTheme="majorHAnsi" w:eastAsia="Times New Roman" w:hAnsiTheme="majorHAnsi" w:cstheme="majorHAnsi"/>
          <w:b/>
          <w:i/>
          <w:sz w:val="20"/>
          <w:szCs w:val="24"/>
          <w:lang w:eastAsia="ru-RU"/>
        </w:rPr>
        <w:t>Sursă:</w:t>
      </w:r>
      <w:r w:rsidRPr="00E67099">
        <w:rPr>
          <w:rFonts w:asciiTheme="majorHAnsi" w:eastAsia="Times New Roman" w:hAnsiTheme="majorHAnsi" w:cstheme="majorHAnsi"/>
          <w:i/>
          <w:sz w:val="20"/>
          <w:szCs w:val="24"/>
          <w:lang w:eastAsia="ru-RU"/>
        </w:rPr>
        <w:t xml:space="preserve"> Informații generalizate de echipa de audit conform Raportului privind executarea bugetului de stat pe anul 2019, Formularul nr.4.</w:t>
      </w:r>
    </w:p>
    <w:p w:rsidR="00E67099" w:rsidRPr="00E67099" w:rsidRDefault="00E67099" w:rsidP="00E67099">
      <w:pPr>
        <w:spacing w:after="0" w:line="240" w:lineRule="auto"/>
        <w:jc w:val="both"/>
        <w:rPr>
          <w:rFonts w:asciiTheme="majorHAnsi" w:eastAsia="Times New Roman" w:hAnsiTheme="majorHAnsi" w:cstheme="majorHAnsi"/>
          <w:i/>
          <w:sz w:val="20"/>
          <w:szCs w:val="24"/>
          <w:lang w:eastAsia="ru-RU"/>
        </w:rPr>
      </w:pPr>
    </w:p>
    <w:p w:rsidR="008B3719" w:rsidRDefault="008B3719" w:rsidP="00276DE8">
      <w:pPr>
        <w:spacing w:line="276" w:lineRule="auto"/>
        <w:contextualSpacing/>
        <w:rPr>
          <w:rFonts w:asciiTheme="majorHAnsi" w:eastAsiaTheme="minorEastAsia" w:hAnsiTheme="majorHAnsi" w:cstheme="majorHAnsi"/>
          <w:b/>
          <w:bCs/>
          <w:iCs/>
          <w:sz w:val="24"/>
          <w:szCs w:val="24"/>
          <w:lang w:eastAsia="ru-RU"/>
        </w:rPr>
      </w:pPr>
    </w:p>
    <w:p w:rsidR="00F71B6E" w:rsidRDefault="00F71B6E" w:rsidP="00E67099">
      <w:pPr>
        <w:spacing w:line="276" w:lineRule="auto"/>
        <w:ind w:firstLine="709"/>
        <w:contextualSpacing/>
        <w:jc w:val="center"/>
        <w:rPr>
          <w:rFonts w:asciiTheme="majorHAnsi" w:eastAsiaTheme="minorEastAsia" w:hAnsiTheme="majorHAnsi" w:cstheme="majorHAnsi"/>
          <w:b/>
          <w:bCs/>
          <w:iCs/>
          <w:sz w:val="24"/>
          <w:szCs w:val="24"/>
          <w:lang w:eastAsia="ru-RU"/>
        </w:rPr>
      </w:pPr>
    </w:p>
    <w:p w:rsidR="00F71B6E" w:rsidRDefault="00F71B6E" w:rsidP="00E67099">
      <w:pPr>
        <w:spacing w:line="276" w:lineRule="auto"/>
        <w:ind w:firstLine="709"/>
        <w:contextualSpacing/>
        <w:jc w:val="center"/>
        <w:rPr>
          <w:rFonts w:asciiTheme="majorHAnsi" w:eastAsiaTheme="minorEastAsia" w:hAnsiTheme="majorHAnsi" w:cstheme="majorHAnsi"/>
          <w:b/>
          <w:bCs/>
          <w:iCs/>
          <w:sz w:val="24"/>
          <w:szCs w:val="24"/>
          <w:lang w:eastAsia="ru-RU"/>
        </w:rPr>
      </w:pPr>
    </w:p>
    <w:p w:rsidR="00F71B6E" w:rsidRDefault="00F71B6E" w:rsidP="00E67099">
      <w:pPr>
        <w:spacing w:line="276" w:lineRule="auto"/>
        <w:ind w:firstLine="709"/>
        <w:contextualSpacing/>
        <w:jc w:val="center"/>
        <w:rPr>
          <w:rFonts w:asciiTheme="majorHAnsi" w:eastAsiaTheme="minorEastAsia" w:hAnsiTheme="majorHAnsi" w:cstheme="majorHAnsi"/>
          <w:b/>
          <w:bCs/>
          <w:iCs/>
          <w:sz w:val="24"/>
          <w:szCs w:val="24"/>
          <w:lang w:eastAsia="ru-RU"/>
        </w:rPr>
      </w:pPr>
    </w:p>
    <w:p w:rsidR="00F71B6E" w:rsidRDefault="00F71B6E" w:rsidP="00E67099">
      <w:pPr>
        <w:spacing w:line="276" w:lineRule="auto"/>
        <w:ind w:firstLine="709"/>
        <w:contextualSpacing/>
        <w:jc w:val="center"/>
        <w:rPr>
          <w:rFonts w:asciiTheme="majorHAnsi" w:eastAsiaTheme="minorEastAsia" w:hAnsiTheme="majorHAnsi" w:cstheme="majorHAnsi"/>
          <w:b/>
          <w:bCs/>
          <w:iCs/>
          <w:sz w:val="24"/>
          <w:szCs w:val="24"/>
          <w:lang w:eastAsia="ru-RU"/>
        </w:rPr>
      </w:pPr>
    </w:p>
    <w:p w:rsidR="00E67099" w:rsidRPr="00E67099" w:rsidRDefault="00E67099" w:rsidP="00E67099">
      <w:pPr>
        <w:spacing w:line="276" w:lineRule="auto"/>
        <w:ind w:firstLine="709"/>
        <w:contextualSpacing/>
        <w:jc w:val="center"/>
        <w:rPr>
          <w:rFonts w:asciiTheme="majorHAnsi" w:eastAsiaTheme="minorEastAsia" w:hAnsiTheme="majorHAnsi" w:cstheme="majorHAnsi"/>
          <w:b/>
          <w:bCs/>
          <w:iCs/>
          <w:sz w:val="24"/>
          <w:szCs w:val="24"/>
          <w:lang w:eastAsia="ru-RU"/>
        </w:rPr>
      </w:pPr>
      <w:r w:rsidRPr="00E67099">
        <w:rPr>
          <w:rFonts w:asciiTheme="majorHAnsi" w:eastAsiaTheme="minorEastAsia" w:hAnsiTheme="majorHAnsi" w:cstheme="majorHAnsi"/>
          <w:b/>
          <w:bCs/>
          <w:iCs/>
          <w:sz w:val="24"/>
          <w:szCs w:val="24"/>
          <w:lang w:eastAsia="ru-RU"/>
        </w:rPr>
        <w:t>Ponderea cheltuielilor BS conform clasificației funcționale pe anul 2019</w:t>
      </w:r>
    </w:p>
    <w:p w:rsidR="00E67099" w:rsidRPr="00E67099" w:rsidRDefault="00E67099" w:rsidP="00E67099">
      <w:pPr>
        <w:spacing w:line="276" w:lineRule="auto"/>
        <w:contextualSpacing/>
        <w:jc w:val="center"/>
        <w:rPr>
          <w:rFonts w:ascii="Times New Roman" w:eastAsiaTheme="minorEastAsia" w:hAnsi="Times New Roman" w:cs="Times New Roman"/>
          <w:bCs/>
          <w:i/>
          <w:iCs/>
          <w:sz w:val="28"/>
          <w:szCs w:val="28"/>
          <w:lang w:eastAsia="ru-RU"/>
        </w:rPr>
      </w:pPr>
      <w:r w:rsidRPr="00E67099">
        <w:rPr>
          <w:rFonts w:ascii="Times New Roman" w:eastAsiaTheme="minorEastAsia" w:hAnsi="Times New Roman" w:cs="Times New Roman"/>
          <w:bCs/>
          <w:iCs/>
          <w:noProof/>
          <w:color w:val="000000" w:themeColor="text1"/>
          <w:sz w:val="28"/>
          <w:szCs w:val="28"/>
          <w:lang w:val="ru-RU" w:eastAsia="ru-RU"/>
        </w:rPr>
        <w:drawing>
          <wp:inline distT="0" distB="0" distL="0" distR="0" wp14:anchorId="4001F83A" wp14:editId="269CA0E3">
            <wp:extent cx="5958840" cy="2606040"/>
            <wp:effectExtent l="57150" t="57150" r="41910" b="4191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67099" w:rsidRPr="00E67099" w:rsidRDefault="00E67099" w:rsidP="00E67099">
      <w:pPr>
        <w:spacing w:line="276" w:lineRule="auto"/>
        <w:ind w:left="1985" w:right="1948"/>
        <w:contextualSpacing/>
        <w:jc w:val="both"/>
        <w:rPr>
          <w:rFonts w:ascii="Times New Roman" w:eastAsiaTheme="minorEastAsia" w:hAnsi="Times New Roman" w:cs="Times New Roman"/>
          <w:bCs/>
          <w:iCs/>
          <w:sz w:val="28"/>
          <w:szCs w:val="28"/>
          <w:lang w:eastAsia="ru-RU"/>
        </w:rPr>
      </w:pPr>
      <w:r w:rsidRPr="00E67099">
        <w:rPr>
          <w:rFonts w:ascii="Times New Roman" w:eastAsia="Times New Roman" w:hAnsi="Times New Roman" w:cs="Times New Roman"/>
          <w:b/>
          <w:i/>
          <w:sz w:val="20"/>
          <w:szCs w:val="24"/>
          <w:lang w:eastAsia="ru-RU"/>
        </w:rPr>
        <w:t>Sursă:</w:t>
      </w:r>
      <w:r w:rsidRPr="00E67099">
        <w:rPr>
          <w:rFonts w:ascii="Times New Roman" w:eastAsia="Times New Roman" w:hAnsi="Times New Roman" w:cs="Times New Roman"/>
          <w:i/>
          <w:sz w:val="20"/>
          <w:szCs w:val="24"/>
          <w:lang w:eastAsia="ru-RU"/>
        </w:rPr>
        <w:t xml:space="preserve"> Informație generalizată de echipa de audit conform Raportului privind executarea bugetului de stat pe anul 2019, Formularul nr.4.</w:t>
      </w:r>
    </w:p>
    <w:p w:rsidR="00E67099" w:rsidRPr="00E67099" w:rsidRDefault="00E67099" w:rsidP="00E67099">
      <w:pPr>
        <w:shd w:val="clear" w:color="auto" w:fill="FFFFFF" w:themeFill="background1"/>
        <w:tabs>
          <w:tab w:val="left" w:pos="284"/>
          <w:tab w:val="left" w:pos="993"/>
          <w:tab w:val="left" w:pos="6663"/>
        </w:tabs>
        <w:spacing w:after="0" w:line="276" w:lineRule="auto"/>
        <w:rPr>
          <w:rFonts w:asciiTheme="majorHAnsi" w:eastAsia="Times New Roman" w:hAnsiTheme="majorHAnsi" w:cstheme="majorHAnsi"/>
          <w:b/>
          <w:i/>
          <w:sz w:val="24"/>
          <w:szCs w:val="24"/>
        </w:rPr>
      </w:pPr>
    </w:p>
    <w:p w:rsidR="00E67099" w:rsidRPr="00E67099" w:rsidRDefault="00E67099" w:rsidP="00E67099">
      <w:pPr>
        <w:shd w:val="clear" w:color="auto" w:fill="FFFFFF" w:themeFill="background1"/>
        <w:tabs>
          <w:tab w:val="left" w:pos="284"/>
          <w:tab w:val="left" w:pos="993"/>
          <w:tab w:val="left" w:pos="6663"/>
        </w:tabs>
        <w:spacing w:after="0" w:line="276" w:lineRule="auto"/>
        <w:jc w:val="right"/>
        <w:rPr>
          <w:rFonts w:asciiTheme="majorHAnsi" w:eastAsia="Times New Roman" w:hAnsiTheme="majorHAnsi" w:cstheme="majorHAnsi"/>
          <w:b/>
          <w:i/>
          <w:sz w:val="24"/>
          <w:szCs w:val="24"/>
        </w:rPr>
      </w:pPr>
      <w:r w:rsidRPr="00E67099">
        <w:rPr>
          <w:rFonts w:asciiTheme="majorHAnsi" w:eastAsia="Times New Roman" w:hAnsiTheme="majorHAnsi" w:cstheme="majorHAnsi"/>
          <w:b/>
          <w:i/>
          <w:sz w:val="24"/>
          <w:szCs w:val="24"/>
        </w:rPr>
        <w:t>Anexa nr.14</w:t>
      </w:r>
    </w:p>
    <w:p w:rsidR="00E67099" w:rsidRPr="00E67099" w:rsidRDefault="00E67099" w:rsidP="00E67099">
      <w:pPr>
        <w:shd w:val="clear" w:color="auto" w:fill="FFFFFF" w:themeFill="background1"/>
        <w:tabs>
          <w:tab w:val="left" w:pos="284"/>
          <w:tab w:val="left" w:pos="993"/>
          <w:tab w:val="left" w:pos="6663"/>
        </w:tabs>
        <w:spacing w:after="0" w:line="276" w:lineRule="auto"/>
        <w:contextualSpacing/>
        <w:jc w:val="center"/>
        <w:rPr>
          <w:rFonts w:asciiTheme="majorHAnsi" w:eastAsia="Times New Roman" w:hAnsiTheme="majorHAnsi" w:cstheme="majorHAnsi"/>
          <w:b/>
          <w:sz w:val="24"/>
          <w:szCs w:val="24"/>
        </w:rPr>
      </w:pPr>
      <w:r w:rsidRPr="00E67099">
        <w:rPr>
          <w:rFonts w:asciiTheme="majorHAnsi" w:eastAsia="Times New Roman" w:hAnsiTheme="majorHAnsi" w:cstheme="majorHAnsi"/>
          <w:b/>
          <w:sz w:val="24"/>
          <w:szCs w:val="24"/>
        </w:rPr>
        <w:t xml:space="preserve">Informația privind volumul cheltuielilor de personal pe APC aprobat și executat în anul 2019 </w:t>
      </w:r>
    </w:p>
    <w:p w:rsidR="00E67099" w:rsidRPr="00E67099" w:rsidRDefault="00E67099" w:rsidP="00E67099">
      <w:pPr>
        <w:shd w:val="clear" w:color="auto" w:fill="FFFFFF" w:themeFill="background1"/>
        <w:tabs>
          <w:tab w:val="left" w:pos="284"/>
          <w:tab w:val="left" w:pos="993"/>
          <w:tab w:val="left" w:pos="6663"/>
        </w:tabs>
        <w:spacing w:after="0" w:line="276" w:lineRule="auto"/>
        <w:contextualSpacing/>
        <w:jc w:val="center"/>
        <w:rPr>
          <w:rFonts w:asciiTheme="majorHAnsi" w:eastAsia="Times New Roman" w:hAnsiTheme="majorHAnsi" w:cstheme="majorHAnsi"/>
          <w:b/>
          <w:sz w:val="24"/>
          <w:szCs w:val="24"/>
        </w:rPr>
      </w:pPr>
      <w:r w:rsidRPr="00E67099">
        <w:rPr>
          <w:rFonts w:asciiTheme="majorHAnsi" w:eastAsia="Times New Roman" w:hAnsiTheme="majorHAnsi" w:cstheme="majorHAnsi"/>
          <w:b/>
          <w:sz w:val="24"/>
          <w:szCs w:val="24"/>
        </w:rPr>
        <w:t>(Anexa nr.5 la Legea bugetului de stat pentru anul 2019)</w:t>
      </w:r>
    </w:p>
    <w:p w:rsidR="00E67099" w:rsidRPr="00E67099" w:rsidRDefault="00E67099" w:rsidP="00E67099">
      <w:pPr>
        <w:shd w:val="clear" w:color="auto" w:fill="FFFFFF" w:themeFill="background1"/>
        <w:tabs>
          <w:tab w:val="left" w:pos="284"/>
          <w:tab w:val="left" w:pos="993"/>
          <w:tab w:val="left" w:pos="6663"/>
        </w:tabs>
        <w:spacing w:after="0" w:line="276" w:lineRule="auto"/>
        <w:ind w:left="1440"/>
        <w:contextualSpacing/>
        <w:jc w:val="right"/>
        <w:rPr>
          <w:rFonts w:asciiTheme="majorHAnsi" w:eastAsia="Times New Roman" w:hAnsiTheme="majorHAnsi" w:cstheme="majorHAnsi"/>
          <w:b/>
          <w:sz w:val="24"/>
          <w:szCs w:val="24"/>
        </w:rPr>
      </w:pPr>
      <w:r w:rsidRPr="00E67099">
        <w:rPr>
          <w:rFonts w:asciiTheme="majorHAnsi" w:eastAsia="Times New Roman" w:hAnsiTheme="majorHAnsi" w:cstheme="majorHAnsi"/>
          <w:b/>
          <w:sz w:val="24"/>
          <w:szCs w:val="24"/>
        </w:rPr>
        <w:t>(mii lei)</w:t>
      </w:r>
    </w:p>
    <w:tbl>
      <w:tblPr>
        <w:tblStyle w:val="GridTable1Light12"/>
        <w:tblW w:w="13656" w:type="dxa"/>
        <w:tblLook w:val="04A0" w:firstRow="1" w:lastRow="0" w:firstColumn="1" w:lastColumn="0" w:noHBand="0" w:noVBand="1"/>
      </w:tblPr>
      <w:tblGrid>
        <w:gridCol w:w="2967"/>
        <w:gridCol w:w="532"/>
        <w:gridCol w:w="1360"/>
        <w:gridCol w:w="1360"/>
        <w:gridCol w:w="1340"/>
        <w:gridCol w:w="1439"/>
        <w:gridCol w:w="1159"/>
        <w:gridCol w:w="1220"/>
        <w:gridCol w:w="940"/>
        <w:gridCol w:w="1339"/>
      </w:tblGrid>
      <w:tr w:rsidR="00E67099" w:rsidRPr="00E67099" w:rsidTr="00A36731">
        <w:trPr>
          <w:cnfStyle w:val="100000000000" w:firstRow="1" w:lastRow="0" w:firstColumn="0" w:lastColumn="0" w:oddVBand="0" w:evenVBand="0" w:oddHBand="0"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2967" w:type="dxa"/>
            <w:vAlign w:val="center"/>
            <w:hideMark/>
          </w:tcPr>
          <w:p w:rsidR="00E67099" w:rsidRPr="00E67099" w:rsidRDefault="00E67099" w:rsidP="00E67099">
            <w:pPr>
              <w:jc w:val="cente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 xml:space="preserve">Denumirea </w:t>
            </w:r>
          </w:p>
        </w:tc>
        <w:tc>
          <w:tcPr>
            <w:tcW w:w="532" w:type="dxa"/>
            <w:vAlign w:val="center"/>
            <w:hideMark/>
          </w:tcPr>
          <w:p w:rsidR="00E67099" w:rsidRPr="00E67099" w:rsidRDefault="00E67099" w:rsidP="00E67099">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Cod</w:t>
            </w:r>
          </w:p>
        </w:tc>
        <w:tc>
          <w:tcPr>
            <w:tcW w:w="1360" w:type="dxa"/>
            <w:vAlign w:val="center"/>
            <w:hideMark/>
          </w:tcPr>
          <w:p w:rsidR="00E67099" w:rsidRPr="00E67099" w:rsidRDefault="00E67099" w:rsidP="00E67099">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Aprobat</w:t>
            </w:r>
          </w:p>
        </w:tc>
        <w:tc>
          <w:tcPr>
            <w:tcW w:w="1360" w:type="dxa"/>
            <w:vAlign w:val="center"/>
            <w:hideMark/>
          </w:tcPr>
          <w:p w:rsidR="00E67099" w:rsidRPr="00E67099" w:rsidRDefault="00E67099" w:rsidP="00E67099">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Definitivat prin Legea bugetară anuală</w:t>
            </w:r>
          </w:p>
        </w:tc>
        <w:tc>
          <w:tcPr>
            <w:tcW w:w="1340" w:type="dxa"/>
            <w:vAlign w:val="center"/>
            <w:hideMark/>
          </w:tcPr>
          <w:p w:rsidR="00E67099" w:rsidRPr="00E67099" w:rsidRDefault="00E67099" w:rsidP="00E67099">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 xml:space="preserve">Precizat </w:t>
            </w:r>
          </w:p>
        </w:tc>
        <w:tc>
          <w:tcPr>
            <w:tcW w:w="1439" w:type="dxa"/>
            <w:vAlign w:val="center"/>
            <w:hideMark/>
          </w:tcPr>
          <w:p w:rsidR="00E67099" w:rsidRPr="00E67099" w:rsidRDefault="00E67099" w:rsidP="00E67099">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 xml:space="preserve">Executat </w:t>
            </w:r>
          </w:p>
        </w:tc>
        <w:tc>
          <w:tcPr>
            <w:tcW w:w="1159" w:type="dxa"/>
            <w:vAlign w:val="center"/>
            <w:hideMark/>
          </w:tcPr>
          <w:p w:rsidR="00E67099" w:rsidRPr="00E67099" w:rsidRDefault="00E67099" w:rsidP="00E67099">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 xml:space="preserve">Executat față de aprobat </w:t>
            </w:r>
          </w:p>
          <w:p w:rsidR="00E67099" w:rsidRPr="00E67099" w:rsidRDefault="00E67099" w:rsidP="00E67099">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w:t>
            </w:r>
          </w:p>
        </w:tc>
        <w:tc>
          <w:tcPr>
            <w:tcW w:w="1220" w:type="dxa"/>
            <w:vAlign w:val="center"/>
            <w:hideMark/>
          </w:tcPr>
          <w:p w:rsidR="00E67099" w:rsidRPr="00E67099" w:rsidRDefault="00E67099" w:rsidP="00E67099">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 xml:space="preserve">Executat/ Aprobat </w:t>
            </w:r>
          </w:p>
          <w:p w:rsidR="00E67099" w:rsidRPr="00E67099" w:rsidRDefault="00E67099" w:rsidP="00E67099">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w:t>
            </w:r>
          </w:p>
        </w:tc>
        <w:tc>
          <w:tcPr>
            <w:tcW w:w="940" w:type="dxa"/>
            <w:vAlign w:val="center"/>
            <w:hideMark/>
          </w:tcPr>
          <w:p w:rsidR="00E67099" w:rsidRPr="00E67099" w:rsidRDefault="00E67099" w:rsidP="00E67099">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Executat față de precizat (%)</w:t>
            </w:r>
          </w:p>
        </w:tc>
        <w:tc>
          <w:tcPr>
            <w:tcW w:w="1339" w:type="dxa"/>
            <w:vAlign w:val="center"/>
            <w:hideMark/>
          </w:tcPr>
          <w:p w:rsidR="00E67099" w:rsidRPr="00E67099" w:rsidRDefault="00E67099" w:rsidP="00E67099">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 xml:space="preserve">Executat/ Precizat </w:t>
            </w:r>
          </w:p>
          <w:p w:rsidR="00E67099" w:rsidRPr="00E67099" w:rsidRDefault="00E67099" w:rsidP="00E67099">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w:t>
            </w:r>
          </w:p>
        </w:tc>
      </w:tr>
      <w:tr w:rsidR="00E67099" w:rsidRPr="00E67099" w:rsidTr="00A36731">
        <w:trPr>
          <w:trHeight w:val="114"/>
        </w:trPr>
        <w:tc>
          <w:tcPr>
            <w:cnfStyle w:val="001000000000" w:firstRow="0" w:lastRow="0" w:firstColumn="1" w:lastColumn="0" w:oddVBand="0" w:evenVBand="0" w:oddHBand="0" w:evenHBand="0" w:firstRowFirstColumn="0" w:firstRowLastColumn="0" w:lastRowFirstColumn="0" w:lastRowLastColumn="0"/>
            <w:tcW w:w="2967" w:type="dxa"/>
            <w:hideMark/>
          </w:tcPr>
          <w:p w:rsidR="00E67099" w:rsidRPr="00E67099" w:rsidRDefault="00E67099" w:rsidP="00E67099">
            <w:pPr>
              <w:jc w:val="center"/>
              <w:rPr>
                <w:rFonts w:asciiTheme="majorHAnsi" w:eastAsia="Times New Roman" w:hAnsiTheme="majorHAnsi" w:cstheme="majorHAnsi"/>
                <w:color w:val="000000"/>
                <w:sz w:val="16"/>
                <w:szCs w:val="16"/>
                <w:lang w:val="ro-MD"/>
              </w:rPr>
            </w:pPr>
            <w:r w:rsidRPr="00E67099">
              <w:rPr>
                <w:rFonts w:asciiTheme="majorHAnsi" w:eastAsia="Times New Roman" w:hAnsiTheme="majorHAnsi" w:cstheme="majorHAnsi"/>
                <w:color w:val="000000"/>
                <w:sz w:val="16"/>
                <w:szCs w:val="16"/>
                <w:lang w:val="ro-MD"/>
              </w:rPr>
              <w:t>1</w:t>
            </w:r>
          </w:p>
        </w:tc>
        <w:tc>
          <w:tcPr>
            <w:tcW w:w="532" w:type="dxa"/>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6"/>
                <w:szCs w:val="16"/>
                <w:lang w:val="ro-MD"/>
              </w:rPr>
            </w:pPr>
            <w:r w:rsidRPr="00E67099">
              <w:rPr>
                <w:rFonts w:asciiTheme="majorHAnsi" w:eastAsia="Times New Roman" w:hAnsiTheme="majorHAnsi" w:cstheme="majorHAnsi"/>
                <w:b/>
                <w:bCs/>
                <w:color w:val="000000"/>
                <w:sz w:val="16"/>
                <w:szCs w:val="16"/>
                <w:lang w:val="ro-MD"/>
              </w:rPr>
              <w:t>2</w:t>
            </w:r>
          </w:p>
        </w:tc>
        <w:tc>
          <w:tcPr>
            <w:tcW w:w="1360" w:type="dxa"/>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6"/>
                <w:szCs w:val="16"/>
                <w:lang w:val="ro-MD"/>
              </w:rPr>
            </w:pPr>
            <w:r w:rsidRPr="00E67099">
              <w:rPr>
                <w:rFonts w:asciiTheme="majorHAnsi" w:eastAsia="Times New Roman" w:hAnsiTheme="majorHAnsi" w:cstheme="majorHAnsi"/>
                <w:b/>
                <w:bCs/>
                <w:color w:val="000000"/>
                <w:sz w:val="16"/>
                <w:szCs w:val="16"/>
                <w:lang w:val="ro-MD"/>
              </w:rPr>
              <w:t>3</w:t>
            </w:r>
          </w:p>
        </w:tc>
        <w:tc>
          <w:tcPr>
            <w:tcW w:w="1360" w:type="dxa"/>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6"/>
                <w:szCs w:val="16"/>
                <w:lang w:val="ro-MD"/>
              </w:rPr>
            </w:pPr>
            <w:r w:rsidRPr="00E67099">
              <w:rPr>
                <w:rFonts w:asciiTheme="majorHAnsi" w:eastAsia="Times New Roman" w:hAnsiTheme="majorHAnsi" w:cstheme="majorHAnsi"/>
                <w:b/>
                <w:bCs/>
                <w:color w:val="000000"/>
                <w:sz w:val="16"/>
                <w:szCs w:val="16"/>
                <w:lang w:val="ro-MD"/>
              </w:rPr>
              <w:t>4</w:t>
            </w:r>
          </w:p>
        </w:tc>
        <w:tc>
          <w:tcPr>
            <w:tcW w:w="1340" w:type="dxa"/>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6"/>
                <w:szCs w:val="16"/>
                <w:lang w:val="ro-MD"/>
              </w:rPr>
            </w:pPr>
            <w:r w:rsidRPr="00E67099">
              <w:rPr>
                <w:rFonts w:asciiTheme="majorHAnsi" w:eastAsia="Times New Roman" w:hAnsiTheme="majorHAnsi" w:cstheme="majorHAnsi"/>
                <w:b/>
                <w:bCs/>
                <w:color w:val="000000"/>
                <w:sz w:val="16"/>
                <w:szCs w:val="16"/>
                <w:lang w:val="ro-MD"/>
              </w:rPr>
              <w:t>5</w:t>
            </w:r>
          </w:p>
        </w:tc>
        <w:tc>
          <w:tcPr>
            <w:tcW w:w="1439" w:type="dxa"/>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6"/>
                <w:szCs w:val="16"/>
                <w:lang w:val="ro-MD"/>
              </w:rPr>
            </w:pPr>
            <w:r w:rsidRPr="00E67099">
              <w:rPr>
                <w:rFonts w:asciiTheme="majorHAnsi" w:eastAsia="Times New Roman" w:hAnsiTheme="majorHAnsi" w:cstheme="majorHAnsi"/>
                <w:b/>
                <w:bCs/>
                <w:color w:val="000000"/>
                <w:sz w:val="16"/>
                <w:szCs w:val="16"/>
                <w:lang w:val="ro-MD"/>
              </w:rPr>
              <w:t>6</w:t>
            </w:r>
          </w:p>
        </w:tc>
        <w:tc>
          <w:tcPr>
            <w:tcW w:w="1159" w:type="dxa"/>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6"/>
                <w:szCs w:val="16"/>
                <w:lang w:val="ro-MD"/>
              </w:rPr>
            </w:pPr>
            <w:r w:rsidRPr="00E67099">
              <w:rPr>
                <w:rFonts w:asciiTheme="majorHAnsi" w:eastAsia="Times New Roman" w:hAnsiTheme="majorHAnsi" w:cstheme="majorHAnsi"/>
                <w:b/>
                <w:bCs/>
                <w:color w:val="000000"/>
                <w:sz w:val="16"/>
                <w:szCs w:val="16"/>
                <w:lang w:val="ro-MD"/>
              </w:rPr>
              <w:t>7=6/3</w:t>
            </w:r>
          </w:p>
        </w:tc>
        <w:tc>
          <w:tcPr>
            <w:tcW w:w="1220" w:type="dxa"/>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6"/>
                <w:szCs w:val="16"/>
                <w:lang w:val="ro-MD"/>
              </w:rPr>
            </w:pPr>
            <w:r w:rsidRPr="00E67099">
              <w:rPr>
                <w:rFonts w:asciiTheme="majorHAnsi" w:eastAsia="Times New Roman" w:hAnsiTheme="majorHAnsi" w:cstheme="majorHAnsi"/>
                <w:b/>
                <w:bCs/>
                <w:color w:val="000000"/>
                <w:sz w:val="16"/>
                <w:szCs w:val="16"/>
                <w:lang w:val="ro-MD"/>
              </w:rPr>
              <w:t>8=6-3</w:t>
            </w:r>
          </w:p>
        </w:tc>
        <w:tc>
          <w:tcPr>
            <w:tcW w:w="940" w:type="dxa"/>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6"/>
                <w:szCs w:val="16"/>
                <w:lang w:val="ro-MD"/>
              </w:rPr>
            </w:pPr>
            <w:r w:rsidRPr="00E67099">
              <w:rPr>
                <w:rFonts w:asciiTheme="majorHAnsi" w:eastAsia="Times New Roman" w:hAnsiTheme="majorHAnsi" w:cstheme="majorHAnsi"/>
                <w:b/>
                <w:bCs/>
                <w:color w:val="000000"/>
                <w:sz w:val="16"/>
                <w:szCs w:val="16"/>
                <w:lang w:val="ro-MD"/>
              </w:rPr>
              <w:t>9=6/5</w:t>
            </w:r>
          </w:p>
        </w:tc>
        <w:tc>
          <w:tcPr>
            <w:tcW w:w="1339" w:type="dxa"/>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6"/>
                <w:szCs w:val="16"/>
                <w:lang w:val="ro-MD"/>
              </w:rPr>
            </w:pPr>
            <w:r w:rsidRPr="00E67099">
              <w:rPr>
                <w:rFonts w:asciiTheme="majorHAnsi" w:eastAsia="Times New Roman" w:hAnsiTheme="majorHAnsi" w:cstheme="majorHAnsi"/>
                <w:b/>
                <w:bCs/>
                <w:color w:val="000000"/>
                <w:sz w:val="16"/>
                <w:szCs w:val="16"/>
                <w:lang w:val="ro-MD"/>
              </w:rPr>
              <w:t>10=6-5</w:t>
            </w:r>
          </w:p>
        </w:tc>
      </w:tr>
      <w:tr w:rsidR="00E67099" w:rsidRPr="00E67099" w:rsidTr="00A36731">
        <w:trPr>
          <w:trHeight w:val="324"/>
        </w:trPr>
        <w:tc>
          <w:tcPr>
            <w:cnfStyle w:val="001000000000" w:firstRow="0" w:lastRow="0" w:firstColumn="1" w:lastColumn="0" w:oddVBand="0" w:evenVBand="0" w:oddHBand="0" w:evenHBand="0" w:firstRowFirstColumn="0" w:firstRowLastColumn="0" w:lastRowFirstColumn="0" w:lastRowLastColumn="0"/>
            <w:tcW w:w="2967" w:type="dxa"/>
            <w:hideMark/>
          </w:tcPr>
          <w:p w:rsidR="00E67099" w:rsidRPr="00E67099" w:rsidRDefault="00E67099" w:rsidP="00E67099">
            <w:pP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 xml:space="preserve">Secretariatul Parlamentului </w:t>
            </w:r>
          </w:p>
        </w:tc>
        <w:tc>
          <w:tcPr>
            <w:tcW w:w="532" w:type="dxa"/>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101</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109.397,40</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100.791,10</w:t>
            </w:r>
          </w:p>
        </w:tc>
        <w:tc>
          <w:tcPr>
            <w:tcW w:w="13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99.221,10</w:t>
            </w:r>
          </w:p>
        </w:tc>
        <w:tc>
          <w:tcPr>
            <w:tcW w:w="14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92.482,74</w:t>
            </w:r>
          </w:p>
        </w:tc>
        <w:tc>
          <w:tcPr>
            <w:tcW w:w="115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84,54</w:t>
            </w:r>
          </w:p>
        </w:tc>
        <w:tc>
          <w:tcPr>
            <w:tcW w:w="122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-16.914,66</w:t>
            </w:r>
          </w:p>
        </w:tc>
        <w:tc>
          <w:tcPr>
            <w:tcW w:w="9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93,21</w:t>
            </w:r>
          </w:p>
        </w:tc>
        <w:tc>
          <w:tcPr>
            <w:tcW w:w="13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-6.738,36</w:t>
            </w:r>
          </w:p>
        </w:tc>
      </w:tr>
      <w:tr w:rsidR="00E67099" w:rsidRPr="00E67099" w:rsidTr="00A36731">
        <w:trPr>
          <w:trHeight w:val="521"/>
        </w:trPr>
        <w:tc>
          <w:tcPr>
            <w:cnfStyle w:val="001000000000" w:firstRow="0" w:lastRow="0" w:firstColumn="1" w:lastColumn="0" w:oddVBand="0" w:evenVBand="0" w:oddHBand="0" w:evenHBand="0" w:firstRowFirstColumn="0" w:firstRowLastColumn="0" w:lastRowFirstColumn="0" w:lastRowLastColumn="0"/>
            <w:tcW w:w="2967" w:type="dxa"/>
            <w:hideMark/>
          </w:tcPr>
          <w:p w:rsidR="00E67099" w:rsidRPr="00E67099" w:rsidRDefault="00E67099" w:rsidP="00E67099">
            <w:pP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Aparatul Președintelui Republicii Moldova</w:t>
            </w:r>
          </w:p>
        </w:tc>
        <w:tc>
          <w:tcPr>
            <w:tcW w:w="532" w:type="dxa"/>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102</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13.706,80</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16.934,80</w:t>
            </w:r>
          </w:p>
        </w:tc>
        <w:tc>
          <w:tcPr>
            <w:tcW w:w="13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16.934,80</w:t>
            </w:r>
          </w:p>
        </w:tc>
        <w:tc>
          <w:tcPr>
            <w:tcW w:w="14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15.324,52</w:t>
            </w:r>
          </w:p>
        </w:tc>
        <w:tc>
          <w:tcPr>
            <w:tcW w:w="115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111,80</w:t>
            </w:r>
          </w:p>
        </w:tc>
        <w:tc>
          <w:tcPr>
            <w:tcW w:w="122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1.617,72</w:t>
            </w:r>
          </w:p>
        </w:tc>
        <w:tc>
          <w:tcPr>
            <w:tcW w:w="9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90,49</w:t>
            </w:r>
          </w:p>
        </w:tc>
        <w:tc>
          <w:tcPr>
            <w:tcW w:w="13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-1.610,28</w:t>
            </w:r>
          </w:p>
        </w:tc>
      </w:tr>
      <w:tr w:rsidR="00E67099" w:rsidRPr="00E67099" w:rsidTr="00A36731">
        <w:trPr>
          <w:trHeight w:val="324"/>
        </w:trPr>
        <w:tc>
          <w:tcPr>
            <w:cnfStyle w:val="001000000000" w:firstRow="0" w:lastRow="0" w:firstColumn="1" w:lastColumn="0" w:oddVBand="0" w:evenVBand="0" w:oddHBand="0" w:evenHBand="0" w:firstRowFirstColumn="0" w:firstRowLastColumn="0" w:lastRowFirstColumn="0" w:lastRowLastColumn="0"/>
            <w:tcW w:w="2967" w:type="dxa"/>
            <w:hideMark/>
          </w:tcPr>
          <w:p w:rsidR="00E67099" w:rsidRPr="00E67099" w:rsidRDefault="00E67099" w:rsidP="00E67099">
            <w:pP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Curtea Constituțională</w:t>
            </w:r>
          </w:p>
        </w:tc>
        <w:tc>
          <w:tcPr>
            <w:tcW w:w="532" w:type="dxa"/>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103</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10.852,10</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10.590,50</w:t>
            </w:r>
          </w:p>
        </w:tc>
        <w:tc>
          <w:tcPr>
            <w:tcW w:w="13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10.590,50</w:t>
            </w:r>
          </w:p>
        </w:tc>
        <w:tc>
          <w:tcPr>
            <w:tcW w:w="14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9.975,86</w:t>
            </w:r>
          </w:p>
        </w:tc>
        <w:tc>
          <w:tcPr>
            <w:tcW w:w="115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91,93</w:t>
            </w:r>
          </w:p>
        </w:tc>
        <w:tc>
          <w:tcPr>
            <w:tcW w:w="122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-876,24</w:t>
            </w:r>
          </w:p>
        </w:tc>
        <w:tc>
          <w:tcPr>
            <w:tcW w:w="9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94,20</w:t>
            </w:r>
          </w:p>
        </w:tc>
        <w:tc>
          <w:tcPr>
            <w:tcW w:w="13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-614,64</w:t>
            </w:r>
          </w:p>
        </w:tc>
      </w:tr>
      <w:tr w:rsidR="00E67099" w:rsidRPr="00E67099" w:rsidTr="00A36731">
        <w:trPr>
          <w:trHeight w:val="324"/>
        </w:trPr>
        <w:tc>
          <w:tcPr>
            <w:cnfStyle w:val="001000000000" w:firstRow="0" w:lastRow="0" w:firstColumn="1" w:lastColumn="0" w:oddVBand="0" w:evenVBand="0" w:oddHBand="0" w:evenHBand="0" w:firstRowFirstColumn="0" w:firstRowLastColumn="0" w:lastRowFirstColumn="0" w:lastRowLastColumn="0"/>
            <w:tcW w:w="2967" w:type="dxa"/>
            <w:hideMark/>
          </w:tcPr>
          <w:p w:rsidR="00E67099" w:rsidRPr="00E67099" w:rsidRDefault="00E67099" w:rsidP="00E67099">
            <w:pP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Curtea de Conturi</w:t>
            </w:r>
          </w:p>
        </w:tc>
        <w:tc>
          <w:tcPr>
            <w:tcW w:w="532" w:type="dxa"/>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104</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43.219,00</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41.753,00</w:t>
            </w:r>
          </w:p>
        </w:tc>
        <w:tc>
          <w:tcPr>
            <w:tcW w:w="13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41.753,00</w:t>
            </w:r>
          </w:p>
        </w:tc>
        <w:tc>
          <w:tcPr>
            <w:tcW w:w="14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41.744,23</w:t>
            </w:r>
          </w:p>
        </w:tc>
        <w:tc>
          <w:tcPr>
            <w:tcW w:w="115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96,59</w:t>
            </w:r>
          </w:p>
        </w:tc>
        <w:tc>
          <w:tcPr>
            <w:tcW w:w="122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-1.474,77</w:t>
            </w:r>
          </w:p>
        </w:tc>
        <w:tc>
          <w:tcPr>
            <w:tcW w:w="9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99,98</w:t>
            </w:r>
          </w:p>
        </w:tc>
        <w:tc>
          <w:tcPr>
            <w:tcW w:w="13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-8,77</w:t>
            </w:r>
          </w:p>
        </w:tc>
      </w:tr>
      <w:tr w:rsidR="00E67099" w:rsidRPr="00E67099" w:rsidTr="00A36731">
        <w:trPr>
          <w:trHeight w:val="324"/>
        </w:trPr>
        <w:tc>
          <w:tcPr>
            <w:cnfStyle w:val="001000000000" w:firstRow="0" w:lastRow="0" w:firstColumn="1" w:lastColumn="0" w:oddVBand="0" w:evenVBand="0" w:oddHBand="0" w:evenHBand="0" w:firstRowFirstColumn="0" w:firstRowLastColumn="0" w:lastRowFirstColumn="0" w:lastRowLastColumn="0"/>
            <w:tcW w:w="2967" w:type="dxa"/>
            <w:hideMark/>
          </w:tcPr>
          <w:p w:rsidR="00E67099" w:rsidRPr="00E67099" w:rsidRDefault="00E67099" w:rsidP="00E67099">
            <w:pP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Cancelaria de Stat</w:t>
            </w:r>
          </w:p>
        </w:tc>
        <w:tc>
          <w:tcPr>
            <w:tcW w:w="532" w:type="dxa"/>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201</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116.084,00</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101.013,10</w:t>
            </w:r>
          </w:p>
        </w:tc>
        <w:tc>
          <w:tcPr>
            <w:tcW w:w="13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101.013,10</w:t>
            </w:r>
          </w:p>
        </w:tc>
        <w:tc>
          <w:tcPr>
            <w:tcW w:w="14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98.332,86</w:t>
            </w:r>
          </w:p>
        </w:tc>
        <w:tc>
          <w:tcPr>
            <w:tcW w:w="115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84,71</w:t>
            </w:r>
          </w:p>
        </w:tc>
        <w:tc>
          <w:tcPr>
            <w:tcW w:w="122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-17.751,14</w:t>
            </w:r>
          </w:p>
        </w:tc>
        <w:tc>
          <w:tcPr>
            <w:tcW w:w="9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97,35</w:t>
            </w:r>
          </w:p>
        </w:tc>
        <w:tc>
          <w:tcPr>
            <w:tcW w:w="13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-2.680,24</w:t>
            </w:r>
          </w:p>
        </w:tc>
      </w:tr>
      <w:tr w:rsidR="00E67099" w:rsidRPr="00E67099" w:rsidTr="00A36731">
        <w:trPr>
          <w:trHeight w:val="324"/>
        </w:trPr>
        <w:tc>
          <w:tcPr>
            <w:cnfStyle w:val="001000000000" w:firstRow="0" w:lastRow="0" w:firstColumn="1" w:lastColumn="0" w:oddVBand="0" w:evenVBand="0" w:oddHBand="0" w:evenHBand="0" w:firstRowFirstColumn="0" w:firstRowLastColumn="0" w:lastRowFirstColumn="0" w:lastRowLastColumn="0"/>
            <w:tcW w:w="2967" w:type="dxa"/>
            <w:hideMark/>
          </w:tcPr>
          <w:p w:rsidR="00E67099" w:rsidRPr="00E67099" w:rsidRDefault="00E67099" w:rsidP="00E67099">
            <w:pP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Ministerul Finanțelor</w:t>
            </w:r>
          </w:p>
        </w:tc>
        <w:tc>
          <w:tcPr>
            <w:tcW w:w="532" w:type="dxa"/>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203</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931.121,00</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951.899,90</w:t>
            </w:r>
          </w:p>
        </w:tc>
        <w:tc>
          <w:tcPr>
            <w:tcW w:w="13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951.899,90</w:t>
            </w:r>
          </w:p>
        </w:tc>
        <w:tc>
          <w:tcPr>
            <w:tcW w:w="14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946.409,90</w:t>
            </w:r>
          </w:p>
        </w:tc>
        <w:tc>
          <w:tcPr>
            <w:tcW w:w="115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101,64</w:t>
            </w:r>
          </w:p>
        </w:tc>
        <w:tc>
          <w:tcPr>
            <w:tcW w:w="122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15.288,90</w:t>
            </w:r>
          </w:p>
        </w:tc>
        <w:tc>
          <w:tcPr>
            <w:tcW w:w="9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99,42</w:t>
            </w:r>
          </w:p>
        </w:tc>
        <w:tc>
          <w:tcPr>
            <w:tcW w:w="13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-5.490,00</w:t>
            </w:r>
          </w:p>
        </w:tc>
      </w:tr>
      <w:tr w:rsidR="00E67099" w:rsidRPr="00E67099" w:rsidTr="00A36731">
        <w:trPr>
          <w:trHeight w:val="324"/>
        </w:trPr>
        <w:tc>
          <w:tcPr>
            <w:cnfStyle w:val="001000000000" w:firstRow="0" w:lastRow="0" w:firstColumn="1" w:lastColumn="0" w:oddVBand="0" w:evenVBand="0" w:oddHBand="0" w:evenHBand="0" w:firstRowFirstColumn="0" w:firstRowLastColumn="0" w:lastRowFirstColumn="0" w:lastRowLastColumn="0"/>
            <w:tcW w:w="2967" w:type="dxa"/>
            <w:hideMark/>
          </w:tcPr>
          <w:p w:rsidR="00E67099" w:rsidRPr="00E67099" w:rsidRDefault="00E67099" w:rsidP="00E67099">
            <w:pP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Ministerul Justiției</w:t>
            </w:r>
          </w:p>
        </w:tc>
        <w:tc>
          <w:tcPr>
            <w:tcW w:w="532" w:type="dxa"/>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204</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353.104,50</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348.983,90</w:t>
            </w:r>
          </w:p>
        </w:tc>
        <w:tc>
          <w:tcPr>
            <w:tcW w:w="13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349.516,90</w:t>
            </w:r>
          </w:p>
        </w:tc>
        <w:tc>
          <w:tcPr>
            <w:tcW w:w="14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344.593,84</w:t>
            </w:r>
          </w:p>
        </w:tc>
        <w:tc>
          <w:tcPr>
            <w:tcW w:w="115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97,59</w:t>
            </w:r>
          </w:p>
        </w:tc>
        <w:tc>
          <w:tcPr>
            <w:tcW w:w="122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-8.510,66</w:t>
            </w:r>
          </w:p>
        </w:tc>
        <w:tc>
          <w:tcPr>
            <w:tcW w:w="9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98,59</w:t>
            </w:r>
          </w:p>
        </w:tc>
        <w:tc>
          <w:tcPr>
            <w:tcW w:w="13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-4.923,06</w:t>
            </w:r>
          </w:p>
        </w:tc>
      </w:tr>
      <w:tr w:rsidR="00E67099" w:rsidRPr="00E67099" w:rsidTr="00A36731">
        <w:trPr>
          <w:trHeight w:val="324"/>
        </w:trPr>
        <w:tc>
          <w:tcPr>
            <w:cnfStyle w:val="001000000000" w:firstRow="0" w:lastRow="0" w:firstColumn="1" w:lastColumn="0" w:oddVBand="0" w:evenVBand="0" w:oddHBand="0" w:evenHBand="0" w:firstRowFirstColumn="0" w:firstRowLastColumn="0" w:lastRowFirstColumn="0" w:lastRowLastColumn="0"/>
            <w:tcW w:w="2967" w:type="dxa"/>
            <w:hideMark/>
          </w:tcPr>
          <w:p w:rsidR="00E67099" w:rsidRPr="00E67099" w:rsidRDefault="00E67099" w:rsidP="00E67099">
            <w:pP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Ministerul Afacerilor Interne</w:t>
            </w:r>
          </w:p>
        </w:tc>
        <w:tc>
          <w:tcPr>
            <w:tcW w:w="532" w:type="dxa"/>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205</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1.839.751,20</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1.784.386,80</w:t>
            </w:r>
          </w:p>
        </w:tc>
        <w:tc>
          <w:tcPr>
            <w:tcW w:w="13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1.801.322,70</w:t>
            </w:r>
          </w:p>
        </w:tc>
        <w:tc>
          <w:tcPr>
            <w:tcW w:w="14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1.796.571,88</w:t>
            </w:r>
          </w:p>
        </w:tc>
        <w:tc>
          <w:tcPr>
            <w:tcW w:w="115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97,65</w:t>
            </w:r>
          </w:p>
        </w:tc>
        <w:tc>
          <w:tcPr>
            <w:tcW w:w="122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-43.179,32</w:t>
            </w:r>
          </w:p>
        </w:tc>
        <w:tc>
          <w:tcPr>
            <w:tcW w:w="9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99,74</w:t>
            </w:r>
          </w:p>
        </w:tc>
        <w:tc>
          <w:tcPr>
            <w:tcW w:w="13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-4.750,82</w:t>
            </w:r>
          </w:p>
        </w:tc>
      </w:tr>
      <w:tr w:rsidR="00E67099" w:rsidRPr="00E67099" w:rsidTr="00A36731">
        <w:trPr>
          <w:trHeight w:val="400"/>
        </w:trPr>
        <w:tc>
          <w:tcPr>
            <w:cnfStyle w:val="001000000000" w:firstRow="0" w:lastRow="0" w:firstColumn="1" w:lastColumn="0" w:oddVBand="0" w:evenVBand="0" w:oddHBand="0" w:evenHBand="0" w:firstRowFirstColumn="0" w:firstRowLastColumn="0" w:lastRowFirstColumn="0" w:lastRowLastColumn="0"/>
            <w:tcW w:w="2967" w:type="dxa"/>
            <w:hideMark/>
          </w:tcPr>
          <w:p w:rsidR="00E67099" w:rsidRPr="00E67099" w:rsidRDefault="00E67099" w:rsidP="00E67099">
            <w:pP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Ministerul Afacerilor Externe și Integrării Europene</w:t>
            </w:r>
          </w:p>
        </w:tc>
        <w:tc>
          <w:tcPr>
            <w:tcW w:w="532" w:type="dxa"/>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206</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53.849,20</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57.578,10</w:t>
            </w:r>
          </w:p>
        </w:tc>
        <w:tc>
          <w:tcPr>
            <w:tcW w:w="13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57.578,10</w:t>
            </w:r>
          </w:p>
        </w:tc>
        <w:tc>
          <w:tcPr>
            <w:tcW w:w="14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56.562,97</w:t>
            </w:r>
          </w:p>
        </w:tc>
        <w:tc>
          <w:tcPr>
            <w:tcW w:w="115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105,04</w:t>
            </w:r>
          </w:p>
        </w:tc>
        <w:tc>
          <w:tcPr>
            <w:tcW w:w="122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2.713,77</w:t>
            </w:r>
          </w:p>
        </w:tc>
        <w:tc>
          <w:tcPr>
            <w:tcW w:w="9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98,24</w:t>
            </w:r>
          </w:p>
        </w:tc>
        <w:tc>
          <w:tcPr>
            <w:tcW w:w="13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-1.015,13</w:t>
            </w:r>
          </w:p>
        </w:tc>
      </w:tr>
      <w:tr w:rsidR="00E67099" w:rsidRPr="00E67099" w:rsidTr="00A36731">
        <w:trPr>
          <w:trHeight w:val="324"/>
        </w:trPr>
        <w:tc>
          <w:tcPr>
            <w:cnfStyle w:val="001000000000" w:firstRow="0" w:lastRow="0" w:firstColumn="1" w:lastColumn="0" w:oddVBand="0" w:evenVBand="0" w:oddHBand="0" w:evenHBand="0" w:firstRowFirstColumn="0" w:firstRowLastColumn="0" w:lastRowFirstColumn="0" w:lastRowLastColumn="0"/>
            <w:tcW w:w="2967" w:type="dxa"/>
            <w:hideMark/>
          </w:tcPr>
          <w:p w:rsidR="00E67099" w:rsidRPr="00E67099" w:rsidRDefault="00E67099" w:rsidP="00E67099">
            <w:pP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Ministerul Apărării</w:t>
            </w:r>
          </w:p>
        </w:tc>
        <w:tc>
          <w:tcPr>
            <w:tcW w:w="532" w:type="dxa"/>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207</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489.314,40</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421.528,20</w:t>
            </w:r>
          </w:p>
        </w:tc>
        <w:tc>
          <w:tcPr>
            <w:tcW w:w="13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424.201,20</w:t>
            </w:r>
          </w:p>
        </w:tc>
        <w:tc>
          <w:tcPr>
            <w:tcW w:w="14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424.179,73</w:t>
            </w:r>
          </w:p>
        </w:tc>
        <w:tc>
          <w:tcPr>
            <w:tcW w:w="115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86,69</w:t>
            </w:r>
          </w:p>
        </w:tc>
        <w:tc>
          <w:tcPr>
            <w:tcW w:w="122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-65.134,67</w:t>
            </w:r>
          </w:p>
        </w:tc>
        <w:tc>
          <w:tcPr>
            <w:tcW w:w="9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99,99</w:t>
            </w:r>
          </w:p>
        </w:tc>
        <w:tc>
          <w:tcPr>
            <w:tcW w:w="13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-21,47</w:t>
            </w:r>
          </w:p>
        </w:tc>
      </w:tr>
      <w:tr w:rsidR="00E67099" w:rsidRPr="00E67099" w:rsidTr="00A36731">
        <w:trPr>
          <w:trHeight w:val="541"/>
        </w:trPr>
        <w:tc>
          <w:tcPr>
            <w:cnfStyle w:val="001000000000" w:firstRow="0" w:lastRow="0" w:firstColumn="1" w:lastColumn="0" w:oddVBand="0" w:evenVBand="0" w:oddHBand="0" w:evenHBand="0" w:firstRowFirstColumn="0" w:firstRowLastColumn="0" w:lastRowFirstColumn="0" w:lastRowLastColumn="0"/>
            <w:tcW w:w="2967" w:type="dxa"/>
            <w:hideMark/>
          </w:tcPr>
          <w:p w:rsidR="00E67099" w:rsidRPr="00E67099" w:rsidRDefault="00E67099" w:rsidP="00E67099">
            <w:pP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Ministerul Economiei și Infrastructurii</w:t>
            </w:r>
          </w:p>
        </w:tc>
        <w:tc>
          <w:tcPr>
            <w:tcW w:w="532" w:type="dxa"/>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218</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143.221,00</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127.061,60</w:t>
            </w:r>
          </w:p>
        </w:tc>
        <w:tc>
          <w:tcPr>
            <w:tcW w:w="13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127.907,64</w:t>
            </w:r>
          </w:p>
        </w:tc>
        <w:tc>
          <w:tcPr>
            <w:tcW w:w="14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121.509,12</w:t>
            </w:r>
          </w:p>
        </w:tc>
        <w:tc>
          <w:tcPr>
            <w:tcW w:w="115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84,84</w:t>
            </w:r>
          </w:p>
        </w:tc>
        <w:tc>
          <w:tcPr>
            <w:tcW w:w="122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-21.711,88</w:t>
            </w:r>
          </w:p>
        </w:tc>
        <w:tc>
          <w:tcPr>
            <w:tcW w:w="9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95,00</w:t>
            </w:r>
          </w:p>
        </w:tc>
        <w:tc>
          <w:tcPr>
            <w:tcW w:w="13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-6.398,52</w:t>
            </w:r>
          </w:p>
        </w:tc>
      </w:tr>
      <w:tr w:rsidR="00E67099" w:rsidRPr="00E67099" w:rsidTr="00A36731">
        <w:trPr>
          <w:trHeight w:val="421"/>
        </w:trPr>
        <w:tc>
          <w:tcPr>
            <w:cnfStyle w:val="001000000000" w:firstRow="0" w:lastRow="0" w:firstColumn="1" w:lastColumn="0" w:oddVBand="0" w:evenVBand="0" w:oddHBand="0" w:evenHBand="0" w:firstRowFirstColumn="0" w:firstRowLastColumn="0" w:lastRowFirstColumn="0" w:lastRowLastColumn="0"/>
            <w:tcW w:w="2967" w:type="dxa"/>
            <w:hideMark/>
          </w:tcPr>
          <w:p w:rsidR="00E67099" w:rsidRPr="00E67099" w:rsidRDefault="00E67099" w:rsidP="00E67099">
            <w:pP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Ministerul Agriculturii, Dezvoltării Regionale și Mediului</w:t>
            </w:r>
          </w:p>
        </w:tc>
        <w:tc>
          <w:tcPr>
            <w:tcW w:w="532" w:type="dxa"/>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219</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198.633,70</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221.484,70</w:t>
            </w:r>
          </w:p>
        </w:tc>
        <w:tc>
          <w:tcPr>
            <w:tcW w:w="13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227.037,10</w:t>
            </w:r>
          </w:p>
        </w:tc>
        <w:tc>
          <w:tcPr>
            <w:tcW w:w="14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224.061,40</w:t>
            </w:r>
          </w:p>
        </w:tc>
        <w:tc>
          <w:tcPr>
            <w:tcW w:w="115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112,80</w:t>
            </w:r>
          </w:p>
        </w:tc>
        <w:tc>
          <w:tcPr>
            <w:tcW w:w="122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25.427,70</w:t>
            </w:r>
          </w:p>
        </w:tc>
        <w:tc>
          <w:tcPr>
            <w:tcW w:w="9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98,69</w:t>
            </w:r>
          </w:p>
        </w:tc>
        <w:tc>
          <w:tcPr>
            <w:tcW w:w="13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-2.975,70</w:t>
            </w:r>
          </w:p>
        </w:tc>
      </w:tr>
      <w:tr w:rsidR="00E67099" w:rsidRPr="00E67099" w:rsidTr="00A36731">
        <w:trPr>
          <w:trHeight w:val="499"/>
        </w:trPr>
        <w:tc>
          <w:tcPr>
            <w:cnfStyle w:val="001000000000" w:firstRow="0" w:lastRow="0" w:firstColumn="1" w:lastColumn="0" w:oddVBand="0" w:evenVBand="0" w:oddHBand="0" w:evenHBand="0" w:firstRowFirstColumn="0" w:firstRowLastColumn="0" w:lastRowFirstColumn="0" w:lastRowLastColumn="0"/>
            <w:tcW w:w="2967" w:type="dxa"/>
            <w:hideMark/>
          </w:tcPr>
          <w:p w:rsidR="00E67099" w:rsidRPr="00E67099" w:rsidRDefault="00E67099" w:rsidP="00E67099">
            <w:pP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Ministerul Educației, Culturii și Cercetării</w:t>
            </w:r>
          </w:p>
        </w:tc>
        <w:tc>
          <w:tcPr>
            <w:tcW w:w="532" w:type="dxa"/>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220</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453.675,80</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492.699,90</w:t>
            </w:r>
          </w:p>
        </w:tc>
        <w:tc>
          <w:tcPr>
            <w:tcW w:w="13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491.161,80</w:t>
            </w:r>
          </w:p>
        </w:tc>
        <w:tc>
          <w:tcPr>
            <w:tcW w:w="14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483.686,49</w:t>
            </w:r>
          </w:p>
        </w:tc>
        <w:tc>
          <w:tcPr>
            <w:tcW w:w="115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106,62</w:t>
            </w:r>
          </w:p>
        </w:tc>
        <w:tc>
          <w:tcPr>
            <w:tcW w:w="122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30.010,69</w:t>
            </w:r>
          </w:p>
        </w:tc>
        <w:tc>
          <w:tcPr>
            <w:tcW w:w="9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98,48</w:t>
            </w:r>
          </w:p>
        </w:tc>
        <w:tc>
          <w:tcPr>
            <w:tcW w:w="13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-7.475,31</w:t>
            </w:r>
          </w:p>
        </w:tc>
      </w:tr>
      <w:tr w:rsidR="00E67099" w:rsidRPr="00E67099" w:rsidTr="00A36731">
        <w:trPr>
          <w:trHeight w:val="407"/>
        </w:trPr>
        <w:tc>
          <w:tcPr>
            <w:cnfStyle w:val="001000000000" w:firstRow="0" w:lastRow="0" w:firstColumn="1" w:lastColumn="0" w:oddVBand="0" w:evenVBand="0" w:oddHBand="0" w:evenHBand="0" w:firstRowFirstColumn="0" w:firstRowLastColumn="0" w:lastRowFirstColumn="0" w:lastRowLastColumn="0"/>
            <w:tcW w:w="2967" w:type="dxa"/>
            <w:hideMark/>
          </w:tcPr>
          <w:p w:rsidR="00E67099" w:rsidRPr="00E67099" w:rsidRDefault="00E67099" w:rsidP="00E67099">
            <w:pP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Ministerul Sănătății, Muncii și Protecției Sociale</w:t>
            </w:r>
          </w:p>
        </w:tc>
        <w:tc>
          <w:tcPr>
            <w:tcW w:w="532" w:type="dxa"/>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221</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495.212,00</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488.148,10</w:t>
            </w:r>
          </w:p>
        </w:tc>
        <w:tc>
          <w:tcPr>
            <w:tcW w:w="13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496.649,10</w:t>
            </w:r>
          </w:p>
        </w:tc>
        <w:tc>
          <w:tcPr>
            <w:tcW w:w="14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491.293,24</w:t>
            </w:r>
          </w:p>
        </w:tc>
        <w:tc>
          <w:tcPr>
            <w:tcW w:w="115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99,21</w:t>
            </w:r>
          </w:p>
        </w:tc>
        <w:tc>
          <w:tcPr>
            <w:tcW w:w="122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-3.918,76</w:t>
            </w:r>
          </w:p>
        </w:tc>
        <w:tc>
          <w:tcPr>
            <w:tcW w:w="9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98,92</w:t>
            </w:r>
          </w:p>
        </w:tc>
        <w:tc>
          <w:tcPr>
            <w:tcW w:w="13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-5.355,86</w:t>
            </w:r>
          </w:p>
        </w:tc>
      </w:tr>
      <w:tr w:rsidR="00E67099" w:rsidRPr="00E67099" w:rsidTr="00A36731">
        <w:trPr>
          <w:trHeight w:val="324"/>
        </w:trPr>
        <w:tc>
          <w:tcPr>
            <w:cnfStyle w:val="001000000000" w:firstRow="0" w:lastRow="0" w:firstColumn="1" w:lastColumn="0" w:oddVBand="0" w:evenVBand="0" w:oddHBand="0" w:evenHBand="0" w:firstRowFirstColumn="0" w:firstRowLastColumn="0" w:lastRowFirstColumn="0" w:lastRowLastColumn="0"/>
            <w:tcW w:w="2967" w:type="dxa"/>
            <w:hideMark/>
          </w:tcPr>
          <w:p w:rsidR="00E67099" w:rsidRPr="00E67099" w:rsidRDefault="00E67099" w:rsidP="00E67099">
            <w:pP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 xml:space="preserve">Biroul Național de Statistică </w:t>
            </w:r>
          </w:p>
        </w:tc>
        <w:tc>
          <w:tcPr>
            <w:tcW w:w="532" w:type="dxa"/>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241</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71.411,40</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74.550,40</w:t>
            </w:r>
          </w:p>
        </w:tc>
        <w:tc>
          <w:tcPr>
            <w:tcW w:w="13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74.550,40</w:t>
            </w:r>
          </w:p>
        </w:tc>
        <w:tc>
          <w:tcPr>
            <w:tcW w:w="14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74.550,40</w:t>
            </w:r>
          </w:p>
        </w:tc>
        <w:tc>
          <w:tcPr>
            <w:tcW w:w="115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104,40</w:t>
            </w:r>
          </w:p>
        </w:tc>
        <w:tc>
          <w:tcPr>
            <w:tcW w:w="122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3.139,00</w:t>
            </w:r>
          </w:p>
        </w:tc>
        <w:tc>
          <w:tcPr>
            <w:tcW w:w="9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100,00</w:t>
            </w:r>
          </w:p>
        </w:tc>
        <w:tc>
          <w:tcPr>
            <w:tcW w:w="13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0,00</w:t>
            </w:r>
          </w:p>
        </w:tc>
      </w:tr>
      <w:tr w:rsidR="00E67099" w:rsidRPr="00E67099" w:rsidTr="00A36731">
        <w:trPr>
          <w:trHeight w:val="324"/>
        </w:trPr>
        <w:tc>
          <w:tcPr>
            <w:cnfStyle w:val="001000000000" w:firstRow="0" w:lastRow="0" w:firstColumn="1" w:lastColumn="0" w:oddVBand="0" w:evenVBand="0" w:oddHBand="0" w:evenHBand="0" w:firstRowFirstColumn="0" w:firstRowLastColumn="0" w:lastRowFirstColumn="0" w:lastRowLastColumn="0"/>
            <w:tcW w:w="2967" w:type="dxa"/>
            <w:hideMark/>
          </w:tcPr>
          <w:p w:rsidR="00E67099" w:rsidRPr="00E67099" w:rsidRDefault="00E67099" w:rsidP="00E67099">
            <w:pP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Agenția Relații Funciare și Cadastru</w:t>
            </w:r>
          </w:p>
        </w:tc>
        <w:tc>
          <w:tcPr>
            <w:tcW w:w="532" w:type="dxa"/>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242</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4.558,20</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3.964,30</w:t>
            </w:r>
          </w:p>
        </w:tc>
        <w:tc>
          <w:tcPr>
            <w:tcW w:w="13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3.999,30</w:t>
            </w:r>
          </w:p>
        </w:tc>
        <w:tc>
          <w:tcPr>
            <w:tcW w:w="14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3.999,30</w:t>
            </w:r>
          </w:p>
        </w:tc>
        <w:tc>
          <w:tcPr>
            <w:tcW w:w="115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87,74</w:t>
            </w:r>
          </w:p>
        </w:tc>
        <w:tc>
          <w:tcPr>
            <w:tcW w:w="122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-558,90</w:t>
            </w:r>
          </w:p>
        </w:tc>
        <w:tc>
          <w:tcPr>
            <w:tcW w:w="9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100,00</w:t>
            </w:r>
          </w:p>
        </w:tc>
        <w:tc>
          <w:tcPr>
            <w:tcW w:w="13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0,00</w:t>
            </w:r>
          </w:p>
        </w:tc>
      </w:tr>
      <w:tr w:rsidR="00E67099" w:rsidRPr="00E67099" w:rsidTr="00A36731">
        <w:trPr>
          <w:trHeight w:val="324"/>
        </w:trPr>
        <w:tc>
          <w:tcPr>
            <w:cnfStyle w:val="001000000000" w:firstRow="0" w:lastRow="0" w:firstColumn="1" w:lastColumn="0" w:oddVBand="0" w:evenVBand="0" w:oddHBand="0" w:evenHBand="0" w:firstRowFirstColumn="0" w:firstRowLastColumn="0" w:lastRowFirstColumn="0" w:lastRowLastColumn="0"/>
            <w:tcW w:w="2967" w:type="dxa"/>
            <w:hideMark/>
          </w:tcPr>
          <w:p w:rsidR="00E67099" w:rsidRPr="00E67099" w:rsidRDefault="00E67099" w:rsidP="00E67099">
            <w:pP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Agenția Relații Interetnice</w:t>
            </w:r>
          </w:p>
        </w:tc>
        <w:tc>
          <w:tcPr>
            <w:tcW w:w="532" w:type="dxa"/>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243</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1.823,20</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2.129,00</w:t>
            </w:r>
          </w:p>
        </w:tc>
        <w:tc>
          <w:tcPr>
            <w:tcW w:w="13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2.192,00</w:t>
            </w:r>
          </w:p>
        </w:tc>
        <w:tc>
          <w:tcPr>
            <w:tcW w:w="14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2.183,12</w:t>
            </w:r>
          </w:p>
        </w:tc>
        <w:tc>
          <w:tcPr>
            <w:tcW w:w="115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119,74</w:t>
            </w:r>
          </w:p>
        </w:tc>
        <w:tc>
          <w:tcPr>
            <w:tcW w:w="122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359,92</w:t>
            </w:r>
          </w:p>
        </w:tc>
        <w:tc>
          <w:tcPr>
            <w:tcW w:w="9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99,59</w:t>
            </w:r>
          </w:p>
        </w:tc>
        <w:tc>
          <w:tcPr>
            <w:tcW w:w="13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-8,88</w:t>
            </w:r>
          </w:p>
        </w:tc>
      </w:tr>
      <w:tr w:rsidR="00E67099" w:rsidRPr="00E67099" w:rsidTr="00A36731">
        <w:trPr>
          <w:trHeight w:val="324"/>
        </w:trPr>
        <w:tc>
          <w:tcPr>
            <w:cnfStyle w:val="001000000000" w:firstRow="0" w:lastRow="0" w:firstColumn="1" w:lastColumn="0" w:oddVBand="0" w:evenVBand="0" w:oddHBand="0" w:evenHBand="0" w:firstRowFirstColumn="0" w:firstRowLastColumn="0" w:lastRowFirstColumn="0" w:lastRowLastColumn="0"/>
            <w:tcW w:w="2967" w:type="dxa"/>
            <w:hideMark/>
          </w:tcPr>
          <w:p w:rsidR="00E67099" w:rsidRPr="00E67099" w:rsidRDefault="00E67099" w:rsidP="00E67099">
            <w:pP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Agenția „Moldsilva”</w:t>
            </w:r>
          </w:p>
        </w:tc>
        <w:tc>
          <w:tcPr>
            <w:tcW w:w="532" w:type="dxa"/>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244</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2.296,70</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2.601,50</w:t>
            </w:r>
          </w:p>
        </w:tc>
        <w:tc>
          <w:tcPr>
            <w:tcW w:w="13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2.930,50</w:t>
            </w:r>
          </w:p>
        </w:tc>
        <w:tc>
          <w:tcPr>
            <w:tcW w:w="14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2.930,50</w:t>
            </w:r>
          </w:p>
        </w:tc>
        <w:tc>
          <w:tcPr>
            <w:tcW w:w="115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127,60</w:t>
            </w:r>
          </w:p>
        </w:tc>
        <w:tc>
          <w:tcPr>
            <w:tcW w:w="122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633,80</w:t>
            </w:r>
          </w:p>
        </w:tc>
        <w:tc>
          <w:tcPr>
            <w:tcW w:w="9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100,00</w:t>
            </w:r>
          </w:p>
        </w:tc>
        <w:tc>
          <w:tcPr>
            <w:tcW w:w="13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0,00</w:t>
            </w:r>
          </w:p>
        </w:tc>
      </w:tr>
      <w:tr w:rsidR="00E67099" w:rsidRPr="00E67099" w:rsidTr="00A36731">
        <w:trPr>
          <w:trHeight w:val="324"/>
        </w:trPr>
        <w:tc>
          <w:tcPr>
            <w:cnfStyle w:val="001000000000" w:firstRow="0" w:lastRow="0" w:firstColumn="1" w:lastColumn="0" w:oddVBand="0" w:evenVBand="0" w:oddHBand="0" w:evenHBand="0" w:firstRowFirstColumn="0" w:firstRowLastColumn="0" w:lastRowFirstColumn="0" w:lastRowLastColumn="0"/>
            <w:tcW w:w="2967" w:type="dxa"/>
            <w:hideMark/>
          </w:tcPr>
          <w:p w:rsidR="00E67099" w:rsidRPr="00E67099" w:rsidRDefault="00E67099" w:rsidP="00E67099">
            <w:pP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Centrul Național Anticorupție</w:t>
            </w:r>
          </w:p>
        </w:tc>
        <w:tc>
          <w:tcPr>
            <w:tcW w:w="532" w:type="dxa"/>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247</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97.994,90</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96.229,90</w:t>
            </w:r>
          </w:p>
        </w:tc>
        <w:tc>
          <w:tcPr>
            <w:tcW w:w="13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94.704,90</w:t>
            </w:r>
          </w:p>
        </w:tc>
        <w:tc>
          <w:tcPr>
            <w:tcW w:w="14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89.911,26</w:t>
            </w:r>
          </w:p>
        </w:tc>
        <w:tc>
          <w:tcPr>
            <w:tcW w:w="115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91,75</w:t>
            </w:r>
          </w:p>
        </w:tc>
        <w:tc>
          <w:tcPr>
            <w:tcW w:w="122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-8.083,64</w:t>
            </w:r>
          </w:p>
        </w:tc>
        <w:tc>
          <w:tcPr>
            <w:tcW w:w="9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94,94</w:t>
            </w:r>
          </w:p>
        </w:tc>
        <w:tc>
          <w:tcPr>
            <w:tcW w:w="13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-4.793,64</w:t>
            </w:r>
          </w:p>
        </w:tc>
      </w:tr>
      <w:tr w:rsidR="00E67099" w:rsidRPr="00E67099" w:rsidTr="00A36731">
        <w:trPr>
          <w:trHeight w:val="455"/>
        </w:trPr>
        <w:tc>
          <w:tcPr>
            <w:cnfStyle w:val="001000000000" w:firstRow="0" w:lastRow="0" w:firstColumn="1" w:lastColumn="0" w:oddVBand="0" w:evenVBand="0" w:oddHBand="0" w:evenHBand="0" w:firstRowFirstColumn="0" w:firstRowLastColumn="0" w:lastRowFirstColumn="0" w:lastRowLastColumn="0"/>
            <w:tcW w:w="2967" w:type="dxa"/>
            <w:hideMark/>
          </w:tcPr>
          <w:p w:rsidR="00E67099" w:rsidRPr="00E67099" w:rsidRDefault="00E67099" w:rsidP="00E67099">
            <w:pP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Agenția Medicamentului și Dispozitivelor Medicale</w:t>
            </w:r>
          </w:p>
        </w:tc>
        <w:tc>
          <w:tcPr>
            <w:tcW w:w="532" w:type="dxa"/>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248</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16.131,00</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13.973,40</w:t>
            </w:r>
          </w:p>
        </w:tc>
        <w:tc>
          <w:tcPr>
            <w:tcW w:w="13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14.088,40</w:t>
            </w:r>
          </w:p>
        </w:tc>
        <w:tc>
          <w:tcPr>
            <w:tcW w:w="14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14.085,84</w:t>
            </w:r>
          </w:p>
        </w:tc>
        <w:tc>
          <w:tcPr>
            <w:tcW w:w="115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87,32</w:t>
            </w:r>
          </w:p>
        </w:tc>
        <w:tc>
          <w:tcPr>
            <w:tcW w:w="122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-2.045,16</w:t>
            </w:r>
          </w:p>
        </w:tc>
        <w:tc>
          <w:tcPr>
            <w:tcW w:w="9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99,98</w:t>
            </w:r>
          </w:p>
        </w:tc>
        <w:tc>
          <w:tcPr>
            <w:tcW w:w="13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-2,56</w:t>
            </w:r>
          </w:p>
        </w:tc>
      </w:tr>
      <w:tr w:rsidR="00E67099" w:rsidRPr="00E67099" w:rsidTr="00A36731">
        <w:trPr>
          <w:trHeight w:val="324"/>
        </w:trPr>
        <w:tc>
          <w:tcPr>
            <w:cnfStyle w:val="001000000000" w:firstRow="0" w:lastRow="0" w:firstColumn="1" w:lastColumn="0" w:oddVBand="0" w:evenVBand="0" w:oddHBand="0" w:evenHBand="0" w:firstRowFirstColumn="0" w:firstRowLastColumn="0" w:lastRowFirstColumn="0" w:lastRowLastColumn="0"/>
            <w:tcW w:w="2967" w:type="dxa"/>
            <w:hideMark/>
          </w:tcPr>
          <w:p w:rsidR="00E67099" w:rsidRPr="00E67099" w:rsidRDefault="00E67099" w:rsidP="00E67099">
            <w:pP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Agenția Proprietății Publice</w:t>
            </w:r>
          </w:p>
        </w:tc>
        <w:tc>
          <w:tcPr>
            <w:tcW w:w="532" w:type="dxa"/>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249</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16.192,50</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7.349,20</w:t>
            </w:r>
          </w:p>
        </w:tc>
        <w:tc>
          <w:tcPr>
            <w:tcW w:w="13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8.836,20</w:t>
            </w:r>
          </w:p>
        </w:tc>
        <w:tc>
          <w:tcPr>
            <w:tcW w:w="14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8.497,92</w:t>
            </w:r>
          </w:p>
        </w:tc>
        <w:tc>
          <w:tcPr>
            <w:tcW w:w="115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52,48</w:t>
            </w:r>
          </w:p>
        </w:tc>
        <w:tc>
          <w:tcPr>
            <w:tcW w:w="122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-7.694,58</w:t>
            </w:r>
          </w:p>
        </w:tc>
        <w:tc>
          <w:tcPr>
            <w:tcW w:w="9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96,17</w:t>
            </w:r>
          </w:p>
        </w:tc>
        <w:tc>
          <w:tcPr>
            <w:tcW w:w="13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-338,28</w:t>
            </w:r>
          </w:p>
        </w:tc>
      </w:tr>
      <w:tr w:rsidR="00E67099" w:rsidRPr="00E67099" w:rsidTr="00A36731">
        <w:trPr>
          <w:trHeight w:val="467"/>
        </w:trPr>
        <w:tc>
          <w:tcPr>
            <w:cnfStyle w:val="001000000000" w:firstRow="0" w:lastRow="0" w:firstColumn="1" w:lastColumn="0" w:oddVBand="0" w:evenVBand="0" w:oddHBand="0" w:evenHBand="0" w:firstRowFirstColumn="0" w:firstRowLastColumn="0" w:lastRowFirstColumn="0" w:lastRowLastColumn="0"/>
            <w:tcW w:w="2967" w:type="dxa"/>
            <w:hideMark/>
          </w:tcPr>
          <w:p w:rsidR="00E67099" w:rsidRPr="00E67099" w:rsidRDefault="00E67099" w:rsidP="00E67099">
            <w:pP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Agenția Națională pentru Cercetare și Dezvoltare</w:t>
            </w:r>
          </w:p>
        </w:tc>
        <w:tc>
          <w:tcPr>
            <w:tcW w:w="532" w:type="dxa"/>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250</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3.226,60</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2.752,90</w:t>
            </w:r>
          </w:p>
        </w:tc>
        <w:tc>
          <w:tcPr>
            <w:tcW w:w="13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2.752,90</w:t>
            </w:r>
          </w:p>
        </w:tc>
        <w:tc>
          <w:tcPr>
            <w:tcW w:w="14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2.752,90</w:t>
            </w:r>
          </w:p>
        </w:tc>
        <w:tc>
          <w:tcPr>
            <w:tcW w:w="115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85,32</w:t>
            </w:r>
          </w:p>
        </w:tc>
        <w:tc>
          <w:tcPr>
            <w:tcW w:w="122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-473,70</w:t>
            </w:r>
          </w:p>
        </w:tc>
        <w:tc>
          <w:tcPr>
            <w:tcW w:w="9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100,00</w:t>
            </w:r>
          </w:p>
        </w:tc>
        <w:tc>
          <w:tcPr>
            <w:tcW w:w="13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0,00</w:t>
            </w:r>
          </w:p>
        </w:tc>
      </w:tr>
      <w:tr w:rsidR="00E67099" w:rsidRPr="00E67099" w:rsidTr="00A36731">
        <w:trPr>
          <w:trHeight w:val="248"/>
        </w:trPr>
        <w:tc>
          <w:tcPr>
            <w:cnfStyle w:val="001000000000" w:firstRow="0" w:lastRow="0" w:firstColumn="1" w:lastColumn="0" w:oddVBand="0" w:evenVBand="0" w:oddHBand="0" w:evenHBand="0" w:firstRowFirstColumn="0" w:firstRowLastColumn="0" w:lastRowFirstColumn="0" w:lastRowLastColumn="0"/>
            <w:tcW w:w="2967" w:type="dxa"/>
            <w:hideMark/>
          </w:tcPr>
          <w:p w:rsidR="00E67099" w:rsidRPr="00E67099" w:rsidRDefault="00E67099" w:rsidP="00E67099">
            <w:pP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Agenția de Investiții</w:t>
            </w:r>
          </w:p>
        </w:tc>
        <w:tc>
          <w:tcPr>
            <w:tcW w:w="532" w:type="dxa"/>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251</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4.792,00</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3.030,50</w:t>
            </w:r>
          </w:p>
        </w:tc>
        <w:tc>
          <w:tcPr>
            <w:tcW w:w="13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3.856,20</w:t>
            </w:r>
          </w:p>
        </w:tc>
        <w:tc>
          <w:tcPr>
            <w:tcW w:w="14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3.615,63</w:t>
            </w:r>
          </w:p>
        </w:tc>
        <w:tc>
          <w:tcPr>
            <w:tcW w:w="115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75,45</w:t>
            </w:r>
          </w:p>
        </w:tc>
        <w:tc>
          <w:tcPr>
            <w:tcW w:w="122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-1.176,37</w:t>
            </w:r>
          </w:p>
        </w:tc>
        <w:tc>
          <w:tcPr>
            <w:tcW w:w="9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93,76</w:t>
            </w:r>
          </w:p>
        </w:tc>
        <w:tc>
          <w:tcPr>
            <w:tcW w:w="13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-240,57</w:t>
            </w:r>
          </w:p>
        </w:tc>
      </w:tr>
      <w:tr w:rsidR="00E67099" w:rsidRPr="00E67099" w:rsidTr="00A36731">
        <w:trPr>
          <w:trHeight w:val="421"/>
        </w:trPr>
        <w:tc>
          <w:tcPr>
            <w:cnfStyle w:val="001000000000" w:firstRow="0" w:lastRow="0" w:firstColumn="1" w:lastColumn="0" w:oddVBand="0" w:evenVBand="0" w:oddHBand="0" w:evenHBand="0" w:firstRowFirstColumn="0" w:firstRowLastColumn="0" w:lastRowFirstColumn="0" w:lastRowLastColumn="0"/>
            <w:tcW w:w="2967" w:type="dxa"/>
            <w:hideMark/>
          </w:tcPr>
          <w:p w:rsidR="00E67099" w:rsidRPr="00E67099" w:rsidRDefault="00E67099" w:rsidP="00E67099">
            <w:pP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Agenţia de Stat pentru Proprietate Intelectuală</w:t>
            </w:r>
          </w:p>
        </w:tc>
        <w:tc>
          <w:tcPr>
            <w:tcW w:w="532" w:type="dxa"/>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252</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50.363,00</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39.875,40</w:t>
            </w:r>
          </w:p>
        </w:tc>
        <w:tc>
          <w:tcPr>
            <w:tcW w:w="13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39.875,40</w:t>
            </w:r>
          </w:p>
        </w:tc>
        <w:tc>
          <w:tcPr>
            <w:tcW w:w="14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32.509,48</w:t>
            </w:r>
          </w:p>
        </w:tc>
        <w:tc>
          <w:tcPr>
            <w:tcW w:w="115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64,55</w:t>
            </w:r>
          </w:p>
        </w:tc>
        <w:tc>
          <w:tcPr>
            <w:tcW w:w="122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-17.853,52</w:t>
            </w:r>
          </w:p>
        </w:tc>
        <w:tc>
          <w:tcPr>
            <w:tcW w:w="9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81,53</w:t>
            </w:r>
          </w:p>
        </w:tc>
        <w:tc>
          <w:tcPr>
            <w:tcW w:w="13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-7.365,92</w:t>
            </w:r>
          </w:p>
        </w:tc>
      </w:tr>
      <w:tr w:rsidR="00E67099" w:rsidRPr="00E67099" w:rsidTr="00A36731">
        <w:trPr>
          <w:trHeight w:val="485"/>
        </w:trPr>
        <w:tc>
          <w:tcPr>
            <w:cnfStyle w:val="001000000000" w:firstRow="0" w:lastRow="0" w:firstColumn="1" w:lastColumn="0" w:oddVBand="0" w:evenVBand="0" w:oddHBand="0" w:evenHBand="0" w:firstRowFirstColumn="0" w:firstRowLastColumn="0" w:lastRowFirstColumn="0" w:lastRowLastColumn="0"/>
            <w:tcW w:w="2967" w:type="dxa"/>
            <w:hideMark/>
          </w:tcPr>
          <w:p w:rsidR="00E67099" w:rsidRPr="00E67099" w:rsidRDefault="00E67099" w:rsidP="00E67099">
            <w:pP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Agenția Națională pentru Siguranța Alimentelor</w:t>
            </w:r>
          </w:p>
        </w:tc>
        <w:tc>
          <w:tcPr>
            <w:tcW w:w="532" w:type="dxa"/>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275</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112.010,90</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115.400,00</w:t>
            </w:r>
          </w:p>
        </w:tc>
        <w:tc>
          <w:tcPr>
            <w:tcW w:w="13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116.380,00</w:t>
            </w:r>
          </w:p>
        </w:tc>
        <w:tc>
          <w:tcPr>
            <w:tcW w:w="14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116.007,94</w:t>
            </w:r>
          </w:p>
        </w:tc>
        <w:tc>
          <w:tcPr>
            <w:tcW w:w="115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103,57</w:t>
            </w:r>
          </w:p>
        </w:tc>
        <w:tc>
          <w:tcPr>
            <w:tcW w:w="122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3.997,04</w:t>
            </w:r>
          </w:p>
        </w:tc>
        <w:tc>
          <w:tcPr>
            <w:tcW w:w="9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99,68</w:t>
            </w:r>
          </w:p>
        </w:tc>
        <w:tc>
          <w:tcPr>
            <w:tcW w:w="13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-372,06</w:t>
            </w:r>
          </w:p>
        </w:tc>
      </w:tr>
      <w:tr w:rsidR="00E67099" w:rsidRPr="00E67099" w:rsidTr="00A36731">
        <w:trPr>
          <w:trHeight w:val="324"/>
        </w:trPr>
        <w:tc>
          <w:tcPr>
            <w:cnfStyle w:val="001000000000" w:firstRow="0" w:lastRow="0" w:firstColumn="1" w:lastColumn="0" w:oddVBand="0" w:evenVBand="0" w:oddHBand="0" w:evenHBand="0" w:firstRowFirstColumn="0" w:firstRowLastColumn="0" w:lastRowFirstColumn="0" w:lastRowLastColumn="0"/>
            <w:tcW w:w="2967" w:type="dxa"/>
            <w:hideMark/>
          </w:tcPr>
          <w:p w:rsidR="00E67099" w:rsidRPr="00E67099" w:rsidRDefault="00E67099" w:rsidP="00E67099">
            <w:pP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Agenția Națională Antidoping</w:t>
            </w:r>
          </w:p>
        </w:tc>
        <w:tc>
          <w:tcPr>
            <w:tcW w:w="532" w:type="dxa"/>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277</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388,90</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658,20</w:t>
            </w:r>
          </w:p>
        </w:tc>
        <w:tc>
          <w:tcPr>
            <w:tcW w:w="13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658,20</w:t>
            </w:r>
          </w:p>
        </w:tc>
        <w:tc>
          <w:tcPr>
            <w:tcW w:w="14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631,49</w:t>
            </w:r>
          </w:p>
        </w:tc>
        <w:tc>
          <w:tcPr>
            <w:tcW w:w="115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162,38</w:t>
            </w:r>
          </w:p>
        </w:tc>
        <w:tc>
          <w:tcPr>
            <w:tcW w:w="122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242,59</w:t>
            </w:r>
          </w:p>
        </w:tc>
        <w:tc>
          <w:tcPr>
            <w:tcW w:w="9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95,94</w:t>
            </w:r>
          </w:p>
        </w:tc>
        <w:tc>
          <w:tcPr>
            <w:tcW w:w="13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-26,71</w:t>
            </w:r>
          </w:p>
        </w:tc>
      </w:tr>
      <w:tr w:rsidR="00E67099" w:rsidRPr="00E67099" w:rsidTr="00A36731">
        <w:trPr>
          <w:trHeight w:val="324"/>
        </w:trPr>
        <w:tc>
          <w:tcPr>
            <w:cnfStyle w:val="001000000000" w:firstRow="0" w:lastRow="0" w:firstColumn="1" w:lastColumn="0" w:oddVBand="0" w:evenVBand="0" w:oddHBand="0" w:evenHBand="0" w:firstRowFirstColumn="0" w:firstRowLastColumn="0" w:lastRowFirstColumn="0" w:lastRowLastColumn="0"/>
            <w:tcW w:w="2967" w:type="dxa"/>
            <w:hideMark/>
          </w:tcPr>
          <w:p w:rsidR="00E67099" w:rsidRPr="00E67099" w:rsidRDefault="00E67099" w:rsidP="00E67099">
            <w:pP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Centrul Serviciului Civil</w:t>
            </w:r>
          </w:p>
        </w:tc>
        <w:tc>
          <w:tcPr>
            <w:tcW w:w="532" w:type="dxa"/>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279</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900,80</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1.140,80</w:t>
            </w:r>
          </w:p>
        </w:tc>
        <w:tc>
          <w:tcPr>
            <w:tcW w:w="13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1.161,00</w:t>
            </w:r>
          </w:p>
        </w:tc>
        <w:tc>
          <w:tcPr>
            <w:tcW w:w="14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1.160,90</w:t>
            </w:r>
          </w:p>
        </w:tc>
        <w:tc>
          <w:tcPr>
            <w:tcW w:w="115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128,87</w:t>
            </w:r>
          </w:p>
        </w:tc>
        <w:tc>
          <w:tcPr>
            <w:tcW w:w="122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260,10</w:t>
            </w:r>
          </w:p>
        </w:tc>
        <w:tc>
          <w:tcPr>
            <w:tcW w:w="9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99,99</w:t>
            </w:r>
          </w:p>
        </w:tc>
        <w:tc>
          <w:tcPr>
            <w:tcW w:w="13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-0,10</w:t>
            </w:r>
          </w:p>
        </w:tc>
      </w:tr>
      <w:tr w:rsidR="00E67099" w:rsidRPr="00E67099" w:rsidTr="00A36731">
        <w:trPr>
          <w:trHeight w:val="324"/>
        </w:trPr>
        <w:tc>
          <w:tcPr>
            <w:cnfStyle w:val="001000000000" w:firstRow="0" w:lastRow="0" w:firstColumn="1" w:lastColumn="0" w:oddVBand="0" w:evenVBand="0" w:oddHBand="0" w:evenHBand="0" w:firstRowFirstColumn="0" w:firstRowLastColumn="0" w:lastRowFirstColumn="0" w:lastRowLastColumn="0"/>
            <w:tcW w:w="2967" w:type="dxa"/>
            <w:hideMark/>
          </w:tcPr>
          <w:p w:rsidR="00E67099" w:rsidRPr="00E67099" w:rsidRDefault="00E67099" w:rsidP="00E67099">
            <w:pP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Consiliul Superior al Magistraturii</w:t>
            </w:r>
          </w:p>
        </w:tc>
        <w:tc>
          <w:tcPr>
            <w:tcW w:w="532" w:type="dxa"/>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301</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339.285,80</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336.915,80</w:t>
            </w:r>
          </w:p>
        </w:tc>
        <w:tc>
          <w:tcPr>
            <w:tcW w:w="13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335.074,79</w:t>
            </w:r>
          </w:p>
        </w:tc>
        <w:tc>
          <w:tcPr>
            <w:tcW w:w="14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332.189,28</w:t>
            </w:r>
          </w:p>
        </w:tc>
        <w:tc>
          <w:tcPr>
            <w:tcW w:w="115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97,91</w:t>
            </w:r>
          </w:p>
        </w:tc>
        <w:tc>
          <w:tcPr>
            <w:tcW w:w="122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-7.096,52</w:t>
            </w:r>
          </w:p>
        </w:tc>
        <w:tc>
          <w:tcPr>
            <w:tcW w:w="9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99,14</w:t>
            </w:r>
          </w:p>
        </w:tc>
        <w:tc>
          <w:tcPr>
            <w:tcW w:w="13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-2.885,51</w:t>
            </w:r>
          </w:p>
        </w:tc>
      </w:tr>
      <w:tr w:rsidR="00E67099" w:rsidRPr="00E67099" w:rsidTr="00A36731">
        <w:trPr>
          <w:trHeight w:val="324"/>
        </w:trPr>
        <w:tc>
          <w:tcPr>
            <w:cnfStyle w:val="001000000000" w:firstRow="0" w:lastRow="0" w:firstColumn="1" w:lastColumn="0" w:oddVBand="0" w:evenVBand="0" w:oddHBand="0" w:evenHBand="0" w:firstRowFirstColumn="0" w:firstRowLastColumn="0" w:lastRowFirstColumn="0" w:lastRowLastColumn="0"/>
            <w:tcW w:w="2967" w:type="dxa"/>
            <w:hideMark/>
          </w:tcPr>
          <w:p w:rsidR="00E67099" w:rsidRPr="00E67099" w:rsidRDefault="00E67099" w:rsidP="00E67099">
            <w:pP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Consiliul Superior al Procurorilor</w:t>
            </w:r>
          </w:p>
        </w:tc>
        <w:tc>
          <w:tcPr>
            <w:tcW w:w="532" w:type="dxa"/>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302</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5.474,10</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5.474,10</w:t>
            </w:r>
          </w:p>
        </w:tc>
        <w:tc>
          <w:tcPr>
            <w:tcW w:w="13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5.474,10</w:t>
            </w:r>
          </w:p>
        </w:tc>
        <w:tc>
          <w:tcPr>
            <w:tcW w:w="14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5.049,02</w:t>
            </w:r>
          </w:p>
        </w:tc>
        <w:tc>
          <w:tcPr>
            <w:tcW w:w="115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92,23</w:t>
            </w:r>
          </w:p>
        </w:tc>
        <w:tc>
          <w:tcPr>
            <w:tcW w:w="122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-425,08</w:t>
            </w:r>
          </w:p>
        </w:tc>
        <w:tc>
          <w:tcPr>
            <w:tcW w:w="9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92,23</w:t>
            </w:r>
          </w:p>
        </w:tc>
        <w:tc>
          <w:tcPr>
            <w:tcW w:w="13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-425,08</w:t>
            </w:r>
          </w:p>
        </w:tc>
      </w:tr>
      <w:tr w:rsidR="00E67099" w:rsidRPr="00E67099" w:rsidTr="00A36731">
        <w:trPr>
          <w:trHeight w:val="324"/>
        </w:trPr>
        <w:tc>
          <w:tcPr>
            <w:cnfStyle w:val="001000000000" w:firstRow="0" w:lastRow="0" w:firstColumn="1" w:lastColumn="0" w:oddVBand="0" w:evenVBand="0" w:oddHBand="0" w:evenHBand="0" w:firstRowFirstColumn="0" w:firstRowLastColumn="0" w:lastRowFirstColumn="0" w:lastRowLastColumn="0"/>
            <w:tcW w:w="2967" w:type="dxa"/>
            <w:hideMark/>
          </w:tcPr>
          <w:p w:rsidR="00E67099" w:rsidRPr="00E67099" w:rsidRDefault="00E67099" w:rsidP="00E67099">
            <w:pP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Procuratura Generală</w:t>
            </w:r>
          </w:p>
        </w:tc>
        <w:tc>
          <w:tcPr>
            <w:tcW w:w="532" w:type="dxa"/>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303</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302.373,50</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307.541,90</w:t>
            </w:r>
          </w:p>
        </w:tc>
        <w:tc>
          <w:tcPr>
            <w:tcW w:w="13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307.541,90</w:t>
            </w:r>
          </w:p>
        </w:tc>
        <w:tc>
          <w:tcPr>
            <w:tcW w:w="14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299.825,81</w:t>
            </w:r>
          </w:p>
        </w:tc>
        <w:tc>
          <w:tcPr>
            <w:tcW w:w="115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99,16</w:t>
            </w:r>
          </w:p>
        </w:tc>
        <w:tc>
          <w:tcPr>
            <w:tcW w:w="122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-2.547,69</w:t>
            </w:r>
          </w:p>
        </w:tc>
        <w:tc>
          <w:tcPr>
            <w:tcW w:w="9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97,49</w:t>
            </w:r>
          </w:p>
        </w:tc>
        <w:tc>
          <w:tcPr>
            <w:tcW w:w="13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-7.716,09</w:t>
            </w:r>
          </w:p>
        </w:tc>
      </w:tr>
      <w:tr w:rsidR="00E67099" w:rsidRPr="00E67099" w:rsidTr="00A36731">
        <w:trPr>
          <w:trHeight w:val="324"/>
        </w:trPr>
        <w:tc>
          <w:tcPr>
            <w:cnfStyle w:val="001000000000" w:firstRow="0" w:lastRow="0" w:firstColumn="1" w:lastColumn="0" w:oddVBand="0" w:evenVBand="0" w:oddHBand="0" w:evenHBand="0" w:firstRowFirstColumn="0" w:firstRowLastColumn="0" w:lastRowFirstColumn="0" w:lastRowLastColumn="0"/>
            <w:tcW w:w="2967" w:type="dxa"/>
            <w:hideMark/>
          </w:tcPr>
          <w:p w:rsidR="00E67099" w:rsidRPr="00E67099" w:rsidRDefault="00E67099" w:rsidP="00E67099">
            <w:pP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Oficiul Avocatului Poporului</w:t>
            </w:r>
          </w:p>
        </w:tc>
        <w:tc>
          <w:tcPr>
            <w:tcW w:w="532" w:type="dxa"/>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401</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7.430,70</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7.112,10</w:t>
            </w:r>
          </w:p>
        </w:tc>
        <w:tc>
          <w:tcPr>
            <w:tcW w:w="13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7.112,10</w:t>
            </w:r>
          </w:p>
        </w:tc>
        <w:tc>
          <w:tcPr>
            <w:tcW w:w="14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6.581,06</w:t>
            </w:r>
          </w:p>
        </w:tc>
        <w:tc>
          <w:tcPr>
            <w:tcW w:w="115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88,57</w:t>
            </w:r>
          </w:p>
        </w:tc>
        <w:tc>
          <w:tcPr>
            <w:tcW w:w="122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-849,64</w:t>
            </w:r>
          </w:p>
        </w:tc>
        <w:tc>
          <w:tcPr>
            <w:tcW w:w="9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92,53</w:t>
            </w:r>
          </w:p>
        </w:tc>
        <w:tc>
          <w:tcPr>
            <w:tcW w:w="13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-531,04</w:t>
            </w:r>
          </w:p>
        </w:tc>
      </w:tr>
      <w:tr w:rsidR="00E67099" w:rsidRPr="00E67099" w:rsidTr="00A36731">
        <w:trPr>
          <w:trHeight w:val="324"/>
        </w:trPr>
        <w:tc>
          <w:tcPr>
            <w:cnfStyle w:val="001000000000" w:firstRow="0" w:lastRow="0" w:firstColumn="1" w:lastColumn="0" w:oddVBand="0" w:evenVBand="0" w:oddHBand="0" w:evenHBand="0" w:firstRowFirstColumn="0" w:firstRowLastColumn="0" w:lastRowFirstColumn="0" w:lastRowLastColumn="0"/>
            <w:tcW w:w="2967" w:type="dxa"/>
            <w:hideMark/>
          </w:tcPr>
          <w:p w:rsidR="00E67099" w:rsidRPr="00E67099" w:rsidRDefault="00E67099" w:rsidP="00E67099">
            <w:pP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Comisia Electorală Centrală</w:t>
            </w:r>
          </w:p>
        </w:tc>
        <w:tc>
          <w:tcPr>
            <w:tcW w:w="532" w:type="dxa"/>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402</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11.881,50</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16.416,00</w:t>
            </w:r>
          </w:p>
        </w:tc>
        <w:tc>
          <w:tcPr>
            <w:tcW w:w="13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16.416,00</w:t>
            </w:r>
          </w:p>
        </w:tc>
        <w:tc>
          <w:tcPr>
            <w:tcW w:w="14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15.881,77</w:t>
            </w:r>
          </w:p>
        </w:tc>
        <w:tc>
          <w:tcPr>
            <w:tcW w:w="115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133,67</w:t>
            </w:r>
          </w:p>
        </w:tc>
        <w:tc>
          <w:tcPr>
            <w:tcW w:w="122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4.000,27</w:t>
            </w:r>
          </w:p>
        </w:tc>
        <w:tc>
          <w:tcPr>
            <w:tcW w:w="9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96,75</w:t>
            </w:r>
          </w:p>
        </w:tc>
        <w:tc>
          <w:tcPr>
            <w:tcW w:w="13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-534,23</w:t>
            </w:r>
          </w:p>
        </w:tc>
      </w:tr>
      <w:tr w:rsidR="00E67099" w:rsidRPr="00E67099" w:rsidTr="00A36731">
        <w:trPr>
          <w:trHeight w:val="497"/>
        </w:trPr>
        <w:tc>
          <w:tcPr>
            <w:cnfStyle w:val="001000000000" w:firstRow="0" w:lastRow="0" w:firstColumn="1" w:lastColumn="0" w:oddVBand="0" w:evenVBand="0" w:oddHBand="0" w:evenHBand="0" w:firstRowFirstColumn="0" w:firstRowLastColumn="0" w:lastRowFirstColumn="0" w:lastRowLastColumn="0"/>
            <w:tcW w:w="2967" w:type="dxa"/>
            <w:hideMark/>
          </w:tcPr>
          <w:p w:rsidR="00E67099" w:rsidRPr="00E67099" w:rsidRDefault="00E67099" w:rsidP="00E67099">
            <w:pP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Centrul Național pentru Protecția Datelor cu Caracter Personal</w:t>
            </w:r>
          </w:p>
        </w:tc>
        <w:tc>
          <w:tcPr>
            <w:tcW w:w="532" w:type="dxa"/>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403</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5.476,30</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5.609,50</w:t>
            </w:r>
          </w:p>
        </w:tc>
        <w:tc>
          <w:tcPr>
            <w:tcW w:w="13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5.609,50</w:t>
            </w:r>
          </w:p>
        </w:tc>
        <w:tc>
          <w:tcPr>
            <w:tcW w:w="14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5.225,30</w:t>
            </w:r>
          </w:p>
        </w:tc>
        <w:tc>
          <w:tcPr>
            <w:tcW w:w="115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95,42</w:t>
            </w:r>
          </w:p>
        </w:tc>
        <w:tc>
          <w:tcPr>
            <w:tcW w:w="122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-251,00</w:t>
            </w:r>
          </w:p>
        </w:tc>
        <w:tc>
          <w:tcPr>
            <w:tcW w:w="9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93,15</w:t>
            </w:r>
          </w:p>
        </w:tc>
        <w:tc>
          <w:tcPr>
            <w:tcW w:w="13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-384,20</w:t>
            </w:r>
          </w:p>
        </w:tc>
      </w:tr>
      <w:tr w:rsidR="00E67099" w:rsidRPr="00E67099" w:rsidTr="00A36731">
        <w:trPr>
          <w:trHeight w:val="419"/>
        </w:trPr>
        <w:tc>
          <w:tcPr>
            <w:cnfStyle w:val="001000000000" w:firstRow="0" w:lastRow="0" w:firstColumn="1" w:lastColumn="0" w:oddVBand="0" w:evenVBand="0" w:oddHBand="0" w:evenHBand="0" w:firstRowFirstColumn="0" w:firstRowLastColumn="0" w:lastRowFirstColumn="0" w:lastRowLastColumn="0"/>
            <w:tcW w:w="2967" w:type="dxa"/>
            <w:hideMark/>
          </w:tcPr>
          <w:p w:rsidR="00E67099" w:rsidRPr="00E67099" w:rsidRDefault="00E67099" w:rsidP="00E67099">
            <w:pP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Consiliul Coordonator al Audiovizualului</w:t>
            </w:r>
          </w:p>
        </w:tc>
        <w:tc>
          <w:tcPr>
            <w:tcW w:w="532" w:type="dxa"/>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404</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5.790,00</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6.664,10</w:t>
            </w:r>
          </w:p>
        </w:tc>
        <w:tc>
          <w:tcPr>
            <w:tcW w:w="13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6.664,10</w:t>
            </w:r>
          </w:p>
        </w:tc>
        <w:tc>
          <w:tcPr>
            <w:tcW w:w="14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6.554,36</w:t>
            </w:r>
          </w:p>
        </w:tc>
        <w:tc>
          <w:tcPr>
            <w:tcW w:w="115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113,20</w:t>
            </w:r>
          </w:p>
        </w:tc>
        <w:tc>
          <w:tcPr>
            <w:tcW w:w="122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764,36</w:t>
            </w:r>
          </w:p>
        </w:tc>
        <w:tc>
          <w:tcPr>
            <w:tcW w:w="9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98,35</w:t>
            </w:r>
          </w:p>
        </w:tc>
        <w:tc>
          <w:tcPr>
            <w:tcW w:w="13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-109,74</w:t>
            </w:r>
          </w:p>
        </w:tc>
      </w:tr>
      <w:tr w:rsidR="00E67099" w:rsidRPr="00E67099" w:rsidTr="00A36731">
        <w:trPr>
          <w:trHeight w:val="324"/>
        </w:trPr>
        <w:tc>
          <w:tcPr>
            <w:cnfStyle w:val="001000000000" w:firstRow="0" w:lastRow="0" w:firstColumn="1" w:lastColumn="0" w:oddVBand="0" w:evenVBand="0" w:oddHBand="0" w:evenHBand="0" w:firstRowFirstColumn="0" w:firstRowLastColumn="0" w:lastRowFirstColumn="0" w:lastRowLastColumn="0"/>
            <w:tcW w:w="2967" w:type="dxa"/>
            <w:hideMark/>
          </w:tcPr>
          <w:p w:rsidR="00E67099" w:rsidRPr="00E67099" w:rsidRDefault="00E67099" w:rsidP="00E67099">
            <w:pP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Consiliul Concurenței</w:t>
            </w:r>
          </w:p>
        </w:tc>
        <w:tc>
          <w:tcPr>
            <w:tcW w:w="532" w:type="dxa"/>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405</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16.448,10</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16.684,60</w:t>
            </w:r>
          </w:p>
        </w:tc>
        <w:tc>
          <w:tcPr>
            <w:tcW w:w="13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16.684,60</w:t>
            </w:r>
          </w:p>
        </w:tc>
        <w:tc>
          <w:tcPr>
            <w:tcW w:w="14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16.684,60</w:t>
            </w:r>
          </w:p>
        </w:tc>
        <w:tc>
          <w:tcPr>
            <w:tcW w:w="115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101,44</w:t>
            </w:r>
          </w:p>
        </w:tc>
        <w:tc>
          <w:tcPr>
            <w:tcW w:w="122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236,50</w:t>
            </w:r>
          </w:p>
        </w:tc>
        <w:tc>
          <w:tcPr>
            <w:tcW w:w="9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100,00</w:t>
            </w:r>
          </w:p>
        </w:tc>
        <w:tc>
          <w:tcPr>
            <w:tcW w:w="13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0,00</w:t>
            </w:r>
          </w:p>
        </w:tc>
      </w:tr>
      <w:tr w:rsidR="00E67099" w:rsidRPr="00E67099" w:rsidTr="00A36731">
        <w:trPr>
          <w:trHeight w:val="324"/>
        </w:trPr>
        <w:tc>
          <w:tcPr>
            <w:cnfStyle w:val="001000000000" w:firstRow="0" w:lastRow="0" w:firstColumn="1" w:lastColumn="0" w:oddVBand="0" w:evenVBand="0" w:oddHBand="0" w:evenHBand="0" w:firstRowFirstColumn="0" w:firstRowLastColumn="0" w:lastRowFirstColumn="0" w:lastRowLastColumn="0"/>
            <w:tcW w:w="2967" w:type="dxa"/>
            <w:hideMark/>
          </w:tcPr>
          <w:p w:rsidR="00E67099" w:rsidRPr="00E67099" w:rsidRDefault="00E67099" w:rsidP="00E67099">
            <w:pP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Serviciul de Informații și Securitate</w:t>
            </w:r>
          </w:p>
        </w:tc>
        <w:tc>
          <w:tcPr>
            <w:tcW w:w="532" w:type="dxa"/>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406</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137.879,70</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184.454,30</w:t>
            </w:r>
          </w:p>
        </w:tc>
        <w:tc>
          <w:tcPr>
            <w:tcW w:w="13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184.454,30</w:t>
            </w:r>
          </w:p>
        </w:tc>
        <w:tc>
          <w:tcPr>
            <w:tcW w:w="14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177.926,30</w:t>
            </w:r>
          </w:p>
        </w:tc>
        <w:tc>
          <w:tcPr>
            <w:tcW w:w="115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129,04</w:t>
            </w:r>
          </w:p>
        </w:tc>
        <w:tc>
          <w:tcPr>
            <w:tcW w:w="122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40.046,60</w:t>
            </w:r>
          </w:p>
        </w:tc>
        <w:tc>
          <w:tcPr>
            <w:tcW w:w="9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96,46</w:t>
            </w:r>
          </w:p>
        </w:tc>
        <w:tc>
          <w:tcPr>
            <w:tcW w:w="13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-6.528,00</w:t>
            </w:r>
          </w:p>
        </w:tc>
      </w:tr>
      <w:tr w:rsidR="00E67099" w:rsidRPr="00E67099" w:rsidTr="00A36731">
        <w:trPr>
          <w:trHeight w:val="324"/>
        </w:trPr>
        <w:tc>
          <w:tcPr>
            <w:cnfStyle w:val="001000000000" w:firstRow="0" w:lastRow="0" w:firstColumn="1" w:lastColumn="0" w:oddVBand="0" w:evenVBand="0" w:oddHBand="0" w:evenHBand="0" w:firstRowFirstColumn="0" w:firstRowLastColumn="0" w:lastRowFirstColumn="0" w:lastRowLastColumn="0"/>
            <w:tcW w:w="2967" w:type="dxa"/>
            <w:hideMark/>
          </w:tcPr>
          <w:p w:rsidR="00E67099" w:rsidRPr="00E67099" w:rsidRDefault="00E67099" w:rsidP="00E67099">
            <w:pP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Autoritatea Națională de Integritate</w:t>
            </w:r>
          </w:p>
        </w:tc>
        <w:tc>
          <w:tcPr>
            <w:tcW w:w="532" w:type="dxa"/>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407</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16.793,10</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10.293,10</w:t>
            </w:r>
          </w:p>
        </w:tc>
        <w:tc>
          <w:tcPr>
            <w:tcW w:w="13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10.293,10</w:t>
            </w:r>
          </w:p>
        </w:tc>
        <w:tc>
          <w:tcPr>
            <w:tcW w:w="14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6.157,41</w:t>
            </w:r>
          </w:p>
        </w:tc>
        <w:tc>
          <w:tcPr>
            <w:tcW w:w="115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36,67</w:t>
            </w:r>
          </w:p>
        </w:tc>
        <w:tc>
          <w:tcPr>
            <w:tcW w:w="122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-10.635,69</w:t>
            </w:r>
          </w:p>
        </w:tc>
        <w:tc>
          <w:tcPr>
            <w:tcW w:w="9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59,82</w:t>
            </w:r>
          </w:p>
        </w:tc>
        <w:tc>
          <w:tcPr>
            <w:tcW w:w="13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-4.135,69</w:t>
            </w:r>
          </w:p>
        </w:tc>
      </w:tr>
      <w:tr w:rsidR="00E67099" w:rsidRPr="00E67099" w:rsidTr="00A36731">
        <w:trPr>
          <w:trHeight w:val="417"/>
        </w:trPr>
        <w:tc>
          <w:tcPr>
            <w:cnfStyle w:val="001000000000" w:firstRow="0" w:lastRow="0" w:firstColumn="1" w:lastColumn="0" w:oddVBand="0" w:evenVBand="0" w:oddHBand="0" w:evenHBand="0" w:firstRowFirstColumn="0" w:firstRowLastColumn="0" w:lastRowFirstColumn="0" w:lastRowLastColumn="0"/>
            <w:tcW w:w="2967" w:type="dxa"/>
            <w:hideMark/>
          </w:tcPr>
          <w:p w:rsidR="00E67099" w:rsidRPr="00E67099" w:rsidRDefault="00E67099" w:rsidP="00E67099">
            <w:pP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Serviciul de Protecție și Pază de Stat</w:t>
            </w:r>
          </w:p>
        </w:tc>
        <w:tc>
          <w:tcPr>
            <w:tcW w:w="532" w:type="dxa"/>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408</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63.868,90</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62.232,90</w:t>
            </w:r>
          </w:p>
        </w:tc>
        <w:tc>
          <w:tcPr>
            <w:tcW w:w="13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62.364,90</w:t>
            </w:r>
          </w:p>
        </w:tc>
        <w:tc>
          <w:tcPr>
            <w:tcW w:w="14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62.364,90</w:t>
            </w:r>
          </w:p>
        </w:tc>
        <w:tc>
          <w:tcPr>
            <w:tcW w:w="115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97,65</w:t>
            </w:r>
          </w:p>
        </w:tc>
        <w:tc>
          <w:tcPr>
            <w:tcW w:w="122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-1.504,00</w:t>
            </w:r>
          </w:p>
        </w:tc>
        <w:tc>
          <w:tcPr>
            <w:tcW w:w="9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100,00</w:t>
            </w:r>
          </w:p>
        </w:tc>
        <w:tc>
          <w:tcPr>
            <w:tcW w:w="13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0,00</w:t>
            </w:r>
          </w:p>
        </w:tc>
      </w:tr>
      <w:tr w:rsidR="00E67099" w:rsidRPr="00E67099" w:rsidTr="00A36731">
        <w:trPr>
          <w:trHeight w:val="636"/>
        </w:trPr>
        <w:tc>
          <w:tcPr>
            <w:cnfStyle w:val="001000000000" w:firstRow="0" w:lastRow="0" w:firstColumn="1" w:lastColumn="0" w:oddVBand="0" w:evenVBand="0" w:oddHBand="0" w:evenHBand="0" w:firstRowFirstColumn="0" w:firstRowLastColumn="0" w:lastRowFirstColumn="0" w:lastRowLastColumn="0"/>
            <w:tcW w:w="2967" w:type="dxa"/>
            <w:hideMark/>
          </w:tcPr>
          <w:p w:rsidR="00E67099" w:rsidRPr="00E67099" w:rsidRDefault="00E67099" w:rsidP="00E67099">
            <w:pP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Consiliul pentru prevenirea și eliminarea discriminării și asigurarea egalității</w:t>
            </w:r>
          </w:p>
        </w:tc>
        <w:tc>
          <w:tcPr>
            <w:tcW w:w="532" w:type="dxa"/>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409</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1.960,80</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2.231,90</w:t>
            </w:r>
          </w:p>
        </w:tc>
        <w:tc>
          <w:tcPr>
            <w:tcW w:w="13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2.263,90</w:t>
            </w:r>
          </w:p>
        </w:tc>
        <w:tc>
          <w:tcPr>
            <w:tcW w:w="14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2.261,25</w:t>
            </w:r>
          </w:p>
        </w:tc>
        <w:tc>
          <w:tcPr>
            <w:tcW w:w="115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115,32</w:t>
            </w:r>
          </w:p>
        </w:tc>
        <w:tc>
          <w:tcPr>
            <w:tcW w:w="122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300,45</w:t>
            </w:r>
          </w:p>
        </w:tc>
        <w:tc>
          <w:tcPr>
            <w:tcW w:w="9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99,88</w:t>
            </w:r>
          </w:p>
        </w:tc>
        <w:tc>
          <w:tcPr>
            <w:tcW w:w="13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-2,65</w:t>
            </w:r>
          </w:p>
        </w:tc>
      </w:tr>
      <w:tr w:rsidR="00E67099" w:rsidRPr="00E67099" w:rsidTr="00A36731">
        <w:trPr>
          <w:trHeight w:val="636"/>
        </w:trPr>
        <w:tc>
          <w:tcPr>
            <w:cnfStyle w:val="001000000000" w:firstRow="0" w:lastRow="0" w:firstColumn="1" w:lastColumn="0" w:oddVBand="0" w:evenVBand="0" w:oddHBand="0" w:evenHBand="0" w:firstRowFirstColumn="0" w:firstRowLastColumn="0" w:lastRowFirstColumn="0" w:lastRowLastColumn="0"/>
            <w:tcW w:w="2967" w:type="dxa"/>
            <w:hideMark/>
          </w:tcPr>
          <w:p w:rsidR="00E67099" w:rsidRPr="00E67099" w:rsidRDefault="00E67099" w:rsidP="00E67099">
            <w:pP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Agenția Națională pentru Soluționarea Contestațiilor</w:t>
            </w:r>
          </w:p>
        </w:tc>
        <w:tc>
          <w:tcPr>
            <w:tcW w:w="532" w:type="dxa"/>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410</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3.572,80</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4.339,30</w:t>
            </w:r>
          </w:p>
        </w:tc>
        <w:tc>
          <w:tcPr>
            <w:tcW w:w="13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4.339,30</w:t>
            </w:r>
          </w:p>
        </w:tc>
        <w:tc>
          <w:tcPr>
            <w:tcW w:w="14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4.252,47</w:t>
            </w:r>
          </w:p>
        </w:tc>
        <w:tc>
          <w:tcPr>
            <w:tcW w:w="115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119,02</w:t>
            </w:r>
          </w:p>
        </w:tc>
        <w:tc>
          <w:tcPr>
            <w:tcW w:w="122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679,67</w:t>
            </w:r>
          </w:p>
        </w:tc>
        <w:tc>
          <w:tcPr>
            <w:tcW w:w="9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98,00</w:t>
            </w:r>
          </w:p>
        </w:tc>
        <w:tc>
          <w:tcPr>
            <w:tcW w:w="13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-86,83</w:t>
            </w:r>
          </w:p>
        </w:tc>
      </w:tr>
      <w:tr w:rsidR="00E67099" w:rsidRPr="00E67099" w:rsidTr="00A36731">
        <w:trPr>
          <w:trHeight w:val="418"/>
        </w:trPr>
        <w:tc>
          <w:tcPr>
            <w:cnfStyle w:val="001000000000" w:firstRow="0" w:lastRow="0" w:firstColumn="1" w:lastColumn="0" w:oddVBand="0" w:evenVBand="0" w:oddHBand="0" w:evenHBand="0" w:firstRowFirstColumn="0" w:firstRowLastColumn="0" w:lastRowFirstColumn="0" w:lastRowLastColumn="0"/>
            <w:tcW w:w="2967" w:type="dxa"/>
            <w:hideMark/>
          </w:tcPr>
          <w:p w:rsidR="00E67099" w:rsidRPr="00E67099" w:rsidRDefault="00E67099" w:rsidP="00E67099">
            <w:pP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Serviciul Prevenirea și Combaterea Spălării Banilor</w:t>
            </w:r>
          </w:p>
        </w:tc>
        <w:tc>
          <w:tcPr>
            <w:tcW w:w="532" w:type="dxa"/>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411</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9.374,70</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8.723,70</w:t>
            </w:r>
          </w:p>
        </w:tc>
        <w:tc>
          <w:tcPr>
            <w:tcW w:w="13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8.723,70</w:t>
            </w:r>
          </w:p>
        </w:tc>
        <w:tc>
          <w:tcPr>
            <w:tcW w:w="14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7.840,42</w:t>
            </w:r>
          </w:p>
        </w:tc>
        <w:tc>
          <w:tcPr>
            <w:tcW w:w="115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83,63</w:t>
            </w:r>
          </w:p>
        </w:tc>
        <w:tc>
          <w:tcPr>
            <w:tcW w:w="122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-1.534,28</w:t>
            </w:r>
          </w:p>
        </w:tc>
        <w:tc>
          <w:tcPr>
            <w:tcW w:w="9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89,87</w:t>
            </w:r>
          </w:p>
        </w:tc>
        <w:tc>
          <w:tcPr>
            <w:tcW w:w="13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-883,28</w:t>
            </w:r>
          </w:p>
        </w:tc>
      </w:tr>
      <w:tr w:rsidR="00E67099" w:rsidRPr="00E67099" w:rsidTr="00A36731">
        <w:trPr>
          <w:trHeight w:val="324"/>
        </w:trPr>
        <w:tc>
          <w:tcPr>
            <w:cnfStyle w:val="001000000000" w:firstRow="0" w:lastRow="0" w:firstColumn="1" w:lastColumn="0" w:oddVBand="0" w:evenVBand="0" w:oddHBand="0" w:evenHBand="0" w:firstRowFirstColumn="0" w:firstRowLastColumn="0" w:lastRowFirstColumn="0" w:lastRowLastColumn="0"/>
            <w:tcW w:w="2967" w:type="dxa"/>
            <w:hideMark/>
          </w:tcPr>
          <w:p w:rsidR="00E67099" w:rsidRPr="00E67099" w:rsidRDefault="00E67099" w:rsidP="00E67099">
            <w:pP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Academia de Științe a Moldovei</w:t>
            </w:r>
          </w:p>
        </w:tc>
        <w:tc>
          <w:tcPr>
            <w:tcW w:w="532" w:type="dxa"/>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501</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8.621,40</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7.184,40</w:t>
            </w:r>
          </w:p>
        </w:tc>
        <w:tc>
          <w:tcPr>
            <w:tcW w:w="13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7.478,40</w:t>
            </w:r>
          </w:p>
        </w:tc>
        <w:tc>
          <w:tcPr>
            <w:tcW w:w="14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7.451,91</w:t>
            </w:r>
          </w:p>
        </w:tc>
        <w:tc>
          <w:tcPr>
            <w:tcW w:w="115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86,44</w:t>
            </w:r>
          </w:p>
        </w:tc>
        <w:tc>
          <w:tcPr>
            <w:tcW w:w="122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-1.169,49</w:t>
            </w:r>
          </w:p>
        </w:tc>
        <w:tc>
          <w:tcPr>
            <w:tcW w:w="9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99,65</w:t>
            </w:r>
          </w:p>
        </w:tc>
        <w:tc>
          <w:tcPr>
            <w:tcW w:w="13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-26,49</w:t>
            </w:r>
          </w:p>
        </w:tc>
      </w:tr>
      <w:tr w:rsidR="00E67099" w:rsidRPr="00E67099" w:rsidTr="00A36731">
        <w:trPr>
          <w:trHeight w:val="160"/>
        </w:trPr>
        <w:tc>
          <w:tcPr>
            <w:cnfStyle w:val="001000000000" w:firstRow="0" w:lastRow="0" w:firstColumn="1" w:lastColumn="0" w:oddVBand="0" w:evenVBand="0" w:oddHBand="0" w:evenHBand="0" w:firstRowFirstColumn="0" w:firstRowLastColumn="0" w:lastRowFirstColumn="0" w:lastRowLastColumn="0"/>
            <w:tcW w:w="2967" w:type="dxa"/>
            <w:hideMark/>
          </w:tcPr>
          <w:p w:rsidR="00E67099" w:rsidRPr="00E67099" w:rsidRDefault="00E67099" w:rsidP="00E67099">
            <w:pP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Institutul Național al Justiției</w:t>
            </w:r>
          </w:p>
        </w:tc>
        <w:tc>
          <w:tcPr>
            <w:tcW w:w="532" w:type="dxa"/>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502</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10.512,70</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10.137,40</w:t>
            </w:r>
          </w:p>
        </w:tc>
        <w:tc>
          <w:tcPr>
            <w:tcW w:w="13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10.137,40</w:t>
            </w:r>
          </w:p>
        </w:tc>
        <w:tc>
          <w:tcPr>
            <w:tcW w:w="14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9.479,34</w:t>
            </w:r>
          </w:p>
        </w:tc>
        <w:tc>
          <w:tcPr>
            <w:tcW w:w="115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90,17</w:t>
            </w:r>
          </w:p>
        </w:tc>
        <w:tc>
          <w:tcPr>
            <w:tcW w:w="122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-1.033,36</w:t>
            </w:r>
          </w:p>
        </w:tc>
        <w:tc>
          <w:tcPr>
            <w:tcW w:w="9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93,51</w:t>
            </w:r>
          </w:p>
        </w:tc>
        <w:tc>
          <w:tcPr>
            <w:tcW w:w="13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-658,06</w:t>
            </w:r>
          </w:p>
        </w:tc>
      </w:tr>
      <w:tr w:rsidR="00E67099" w:rsidRPr="00E67099" w:rsidTr="00A36731">
        <w:trPr>
          <w:trHeight w:val="324"/>
        </w:trPr>
        <w:tc>
          <w:tcPr>
            <w:cnfStyle w:val="001000000000" w:firstRow="0" w:lastRow="0" w:firstColumn="1" w:lastColumn="0" w:oddVBand="0" w:evenVBand="0" w:oddHBand="0" w:evenHBand="0" w:firstRowFirstColumn="0" w:firstRowLastColumn="0" w:lastRowFirstColumn="0" w:lastRowLastColumn="0"/>
            <w:tcW w:w="2967" w:type="dxa"/>
            <w:hideMark/>
          </w:tcPr>
          <w:p w:rsidR="00E67099" w:rsidRPr="00E67099" w:rsidRDefault="00E67099" w:rsidP="00E67099">
            <w:pP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Acțiuni generale</w:t>
            </w:r>
          </w:p>
        </w:tc>
        <w:tc>
          <w:tcPr>
            <w:tcW w:w="532" w:type="dxa"/>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799</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646.746,50</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760.497,60</w:t>
            </w:r>
          </w:p>
        </w:tc>
        <w:tc>
          <w:tcPr>
            <w:tcW w:w="13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228.008,10</w:t>
            </w:r>
          </w:p>
        </w:tc>
        <w:tc>
          <w:tcPr>
            <w:tcW w:w="1439" w:type="dxa"/>
            <w:vAlign w:val="center"/>
            <w:hideMark/>
          </w:tcPr>
          <w:p w:rsidR="00E67099" w:rsidRPr="00E67099" w:rsidRDefault="00E67099" w:rsidP="00E6709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 </w:t>
            </w:r>
          </w:p>
        </w:tc>
        <w:tc>
          <w:tcPr>
            <w:tcW w:w="115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0,00</w:t>
            </w:r>
          </w:p>
        </w:tc>
        <w:tc>
          <w:tcPr>
            <w:tcW w:w="122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-646.746,50</w:t>
            </w:r>
          </w:p>
        </w:tc>
        <w:tc>
          <w:tcPr>
            <w:tcW w:w="9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0,00</w:t>
            </w:r>
          </w:p>
        </w:tc>
        <w:tc>
          <w:tcPr>
            <w:tcW w:w="13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-228.008,10</w:t>
            </w:r>
          </w:p>
        </w:tc>
      </w:tr>
      <w:tr w:rsidR="00E67099" w:rsidRPr="00E67099" w:rsidTr="00A36731">
        <w:trPr>
          <w:trHeight w:val="324"/>
        </w:trPr>
        <w:tc>
          <w:tcPr>
            <w:cnfStyle w:val="001000000000" w:firstRow="0" w:lastRow="0" w:firstColumn="1" w:lastColumn="0" w:oddVBand="0" w:evenVBand="0" w:oddHBand="0" w:evenHBand="0" w:firstRowFirstColumn="0" w:firstRowLastColumn="0" w:lastRowFirstColumn="0" w:lastRowLastColumn="0"/>
            <w:tcW w:w="2967" w:type="dxa"/>
            <w:hideMark/>
          </w:tcPr>
          <w:p w:rsidR="00E67099" w:rsidRPr="00E67099" w:rsidRDefault="00E67099" w:rsidP="00E67099">
            <w:pPr>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TOTAL</w:t>
            </w:r>
          </w:p>
        </w:tc>
        <w:tc>
          <w:tcPr>
            <w:tcW w:w="532" w:type="dxa"/>
            <w:hideMark/>
          </w:tcPr>
          <w:p w:rsidR="00E67099" w:rsidRPr="00E67099" w:rsidRDefault="00E67099" w:rsidP="00E6709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E67099">
              <w:rPr>
                <w:rFonts w:asciiTheme="majorHAnsi" w:eastAsia="Times New Roman" w:hAnsiTheme="majorHAnsi" w:cstheme="majorHAnsi"/>
                <w:b/>
                <w:bCs/>
                <w:color w:val="000000"/>
                <w:sz w:val="20"/>
                <w:szCs w:val="20"/>
                <w:lang w:val="ro-MD"/>
              </w:rPr>
              <w:t> </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E67099">
              <w:rPr>
                <w:rFonts w:asciiTheme="majorHAnsi" w:eastAsia="Times New Roman" w:hAnsiTheme="majorHAnsi" w:cstheme="majorHAnsi"/>
                <w:b/>
                <w:bCs/>
                <w:color w:val="000000"/>
                <w:sz w:val="20"/>
                <w:szCs w:val="20"/>
                <w:lang w:val="ro-MD"/>
              </w:rPr>
              <w:t>7.226.722,80</w:t>
            </w:r>
          </w:p>
        </w:tc>
        <w:tc>
          <w:tcPr>
            <w:tcW w:w="136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E67099">
              <w:rPr>
                <w:rFonts w:asciiTheme="majorHAnsi" w:eastAsia="Times New Roman" w:hAnsiTheme="majorHAnsi" w:cstheme="majorHAnsi"/>
                <w:b/>
                <w:bCs/>
                <w:color w:val="000000"/>
                <w:sz w:val="20"/>
                <w:szCs w:val="20"/>
                <w:lang w:val="ro-MD"/>
              </w:rPr>
              <w:t>7.281.021,90</w:t>
            </w:r>
          </w:p>
        </w:tc>
        <w:tc>
          <w:tcPr>
            <w:tcW w:w="13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E67099">
              <w:rPr>
                <w:rFonts w:asciiTheme="majorHAnsi" w:eastAsia="Times New Roman" w:hAnsiTheme="majorHAnsi" w:cstheme="majorHAnsi"/>
                <w:b/>
                <w:bCs/>
                <w:color w:val="000000"/>
                <w:sz w:val="20"/>
                <w:szCs w:val="20"/>
                <w:lang w:val="ro-MD"/>
              </w:rPr>
              <w:t>6.781.412,53</w:t>
            </w:r>
          </w:p>
        </w:tc>
        <w:tc>
          <w:tcPr>
            <w:tcW w:w="14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E67099">
              <w:rPr>
                <w:rFonts w:asciiTheme="majorHAnsi" w:eastAsia="Times New Roman" w:hAnsiTheme="majorHAnsi" w:cstheme="majorHAnsi"/>
                <w:b/>
                <w:bCs/>
                <w:color w:val="000000"/>
                <w:sz w:val="20"/>
                <w:szCs w:val="20"/>
                <w:lang w:val="ro-MD"/>
              </w:rPr>
              <w:t>6.465.290,66</w:t>
            </w:r>
          </w:p>
        </w:tc>
        <w:tc>
          <w:tcPr>
            <w:tcW w:w="115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89,46</w:t>
            </w:r>
          </w:p>
        </w:tc>
        <w:tc>
          <w:tcPr>
            <w:tcW w:w="122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E67099">
              <w:rPr>
                <w:rFonts w:asciiTheme="majorHAnsi" w:eastAsia="Times New Roman" w:hAnsiTheme="majorHAnsi" w:cstheme="majorHAnsi"/>
                <w:b/>
                <w:bCs/>
                <w:color w:val="000000"/>
                <w:sz w:val="20"/>
                <w:szCs w:val="20"/>
                <w:lang w:val="ro-MD"/>
              </w:rPr>
              <w:t>-761.432,14</w:t>
            </w:r>
          </w:p>
        </w:tc>
        <w:tc>
          <w:tcPr>
            <w:tcW w:w="940"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o-MD"/>
              </w:rPr>
            </w:pPr>
            <w:r w:rsidRPr="00E67099">
              <w:rPr>
                <w:rFonts w:asciiTheme="majorHAnsi" w:eastAsia="Times New Roman" w:hAnsiTheme="majorHAnsi" w:cstheme="majorHAnsi"/>
                <w:i/>
                <w:color w:val="000000"/>
                <w:sz w:val="20"/>
                <w:szCs w:val="20"/>
                <w:lang w:val="ro-MD"/>
              </w:rPr>
              <w:t>95,34</w:t>
            </w:r>
          </w:p>
        </w:tc>
        <w:tc>
          <w:tcPr>
            <w:tcW w:w="1339" w:type="dxa"/>
            <w:vAlign w:val="center"/>
            <w:hideMark/>
          </w:tcPr>
          <w:p w:rsidR="00E67099" w:rsidRPr="00E67099"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E67099">
              <w:rPr>
                <w:rFonts w:asciiTheme="majorHAnsi" w:eastAsia="Times New Roman" w:hAnsiTheme="majorHAnsi" w:cstheme="majorHAnsi"/>
                <w:b/>
                <w:bCs/>
                <w:color w:val="000000"/>
                <w:sz w:val="20"/>
                <w:szCs w:val="20"/>
                <w:lang w:val="ro-MD"/>
              </w:rPr>
              <w:t>-316.121,87</w:t>
            </w:r>
          </w:p>
        </w:tc>
      </w:tr>
    </w:tbl>
    <w:p w:rsidR="00E67099" w:rsidRPr="00E67099" w:rsidRDefault="00E67099" w:rsidP="00E67099">
      <w:pPr>
        <w:shd w:val="clear" w:color="auto" w:fill="FFFFFF" w:themeFill="background1"/>
        <w:tabs>
          <w:tab w:val="left" w:pos="284"/>
          <w:tab w:val="left" w:pos="567"/>
          <w:tab w:val="left" w:pos="6237"/>
          <w:tab w:val="left" w:pos="6379"/>
        </w:tabs>
        <w:spacing w:after="0" w:line="276" w:lineRule="auto"/>
        <w:contextualSpacing/>
        <w:jc w:val="both"/>
        <w:rPr>
          <w:rFonts w:asciiTheme="majorHAnsi" w:eastAsia="Times New Roman" w:hAnsiTheme="majorHAnsi" w:cstheme="majorHAnsi"/>
          <w:b/>
          <w:sz w:val="24"/>
          <w:szCs w:val="24"/>
        </w:rPr>
      </w:pPr>
      <w:r w:rsidRPr="00E67099">
        <w:rPr>
          <w:rFonts w:asciiTheme="majorHAnsi" w:eastAsia="Times New Roman" w:hAnsiTheme="majorHAnsi" w:cstheme="majorHAnsi"/>
          <w:b/>
          <w:i/>
          <w:sz w:val="20"/>
          <w:szCs w:val="20"/>
        </w:rPr>
        <w:t>Sursă:</w:t>
      </w:r>
      <w:r w:rsidRPr="00E67099">
        <w:rPr>
          <w:rFonts w:asciiTheme="majorHAnsi" w:eastAsia="Times New Roman" w:hAnsiTheme="majorHAnsi" w:cstheme="majorHAnsi"/>
          <w:i/>
          <w:sz w:val="20"/>
          <w:szCs w:val="20"/>
        </w:rPr>
        <w:t xml:space="preserve"> Raportul privind executarea cheltuielilor de personal pe autorități publice centrale pe anul 2019 (conform Anexei nr.5 la Legea bugetului de stat pentru anul 2019), Formularul nr.5.</w:t>
      </w:r>
      <w:r w:rsidRPr="00E67099">
        <w:rPr>
          <w:rFonts w:asciiTheme="majorHAnsi" w:eastAsia="Times New Roman" w:hAnsiTheme="majorHAnsi" w:cstheme="majorHAnsi"/>
          <w:b/>
          <w:sz w:val="24"/>
          <w:szCs w:val="24"/>
        </w:rPr>
        <w:t xml:space="preserve"> </w:t>
      </w:r>
    </w:p>
    <w:p w:rsidR="00F71B6E" w:rsidRDefault="00F71B6E" w:rsidP="00E67099">
      <w:pPr>
        <w:shd w:val="clear" w:color="auto" w:fill="FFFFFF" w:themeFill="background1"/>
        <w:tabs>
          <w:tab w:val="left" w:pos="284"/>
          <w:tab w:val="left" w:pos="567"/>
          <w:tab w:val="left" w:pos="6237"/>
          <w:tab w:val="left" w:pos="6379"/>
        </w:tabs>
        <w:spacing w:after="0" w:line="276" w:lineRule="auto"/>
        <w:contextualSpacing/>
        <w:jc w:val="right"/>
        <w:rPr>
          <w:rFonts w:asciiTheme="majorHAnsi" w:eastAsia="Times New Roman" w:hAnsiTheme="majorHAnsi" w:cstheme="majorHAnsi"/>
          <w:b/>
          <w:i/>
          <w:sz w:val="24"/>
          <w:szCs w:val="24"/>
        </w:rPr>
      </w:pPr>
    </w:p>
    <w:p w:rsidR="00F71B6E" w:rsidRDefault="00F71B6E" w:rsidP="00E67099">
      <w:pPr>
        <w:shd w:val="clear" w:color="auto" w:fill="FFFFFF" w:themeFill="background1"/>
        <w:tabs>
          <w:tab w:val="left" w:pos="284"/>
          <w:tab w:val="left" w:pos="567"/>
          <w:tab w:val="left" w:pos="6237"/>
          <w:tab w:val="left" w:pos="6379"/>
        </w:tabs>
        <w:spacing w:after="0" w:line="276" w:lineRule="auto"/>
        <w:contextualSpacing/>
        <w:jc w:val="right"/>
        <w:rPr>
          <w:rFonts w:asciiTheme="majorHAnsi" w:eastAsia="Times New Roman" w:hAnsiTheme="majorHAnsi" w:cstheme="majorHAnsi"/>
          <w:b/>
          <w:i/>
          <w:sz w:val="24"/>
          <w:szCs w:val="24"/>
        </w:rPr>
      </w:pPr>
    </w:p>
    <w:p w:rsidR="00F71B6E" w:rsidRDefault="00F71B6E" w:rsidP="00E67099">
      <w:pPr>
        <w:shd w:val="clear" w:color="auto" w:fill="FFFFFF" w:themeFill="background1"/>
        <w:tabs>
          <w:tab w:val="left" w:pos="284"/>
          <w:tab w:val="left" w:pos="567"/>
          <w:tab w:val="left" w:pos="6237"/>
          <w:tab w:val="left" w:pos="6379"/>
        </w:tabs>
        <w:spacing w:after="0" w:line="276" w:lineRule="auto"/>
        <w:contextualSpacing/>
        <w:jc w:val="right"/>
        <w:rPr>
          <w:rFonts w:asciiTheme="majorHAnsi" w:eastAsia="Times New Roman" w:hAnsiTheme="majorHAnsi" w:cstheme="majorHAnsi"/>
          <w:b/>
          <w:i/>
          <w:sz w:val="24"/>
          <w:szCs w:val="24"/>
        </w:rPr>
      </w:pPr>
    </w:p>
    <w:p w:rsidR="00F71B6E" w:rsidRDefault="00F71B6E" w:rsidP="00E67099">
      <w:pPr>
        <w:shd w:val="clear" w:color="auto" w:fill="FFFFFF" w:themeFill="background1"/>
        <w:tabs>
          <w:tab w:val="left" w:pos="284"/>
          <w:tab w:val="left" w:pos="567"/>
          <w:tab w:val="left" w:pos="6237"/>
          <w:tab w:val="left" w:pos="6379"/>
        </w:tabs>
        <w:spacing w:after="0" w:line="276" w:lineRule="auto"/>
        <w:contextualSpacing/>
        <w:jc w:val="right"/>
        <w:rPr>
          <w:rFonts w:asciiTheme="majorHAnsi" w:eastAsia="Times New Roman" w:hAnsiTheme="majorHAnsi" w:cstheme="majorHAnsi"/>
          <w:b/>
          <w:i/>
          <w:sz w:val="24"/>
          <w:szCs w:val="24"/>
        </w:rPr>
      </w:pPr>
    </w:p>
    <w:p w:rsidR="00F71B6E" w:rsidRDefault="00F71B6E" w:rsidP="00E67099">
      <w:pPr>
        <w:shd w:val="clear" w:color="auto" w:fill="FFFFFF" w:themeFill="background1"/>
        <w:tabs>
          <w:tab w:val="left" w:pos="284"/>
          <w:tab w:val="left" w:pos="567"/>
          <w:tab w:val="left" w:pos="6237"/>
          <w:tab w:val="left" w:pos="6379"/>
        </w:tabs>
        <w:spacing w:after="0" w:line="276" w:lineRule="auto"/>
        <w:contextualSpacing/>
        <w:jc w:val="right"/>
        <w:rPr>
          <w:rFonts w:asciiTheme="majorHAnsi" w:eastAsia="Times New Roman" w:hAnsiTheme="majorHAnsi" w:cstheme="majorHAnsi"/>
          <w:b/>
          <w:i/>
          <w:sz w:val="24"/>
          <w:szCs w:val="24"/>
        </w:rPr>
      </w:pPr>
    </w:p>
    <w:p w:rsidR="00F71B6E" w:rsidRDefault="00F71B6E" w:rsidP="00E67099">
      <w:pPr>
        <w:shd w:val="clear" w:color="auto" w:fill="FFFFFF" w:themeFill="background1"/>
        <w:tabs>
          <w:tab w:val="left" w:pos="284"/>
          <w:tab w:val="left" w:pos="567"/>
          <w:tab w:val="left" w:pos="6237"/>
          <w:tab w:val="left" w:pos="6379"/>
        </w:tabs>
        <w:spacing w:after="0" w:line="276" w:lineRule="auto"/>
        <w:contextualSpacing/>
        <w:jc w:val="right"/>
        <w:rPr>
          <w:rFonts w:asciiTheme="majorHAnsi" w:eastAsia="Times New Roman" w:hAnsiTheme="majorHAnsi" w:cstheme="majorHAnsi"/>
          <w:b/>
          <w:i/>
          <w:sz w:val="24"/>
          <w:szCs w:val="24"/>
        </w:rPr>
      </w:pPr>
    </w:p>
    <w:p w:rsidR="00F71B6E" w:rsidRDefault="00F71B6E" w:rsidP="00E67099">
      <w:pPr>
        <w:shd w:val="clear" w:color="auto" w:fill="FFFFFF" w:themeFill="background1"/>
        <w:tabs>
          <w:tab w:val="left" w:pos="284"/>
          <w:tab w:val="left" w:pos="567"/>
          <w:tab w:val="left" w:pos="6237"/>
          <w:tab w:val="left" w:pos="6379"/>
        </w:tabs>
        <w:spacing w:after="0" w:line="276" w:lineRule="auto"/>
        <w:contextualSpacing/>
        <w:jc w:val="right"/>
        <w:rPr>
          <w:rFonts w:asciiTheme="majorHAnsi" w:eastAsia="Times New Roman" w:hAnsiTheme="majorHAnsi" w:cstheme="majorHAnsi"/>
          <w:b/>
          <w:i/>
          <w:sz w:val="24"/>
          <w:szCs w:val="24"/>
        </w:rPr>
      </w:pPr>
    </w:p>
    <w:p w:rsidR="00E67099" w:rsidRPr="00E67099" w:rsidRDefault="00E67099" w:rsidP="00E67099">
      <w:pPr>
        <w:shd w:val="clear" w:color="auto" w:fill="FFFFFF" w:themeFill="background1"/>
        <w:tabs>
          <w:tab w:val="left" w:pos="284"/>
          <w:tab w:val="left" w:pos="567"/>
          <w:tab w:val="left" w:pos="6237"/>
          <w:tab w:val="left" w:pos="6379"/>
        </w:tabs>
        <w:spacing w:after="0" w:line="276" w:lineRule="auto"/>
        <w:contextualSpacing/>
        <w:jc w:val="right"/>
        <w:rPr>
          <w:rFonts w:asciiTheme="majorHAnsi" w:eastAsia="Times New Roman" w:hAnsiTheme="majorHAnsi" w:cstheme="majorHAnsi"/>
          <w:b/>
          <w:i/>
          <w:sz w:val="24"/>
          <w:szCs w:val="24"/>
        </w:rPr>
      </w:pPr>
      <w:r w:rsidRPr="00E67099">
        <w:rPr>
          <w:rFonts w:asciiTheme="majorHAnsi" w:eastAsia="Times New Roman" w:hAnsiTheme="majorHAnsi" w:cstheme="majorHAnsi"/>
          <w:b/>
          <w:i/>
          <w:sz w:val="24"/>
          <w:szCs w:val="24"/>
        </w:rPr>
        <w:t>Anexa nr.15</w:t>
      </w:r>
    </w:p>
    <w:p w:rsidR="00E67099" w:rsidRPr="00E67099" w:rsidRDefault="00E67099" w:rsidP="00E67099">
      <w:pPr>
        <w:shd w:val="clear" w:color="auto" w:fill="FFFFFF" w:themeFill="background1"/>
        <w:spacing w:after="0" w:line="276" w:lineRule="auto"/>
        <w:ind w:right="49" w:firstLine="709"/>
        <w:jc w:val="center"/>
        <w:rPr>
          <w:rFonts w:asciiTheme="majorHAnsi" w:eastAsia="MS Mincho" w:hAnsiTheme="majorHAnsi" w:cstheme="majorHAnsi"/>
          <w:b/>
          <w:sz w:val="24"/>
          <w:szCs w:val="24"/>
          <w:lang w:eastAsia="ja-JP"/>
        </w:rPr>
      </w:pPr>
      <w:r w:rsidRPr="00E67099">
        <w:rPr>
          <w:rFonts w:asciiTheme="majorHAnsi" w:eastAsia="MS Mincho" w:hAnsiTheme="majorHAnsi" w:cstheme="majorHAnsi"/>
          <w:b/>
          <w:sz w:val="24"/>
          <w:szCs w:val="24"/>
          <w:lang w:eastAsia="ja-JP"/>
        </w:rPr>
        <w:t>Sinteza executării transferurilor de la bugetul de stat în comparație cu veniturile proprii ale bugetelor componente ale BPN în perioada anilor 2017-2019</w:t>
      </w:r>
    </w:p>
    <w:p w:rsidR="00E67099" w:rsidRPr="00E67099" w:rsidRDefault="00E67099" w:rsidP="00E67099">
      <w:pPr>
        <w:spacing w:after="0" w:line="276" w:lineRule="auto"/>
        <w:ind w:right="49"/>
        <w:jc w:val="right"/>
        <w:rPr>
          <w:rFonts w:asciiTheme="majorHAnsi" w:eastAsia="MS Mincho" w:hAnsiTheme="majorHAnsi" w:cstheme="majorHAnsi"/>
          <w:b/>
          <w:sz w:val="24"/>
          <w:szCs w:val="24"/>
          <w:lang w:eastAsia="ja-JP"/>
        </w:rPr>
      </w:pPr>
      <w:r w:rsidRPr="00E67099">
        <w:rPr>
          <w:rFonts w:asciiTheme="majorHAnsi" w:eastAsia="MS Mincho" w:hAnsiTheme="majorHAnsi" w:cstheme="majorHAnsi"/>
          <w:b/>
          <w:sz w:val="24"/>
          <w:szCs w:val="24"/>
          <w:lang w:eastAsia="ja-JP"/>
        </w:rPr>
        <w:t>(mil. lei)</w:t>
      </w:r>
    </w:p>
    <w:p w:rsidR="00E67099" w:rsidRPr="00E67099" w:rsidRDefault="00E67099" w:rsidP="00E67099">
      <w:pPr>
        <w:spacing w:after="0" w:line="276" w:lineRule="auto"/>
        <w:ind w:right="49"/>
        <w:jc w:val="center"/>
        <w:rPr>
          <w:rFonts w:asciiTheme="majorHAnsi" w:eastAsia="Times New Roman" w:hAnsiTheme="majorHAnsi" w:cstheme="majorHAnsi"/>
          <w:b/>
          <w:strike/>
          <w:sz w:val="24"/>
          <w:szCs w:val="24"/>
          <w:highlight w:val="yellow"/>
        </w:rPr>
      </w:pPr>
      <w:r w:rsidRPr="00E67099">
        <w:rPr>
          <w:rFonts w:asciiTheme="majorHAnsi" w:eastAsia="Times New Roman" w:hAnsiTheme="majorHAnsi" w:cstheme="majorHAnsi"/>
          <w:b/>
          <w:strike/>
          <w:noProof/>
          <w:sz w:val="24"/>
          <w:szCs w:val="24"/>
          <w:lang w:val="ru-RU" w:eastAsia="ru-RU"/>
        </w:rPr>
        <w:drawing>
          <wp:inline distT="0" distB="0" distL="0" distR="0" wp14:anchorId="61D4F9CE" wp14:editId="42804FC4">
            <wp:extent cx="2247900" cy="1751330"/>
            <wp:effectExtent l="0" t="0" r="0" b="127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E67099">
        <w:rPr>
          <w:rFonts w:asciiTheme="majorHAnsi" w:eastAsia="Times New Roman" w:hAnsiTheme="majorHAnsi" w:cstheme="majorHAnsi"/>
          <w:b/>
          <w:strike/>
          <w:noProof/>
          <w:sz w:val="24"/>
          <w:szCs w:val="24"/>
          <w:lang w:val="ru-RU" w:eastAsia="ru-RU"/>
        </w:rPr>
        <w:drawing>
          <wp:inline distT="0" distB="0" distL="0" distR="0" wp14:anchorId="4F80FCAD" wp14:editId="226A56F6">
            <wp:extent cx="1733550" cy="1751330"/>
            <wp:effectExtent l="0" t="0" r="0" b="127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E67099">
        <w:rPr>
          <w:rFonts w:asciiTheme="majorHAnsi" w:eastAsia="Times New Roman" w:hAnsiTheme="majorHAnsi" w:cstheme="majorHAnsi"/>
          <w:b/>
          <w:strike/>
          <w:noProof/>
          <w:sz w:val="24"/>
          <w:szCs w:val="24"/>
          <w:lang w:val="ru-RU" w:eastAsia="ru-RU"/>
        </w:rPr>
        <w:drawing>
          <wp:inline distT="0" distB="0" distL="0" distR="0" wp14:anchorId="6496D43C" wp14:editId="0958FCD5">
            <wp:extent cx="2190750" cy="1751330"/>
            <wp:effectExtent l="0" t="0" r="0" b="127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67099" w:rsidRPr="00E67099" w:rsidRDefault="00E67099" w:rsidP="00E67099">
      <w:pPr>
        <w:shd w:val="clear" w:color="auto" w:fill="FFFFFF" w:themeFill="background1"/>
        <w:tabs>
          <w:tab w:val="left" w:pos="284"/>
          <w:tab w:val="left" w:pos="567"/>
          <w:tab w:val="left" w:pos="6237"/>
          <w:tab w:val="left" w:pos="6379"/>
        </w:tabs>
        <w:spacing w:after="0" w:line="276" w:lineRule="auto"/>
        <w:contextualSpacing/>
        <w:jc w:val="right"/>
        <w:rPr>
          <w:rFonts w:asciiTheme="majorHAnsi" w:eastAsia="Times New Roman" w:hAnsiTheme="majorHAnsi" w:cstheme="majorHAnsi"/>
          <w:b/>
          <w:i/>
          <w:sz w:val="24"/>
          <w:szCs w:val="24"/>
        </w:rPr>
      </w:pPr>
    </w:p>
    <w:p w:rsidR="00E67099" w:rsidRPr="00E67099" w:rsidRDefault="00E67099" w:rsidP="00E67099">
      <w:pPr>
        <w:shd w:val="clear" w:color="auto" w:fill="FFFFFF" w:themeFill="background1"/>
        <w:tabs>
          <w:tab w:val="left" w:pos="284"/>
          <w:tab w:val="left" w:pos="567"/>
          <w:tab w:val="left" w:pos="6237"/>
          <w:tab w:val="left" w:pos="6379"/>
        </w:tabs>
        <w:spacing w:after="0" w:line="276" w:lineRule="auto"/>
        <w:contextualSpacing/>
        <w:jc w:val="right"/>
        <w:rPr>
          <w:rFonts w:asciiTheme="majorHAnsi" w:eastAsia="Times New Roman" w:hAnsiTheme="majorHAnsi" w:cstheme="majorHAnsi"/>
          <w:b/>
          <w:i/>
          <w:sz w:val="24"/>
          <w:szCs w:val="24"/>
        </w:rPr>
      </w:pPr>
      <w:r w:rsidRPr="00E67099">
        <w:rPr>
          <w:rFonts w:asciiTheme="majorHAnsi" w:eastAsia="Times New Roman" w:hAnsiTheme="majorHAnsi" w:cstheme="majorHAnsi"/>
          <w:b/>
          <w:i/>
          <w:sz w:val="24"/>
          <w:szCs w:val="24"/>
        </w:rPr>
        <w:t>Anexa nr.16</w:t>
      </w:r>
    </w:p>
    <w:p w:rsidR="00E67099" w:rsidRPr="00E67099" w:rsidRDefault="00E67099" w:rsidP="00E67099">
      <w:pPr>
        <w:spacing w:after="0" w:line="276" w:lineRule="auto"/>
        <w:ind w:right="-91"/>
        <w:jc w:val="center"/>
        <w:rPr>
          <w:rFonts w:asciiTheme="majorHAnsi" w:eastAsia="MS Mincho" w:hAnsiTheme="majorHAnsi" w:cstheme="majorHAnsi"/>
          <w:b/>
          <w:sz w:val="24"/>
          <w:szCs w:val="24"/>
          <w:lang w:eastAsia="ja-JP"/>
        </w:rPr>
      </w:pPr>
      <w:r w:rsidRPr="00E67099">
        <w:rPr>
          <w:rFonts w:asciiTheme="majorHAnsi" w:eastAsia="MS Mincho" w:hAnsiTheme="majorHAnsi" w:cstheme="majorHAnsi"/>
          <w:b/>
          <w:sz w:val="24"/>
          <w:szCs w:val="24"/>
          <w:lang w:eastAsia="ja-JP"/>
        </w:rPr>
        <w:t>Sinteza executării transferurilor de la BS către BUAT în anul 2019</w:t>
      </w:r>
    </w:p>
    <w:p w:rsidR="00E67099" w:rsidRPr="00E67099" w:rsidRDefault="00E67099" w:rsidP="00E67099">
      <w:pPr>
        <w:spacing w:after="0" w:line="276" w:lineRule="auto"/>
        <w:ind w:right="-91"/>
        <w:jc w:val="center"/>
        <w:rPr>
          <w:rFonts w:asciiTheme="majorHAnsi" w:eastAsia="MS Mincho" w:hAnsiTheme="majorHAnsi" w:cstheme="majorHAnsi"/>
          <w:i/>
          <w:sz w:val="24"/>
          <w:szCs w:val="24"/>
          <w:lang w:eastAsia="ja-JP"/>
        </w:rPr>
      </w:pPr>
      <w:r w:rsidRPr="00E67099">
        <w:rPr>
          <w:rFonts w:asciiTheme="majorHAnsi" w:eastAsia="MS Mincho" w:hAnsiTheme="majorHAnsi" w:cstheme="majorHAnsi"/>
          <w:i/>
          <w:sz w:val="24"/>
          <w:szCs w:val="24"/>
          <w:lang w:eastAsia="ja-JP"/>
        </w:rPr>
        <w:t>(conform Anexei nr.7 la Legea bugetului de stat pentru anul 2019)</w:t>
      </w:r>
    </w:p>
    <w:p w:rsidR="00E67099" w:rsidRPr="00E67099" w:rsidRDefault="00E67099" w:rsidP="00E67099">
      <w:pPr>
        <w:spacing w:after="0" w:line="276" w:lineRule="auto"/>
        <w:ind w:right="2089"/>
        <w:jc w:val="right"/>
        <w:rPr>
          <w:rFonts w:asciiTheme="majorHAnsi" w:eastAsia="MS Mincho" w:hAnsiTheme="majorHAnsi" w:cstheme="majorHAnsi"/>
          <w:b/>
          <w:sz w:val="24"/>
          <w:szCs w:val="24"/>
          <w:lang w:eastAsia="ja-JP"/>
        </w:rPr>
      </w:pPr>
      <w:r w:rsidRPr="00E67099">
        <w:rPr>
          <w:rFonts w:asciiTheme="majorHAnsi" w:eastAsia="MS Mincho" w:hAnsiTheme="majorHAnsi" w:cstheme="majorHAnsi"/>
          <w:b/>
          <w:sz w:val="24"/>
          <w:szCs w:val="24"/>
          <w:lang w:eastAsia="ja-JP"/>
        </w:rPr>
        <w:t xml:space="preserve"> (mil. lei)</w:t>
      </w:r>
    </w:p>
    <w:tbl>
      <w:tblPr>
        <w:tblStyle w:val="GridTable1Light111"/>
        <w:tblW w:w="11335" w:type="dxa"/>
        <w:jc w:val="center"/>
        <w:tblLayout w:type="fixed"/>
        <w:tblLook w:val="04A0" w:firstRow="1" w:lastRow="0" w:firstColumn="1" w:lastColumn="0" w:noHBand="0" w:noVBand="1"/>
      </w:tblPr>
      <w:tblGrid>
        <w:gridCol w:w="3681"/>
        <w:gridCol w:w="1276"/>
        <w:gridCol w:w="1275"/>
        <w:gridCol w:w="992"/>
        <w:gridCol w:w="992"/>
        <w:gridCol w:w="1276"/>
        <w:gridCol w:w="851"/>
        <w:gridCol w:w="992"/>
      </w:tblGrid>
      <w:tr w:rsidR="00E67099" w:rsidRPr="00E67099" w:rsidTr="00A3673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1" w:type="dxa"/>
            <w:vMerge w:val="restart"/>
            <w:vAlign w:val="center"/>
          </w:tcPr>
          <w:p w:rsidR="00E67099" w:rsidRPr="00276DE8" w:rsidRDefault="00E67099" w:rsidP="00E67099">
            <w:pPr>
              <w:spacing w:after="40"/>
              <w:ind w:right="-93"/>
              <w:jc w:val="center"/>
              <w:rPr>
                <w:rFonts w:asciiTheme="majorHAnsi" w:hAnsiTheme="majorHAnsi" w:cstheme="majorHAnsi"/>
                <w:sz w:val="20"/>
                <w:szCs w:val="20"/>
              </w:rPr>
            </w:pPr>
            <w:r w:rsidRPr="00276DE8">
              <w:rPr>
                <w:rFonts w:asciiTheme="majorHAnsi" w:hAnsiTheme="majorHAnsi" w:cstheme="majorHAnsi"/>
                <w:sz w:val="20"/>
                <w:szCs w:val="20"/>
              </w:rPr>
              <w:t>Transferuri</w:t>
            </w:r>
          </w:p>
        </w:tc>
        <w:tc>
          <w:tcPr>
            <w:tcW w:w="1276" w:type="dxa"/>
            <w:vMerge w:val="restart"/>
            <w:vAlign w:val="center"/>
          </w:tcPr>
          <w:p w:rsidR="00E67099" w:rsidRPr="00276DE8" w:rsidRDefault="00E67099" w:rsidP="00E67099">
            <w:pPr>
              <w:spacing w:line="256" w:lineRule="auto"/>
              <w:ind w:right="-93"/>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76DE8">
              <w:rPr>
                <w:rFonts w:asciiTheme="majorHAnsi" w:hAnsiTheme="majorHAnsi" w:cstheme="majorHAnsi"/>
                <w:sz w:val="20"/>
                <w:szCs w:val="20"/>
              </w:rPr>
              <w:t>Aprobat pe an</w:t>
            </w:r>
          </w:p>
        </w:tc>
        <w:tc>
          <w:tcPr>
            <w:tcW w:w="1275" w:type="dxa"/>
            <w:vMerge w:val="restart"/>
            <w:tcBorders>
              <w:bottom w:val="single" w:sz="2" w:space="0" w:color="AEAAAA" w:themeColor="background2" w:themeShade="BF"/>
            </w:tcBorders>
            <w:vAlign w:val="center"/>
          </w:tcPr>
          <w:p w:rsidR="00E67099" w:rsidRPr="00276DE8" w:rsidRDefault="00E67099" w:rsidP="00E67099">
            <w:pPr>
              <w:spacing w:line="256" w:lineRule="auto"/>
              <w:ind w:right="-93"/>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76DE8">
              <w:rPr>
                <w:rFonts w:asciiTheme="majorHAnsi" w:hAnsiTheme="majorHAnsi" w:cstheme="majorHAnsi"/>
                <w:sz w:val="20"/>
                <w:szCs w:val="20"/>
              </w:rPr>
              <w:t>Precizat pe an</w:t>
            </w:r>
          </w:p>
        </w:tc>
        <w:tc>
          <w:tcPr>
            <w:tcW w:w="1984" w:type="dxa"/>
            <w:gridSpan w:val="2"/>
            <w:tcBorders>
              <w:bottom w:val="single" w:sz="2" w:space="0" w:color="AEAAAA" w:themeColor="background2" w:themeShade="BF"/>
            </w:tcBorders>
            <w:vAlign w:val="center"/>
          </w:tcPr>
          <w:p w:rsidR="00E67099" w:rsidRPr="00276DE8" w:rsidRDefault="00E67099" w:rsidP="00E67099">
            <w:pPr>
              <w:ind w:left="-102" w:right="-103"/>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lang w:eastAsia="ru-RU"/>
              </w:rPr>
            </w:pPr>
            <w:r w:rsidRPr="00276DE8">
              <w:rPr>
                <w:rFonts w:asciiTheme="majorHAnsi" w:hAnsiTheme="majorHAnsi" w:cstheme="majorHAnsi"/>
                <w:sz w:val="20"/>
                <w:szCs w:val="20"/>
                <w:lang w:eastAsia="ru-RU"/>
              </w:rPr>
              <w:t>Precizat pe an față de aprobat pe an</w:t>
            </w:r>
          </w:p>
        </w:tc>
        <w:tc>
          <w:tcPr>
            <w:tcW w:w="1276" w:type="dxa"/>
            <w:vMerge w:val="restart"/>
            <w:tcBorders>
              <w:bottom w:val="single" w:sz="2" w:space="0" w:color="auto"/>
            </w:tcBorders>
            <w:vAlign w:val="center"/>
          </w:tcPr>
          <w:p w:rsidR="00E67099" w:rsidRPr="00276DE8" w:rsidRDefault="00E67099" w:rsidP="00E67099">
            <w:pPr>
              <w:ind w:left="-115" w:right="-102"/>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lang w:eastAsia="ru-RU"/>
              </w:rPr>
            </w:pPr>
            <w:r w:rsidRPr="00276DE8">
              <w:rPr>
                <w:rFonts w:asciiTheme="majorHAnsi" w:hAnsiTheme="majorHAnsi" w:cstheme="majorHAnsi"/>
                <w:sz w:val="20"/>
                <w:szCs w:val="20"/>
                <w:lang w:eastAsia="ru-RU"/>
              </w:rPr>
              <w:t>Executat</w:t>
            </w:r>
          </w:p>
        </w:tc>
        <w:tc>
          <w:tcPr>
            <w:tcW w:w="1843" w:type="dxa"/>
            <w:gridSpan w:val="2"/>
            <w:tcBorders>
              <w:bottom w:val="single" w:sz="2" w:space="0" w:color="AEAAAA" w:themeColor="background2" w:themeShade="BF"/>
            </w:tcBorders>
            <w:vAlign w:val="center"/>
          </w:tcPr>
          <w:p w:rsidR="00E67099" w:rsidRPr="00276DE8" w:rsidRDefault="00E67099" w:rsidP="00E67099">
            <w:pPr>
              <w:spacing w:line="256" w:lineRule="auto"/>
              <w:ind w:right="-93"/>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76DE8">
              <w:rPr>
                <w:rFonts w:asciiTheme="majorHAnsi" w:hAnsiTheme="majorHAnsi" w:cstheme="majorHAnsi"/>
                <w:sz w:val="20"/>
                <w:szCs w:val="20"/>
              </w:rPr>
              <w:t>Executat față</w:t>
            </w:r>
          </w:p>
          <w:p w:rsidR="00E67099" w:rsidRPr="00276DE8" w:rsidRDefault="00E67099" w:rsidP="00E67099">
            <w:pPr>
              <w:spacing w:line="256" w:lineRule="auto"/>
              <w:ind w:right="-93"/>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76DE8">
              <w:rPr>
                <w:rFonts w:asciiTheme="majorHAnsi" w:hAnsiTheme="majorHAnsi" w:cstheme="majorHAnsi"/>
                <w:sz w:val="20"/>
                <w:szCs w:val="20"/>
              </w:rPr>
              <w:t>de precizat pe an</w:t>
            </w:r>
          </w:p>
        </w:tc>
      </w:tr>
      <w:tr w:rsidR="00E67099" w:rsidRPr="00E67099" w:rsidTr="00A36731">
        <w:trPr>
          <w:jc w:val="center"/>
        </w:trPr>
        <w:tc>
          <w:tcPr>
            <w:cnfStyle w:val="001000000000" w:firstRow="0" w:lastRow="0" w:firstColumn="1" w:lastColumn="0" w:oddVBand="0" w:evenVBand="0" w:oddHBand="0" w:evenHBand="0" w:firstRowFirstColumn="0" w:firstRowLastColumn="0" w:lastRowFirstColumn="0" w:lastRowLastColumn="0"/>
            <w:tcW w:w="3681" w:type="dxa"/>
            <w:vMerge/>
            <w:vAlign w:val="center"/>
          </w:tcPr>
          <w:p w:rsidR="00E67099" w:rsidRPr="00276DE8" w:rsidRDefault="00E67099" w:rsidP="00E67099">
            <w:pPr>
              <w:spacing w:line="256" w:lineRule="auto"/>
              <w:ind w:right="-93"/>
              <w:jc w:val="center"/>
              <w:rPr>
                <w:rFonts w:asciiTheme="majorHAnsi" w:hAnsiTheme="majorHAnsi" w:cstheme="majorHAnsi"/>
                <w:color w:val="FFFFFF" w:themeColor="background1"/>
                <w:sz w:val="20"/>
                <w:szCs w:val="20"/>
              </w:rPr>
            </w:pPr>
          </w:p>
        </w:tc>
        <w:tc>
          <w:tcPr>
            <w:tcW w:w="1276" w:type="dxa"/>
            <w:vMerge/>
            <w:vAlign w:val="center"/>
          </w:tcPr>
          <w:p w:rsidR="00E67099" w:rsidRPr="00276DE8" w:rsidRDefault="00E67099" w:rsidP="00E67099">
            <w:pPr>
              <w:spacing w:line="256" w:lineRule="auto"/>
              <w:ind w:right="-93"/>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sz w:val="20"/>
                <w:szCs w:val="20"/>
              </w:rPr>
            </w:pPr>
          </w:p>
        </w:tc>
        <w:tc>
          <w:tcPr>
            <w:tcW w:w="1275" w:type="dxa"/>
            <w:vMerge/>
            <w:tcBorders>
              <w:top w:val="single" w:sz="2" w:space="0" w:color="AEAAAA" w:themeColor="background2" w:themeShade="BF"/>
            </w:tcBorders>
            <w:vAlign w:val="center"/>
          </w:tcPr>
          <w:p w:rsidR="00E67099" w:rsidRPr="00276DE8" w:rsidRDefault="00E67099" w:rsidP="00E67099">
            <w:pPr>
              <w:spacing w:line="256" w:lineRule="auto"/>
              <w:ind w:right="-93"/>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sz w:val="20"/>
                <w:szCs w:val="20"/>
              </w:rPr>
            </w:pPr>
          </w:p>
        </w:tc>
        <w:tc>
          <w:tcPr>
            <w:tcW w:w="992" w:type="dxa"/>
            <w:tcBorders>
              <w:top w:val="single" w:sz="2" w:space="0" w:color="AEAAAA" w:themeColor="background2" w:themeShade="BF"/>
            </w:tcBorders>
            <w:vAlign w:val="center"/>
          </w:tcPr>
          <w:p w:rsidR="00E67099" w:rsidRPr="00276DE8" w:rsidRDefault="00E67099" w:rsidP="00E67099">
            <w:pPr>
              <w:ind w:left="-113" w:right="2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0"/>
                <w:szCs w:val="20"/>
                <w:lang w:eastAsia="ru-RU"/>
              </w:rPr>
            </w:pPr>
            <w:r w:rsidRPr="00276DE8">
              <w:rPr>
                <w:rFonts w:asciiTheme="majorHAnsi" w:hAnsiTheme="majorHAnsi" w:cstheme="majorHAnsi"/>
                <w:b/>
                <w:color w:val="000000" w:themeColor="text1"/>
                <w:sz w:val="20"/>
                <w:szCs w:val="20"/>
                <w:lang w:eastAsia="ru-RU"/>
              </w:rPr>
              <w:t>(+/-)</w:t>
            </w:r>
          </w:p>
        </w:tc>
        <w:tc>
          <w:tcPr>
            <w:tcW w:w="992" w:type="dxa"/>
            <w:tcBorders>
              <w:top w:val="single" w:sz="2" w:space="0" w:color="AEAAAA" w:themeColor="background2" w:themeShade="BF"/>
            </w:tcBorders>
            <w:vAlign w:val="center"/>
          </w:tcPr>
          <w:p w:rsidR="00E67099" w:rsidRPr="00276DE8" w:rsidRDefault="00E67099" w:rsidP="00E67099">
            <w:pPr>
              <w:ind w:left="-113" w:right="2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0"/>
                <w:szCs w:val="20"/>
                <w:lang w:eastAsia="ru-RU"/>
              </w:rPr>
            </w:pPr>
            <w:r w:rsidRPr="00276DE8">
              <w:rPr>
                <w:rFonts w:asciiTheme="majorHAnsi" w:hAnsiTheme="majorHAnsi" w:cstheme="majorHAnsi"/>
                <w:b/>
                <w:color w:val="000000" w:themeColor="text1"/>
                <w:sz w:val="20"/>
                <w:szCs w:val="20"/>
                <w:lang w:eastAsia="ru-RU"/>
              </w:rPr>
              <w:t>(%)</w:t>
            </w:r>
          </w:p>
        </w:tc>
        <w:tc>
          <w:tcPr>
            <w:tcW w:w="1276" w:type="dxa"/>
            <w:vMerge/>
            <w:tcBorders>
              <w:top w:val="single" w:sz="2" w:space="0" w:color="auto"/>
            </w:tcBorders>
            <w:vAlign w:val="center"/>
          </w:tcPr>
          <w:p w:rsidR="00E67099" w:rsidRPr="00276DE8" w:rsidRDefault="00E67099" w:rsidP="00E67099">
            <w:pPr>
              <w:spacing w:line="256" w:lineRule="auto"/>
              <w:ind w:right="-93"/>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sz w:val="20"/>
                <w:szCs w:val="20"/>
              </w:rPr>
            </w:pPr>
          </w:p>
        </w:tc>
        <w:tc>
          <w:tcPr>
            <w:tcW w:w="851" w:type="dxa"/>
            <w:tcBorders>
              <w:top w:val="single" w:sz="2" w:space="0" w:color="AEAAAA" w:themeColor="background2" w:themeShade="BF"/>
            </w:tcBorders>
            <w:vAlign w:val="center"/>
          </w:tcPr>
          <w:p w:rsidR="00E67099" w:rsidRPr="00276DE8" w:rsidRDefault="00E67099" w:rsidP="00E67099">
            <w:pPr>
              <w:ind w:left="-113" w:right="2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0"/>
                <w:szCs w:val="20"/>
                <w:lang w:eastAsia="ru-RU"/>
              </w:rPr>
            </w:pPr>
            <w:r w:rsidRPr="00276DE8">
              <w:rPr>
                <w:rFonts w:asciiTheme="majorHAnsi" w:hAnsiTheme="majorHAnsi" w:cstheme="majorHAnsi"/>
                <w:b/>
                <w:color w:val="000000" w:themeColor="text1"/>
                <w:sz w:val="20"/>
                <w:szCs w:val="20"/>
                <w:lang w:eastAsia="ru-RU"/>
              </w:rPr>
              <w:t>(+/-)</w:t>
            </w:r>
          </w:p>
        </w:tc>
        <w:tc>
          <w:tcPr>
            <w:tcW w:w="992" w:type="dxa"/>
            <w:tcBorders>
              <w:top w:val="single" w:sz="2" w:space="0" w:color="AEAAAA" w:themeColor="background2" w:themeShade="BF"/>
            </w:tcBorders>
            <w:vAlign w:val="center"/>
          </w:tcPr>
          <w:p w:rsidR="00E67099" w:rsidRPr="00276DE8" w:rsidRDefault="00E67099" w:rsidP="00E67099">
            <w:pPr>
              <w:ind w:left="-113" w:right="2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0"/>
                <w:szCs w:val="20"/>
                <w:lang w:eastAsia="ru-RU"/>
              </w:rPr>
            </w:pPr>
            <w:r w:rsidRPr="00276DE8">
              <w:rPr>
                <w:rFonts w:asciiTheme="majorHAnsi" w:hAnsiTheme="majorHAnsi" w:cstheme="majorHAnsi"/>
                <w:b/>
                <w:color w:val="000000" w:themeColor="text1"/>
                <w:sz w:val="20"/>
                <w:szCs w:val="20"/>
                <w:lang w:eastAsia="ru-RU"/>
              </w:rPr>
              <w:t>(%)</w:t>
            </w:r>
          </w:p>
        </w:tc>
      </w:tr>
      <w:tr w:rsidR="00E67099" w:rsidRPr="00E67099" w:rsidTr="00A36731">
        <w:trPr>
          <w:jc w:val="center"/>
        </w:trPr>
        <w:tc>
          <w:tcPr>
            <w:cnfStyle w:val="001000000000" w:firstRow="0" w:lastRow="0" w:firstColumn="1" w:lastColumn="0" w:oddVBand="0" w:evenVBand="0" w:oddHBand="0" w:evenHBand="0" w:firstRowFirstColumn="0" w:firstRowLastColumn="0" w:lastRowFirstColumn="0" w:lastRowLastColumn="0"/>
            <w:tcW w:w="3681" w:type="dxa"/>
            <w:vAlign w:val="center"/>
          </w:tcPr>
          <w:p w:rsidR="00E67099" w:rsidRPr="00E67099" w:rsidRDefault="00E67099" w:rsidP="00E67099">
            <w:pPr>
              <w:spacing w:line="257" w:lineRule="auto"/>
              <w:ind w:right="-91"/>
              <w:jc w:val="center"/>
              <w:rPr>
                <w:rFonts w:asciiTheme="majorHAnsi" w:hAnsiTheme="majorHAnsi" w:cstheme="majorHAnsi"/>
                <w:i/>
                <w:sz w:val="16"/>
                <w:szCs w:val="16"/>
              </w:rPr>
            </w:pPr>
            <w:r w:rsidRPr="00E67099">
              <w:rPr>
                <w:rFonts w:asciiTheme="majorHAnsi" w:hAnsiTheme="majorHAnsi" w:cstheme="majorHAnsi"/>
                <w:i/>
                <w:sz w:val="16"/>
                <w:szCs w:val="16"/>
              </w:rPr>
              <w:t>1</w:t>
            </w:r>
          </w:p>
        </w:tc>
        <w:tc>
          <w:tcPr>
            <w:tcW w:w="1276" w:type="dxa"/>
            <w:vAlign w:val="center"/>
          </w:tcPr>
          <w:p w:rsidR="00E67099" w:rsidRPr="00E67099" w:rsidRDefault="00E67099" w:rsidP="00E67099">
            <w:pPr>
              <w:spacing w:line="256" w:lineRule="auto"/>
              <w:ind w:right="-93"/>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rPr>
            </w:pPr>
            <w:r w:rsidRPr="00E67099">
              <w:rPr>
                <w:rFonts w:asciiTheme="majorHAnsi" w:hAnsiTheme="majorHAnsi" w:cstheme="majorHAnsi"/>
                <w:i/>
                <w:sz w:val="16"/>
                <w:szCs w:val="16"/>
              </w:rPr>
              <w:t>2</w:t>
            </w:r>
          </w:p>
        </w:tc>
        <w:tc>
          <w:tcPr>
            <w:tcW w:w="1275" w:type="dxa"/>
            <w:vAlign w:val="center"/>
          </w:tcPr>
          <w:p w:rsidR="00E67099" w:rsidRPr="00E67099" w:rsidRDefault="00E67099" w:rsidP="00E67099">
            <w:pPr>
              <w:spacing w:line="256" w:lineRule="auto"/>
              <w:ind w:right="-93"/>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rPr>
            </w:pPr>
            <w:r w:rsidRPr="00E67099">
              <w:rPr>
                <w:rFonts w:asciiTheme="majorHAnsi" w:hAnsiTheme="majorHAnsi" w:cstheme="majorHAnsi"/>
                <w:i/>
                <w:sz w:val="16"/>
                <w:szCs w:val="16"/>
              </w:rPr>
              <w:t>3</w:t>
            </w:r>
          </w:p>
        </w:tc>
        <w:tc>
          <w:tcPr>
            <w:tcW w:w="992" w:type="dxa"/>
            <w:vAlign w:val="center"/>
          </w:tcPr>
          <w:p w:rsidR="00E67099" w:rsidRPr="00E67099" w:rsidRDefault="00E67099" w:rsidP="00E67099">
            <w:pPr>
              <w:spacing w:line="256" w:lineRule="auto"/>
              <w:ind w:right="-93"/>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rPr>
            </w:pPr>
            <w:r w:rsidRPr="00E67099">
              <w:rPr>
                <w:rFonts w:asciiTheme="majorHAnsi" w:hAnsiTheme="majorHAnsi" w:cstheme="majorHAnsi"/>
                <w:i/>
                <w:sz w:val="16"/>
                <w:szCs w:val="16"/>
              </w:rPr>
              <w:t>4=3-2</w:t>
            </w:r>
          </w:p>
        </w:tc>
        <w:tc>
          <w:tcPr>
            <w:tcW w:w="992" w:type="dxa"/>
            <w:vAlign w:val="center"/>
          </w:tcPr>
          <w:p w:rsidR="00E67099" w:rsidRPr="00E67099" w:rsidRDefault="00E67099" w:rsidP="00E67099">
            <w:pPr>
              <w:spacing w:line="256" w:lineRule="auto"/>
              <w:ind w:left="-102" w:right="-93"/>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rPr>
            </w:pPr>
            <w:r w:rsidRPr="00E67099">
              <w:rPr>
                <w:rFonts w:asciiTheme="majorHAnsi" w:hAnsiTheme="majorHAnsi" w:cstheme="majorHAnsi"/>
                <w:i/>
                <w:sz w:val="16"/>
                <w:szCs w:val="16"/>
              </w:rPr>
              <w:t>4=3/2*100</w:t>
            </w:r>
          </w:p>
        </w:tc>
        <w:tc>
          <w:tcPr>
            <w:tcW w:w="1276" w:type="dxa"/>
            <w:vAlign w:val="center"/>
          </w:tcPr>
          <w:p w:rsidR="00E67099" w:rsidRPr="00E67099" w:rsidRDefault="00E67099" w:rsidP="00E67099">
            <w:pPr>
              <w:spacing w:line="256" w:lineRule="auto"/>
              <w:ind w:left="-115" w:right="-93"/>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rPr>
            </w:pPr>
            <w:r w:rsidRPr="00E67099">
              <w:rPr>
                <w:rFonts w:asciiTheme="majorHAnsi" w:hAnsiTheme="majorHAnsi" w:cstheme="majorHAnsi"/>
                <w:i/>
                <w:sz w:val="16"/>
                <w:szCs w:val="16"/>
              </w:rPr>
              <w:t>5</w:t>
            </w:r>
          </w:p>
        </w:tc>
        <w:tc>
          <w:tcPr>
            <w:tcW w:w="851" w:type="dxa"/>
            <w:vAlign w:val="center"/>
          </w:tcPr>
          <w:p w:rsidR="00E67099" w:rsidRPr="00E67099" w:rsidRDefault="00E67099" w:rsidP="00E67099">
            <w:pPr>
              <w:spacing w:line="256" w:lineRule="auto"/>
              <w:ind w:right="-93"/>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rPr>
            </w:pPr>
            <w:r w:rsidRPr="00E67099">
              <w:rPr>
                <w:rFonts w:asciiTheme="majorHAnsi" w:hAnsiTheme="majorHAnsi" w:cstheme="majorHAnsi"/>
                <w:i/>
                <w:sz w:val="16"/>
                <w:szCs w:val="16"/>
              </w:rPr>
              <w:t>6=5-3</w:t>
            </w:r>
          </w:p>
        </w:tc>
        <w:tc>
          <w:tcPr>
            <w:tcW w:w="992" w:type="dxa"/>
            <w:vAlign w:val="center"/>
          </w:tcPr>
          <w:p w:rsidR="00E67099" w:rsidRPr="00E67099" w:rsidRDefault="00E67099" w:rsidP="00E67099">
            <w:pPr>
              <w:spacing w:line="256" w:lineRule="auto"/>
              <w:ind w:right="-93"/>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rPr>
            </w:pPr>
            <w:r w:rsidRPr="00E67099">
              <w:rPr>
                <w:rFonts w:asciiTheme="majorHAnsi" w:hAnsiTheme="majorHAnsi" w:cstheme="majorHAnsi"/>
                <w:i/>
                <w:sz w:val="16"/>
                <w:szCs w:val="16"/>
              </w:rPr>
              <w:t>7=5/3*100</w:t>
            </w:r>
          </w:p>
        </w:tc>
      </w:tr>
      <w:tr w:rsidR="00E67099" w:rsidRPr="00E67099" w:rsidTr="00A36731">
        <w:trPr>
          <w:trHeight w:val="277"/>
          <w:jc w:val="center"/>
        </w:trPr>
        <w:tc>
          <w:tcPr>
            <w:cnfStyle w:val="001000000000" w:firstRow="0" w:lastRow="0" w:firstColumn="1" w:lastColumn="0" w:oddVBand="0" w:evenVBand="0" w:oddHBand="0" w:evenHBand="0" w:firstRowFirstColumn="0" w:firstRowLastColumn="0" w:lastRowFirstColumn="0" w:lastRowLastColumn="0"/>
            <w:tcW w:w="3681" w:type="dxa"/>
            <w:vAlign w:val="center"/>
          </w:tcPr>
          <w:p w:rsidR="00E67099" w:rsidRPr="00276DE8" w:rsidRDefault="00E67099" w:rsidP="00E67099">
            <w:pPr>
              <w:spacing w:after="40"/>
              <w:ind w:right="-93"/>
              <w:rPr>
                <w:rFonts w:asciiTheme="majorHAnsi" w:hAnsiTheme="majorHAnsi" w:cstheme="majorHAnsi"/>
                <w:sz w:val="20"/>
                <w:szCs w:val="20"/>
              </w:rPr>
            </w:pPr>
            <w:r w:rsidRPr="00276DE8">
              <w:rPr>
                <w:rFonts w:asciiTheme="majorHAnsi" w:hAnsiTheme="majorHAnsi" w:cstheme="majorHAnsi"/>
                <w:i/>
                <w:sz w:val="20"/>
                <w:szCs w:val="20"/>
              </w:rPr>
              <w:t>Total general</w:t>
            </w:r>
            <w:r w:rsidRPr="00276DE8">
              <w:rPr>
                <w:rFonts w:asciiTheme="majorHAnsi" w:hAnsiTheme="majorHAnsi" w:cstheme="majorHAnsi"/>
                <w:sz w:val="20"/>
                <w:szCs w:val="20"/>
              </w:rPr>
              <w:t xml:space="preserve">, </w:t>
            </w:r>
            <w:r w:rsidRPr="00276DE8">
              <w:rPr>
                <w:rFonts w:asciiTheme="majorHAnsi" w:hAnsiTheme="majorHAnsi" w:cstheme="majorHAnsi"/>
                <w:i/>
                <w:sz w:val="20"/>
                <w:szCs w:val="20"/>
              </w:rPr>
              <w:t>inclusiv:</w:t>
            </w:r>
          </w:p>
        </w:tc>
        <w:tc>
          <w:tcPr>
            <w:tcW w:w="1276" w:type="dxa"/>
            <w:vAlign w:val="center"/>
          </w:tcPr>
          <w:p w:rsidR="00E67099" w:rsidRPr="00276DE8" w:rsidRDefault="00E67099" w:rsidP="00E67099">
            <w:pPr>
              <w:ind w:right="-93"/>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276DE8">
              <w:rPr>
                <w:rFonts w:asciiTheme="majorHAnsi" w:hAnsiTheme="majorHAnsi" w:cstheme="majorHAnsi"/>
                <w:b/>
                <w:sz w:val="20"/>
                <w:szCs w:val="20"/>
              </w:rPr>
              <w:t>11 148,7</w:t>
            </w:r>
          </w:p>
        </w:tc>
        <w:tc>
          <w:tcPr>
            <w:tcW w:w="1275" w:type="dxa"/>
            <w:vAlign w:val="center"/>
          </w:tcPr>
          <w:p w:rsidR="00E67099" w:rsidRPr="00276DE8" w:rsidRDefault="00E67099" w:rsidP="00E67099">
            <w:pPr>
              <w:ind w:right="-93"/>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276DE8">
              <w:rPr>
                <w:rFonts w:asciiTheme="majorHAnsi" w:hAnsiTheme="majorHAnsi" w:cstheme="majorHAnsi"/>
                <w:b/>
                <w:sz w:val="20"/>
                <w:szCs w:val="20"/>
              </w:rPr>
              <w:t>11 957,6</w:t>
            </w:r>
          </w:p>
        </w:tc>
        <w:tc>
          <w:tcPr>
            <w:tcW w:w="992" w:type="dxa"/>
            <w:vAlign w:val="center"/>
          </w:tcPr>
          <w:p w:rsidR="00E67099" w:rsidRPr="00276DE8" w:rsidRDefault="00E67099" w:rsidP="00E67099">
            <w:pPr>
              <w:ind w:right="-93"/>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276DE8">
              <w:rPr>
                <w:rFonts w:asciiTheme="majorHAnsi" w:hAnsiTheme="majorHAnsi" w:cstheme="majorHAnsi"/>
                <w:b/>
                <w:sz w:val="20"/>
                <w:szCs w:val="20"/>
              </w:rPr>
              <w:t>808,8</w:t>
            </w:r>
          </w:p>
        </w:tc>
        <w:tc>
          <w:tcPr>
            <w:tcW w:w="992" w:type="dxa"/>
            <w:vAlign w:val="center"/>
          </w:tcPr>
          <w:p w:rsidR="00E67099" w:rsidRPr="00276DE8" w:rsidRDefault="00E67099" w:rsidP="00E67099">
            <w:pPr>
              <w:ind w:right="-93"/>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sz w:val="20"/>
                <w:szCs w:val="20"/>
              </w:rPr>
            </w:pPr>
            <w:r w:rsidRPr="00276DE8">
              <w:rPr>
                <w:rFonts w:asciiTheme="majorHAnsi" w:hAnsiTheme="majorHAnsi" w:cstheme="majorHAnsi"/>
                <w:b/>
                <w:i/>
                <w:sz w:val="20"/>
                <w:szCs w:val="20"/>
              </w:rPr>
              <w:t>107,3</w:t>
            </w:r>
          </w:p>
        </w:tc>
        <w:tc>
          <w:tcPr>
            <w:tcW w:w="1276" w:type="dxa"/>
            <w:vAlign w:val="center"/>
          </w:tcPr>
          <w:p w:rsidR="00E67099" w:rsidRPr="00276DE8" w:rsidRDefault="00E67099" w:rsidP="00E67099">
            <w:pPr>
              <w:ind w:right="-93"/>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276DE8">
              <w:rPr>
                <w:rFonts w:asciiTheme="majorHAnsi" w:hAnsiTheme="majorHAnsi" w:cstheme="majorHAnsi"/>
                <w:b/>
                <w:sz w:val="20"/>
                <w:szCs w:val="20"/>
              </w:rPr>
              <w:t>11 578,9</w:t>
            </w:r>
          </w:p>
        </w:tc>
        <w:tc>
          <w:tcPr>
            <w:tcW w:w="851" w:type="dxa"/>
            <w:vAlign w:val="center"/>
          </w:tcPr>
          <w:p w:rsidR="00E67099" w:rsidRPr="00276DE8" w:rsidRDefault="00E67099" w:rsidP="00E67099">
            <w:pPr>
              <w:ind w:right="-93"/>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276DE8">
              <w:rPr>
                <w:rFonts w:asciiTheme="majorHAnsi" w:hAnsiTheme="majorHAnsi" w:cstheme="majorHAnsi"/>
                <w:b/>
                <w:sz w:val="20"/>
                <w:szCs w:val="20"/>
              </w:rPr>
              <w:t>-378,7</w:t>
            </w:r>
          </w:p>
        </w:tc>
        <w:tc>
          <w:tcPr>
            <w:tcW w:w="992" w:type="dxa"/>
            <w:vAlign w:val="center"/>
          </w:tcPr>
          <w:p w:rsidR="00E67099" w:rsidRPr="00276DE8" w:rsidRDefault="00E67099" w:rsidP="00E67099">
            <w:pPr>
              <w:ind w:right="-93"/>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sz w:val="20"/>
                <w:szCs w:val="20"/>
              </w:rPr>
            </w:pPr>
            <w:r w:rsidRPr="00276DE8">
              <w:rPr>
                <w:rFonts w:asciiTheme="majorHAnsi" w:hAnsiTheme="majorHAnsi" w:cstheme="majorHAnsi"/>
                <w:b/>
                <w:i/>
                <w:sz w:val="20"/>
                <w:szCs w:val="20"/>
              </w:rPr>
              <w:t>96,8</w:t>
            </w:r>
          </w:p>
        </w:tc>
      </w:tr>
      <w:tr w:rsidR="00E67099" w:rsidRPr="00E67099" w:rsidTr="00A36731">
        <w:trPr>
          <w:jc w:val="center"/>
        </w:trPr>
        <w:tc>
          <w:tcPr>
            <w:cnfStyle w:val="001000000000" w:firstRow="0" w:lastRow="0" w:firstColumn="1" w:lastColumn="0" w:oddVBand="0" w:evenVBand="0" w:oddHBand="0" w:evenHBand="0" w:firstRowFirstColumn="0" w:firstRowLastColumn="0" w:lastRowFirstColumn="0" w:lastRowLastColumn="0"/>
            <w:tcW w:w="3681" w:type="dxa"/>
          </w:tcPr>
          <w:p w:rsidR="00E67099" w:rsidRPr="00276DE8" w:rsidRDefault="00E67099" w:rsidP="00E67099">
            <w:pPr>
              <w:spacing w:after="40"/>
              <w:ind w:right="-91"/>
              <w:jc w:val="both"/>
              <w:rPr>
                <w:rFonts w:asciiTheme="majorHAnsi" w:hAnsiTheme="majorHAnsi" w:cstheme="majorHAnsi"/>
                <w:sz w:val="20"/>
                <w:szCs w:val="20"/>
              </w:rPr>
            </w:pPr>
            <w:r w:rsidRPr="00276DE8">
              <w:rPr>
                <w:rFonts w:asciiTheme="majorHAnsi" w:hAnsiTheme="majorHAnsi" w:cstheme="majorHAnsi"/>
                <w:sz w:val="20"/>
                <w:szCs w:val="20"/>
              </w:rPr>
              <w:t>cu destinație generală</w:t>
            </w:r>
          </w:p>
        </w:tc>
        <w:tc>
          <w:tcPr>
            <w:tcW w:w="1276" w:type="dxa"/>
          </w:tcPr>
          <w:p w:rsidR="00E67099" w:rsidRPr="00276DE8" w:rsidRDefault="00E67099" w:rsidP="00E67099">
            <w:pPr>
              <w:ind w:right="-9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76DE8">
              <w:rPr>
                <w:rFonts w:asciiTheme="majorHAnsi" w:hAnsiTheme="majorHAnsi" w:cstheme="majorHAnsi"/>
                <w:sz w:val="20"/>
                <w:szCs w:val="20"/>
              </w:rPr>
              <w:t>1 619,6</w:t>
            </w:r>
          </w:p>
        </w:tc>
        <w:tc>
          <w:tcPr>
            <w:tcW w:w="1275" w:type="dxa"/>
          </w:tcPr>
          <w:p w:rsidR="00E67099" w:rsidRPr="00276DE8" w:rsidRDefault="00E67099" w:rsidP="00E67099">
            <w:pPr>
              <w:ind w:right="-9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76DE8">
              <w:rPr>
                <w:rFonts w:asciiTheme="majorHAnsi" w:hAnsiTheme="majorHAnsi" w:cstheme="majorHAnsi"/>
                <w:sz w:val="20"/>
                <w:szCs w:val="20"/>
              </w:rPr>
              <w:t>1 619,6</w:t>
            </w:r>
          </w:p>
        </w:tc>
        <w:tc>
          <w:tcPr>
            <w:tcW w:w="992" w:type="dxa"/>
          </w:tcPr>
          <w:p w:rsidR="00E67099" w:rsidRPr="00276DE8" w:rsidRDefault="00E67099" w:rsidP="00E67099">
            <w:pPr>
              <w:ind w:right="-9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76DE8">
              <w:rPr>
                <w:rFonts w:asciiTheme="majorHAnsi" w:hAnsiTheme="majorHAnsi" w:cstheme="majorHAnsi"/>
                <w:sz w:val="20"/>
                <w:szCs w:val="20"/>
              </w:rPr>
              <w:t>-</w:t>
            </w:r>
          </w:p>
        </w:tc>
        <w:tc>
          <w:tcPr>
            <w:tcW w:w="992" w:type="dxa"/>
          </w:tcPr>
          <w:p w:rsidR="00E67099" w:rsidRPr="00276DE8" w:rsidRDefault="00E67099" w:rsidP="00E67099">
            <w:pPr>
              <w:ind w:right="-9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rPr>
            </w:pPr>
            <w:r w:rsidRPr="00276DE8">
              <w:rPr>
                <w:rFonts w:asciiTheme="majorHAnsi" w:hAnsiTheme="majorHAnsi" w:cstheme="majorHAnsi"/>
                <w:i/>
                <w:sz w:val="20"/>
                <w:szCs w:val="20"/>
              </w:rPr>
              <w:t>100,0</w:t>
            </w:r>
          </w:p>
        </w:tc>
        <w:tc>
          <w:tcPr>
            <w:tcW w:w="1276" w:type="dxa"/>
          </w:tcPr>
          <w:p w:rsidR="00E67099" w:rsidRPr="00276DE8" w:rsidRDefault="00E67099" w:rsidP="00E67099">
            <w:pPr>
              <w:ind w:right="-9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76DE8">
              <w:rPr>
                <w:rFonts w:asciiTheme="majorHAnsi" w:hAnsiTheme="majorHAnsi" w:cstheme="majorHAnsi"/>
                <w:sz w:val="20"/>
                <w:szCs w:val="20"/>
              </w:rPr>
              <w:t>1 619,6</w:t>
            </w:r>
          </w:p>
        </w:tc>
        <w:tc>
          <w:tcPr>
            <w:tcW w:w="851" w:type="dxa"/>
          </w:tcPr>
          <w:p w:rsidR="00E67099" w:rsidRPr="00276DE8" w:rsidRDefault="00E67099" w:rsidP="00E67099">
            <w:pPr>
              <w:ind w:right="-9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76DE8">
              <w:rPr>
                <w:rFonts w:asciiTheme="majorHAnsi" w:hAnsiTheme="majorHAnsi" w:cstheme="majorHAnsi"/>
                <w:sz w:val="20"/>
                <w:szCs w:val="20"/>
              </w:rPr>
              <w:t>-</w:t>
            </w:r>
          </w:p>
        </w:tc>
        <w:tc>
          <w:tcPr>
            <w:tcW w:w="992" w:type="dxa"/>
          </w:tcPr>
          <w:p w:rsidR="00E67099" w:rsidRPr="00276DE8" w:rsidRDefault="00E67099" w:rsidP="00E67099">
            <w:pPr>
              <w:ind w:right="-9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rPr>
            </w:pPr>
            <w:r w:rsidRPr="00276DE8">
              <w:rPr>
                <w:rFonts w:asciiTheme="majorHAnsi" w:hAnsiTheme="majorHAnsi" w:cstheme="majorHAnsi"/>
                <w:i/>
                <w:sz w:val="20"/>
                <w:szCs w:val="20"/>
              </w:rPr>
              <w:t>100,0</w:t>
            </w:r>
          </w:p>
        </w:tc>
      </w:tr>
      <w:tr w:rsidR="00E67099" w:rsidRPr="00E67099" w:rsidTr="00A36731">
        <w:trPr>
          <w:jc w:val="center"/>
        </w:trPr>
        <w:tc>
          <w:tcPr>
            <w:cnfStyle w:val="001000000000" w:firstRow="0" w:lastRow="0" w:firstColumn="1" w:lastColumn="0" w:oddVBand="0" w:evenVBand="0" w:oddHBand="0" w:evenHBand="0" w:firstRowFirstColumn="0" w:firstRowLastColumn="0" w:lastRowFirstColumn="0" w:lastRowLastColumn="0"/>
            <w:tcW w:w="3681" w:type="dxa"/>
          </w:tcPr>
          <w:p w:rsidR="00E67099" w:rsidRPr="00276DE8" w:rsidRDefault="00E67099" w:rsidP="00E67099">
            <w:pPr>
              <w:spacing w:after="40"/>
              <w:ind w:right="-91"/>
              <w:jc w:val="both"/>
              <w:rPr>
                <w:rFonts w:asciiTheme="majorHAnsi" w:hAnsiTheme="majorHAnsi" w:cstheme="majorHAnsi"/>
                <w:sz w:val="20"/>
                <w:szCs w:val="20"/>
              </w:rPr>
            </w:pPr>
            <w:r w:rsidRPr="00276DE8">
              <w:rPr>
                <w:rFonts w:asciiTheme="majorHAnsi" w:hAnsiTheme="majorHAnsi" w:cstheme="majorHAnsi"/>
                <w:sz w:val="20"/>
                <w:szCs w:val="20"/>
              </w:rPr>
              <w:t>cu destinație specială</w:t>
            </w:r>
          </w:p>
        </w:tc>
        <w:tc>
          <w:tcPr>
            <w:tcW w:w="1276" w:type="dxa"/>
          </w:tcPr>
          <w:p w:rsidR="00E67099" w:rsidRPr="00276DE8" w:rsidRDefault="00E67099" w:rsidP="00E67099">
            <w:pPr>
              <w:ind w:right="-9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76DE8">
              <w:rPr>
                <w:rFonts w:asciiTheme="majorHAnsi" w:hAnsiTheme="majorHAnsi" w:cstheme="majorHAnsi"/>
                <w:sz w:val="20"/>
                <w:szCs w:val="20"/>
              </w:rPr>
              <w:t>9 205,8</w:t>
            </w:r>
          </w:p>
        </w:tc>
        <w:tc>
          <w:tcPr>
            <w:tcW w:w="1275" w:type="dxa"/>
          </w:tcPr>
          <w:p w:rsidR="00E67099" w:rsidRPr="00276DE8" w:rsidRDefault="00E67099" w:rsidP="00E67099">
            <w:pPr>
              <w:ind w:right="-9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76DE8">
              <w:rPr>
                <w:rFonts w:asciiTheme="majorHAnsi" w:hAnsiTheme="majorHAnsi" w:cstheme="majorHAnsi"/>
                <w:sz w:val="20"/>
                <w:szCs w:val="20"/>
              </w:rPr>
              <w:t>9 901,1</w:t>
            </w:r>
          </w:p>
        </w:tc>
        <w:tc>
          <w:tcPr>
            <w:tcW w:w="992" w:type="dxa"/>
          </w:tcPr>
          <w:p w:rsidR="00E67099" w:rsidRPr="00276DE8" w:rsidRDefault="00E67099" w:rsidP="00E67099">
            <w:pPr>
              <w:ind w:right="-9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76DE8">
              <w:rPr>
                <w:rFonts w:asciiTheme="majorHAnsi" w:hAnsiTheme="majorHAnsi" w:cstheme="majorHAnsi"/>
                <w:sz w:val="20"/>
                <w:szCs w:val="20"/>
              </w:rPr>
              <w:t>+695,3</w:t>
            </w:r>
          </w:p>
        </w:tc>
        <w:tc>
          <w:tcPr>
            <w:tcW w:w="992" w:type="dxa"/>
          </w:tcPr>
          <w:p w:rsidR="00E67099" w:rsidRPr="00276DE8" w:rsidRDefault="00E67099" w:rsidP="00E67099">
            <w:pPr>
              <w:ind w:right="-9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rPr>
            </w:pPr>
            <w:r w:rsidRPr="00276DE8">
              <w:rPr>
                <w:rFonts w:asciiTheme="majorHAnsi" w:hAnsiTheme="majorHAnsi" w:cstheme="majorHAnsi"/>
                <w:i/>
                <w:sz w:val="20"/>
                <w:szCs w:val="20"/>
              </w:rPr>
              <w:t>107,6</w:t>
            </w:r>
          </w:p>
        </w:tc>
        <w:tc>
          <w:tcPr>
            <w:tcW w:w="1276" w:type="dxa"/>
          </w:tcPr>
          <w:p w:rsidR="00E67099" w:rsidRPr="00276DE8" w:rsidRDefault="00E67099" w:rsidP="00E67099">
            <w:pPr>
              <w:ind w:right="-9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76DE8">
              <w:rPr>
                <w:rFonts w:asciiTheme="majorHAnsi" w:hAnsiTheme="majorHAnsi" w:cstheme="majorHAnsi"/>
                <w:sz w:val="20"/>
                <w:szCs w:val="20"/>
              </w:rPr>
              <w:t>9 522,5</w:t>
            </w:r>
          </w:p>
        </w:tc>
        <w:tc>
          <w:tcPr>
            <w:tcW w:w="851" w:type="dxa"/>
          </w:tcPr>
          <w:p w:rsidR="00E67099" w:rsidRPr="00276DE8" w:rsidRDefault="00E67099" w:rsidP="00E67099">
            <w:pPr>
              <w:ind w:right="-9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76DE8">
              <w:rPr>
                <w:rFonts w:asciiTheme="majorHAnsi" w:hAnsiTheme="majorHAnsi" w:cstheme="majorHAnsi"/>
                <w:sz w:val="20"/>
                <w:szCs w:val="20"/>
              </w:rPr>
              <w:t>-378,7</w:t>
            </w:r>
          </w:p>
        </w:tc>
        <w:tc>
          <w:tcPr>
            <w:tcW w:w="992" w:type="dxa"/>
          </w:tcPr>
          <w:p w:rsidR="00E67099" w:rsidRPr="00276DE8" w:rsidRDefault="00E67099" w:rsidP="00E67099">
            <w:pPr>
              <w:ind w:right="-9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rPr>
            </w:pPr>
            <w:r w:rsidRPr="00276DE8">
              <w:rPr>
                <w:rFonts w:asciiTheme="majorHAnsi" w:hAnsiTheme="majorHAnsi" w:cstheme="majorHAnsi"/>
                <w:i/>
                <w:sz w:val="20"/>
                <w:szCs w:val="20"/>
              </w:rPr>
              <w:t>96,2</w:t>
            </w:r>
          </w:p>
        </w:tc>
      </w:tr>
      <w:tr w:rsidR="00E67099" w:rsidRPr="00E67099" w:rsidTr="00A36731">
        <w:trPr>
          <w:trHeight w:val="276"/>
          <w:jc w:val="center"/>
        </w:trPr>
        <w:tc>
          <w:tcPr>
            <w:cnfStyle w:val="001000000000" w:firstRow="0" w:lastRow="0" w:firstColumn="1" w:lastColumn="0" w:oddVBand="0" w:evenVBand="0" w:oddHBand="0" w:evenHBand="0" w:firstRowFirstColumn="0" w:firstRowLastColumn="0" w:lastRowFirstColumn="0" w:lastRowLastColumn="0"/>
            <w:tcW w:w="3681" w:type="dxa"/>
          </w:tcPr>
          <w:p w:rsidR="00E67099" w:rsidRPr="00276DE8" w:rsidRDefault="00E67099" w:rsidP="00E67099">
            <w:pPr>
              <w:spacing w:after="40"/>
              <w:ind w:right="-91"/>
              <w:jc w:val="both"/>
              <w:rPr>
                <w:rFonts w:asciiTheme="majorHAnsi" w:hAnsiTheme="majorHAnsi" w:cstheme="majorHAnsi"/>
                <w:sz w:val="20"/>
                <w:szCs w:val="20"/>
              </w:rPr>
            </w:pPr>
            <w:r w:rsidRPr="00276DE8">
              <w:rPr>
                <w:rFonts w:asciiTheme="majorHAnsi" w:hAnsiTheme="majorHAnsi" w:cstheme="majorHAnsi"/>
                <w:sz w:val="20"/>
                <w:szCs w:val="20"/>
              </w:rPr>
              <w:t>din fondul de compensare</w:t>
            </w:r>
          </w:p>
        </w:tc>
        <w:tc>
          <w:tcPr>
            <w:tcW w:w="1276" w:type="dxa"/>
          </w:tcPr>
          <w:p w:rsidR="00E67099" w:rsidRPr="00276DE8" w:rsidRDefault="00E67099" w:rsidP="00E67099">
            <w:pPr>
              <w:ind w:right="-9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76DE8">
              <w:rPr>
                <w:rFonts w:asciiTheme="majorHAnsi" w:hAnsiTheme="majorHAnsi" w:cstheme="majorHAnsi"/>
                <w:sz w:val="20"/>
                <w:szCs w:val="20"/>
              </w:rPr>
              <w:t>7,9</w:t>
            </w:r>
          </w:p>
        </w:tc>
        <w:tc>
          <w:tcPr>
            <w:tcW w:w="1275" w:type="dxa"/>
          </w:tcPr>
          <w:p w:rsidR="00E67099" w:rsidRPr="00276DE8" w:rsidRDefault="00E67099" w:rsidP="00E67099">
            <w:pPr>
              <w:ind w:right="-9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76DE8">
              <w:rPr>
                <w:rFonts w:asciiTheme="majorHAnsi" w:hAnsiTheme="majorHAnsi" w:cstheme="majorHAnsi"/>
                <w:sz w:val="20"/>
                <w:szCs w:val="20"/>
              </w:rPr>
              <w:t>7,9</w:t>
            </w:r>
          </w:p>
        </w:tc>
        <w:tc>
          <w:tcPr>
            <w:tcW w:w="992" w:type="dxa"/>
          </w:tcPr>
          <w:p w:rsidR="00E67099" w:rsidRPr="00276DE8" w:rsidRDefault="00E67099" w:rsidP="00E67099">
            <w:pPr>
              <w:ind w:right="-9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76DE8">
              <w:rPr>
                <w:rFonts w:asciiTheme="majorHAnsi" w:hAnsiTheme="majorHAnsi" w:cstheme="majorHAnsi"/>
                <w:sz w:val="20"/>
                <w:szCs w:val="20"/>
              </w:rPr>
              <w:t>-</w:t>
            </w:r>
          </w:p>
        </w:tc>
        <w:tc>
          <w:tcPr>
            <w:tcW w:w="992" w:type="dxa"/>
          </w:tcPr>
          <w:p w:rsidR="00E67099" w:rsidRPr="00276DE8" w:rsidRDefault="00E67099" w:rsidP="00E67099">
            <w:pPr>
              <w:ind w:right="-9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rPr>
            </w:pPr>
            <w:r w:rsidRPr="00276DE8">
              <w:rPr>
                <w:rFonts w:asciiTheme="majorHAnsi" w:hAnsiTheme="majorHAnsi" w:cstheme="majorHAnsi"/>
                <w:i/>
                <w:sz w:val="20"/>
                <w:szCs w:val="20"/>
              </w:rPr>
              <w:t>100,0</w:t>
            </w:r>
          </w:p>
        </w:tc>
        <w:tc>
          <w:tcPr>
            <w:tcW w:w="1276" w:type="dxa"/>
          </w:tcPr>
          <w:p w:rsidR="00E67099" w:rsidRPr="00276DE8" w:rsidRDefault="00E67099" w:rsidP="00E67099">
            <w:pPr>
              <w:ind w:right="-9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76DE8">
              <w:rPr>
                <w:rFonts w:asciiTheme="majorHAnsi" w:hAnsiTheme="majorHAnsi" w:cstheme="majorHAnsi"/>
                <w:sz w:val="20"/>
                <w:szCs w:val="20"/>
              </w:rPr>
              <w:t>7,9</w:t>
            </w:r>
          </w:p>
        </w:tc>
        <w:tc>
          <w:tcPr>
            <w:tcW w:w="851" w:type="dxa"/>
          </w:tcPr>
          <w:p w:rsidR="00E67099" w:rsidRPr="00276DE8" w:rsidRDefault="00E67099" w:rsidP="00E67099">
            <w:pPr>
              <w:ind w:right="-9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76DE8">
              <w:rPr>
                <w:rFonts w:asciiTheme="majorHAnsi" w:hAnsiTheme="majorHAnsi" w:cstheme="majorHAnsi"/>
                <w:sz w:val="20"/>
                <w:szCs w:val="20"/>
              </w:rPr>
              <w:t>-</w:t>
            </w:r>
          </w:p>
        </w:tc>
        <w:tc>
          <w:tcPr>
            <w:tcW w:w="992" w:type="dxa"/>
          </w:tcPr>
          <w:p w:rsidR="00E67099" w:rsidRPr="00276DE8" w:rsidRDefault="00E67099" w:rsidP="00E67099">
            <w:pPr>
              <w:ind w:right="-9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rPr>
            </w:pPr>
            <w:r w:rsidRPr="00276DE8">
              <w:rPr>
                <w:rFonts w:asciiTheme="majorHAnsi" w:hAnsiTheme="majorHAnsi" w:cstheme="majorHAnsi"/>
                <w:i/>
                <w:sz w:val="20"/>
                <w:szCs w:val="20"/>
              </w:rPr>
              <w:t>100,0</w:t>
            </w:r>
          </w:p>
        </w:tc>
      </w:tr>
      <w:tr w:rsidR="00E67099" w:rsidRPr="00E67099" w:rsidTr="00A36731">
        <w:trPr>
          <w:jc w:val="center"/>
        </w:trPr>
        <w:tc>
          <w:tcPr>
            <w:cnfStyle w:val="001000000000" w:firstRow="0" w:lastRow="0" w:firstColumn="1" w:lastColumn="0" w:oddVBand="0" w:evenVBand="0" w:oddHBand="0" w:evenHBand="0" w:firstRowFirstColumn="0" w:firstRowLastColumn="0" w:lastRowFirstColumn="0" w:lastRowLastColumn="0"/>
            <w:tcW w:w="3681" w:type="dxa"/>
          </w:tcPr>
          <w:p w:rsidR="00E67099" w:rsidRPr="00276DE8" w:rsidRDefault="00E67099" w:rsidP="00E67099">
            <w:pPr>
              <w:ind w:right="-91"/>
              <w:jc w:val="both"/>
              <w:rPr>
                <w:rFonts w:asciiTheme="majorHAnsi" w:hAnsiTheme="majorHAnsi" w:cstheme="majorHAnsi"/>
                <w:sz w:val="20"/>
                <w:szCs w:val="20"/>
              </w:rPr>
            </w:pPr>
            <w:r w:rsidRPr="00276DE8">
              <w:rPr>
                <w:rFonts w:asciiTheme="majorHAnsi" w:hAnsiTheme="majorHAnsi" w:cstheme="majorHAnsi"/>
                <w:sz w:val="20"/>
                <w:szCs w:val="20"/>
              </w:rPr>
              <w:t xml:space="preserve">alte transferuri curente </w:t>
            </w:r>
          </w:p>
          <w:p w:rsidR="00E67099" w:rsidRPr="00276DE8" w:rsidRDefault="00E67099" w:rsidP="00E67099">
            <w:pPr>
              <w:ind w:right="-91"/>
              <w:jc w:val="both"/>
              <w:rPr>
                <w:rFonts w:asciiTheme="majorHAnsi" w:hAnsiTheme="majorHAnsi" w:cstheme="majorHAnsi"/>
                <w:sz w:val="20"/>
                <w:szCs w:val="20"/>
              </w:rPr>
            </w:pPr>
            <w:r w:rsidRPr="00276DE8">
              <w:rPr>
                <w:rFonts w:asciiTheme="majorHAnsi" w:hAnsiTheme="majorHAnsi" w:cstheme="majorHAnsi"/>
                <w:sz w:val="20"/>
                <w:szCs w:val="20"/>
              </w:rPr>
              <w:t>cu destinație generală</w:t>
            </w:r>
          </w:p>
        </w:tc>
        <w:tc>
          <w:tcPr>
            <w:tcW w:w="1276" w:type="dxa"/>
          </w:tcPr>
          <w:p w:rsidR="00E67099" w:rsidRPr="00276DE8" w:rsidRDefault="00E67099" w:rsidP="00E67099">
            <w:pPr>
              <w:ind w:right="-9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76DE8">
              <w:rPr>
                <w:rFonts w:asciiTheme="majorHAnsi" w:hAnsiTheme="majorHAnsi" w:cstheme="majorHAnsi"/>
                <w:sz w:val="20"/>
                <w:szCs w:val="20"/>
              </w:rPr>
              <w:t>315,4</w:t>
            </w:r>
          </w:p>
        </w:tc>
        <w:tc>
          <w:tcPr>
            <w:tcW w:w="1275" w:type="dxa"/>
          </w:tcPr>
          <w:p w:rsidR="00E67099" w:rsidRPr="00276DE8" w:rsidRDefault="00E67099" w:rsidP="00E67099">
            <w:pPr>
              <w:ind w:right="-9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76DE8">
              <w:rPr>
                <w:rFonts w:asciiTheme="majorHAnsi" w:hAnsiTheme="majorHAnsi" w:cstheme="majorHAnsi"/>
                <w:sz w:val="20"/>
                <w:szCs w:val="20"/>
              </w:rPr>
              <w:t>429,0</w:t>
            </w:r>
          </w:p>
        </w:tc>
        <w:tc>
          <w:tcPr>
            <w:tcW w:w="992" w:type="dxa"/>
          </w:tcPr>
          <w:p w:rsidR="00E67099" w:rsidRPr="00276DE8" w:rsidRDefault="00E67099" w:rsidP="00E67099">
            <w:pPr>
              <w:ind w:right="-9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76DE8">
              <w:rPr>
                <w:rFonts w:asciiTheme="majorHAnsi" w:hAnsiTheme="majorHAnsi" w:cstheme="majorHAnsi"/>
                <w:sz w:val="20"/>
                <w:szCs w:val="20"/>
              </w:rPr>
              <w:t>+113,5</w:t>
            </w:r>
          </w:p>
        </w:tc>
        <w:tc>
          <w:tcPr>
            <w:tcW w:w="992" w:type="dxa"/>
          </w:tcPr>
          <w:p w:rsidR="00E67099" w:rsidRPr="00276DE8" w:rsidRDefault="00E67099" w:rsidP="00E67099">
            <w:pPr>
              <w:ind w:right="-9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rPr>
            </w:pPr>
            <w:r w:rsidRPr="00276DE8">
              <w:rPr>
                <w:rFonts w:asciiTheme="majorHAnsi" w:hAnsiTheme="majorHAnsi" w:cstheme="majorHAnsi"/>
                <w:i/>
                <w:sz w:val="20"/>
                <w:szCs w:val="20"/>
              </w:rPr>
              <w:t>136,0</w:t>
            </w:r>
          </w:p>
        </w:tc>
        <w:tc>
          <w:tcPr>
            <w:tcW w:w="1276" w:type="dxa"/>
          </w:tcPr>
          <w:p w:rsidR="00E67099" w:rsidRPr="00276DE8" w:rsidRDefault="00E67099" w:rsidP="00E67099">
            <w:pPr>
              <w:ind w:right="-9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76DE8">
              <w:rPr>
                <w:rFonts w:asciiTheme="majorHAnsi" w:hAnsiTheme="majorHAnsi" w:cstheme="majorHAnsi"/>
                <w:sz w:val="20"/>
                <w:szCs w:val="20"/>
              </w:rPr>
              <w:t>429,0</w:t>
            </w:r>
          </w:p>
        </w:tc>
        <w:tc>
          <w:tcPr>
            <w:tcW w:w="851" w:type="dxa"/>
          </w:tcPr>
          <w:p w:rsidR="00E67099" w:rsidRPr="00276DE8" w:rsidRDefault="00E67099" w:rsidP="00E67099">
            <w:pPr>
              <w:ind w:right="-9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76DE8">
              <w:rPr>
                <w:rFonts w:asciiTheme="majorHAnsi" w:hAnsiTheme="majorHAnsi" w:cstheme="majorHAnsi"/>
                <w:sz w:val="20"/>
                <w:szCs w:val="20"/>
              </w:rPr>
              <w:t>-</w:t>
            </w:r>
          </w:p>
        </w:tc>
        <w:tc>
          <w:tcPr>
            <w:tcW w:w="992" w:type="dxa"/>
          </w:tcPr>
          <w:p w:rsidR="00E67099" w:rsidRPr="00276DE8" w:rsidRDefault="00E67099" w:rsidP="00E67099">
            <w:pPr>
              <w:ind w:right="-9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rPr>
            </w:pPr>
            <w:r w:rsidRPr="00276DE8">
              <w:rPr>
                <w:rFonts w:asciiTheme="majorHAnsi" w:hAnsiTheme="majorHAnsi" w:cstheme="majorHAnsi"/>
                <w:i/>
                <w:sz w:val="20"/>
                <w:szCs w:val="20"/>
              </w:rPr>
              <w:t>100,0</w:t>
            </w:r>
          </w:p>
        </w:tc>
      </w:tr>
    </w:tbl>
    <w:p w:rsidR="00E67099" w:rsidRPr="00E67099" w:rsidRDefault="00E67099" w:rsidP="00E67099">
      <w:pPr>
        <w:spacing w:after="0" w:line="257" w:lineRule="auto"/>
        <w:ind w:left="993" w:right="1806"/>
        <w:jc w:val="both"/>
        <w:rPr>
          <w:rFonts w:asciiTheme="majorHAnsi" w:eastAsia="MS Mincho" w:hAnsiTheme="majorHAnsi" w:cstheme="majorHAnsi"/>
          <w:i/>
          <w:sz w:val="20"/>
          <w:szCs w:val="20"/>
          <w:lang w:eastAsia="ja-JP"/>
        </w:rPr>
      </w:pPr>
      <w:r w:rsidRPr="00E67099">
        <w:rPr>
          <w:rFonts w:asciiTheme="majorHAnsi" w:eastAsia="MS Mincho" w:hAnsiTheme="majorHAnsi" w:cstheme="majorHAnsi"/>
          <w:b/>
          <w:i/>
          <w:sz w:val="20"/>
          <w:szCs w:val="20"/>
          <w:lang w:eastAsia="ja-JP"/>
        </w:rPr>
        <w:t>Sursă:</w:t>
      </w:r>
      <w:r w:rsidRPr="00E67099">
        <w:rPr>
          <w:rFonts w:asciiTheme="majorHAnsi" w:eastAsia="MS Mincho" w:hAnsiTheme="majorHAnsi" w:cstheme="majorHAnsi"/>
          <w:b/>
          <w:sz w:val="20"/>
          <w:szCs w:val="20"/>
          <w:lang w:eastAsia="ja-JP"/>
        </w:rPr>
        <w:t xml:space="preserve"> </w:t>
      </w:r>
      <w:r w:rsidRPr="00E67099">
        <w:rPr>
          <w:rFonts w:asciiTheme="majorHAnsi" w:eastAsia="MS Mincho" w:hAnsiTheme="majorHAnsi" w:cstheme="majorHAnsi"/>
          <w:i/>
          <w:sz w:val="20"/>
          <w:szCs w:val="20"/>
          <w:lang w:eastAsia="ja-JP"/>
        </w:rPr>
        <w:t>Informații generalizate de echipa de audit în baza datelor din Raportul privind executarea bugetului de stat pe anul 2019, Formularul nr.7.</w:t>
      </w:r>
    </w:p>
    <w:p w:rsidR="00E67099" w:rsidRPr="00E67099" w:rsidRDefault="00E67099" w:rsidP="008B3719">
      <w:pPr>
        <w:shd w:val="clear" w:color="auto" w:fill="FFFFFF" w:themeFill="background1"/>
        <w:spacing w:after="0" w:line="240" w:lineRule="auto"/>
        <w:rPr>
          <w:rFonts w:asciiTheme="majorHAnsi" w:eastAsia="MS Mincho" w:hAnsiTheme="majorHAnsi" w:cstheme="majorHAnsi"/>
          <w:i/>
          <w:sz w:val="24"/>
          <w:szCs w:val="24"/>
          <w:lang w:eastAsia="ja-JP"/>
        </w:rPr>
      </w:pPr>
    </w:p>
    <w:p w:rsidR="00F71B6E" w:rsidRDefault="00F71B6E" w:rsidP="00E67099">
      <w:pPr>
        <w:shd w:val="clear" w:color="auto" w:fill="FFFFFF" w:themeFill="background1"/>
        <w:spacing w:after="0" w:line="240" w:lineRule="auto"/>
        <w:ind w:firstLine="720"/>
        <w:jc w:val="right"/>
        <w:rPr>
          <w:rFonts w:asciiTheme="majorHAnsi" w:eastAsia="MS Mincho" w:hAnsiTheme="majorHAnsi" w:cstheme="majorHAnsi"/>
          <w:b/>
          <w:i/>
          <w:sz w:val="24"/>
          <w:szCs w:val="24"/>
          <w:lang w:eastAsia="ja-JP"/>
        </w:rPr>
      </w:pPr>
    </w:p>
    <w:p w:rsidR="00F71B6E" w:rsidRDefault="00F71B6E" w:rsidP="00E67099">
      <w:pPr>
        <w:shd w:val="clear" w:color="auto" w:fill="FFFFFF" w:themeFill="background1"/>
        <w:spacing w:after="0" w:line="240" w:lineRule="auto"/>
        <w:ind w:firstLine="720"/>
        <w:jc w:val="right"/>
        <w:rPr>
          <w:rFonts w:asciiTheme="majorHAnsi" w:eastAsia="MS Mincho" w:hAnsiTheme="majorHAnsi" w:cstheme="majorHAnsi"/>
          <w:b/>
          <w:i/>
          <w:sz w:val="24"/>
          <w:szCs w:val="24"/>
          <w:lang w:eastAsia="ja-JP"/>
        </w:rPr>
      </w:pPr>
    </w:p>
    <w:p w:rsidR="00E67099" w:rsidRPr="00E67099" w:rsidRDefault="00E67099" w:rsidP="00E67099">
      <w:pPr>
        <w:shd w:val="clear" w:color="auto" w:fill="FFFFFF" w:themeFill="background1"/>
        <w:spacing w:after="0" w:line="240" w:lineRule="auto"/>
        <w:ind w:firstLine="720"/>
        <w:jc w:val="right"/>
        <w:rPr>
          <w:rFonts w:asciiTheme="majorHAnsi" w:eastAsia="MS Mincho" w:hAnsiTheme="majorHAnsi" w:cstheme="majorHAnsi"/>
          <w:b/>
          <w:i/>
          <w:sz w:val="24"/>
          <w:szCs w:val="24"/>
          <w:lang w:eastAsia="ja-JP"/>
        </w:rPr>
      </w:pPr>
      <w:r w:rsidRPr="00E67099">
        <w:rPr>
          <w:rFonts w:asciiTheme="majorHAnsi" w:eastAsia="MS Mincho" w:hAnsiTheme="majorHAnsi" w:cstheme="majorHAnsi"/>
          <w:b/>
          <w:i/>
          <w:sz w:val="24"/>
          <w:szCs w:val="24"/>
          <w:lang w:eastAsia="ja-JP"/>
        </w:rPr>
        <w:t>Anexa nr.17</w:t>
      </w:r>
    </w:p>
    <w:tbl>
      <w:tblPr>
        <w:tblStyle w:val="GridTable1Light12"/>
        <w:tblW w:w="8222" w:type="dxa"/>
        <w:jc w:val="center"/>
        <w:tblLook w:val="04A0" w:firstRow="1" w:lastRow="0" w:firstColumn="1" w:lastColumn="0" w:noHBand="0" w:noVBand="1"/>
      </w:tblPr>
      <w:tblGrid>
        <w:gridCol w:w="3969"/>
        <w:gridCol w:w="1530"/>
        <w:gridCol w:w="1262"/>
        <w:gridCol w:w="1461"/>
      </w:tblGrid>
      <w:tr w:rsidR="00E67099" w:rsidRPr="00E67099" w:rsidTr="00A36731">
        <w:trPr>
          <w:cnfStyle w:val="100000000000" w:firstRow="1" w:lastRow="0" w:firstColumn="0" w:lastColumn="0" w:oddVBand="0" w:evenVBand="0" w:oddHBand="0"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8222" w:type="dxa"/>
            <w:gridSpan w:val="4"/>
            <w:noWrap/>
            <w:hideMark/>
          </w:tcPr>
          <w:p w:rsidR="00E67099" w:rsidRPr="00276DE8" w:rsidRDefault="00E67099" w:rsidP="00E67099">
            <w:pPr>
              <w:jc w:val="center"/>
              <w:rPr>
                <w:rFonts w:asciiTheme="majorHAnsi" w:eastAsia="Times New Roman" w:hAnsiTheme="majorHAnsi" w:cstheme="majorHAnsi"/>
                <w:color w:val="000000"/>
                <w:sz w:val="20"/>
                <w:szCs w:val="20"/>
              </w:rPr>
            </w:pPr>
            <w:r w:rsidRPr="00276DE8">
              <w:rPr>
                <w:rFonts w:asciiTheme="majorHAnsi" w:eastAsia="Times New Roman" w:hAnsiTheme="majorHAnsi" w:cstheme="majorHAnsi"/>
                <w:color w:val="000000"/>
                <w:sz w:val="20"/>
                <w:szCs w:val="20"/>
              </w:rPr>
              <w:t xml:space="preserve">Sinteza soldurilor în structura transferurilor cu destinație specială </w:t>
            </w:r>
          </w:p>
          <w:p w:rsidR="00E67099" w:rsidRPr="00276DE8" w:rsidRDefault="00E67099" w:rsidP="00E67099">
            <w:pPr>
              <w:jc w:val="center"/>
              <w:rPr>
                <w:rFonts w:asciiTheme="majorHAnsi" w:eastAsia="Times New Roman" w:hAnsiTheme="majorHAnsi" w:cstheme="majorHAnsi"/>
                <w:color w:val="000000"/>
                <w:sz w:val="20"/>
                <w:szCs w:val="20"/>
              </w:rPr>
            </w:pPr>
            <w:r w:rsidRPr="00276DE8">
              <w:rPr>
                <w:rFonts w:asciiTheme="majorHAnsi" w:eastAsia="Times New Roman" w:hAnsiTheme="majorHAnsi" w:cstheme="majorHAnsi"/>
                <w:color w:val="000000"/>
                <w:sz w:val="20"/>
                <w:szCs w:val="20"/>
              </w:rPr>
              <w:t>în perioada anilor 2018-2019</w:t>
            </w:r>
          </w:p>
          <w:p w:rsidR="00E67099" w:rsidRPr="00276DE8" w:rsidRDefault="00E67099" w:rsidP="00E67099">
            <w:pPr>
              <w:jc w:val="right"/>
              <w:rPr>
                <w:rFonts w:asciiTheme="majorHAnsi" w:eastAsia="Times New Roman" w:hAnsiTheme="majorHAnsi" w:cstheme="majorHAnsi"/>
                <w:color w:val="000000"/>
                <w:sz w:val="20"/>
                <w:szCs w:val="20"/>
              </w:rPr>
            </w:pPr>
            <w:r w:rsidRPr="00276DE8">
              <w:rPr>
                <w:rFonts w:asciiTheme="majorHAnsi" w:eastAsia="Times New Roman" w:hAnsiTheme="majorHAnsi" w:cstheme="majorHAnsi"/>
                <w:color w:val="000000"/>
                <w:sz w:val="20"/>
                <w:szCs w:val="20"/>
              </w:rPr>
              <w:t>(mil.lei)</w:t>
            </w:r>
          </w:p>
        </w:tc>
      </w:tr>
      <w:tr w:rsidR="00E67099" w:rsidRPr="00E67099" w:rsidTr="00A36731">
        <w:trPr>
          <w:trHeight w:val="201"/>
          <w:jc w:val="center"/>
        </w:trPr>
        <w:tc>
          <w:tcPr>
            <w:cnfStyle w:val="001000000000" w:firstRow="0" w:lastRow="0" w:firstColumn="1" w:lastColumn="0" w:oddVBand="0" w:evenVBand="0" w:oddHBand="0" w:evenHBand="0" w:firstRowFirstColumn="0" w:firstRowLastColumn="0" w:lastRowFirstColumn="0" w:lastRowLastColumn="0"/>
            <w:tcW w:w="3969" w:type="dxa"/>
            <w:noWrap/>
            <w:hideMark/>
          </w:tcPr>
          <w:p w:rsidR="00E67099" w:rsidRPr="00276DE8" w:rsidRDefault="00E67099" w:rsidP="00E67099">
            <w:pPr>
              <w:jc w:val="center"/>
              <w:rPr>
                <w:rFonts w:asciiTheme="majorHAnsi" w:eastAsia="Times New Roman" w:hAnsiTheme="majorHAnsi" w:cstheme="majorHAnsi"/>
                <w:color w:val="000000"/>
                <w:sz w:val="20"/>
                <w:szCs w:val="20"/>
              </w:rPr>
            </w:pPr>
            <w:r w:rsidRPr="00276DE8">
              <w:rPr>
                <w:rFonts w:asciiTheme="majorHAnsi" w:eastAsia="Times New Roman" w:hAnsiTheme="majorHAnsi" w:cstheme="majorHAnsi"/>
                <w:color w:val="000000"/>
                <w:sz w:val="20"/>
                <w:szCs w:val="20"/>
              </w:rPr>
              <w:t>Tipul cheltuielilor</w:t>
            </w:r>
          </w:p>
        </w:tc>
        <w:tc>
          <w:tcPr>
            <w:tcW w:w="1530" w:type="dxa"/>
            <w:hideMark/>
          </w:tcPr>
          <w:p w:rsidR="00E67099" w:rsidRPr="00276DE8"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rPr>
            </w:pPr>
            <w:r w:rsidRPr="00276DE8">
              <w:rPr>
                <w:rFonts w:asciiTheme="majorHAnsi" w:eastAsia="Times New Roman" w:hAnsiTheme="majorHAnsi" w:cstheme="majorHAnsi"/>
                <w:b/>
                <w:color w:val="000000"/>
                <w:sz w:val="20"/>
                <w:szCs w:val="20"/>
              </w:rPr>
              <w:t>Anul 2018</w:t>
            </w:r>
          </w:p>
        </w:tc>
        <w:tc>
          <w:tcPr>
            <w:tcW w:w="1262" w:type="dxa"/>
          </w:tcPr>
          <w:p w:rsidR="00E67099" w:rsidRPr="00276DE8"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rPr>
            </w:pPr>
            <w:r w:rsidRPr="00276DE8">
              <w:rPr>
                <w:rFonts w:asciiTheme="majorHAnsi" w:eastAsia="Times New Roman" w:hAnsiTheme="majorHAnsi" w:cstheme="majorHAnsi"/>
                <w:b/>
                <w:color w:val="000000"/>
                <w:sz w:val="20"/>
                <w:szCs w:val="20"/>
              </w:rPr>
              <w:t>Anul 2019</w:t>
            </w:r>
          </w:p>
        </w:tc>
        <w:tc>
          <w:tcPr>
            <w:tcW w:w="1461" w:type="dxa"/>
          </w:tcPr>
          <w:p w:rsidR="00E67099" w:rsidRPr="00276DE8"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rPr>
            </w:pPr>
            <w:r w:rsidRPr="00276DE8">
              <w:rPr>
                <w:rFonts w:asciiTheme="majorHAnsi" w:eastAsia="Times New Roman" w:hAnsiTheme="majorHAnsi" w:cstheme="majorHAnsi"/>
                <w:b/>
                <w:color w:val="000000"/>
                <w:sz w:val="20"/>
                <w:szCs w:val="20"/>
              </w:rPr>
              <w:t>Devieri (+/-)</w:t>
            </w:r>
          </w:p>
        </w:tc>
      </w:tr>
      <w:tr w:rsidR="00E67099" w:rsidRPr="00E67099" w:rsidTr="00A36731">
        <w:trPr>
          <w:trHeight w:val="300"/>
          <w:jc w:val="center"/>
        </w:trPr>
        <w:tc>
          <w:tcPr>
            <w:cnfStyle w:val="001000000000" w:firstRow="0" w:lastRow="0" w:firstColumn="1" w:lastColumn="0" w:oddVBand="0" w:evenVBand="0" w:oddHBand="0" w:evenHBand="0" w:firstRowFirstColumn="0" w:firstRowLastColumn="0" w:lastRowFirstColumn="0" w:lastRowLastColumn="0"/>
            <w:tcW w:w="3969" w:type="dxa"/>
            <w:noWrap/>
            <w:hideMark/>
          </w:tcPr>
          <w:p w:rsidR="00E67099" w:rsidRPr="00276DE8" w:rsidRDefault="00E67099" w:rsidP="00E67099">
            <w:pPr>
              <w:ind w:firstLineChars="100" w:firstLine="201"/>
              <w:rPr>
                <w:rFonts w:asciiTheme="majorHAnsi" w:eastAsia="Times New Roman" w:hAnsiTheme="majorHAnsi" w:cstheme="majorHAnsi"/>
                <w:color w:val="000000"/>
                <w:sz w:val="20"/>
                <w:szCs w:val="20"/>
              </w:rPr>
            </w:pPr>
            <w:r w:rsidRPr="00276DE8">
              <w:rPr>
                <w:rFonts w:asciiTheme="majorHAnsi" w:eastAsia="Times New Roman" w:hAnsiTheme="majorHAnsi" w:cstheme="majorHAnsi"/>
                <w:color w:val="000000"/>
                <w:sz w:val="20"/>
                <w:szCs w:val="20"/>
              </w:rPr>
              <w:t>Învățământ</w:t>
            </w:r>
          </w:p>
        </w:tc>
        <w:tc>
          <w:tcPr>
            <w:tcW w:w="1530" w:type="dxa"/>
            <w:noWrap/>
            <w:hideMark/>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276DE8">
              <w:rPr>
                <w:rFonts w:asciiTheme="majorHAnsi" w:eastAsia="Times New Roman" w:hAnsiTheme="majorHAnsi" w:cstheme="majorHAnsi"/>
                <w:color w:val="000000"/>
                <w:sz w:val="20"/>
                <w:szCs w:val="20"/>
              </w:rPr>
              <w:t>244,1</w:t>
            </w:r>
          </w:p>
        </w:tc>
        <w:tc>
          <w:tcPr>
            <w:tcW w:w="1262" w:type="dxa"/>
            <w:noWrap/>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276DE8">
              <w:rPr>
                <w:rFonts w:asciiTheme="majorHAnsi" w:eastAsia="Times New Roman" w:hAnsiTheme="majorHAnsi" w:cstheme="majorHAnsi"/>
                <w:color w:val="000000"/>
                <w:sz w:val="20"/>
                <w:szCs w:val="20"/>
              </w:rPr>
              <w:t>13,2</w:t>
            </w:r>
          </w:p>
        </w:tc>
        <w:tc>
          <w:tcPr>
            <w:tcW w:w="1461" w:type="dxa"/>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276DE8">
              <w:rPr>
                <w:rFonts w:asciiTheme="majorHAnsi" w:eastAsia="Times New Roman" w:hAnsiTheme="majorHAnsi" w:cstheme="majorHAnsi"/>
                <w:color w:val="000000"/>
                <w:sz w:val="20"/>
                <w:szCs w:val="20"/>
              </w:rPr>
              <w:t>-230,9</w:t>
            </w:r>
          </w:p>
        </w:tc>
      </w:tr>
      <w:tr w:rsidR="00E67099" w:rsidRPr="00E67099" w:rsidTr="00A36731">
        <w:trPr>
          <w:trHeight w:val="300"/>
          <w:jc w:val="center"/>
        </w:trPr>
        <w:tc>
          <w:tcPr>
            <w:cnfStyle w:val="001000000000" w:firstRow="0" w:lastRow="0" w:firstColumn="1" w:lastColumn="0" w:oddVBand="0" w:evenVBand="0" w:oddHBand="0" w:evenHBand="0" w:firstRowFirstColumn="0" w:firstRowLastColumn="0" w:lastRowFirstColumn="0" w:lastRowLastColumn="0"/>
            <w:tcW w:w="3969" w:type="dxa"/>
            <w:noWrap/>
            <w:hideMark/>
          </w:tcPr>
          <w:p w:rsidR="00E67099" w:rsidRPr="00276DE8" w:rsidRDefault="00E67099" w:rsidP="00E67099">
            <w:pPr>
              <w:ind w:firstLineChars="100" w:firstLine="201"/>
              <w:rPr>
                <w:rFonts w:asciiTheme="majorHAnsi" w:eastAsia="Times New Roman" w:hAnsiTheme="majorHAnsi" w:cstheme="majorHAnsi"/>
                <w:color w:val="000000"/>
                <w:sz w:val="20"/>
                <w:szCs w:val="20"/>
              </w:rPr>
            </w:pPr>
            <w:r w:rsidRPr="00276DE8">
              <w:rPr>
                <w:rFonts w:asciiTheme="majorHAnsi" w:eastAsia="Times New Roman" w:hAnsiTheme="majorHAnsi" w:cstheme="majorHAnsi"/>
                <w:color w:val="000000"/>
                <w:sz w:val="20"/>
                <w:szCs w:val="20"/>
              </w:rPr>
              <w:t>Sport și cultură</w:t>
            </w:r>
          </w:p>
        </w:tc>
        <w:tc>
          <w:tcPr>
            <w:tcW w:w="1530" w:type="dxa"/>
            <w:noWrap/>
            <w:hideMark/>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276DE8">
              <w:rPr>
                <w:rFonts w:asciiTheme="majorHAnsi" w:eastAsia="Times New Roman" w:hAnsiTheme="majorHAnsi" w:cstheme="majorHAnsi"/>
                <w:color w:val="000000"/>
                <w:sz w:val="20"/>
                <w:szCs w:val="20"/>
              </w:rPr>
              <w:t>0,6</w:t>
            </w:r>
          </w:p>
        </w:tc>
        <w:tc>
          <w:tcPr>
            <w:tcW w:w="1262" w:type="dxa"/>
            <w:noWrap/>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276DE8">
              <w:rPr>
                <w:rFonts w:asciiTheme="majorHAnsi" w:eastAsia="Times New Roman" w:hAnsiTheme="majorHAnsi" w:cstheme="majorHAnsi"/>
                <w:color w:val="000000"/>
                <w:sz w:val="20"/>
                <w:szCs w:val="20"/>
              </w:rPr>
              <w:t>0,3</w:t>
            </w:r>
          </w:p>
        </w:tc>
        <w:tc>
          <w:tcPr>
            <w:tcW w:w="1461" w:type="dxa"/>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276DE8">
              <w:rPr>
                <w:rFonts w:asciiTheme="majorHAnsi" w:eastAsia="Times New Roman" w:hAnsiTheme="majorHAnsi" w:cstheme="majorHAnsi"/>
                <w:color w:val="000000"/>
                <w:sz w:val="20"/>
                <w:szCs w:val="20"/>
              </w:rPr>
              <w:t>-0,3</w:t>
            </w:r>
          </w:p>
        </w:tc>
      </w:tr>
      <w:tr w:rsidR="00E67099" w:rsidRPr="00E67099" w:rsidTr="00A36731">
        <w:trPr>
          <w:trHeight w:val="300"/>
          <w:jc w:val="center"/>
        </w:trPr>
        <w:tc>
          <w:tcPr>
            <w:cnfStyle w:val="001000000000" w:firstRow="0" w:lastRow="0" w:firstColumn="1" w:lastColumn="0" w:oddVBand="0" w:evenVBand="0" w:oddHBand="0" w:evenHBand="0" w:firstRowFirstColumn="0" w:firstRowLastColumn="0" w:lastRowFirstColumn="0" w:lastRowLastColumn="0"/>
            <w:tcW w:w="3969" w:type="dxa"/>
            <w:noWrap/>
            <w:hideMark/>
          </w:tcPr>
          <w:p w:rsidR="00E67099" w:rsidRPr="00276DE8" w:rsidRDefault="00E67099" w:rsidP="00E67099">
            <w:pPr>
              <w:ind w:firstLineChars="100" w:firstLine="201"/>
              <w:rPr>
                <w:rFonts w:asciiTheme="majorHAnsi" w:eastAsia="Times New Roman" w:hAnsiTheme="majorHAnsi" w:cstheme="majorHAnsi"/>
                <w:color w:val="000000"/>
                <w:sz w:val="20"/>
                <w:szCs w:val="20"/>
              </w:rPr>
            </w:pPr>
            <w:r w:rsidRPr="00276DE8">
              <w:rPr>
                <w:rFonts w:asciiTheme="majorHAnsi" w:eastAsia="Times New Roman" w:hAnsiTheme="majorHAnsi" w:cstheme="majorHAnsi"/>
                <w:color w:val="000000"/>
                <w:sz w:val="20"/>
                <w:szCs w:val="20"/>
              </w:rPr>
              <w:t>Asistența socială</w:t>
            </w:r>
          </w:p>
        </w:tc>
        <w:tc>
          <w:tcPr>
            <w:tcW w:w="1530" w:type="dxa"/>
            <w:noWrap/>
            <w:hideMark/>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276DE8">
              <w:rPr>
                <w:rFonts w:asciiTheme="majorHAnsi" w:eastAsia="Times New Roman" w:hAnsiTheme="majorHAnsi" w:cstheme="majorHAnsi"/>
                <w:color w:val="000000"/>
                <w:sz w:val="20"/>
                <w:szCs w:val="20"/>
              </w:rPr>
              <w:t>0,07</w:t>
            </w:r>
          </w:p>
        </w:tc>
        <w:tc>
          <w:tcPr>
            <w:tcW w:w="1262" w:type="dxa"/>
            <w:noWrap/>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276DE8">
              <w:rPr>
                <w:rFonts w:asciiTheme="majorHAnsi" w:eastAsia="Times New Roman" w:hAnsiTheme="majorHAnsi" w:cstheme="majorHAnsi"/>
                <w:color w:val="000000"/>
                <w:sz w:val="20"/>
                <w:szCs w:val="20"/>
              </w:rPr>
              <w:t>0,06</w:t>
            </w:r>
          </w:p>
        </w:tc>
        <w:tc>
          <w:tcPr>
            <w:tcW w:w="1461" w:type="dxa"/>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276DE8">
              <w:rPr>
                <w:rFonts w:asciiTheme="majorHAnsi" w:eastAsia="Times New Roman" w:hAnsiTheme="majorHAnsi" w:cstheme="majorHAnsi"/>
                <w:color w:val="000000"/>
                <w:sz w:val="20"/>
                <w:szCs w:val="20"/>
              </w:rPr>
              <w:t>-0,01</w:t>
            </w:r>
          </w:p>
        </w:tc>
      </w:tr>
      <w:tr w:rsidR="00E67099" w:rsidRPr="00E67099" w:rsidTr="00A36731">
        <w:trPr>
          <w:trHeight w:val="300"/>
          <w:jc w:val="center"/>
        </w:trPr>
        <w:tc>
          <w:tcPr>
            <w:cnfStyle w:val="001000000000" w:firstRow="0" w:lastRow="0" w:firstColumn="1" w:lastColumn="0" w:oddVBand="0" w:evenVBand="0" w:oddHBand="0" w:evenHBand="0" w:firstRowFirstColumn="0" w:firstRowLastColumn="0" w:lastRowFirstColumn="0" w:lastRowLastColumn="0"/>
            <w:tcW w:w="3969" w:type="dxa"/>
            <w:noWrap/>
            <w:hideMark/>
          </w:tcPr>
          <w:p w:rsidR="00E67099" w:rsidRPr="00276DE8" w:rsidRDefault="00E67099" w:rsidP="00E67099">
            <w:pPr>
              <w:ind w:firstLineChars="100" w:firstLine="201"/>
              <w:rPr>
                <w:rFonts w:asciiTheme="majorHAnsi" w:eastAsia="Times New Roman" w:hAnsiTheme="majorHAnsi" w:cstheme="majorHAnsi"/>
                <w:color w:val="000000"/>
                <w:sz w:val="20"/>
                <w:szCs w:val="20"/>
              </w:rPr>
            </w:pPr>
            <w:r w:rsidRPr="00276DE8">
              <w:rPr>
                <w:rFonts w:asciiTheme="majorHAnsi" w:eastAsia="Times New Roman" w:hAnsiTheme="majorHAnsi" w:cstheme="majorHAnsi"/>
                <w:color w:val="000000"/>
                <w:sz w:val="20"/>
                <w:szCs w:val="20"/>
              </w:rPr>
              <w:t>Infrastructura drumurilor</w:t>
            </w:r>
          </w:p>
        </w:tc>
        <w:tc>
          <w:tcPr>
            <w:tcW w:w="1530" w:type="dxa"/>
            <w:noWrap/>
            <w:hideMark/>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276DE8">
              <w:rPr>
                <w:rFonts w:asciiTheme="majorHAnsi" w:eastAsia="Times New Roman" w:hAnsiTheme="majorHAnsi" w:cstheme="majorHAnsi"/>
                <w:color w:val="000000"/>
                <w:sz w:val="20"/>
                <w:szCs w:val="20"/>
              </w:rPr>
              <w:t>5,3</w:t>
            </w:r>
          </w:p>
        </w:tc>
        <w:tc>
          <w:tcPr>
            <w:tcW w:w="1262" w:type="dxa"/>
            <w:noWrap/>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276DE8">
              <w:rPr>
                <w:rFonts w:asciiTheme="majorHAnsi" w:eastAsia="Times New Roman" w:hAnsiTheme="majorHAnsi" w:cstheme="majorHAnsi"/>
                <w:color w:val="000000"/>
                <w:sz w:val="20"/>
                <w:szCs w:val="20"/>
              </w:rPr>
              <w:t>1,2</w:t>
            </w:r>
          </w:p>
        </w:tc>
        <w:tc>
          <w:tcPr>
            <w:tcW w:w="1461" w:type="dxa"/>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276DE8">
              <w:rPr>
                <w:rFonts w:asciiTheme="majorHAnsi" w:eastAsia="Times New Roman" w:hAnsiTheme="majorHAnsi" w:cstheme="majorHAnsi"/>
                <w:color w:val="000000"/>
                <w:sz w:val="20"/>
                <w:szCs w:val="20"/>
              </w:rPr>
              <w:t>-4,1</w:t>
            </w:r>
          </w:p>
        </w:tc>
      </w:tr>
      <w:tr w:rsidR="00E67099" w:rsidRPr="00E67099" w:rsidTr="00A36731">
        <w:trPr>
          <w:trHeight w:val="300"/>
          <w:jc w:val="center"/>
        </w:trPr>
        <w:tc>
          <w:tcPr>
            <w:cnfStyle w:val="001000000000" w:firstRow="0" w:lastRow="0" w:firstColumn="1" w:lastColumn="0" w:oddVBand="0" w:evenVBand="0" w:oddHBand="0" w:evenHBand="0" w:firstRowFirstColumn="0" w:firstRowLastColumn="0" w:lastRowFirstColumn="0" w:lastRowLastColumn="0"/>
            <w:tcW w:w="3969" w:type="dxa"/>
            <w:noWrap/>
            <w:hideMark/>
          </w:tcPr>
          <w:p w:rsidR="00E67099" w:rsidRPr="00276DE8" w:rsidRDefault="00E67099" w:rsidP="00E67099">
            <w:pPr>
              <w:ind w:firstLineChars="100" w:firstLine="201"/>
              <w:rPr>
                <w:rFonts w:asciiTheme="majorHAnsi" w:eastAsia="Times New Roman" w:hAnsiTheme="majorHAnsi" w:cstheme="majorHAnsi"/>
                <w:color w:val="000000"/>
                <w:sz w:val="20"/>
                <w:szCs w:val="20"/>
              </w:rPr>
            </w:pPr>
            <w:r w:rsidRPr="00276DE8">
              <w:rPr>
                <w:rFonts w:asciiTheme="majorHAnsi" w:eastAsia="Times New Roman" w:hAnsiTheme="majorHAnsi" w:cstheme="majorHAnsi"/>
                <w:color w:val="000000"/>
                <w:sz w:val="20"/>
                <w:szCs w:val="20"/>
              </w:rPr>
              <w:t>Investiții capitale</w:t>
            </w:r>
          </w:p>
        </w:tc>
        <w:tc>
          <w:tcPr>
            <w:tcW w:w="1530" w:type="dxa"/>
            <w:noWrap/>
            <w:hideMark/>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276DE8">
              <w:rPr>
                <w:rFonts w:asciiTheme="majorHAnsi" w:eastAsia="Times New Roman" w:hAnsiTheme="majorHAnsi" w:cstheme="majorHAnsi"/>
                <w:color w:val="000000"/>
                <w:sz w:val="20"/>
                <w:szCs w:val="20"/>
              </w:rPr>
              <w:t>2,0</w:t>
            </w:r>
          </w:p>
        </w:tc>
        <w:tc>
          <w:tcPr>
            <w:tcW w:w="1262" w:type="dxa"/>
            <w:noWrap/>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276DE8">
              <w:rPr>
                <w:rFonts w:asciiTheme="majorHAnsi" w:eastAsia="Times New Roman" w:hAnsiTheme="majorHAnsi" w:cstheme="majorHAnsi"/>
                <w:color w:val="000000"/>
                <w:sz w:val="20"/>
                <w:szCs w:val="20"/>
              </w:rPr>
              <w:t>0,4</w:t>
            </w:r>
          </w:p>
        </w:tc>
        <w:tc>
          <w:tcPr>
            <w:tcW w:w="1461" w:type="dxa"/>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276DE8">
              <w:rPr>
                <w:rFonts w:asciiTheme="majorHAnsi" w:eastAsia="Times New Roman" w:hAnsiTheme="majorHAnsi" w:cstheme="majorHAnsi"/>
                <w:color w:val="000000"/>
                <w:sz w:val="20"/>
                <w:szCs w:val="20"/>
              </w:rPr>
              <w:t>-1,6</w:t>
            </w:r>
          </w:p>
        </w:tc>
      </w:tr>
      <w:tr w:rsidR="00E67099" w:rsidRPr="00E67099" w:rsidTr="00A36731">
        <w:trPr>
          <w:trHeight w:val="300"/>
          <w:jc w:val="center"/>
        </w:trPr>
        <w:tc>
          <w:tcPr>
            <w:cnfStyle w:val="001000000000" w:firstRow="0" w:lastRow="0" w:firstColumn="1" w:lastColumn="0" w:oddVBand="0" w:evenVBand="0" w:oddHBand="0" w:evenHBand="0" w:firstRowFirstColumn="0" w:firstRowLastColumn="0" w:lastRowFirstColumn="0" w:lastRowLastColumn="0"/>
            <w:tcW w:w="3969" w:type="dxa"/>
            <w:noWrap/>
          </w:tcPr>
          <w:p w:rsidR="00E67099" w:rsidRPr="00276DE8" w:rsidRDefault="00E67099" w:rsidP="00E67099">
            <w:pPr>
              <w:ind w:left="720"/>
              <w:rPr>
                <w:rFonts w:asciiTheme="majorHAnsi" w:eastAsia="Times New Roman" w:hAnsiTheme="majorHAnsi" w:cstheme="majorHAnsi"/>
                <w:color w:val="000000"/>
                <w:sz w:val="20"/>
                <w:szCs w:val="20"/>
              </w:rPr>
            </w:pPr>
            <w:r w:rsidRPr="00276DE8">
              <w:rPr>
                <w:rFonts w:asciiTheme="majorHAnsi" w:eastAsia="Times New Roman" w:hAnsiTheme="majorHAnsi" w:cstheme="majorHAnsi"/>
                <w:color w:val="000000"/>
                <w:sz w:val="20"/>
                <w:szCs w:val="20"/>
              </w:rPr>
              <w:t>Total</w:t>
            </w:r>
          </w:p>
        </w:tc>
        <w:tc>
          <w:tcPr>
            <w:tcW w:w="1530" w:type="dxa"/>
            <w:noWrap/>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rPr>
            </w:pPr>
            <w:r w:rsidRPr="00276DE8">
              <w:rPr>
                <w:rFonts w:asciiTheme="majorHAnsi" w:eastAsia="Times New Roman" w:hAnsiTheme="majorHAnsi" w:cstheme="majorHAnsi"/>
                <w:b/>
                <w:color w:val="000000"/>
                <w:sz w:val="20"/>
                <w:szCs w:val="20"/>
              </w:rPr>
              <w:t>252,0</w:t>
            </w:r>
          </w:p>
        </w:tc>
        <w:tc>
          <w:tcPr>
            <w:tcW w:w="1262" w:type="dxa"/>
            <w:noWrap/>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rPr>
            </w:pPr>
            <w:r w:rsidRPr="00276DE8">
              <w:rPr>
                <w:rFonts w:asciiTheme="majorHAnsi" w:eastAsia="Times New Roman" w:hAnsiTheme="majorHAnsi" w:cstheme="majorHAnsi"/>
                <w:b/>
                <w:color w:val="000000"/>
                <w:sz w:val="20"/>
                <w:szCs w:val="20"/>
              </w:rPr>
              <w:t>15,3</w:t>
            </w:r>
          </w:p>
        </w:tc>
        <w:tc>
          <w:tcPr>
            <w:tcW w:w="1461" w:type="dxa"/>
          </w:tcPr>
          <w:p w:rsidR="00E67099" w:rsidRPr="00276DE8" w:rsidRDefault="00E67099" w:rsidP="00E6709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rPr>
            </w:pPr>
            <w:r w:rsidRPr="00276DE8">
              <w:rPr>
                <w:rFonts w:asciiTheme="majorHAnsi" w:eastAsia="Times New Roman" w:hAnsiTheme="majorHAnsi" w:cstheme="majorHAnsi"/>
                <w:b/>
                <w:color w:val="000000"/>
                <w:sz w:val="20"/>
                <w:szCs w:val="20"/>
              </w:rPr>
              <w:t>-236,7</w:t>
            </w:r>
          </w:p>
        </w:tc>
      </w:tr>
    </w:tbl>
    <w:p w:rsidR="00E67099" w:rsidRPr="00E67099" w:rsidRDefault="00E67099" w:rsidP="00E67099">
      <w:pPr>
        <w:spacing w:after="120" w:line="276" w:lineRule="auto"/>
        <w:ind w:firstLine="2694"/>
        <w:jc w:val="both"/>
        <w:rPr>
          <w:rFonts w:asciiTheme="majorHAnsi" w:eastAsia="MS Mincho" w:hAnsiTheme="majorHAnsi" w:cstheme="majorHAnsi"/>
          <w:i/>
          <w:sz w:val="20"/>
          <w:szCs w:val="20"/>
          <w:lang w:eastAsia="ja-JP"/>
        </w:rPr>
      </w:pPr>
      <w:r w:rsidRPr="00E67099">
        <w:rPr>
          <w:rFonts w:asciiTheme="majorHAnsi" w:eastAsia="MS Mincho" w:hAnsiTheme="majorHAnsi" w:cstheme="majorHAnsi"/>
          <w:b/>
          <w:i/>
          <w:sz w:val="20"/>
          <w:szCs w:val="20"/>
          <w:lang w:eastAsia="ja-JP"/>
        </w:rPr>
        <w:t>Sursă:</w:t>
      </w:r>
      <w:r w:rsidRPr="00E67099">
        <w:rPr>
          <w:rFonts w:asciiTheme="majorHAnsi" w:eastAsia="MS Mincho" w:hAnsiTheme="majorHAnsi" w:cstheme="majorHAnsi"/>
          <w:b/>
          <w:sz w:val="20"/>
          <w:szCs w:val="20"/>
          <w:lang w:eastAsia="ja-JP"/>
        </w:rPr>
        <w:t xml:space="preserve"> </w:t>
      </w:r>
      <w:r w:rsidRPr="00E67099">
        <w:rPr>
          <w:rFonts w:asciiTheme="majorHAnsi" w:eastAsia="MS Mincho" w:hAnsiTheme="majorHAnsi" w:cstheme="majorHAnsi"/>
          <w:i/>
          <w:sz w:val="20"/>
          <w:szCs w:val="20"/>
          <w:lang w:eastAsia="ja-JP"/>
        </w:rPr>
        <w:t>Informații generalizate de echipa de audit în baza datelor prezentate de Ministerul Finanțelor.</w:t>
      </w:r>
    </w:p>
    <w:p w:rsidR="00E67099" w:rsidRPr="00E67099" w:rsidRDefault="00E67099" w:rsidP="00E67099">
      <w:pPr>
        <w:spacing w:after="0" w:line="240" w:lineRule="auto"/>
        <w:ind w:firstLine="709"/>
        <w:jc w:val="right"/>
        <w:rPr>
          <w:rFonts w:asciiTheme="majorHAnsi" w:hAnsiTheme="majorHAnsi" w:cstheme="majorHAnsi"/>
          <w:b/>
          <w:i/>
          <w:sz w:val="24"/>
          <w:szCs w:val="24"/>
        </w:rPr>
      </w:pPr>
      <w:r w:rsidRPr="00E67099">
        <w:rPr>
          <w:rFonts w:asciiTheme="majorHAnsi" w:hAnsiTheme="majorHAnsi" w:cstheme="majorHAnsi"/>
          <w:b/>
          <w:i/>
          <w:sz w:val="24"/>
          <w:szCs w:val="24"/>
        </w:rPr>
        <w:t>Anexa nr.18</w:t>
      </w:r>
    </w:p>
    <w:p w:rsidR="00E67099" w:rsidRPr="00E67099" w:rsidRDefault="00E67099" w:rsidP="00E67099">
      <w:pPr>
        <w:spacing w:after="0" w:line="240" w:lineRule="auto"/>
        <w:ind w:firstLine="709"/>
        <w:jc w:val="right"/>
        <w:rPr>
          <w:rFonts w:asciiTheme="majorHAnsi" w:hAnsiTheme="majorHAnsi" w:cstheme="majorHAnsi"/>
          <w:i/>
          <w:sz w:val="24"/>
          <w:szCs w:val="24"/>
        </w:rPr>
      </w:pPr>
    </w:p>
    <w:p w:rsidR="00E67099" w:rsidRPr="00E67099" w:rsidRDefault="00E67099" w:rsidP="00E67099">
      <w:pPr>
        <w:spacing w:after="0" w:line="276" w:lineRule="auto"/>
        <w:jc w:val="center"/>
        <w:rPr>
          <w:rFonts w:asciiTheme="majorHAnsi" w:hAnsiTheme="majorHAnsi" w:cstheme="majorHAnsi"/>
          <w:sz w:val="24"/>
          <w:szCs w:val="24"/>
        </w:rPr>
      </w:pPr>
      <w:r w:rsidRPr="00E67099">
        <w:rPr>
          <w:noProof/>
          <w:lang w:val="ru-RU" w:eastAsia="ru-RU"/>
        </w:rPr>
        <w:drawing>
          <wp:inline distT="0" distB="0" distL="0" distR="0" wp14:anchorId="35E83499" wp14:editId="2836946B">
            <wp:extent cx="5471160" cy="2451100"/>
            <wp:effectExtent l="0" t="0" r="15240" b="63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67099" w:rsidRPr="007B42E3" w:rsidRDefault="00E67099" w:rsidP="007B42E3">
      <w:pPr>
        <w:spacing w:after="0" w:line="276" w:lineRule="auto"/>
        <w:ind w:left="2268" w:right="2373"/>
        <w:jc w:val="both"/>
        <w:rPr>
          <w:rFonts w:asciiTheme="majorHAnsi" w:hAnsiTheme="majorHAnsi" w:cstheme="majorHAnsi"/>
          <w:i/>
          <w:sz w:val="20"/>
          <w:szCs w:val="20"/>
        </w:rPr>
      </w:pPr>
      <w:r w:rsidRPr="007B42E3">
        <w:rPr>
          <w:rFonts w:asciiTheme="majorHAnsi" w:hAnsiTheme="majorHAnsi" w:cstheme="majorHAnsi"/>
          <w:b/>
          <w:i/>
          <w:sz w:val="20"/>
          <w:szCs w:val="20"/>
        </w:rPr>
        <w:t>Sursă</w:t>
      </w:r>
      <w:r w:rsidRPr="007B42E3">
        <w:rPr>
          <w:rFonts w:asciiTheme="majorHAnsi" w:hAnsiTheme="majorHAnsi" w:cstheme="majorHAnsi"/>
          <w:i/>
          <w:sz w:val="20"/>
          <w:szCs w:val="20"/>
        </w:rPr>
        <w:t>: Date generalizate de echipa de audit din Rapoartele Ministerului Finanțelor privind executarea bugetului de stat pe anii 2017, 2018, 2019.</w:t>
      </w:r>
    </w:p>
    <w:p w:rsidR="00E67099" w:rsidRPr="00E67099" w:rsidRDefault="00E67099" w:rsidP="00E67099">
      <w:pPr>
        <w:shd w:val="clear" w:color="auto" w:fill="FFFFFF" w:themeFill="background1"/>
        <w:tabs>
          <w:tab w:val="left" w:pos="284"/>
          <w:tab w:val="left" w:pos="993"/>
          <w:tab w:val="left" w:pos="6663"/>
        </w:tabs>
        <w:spacing w:after="0" w:line="276" w:lineRule="auto"/>
        <w:rPr>
          <w:rFonts w:asciiTheme="majorHAnsi" w:eastAsia="Times New Roman" w:hAnsiTheme="majorHAnsi" w:cstheme="majorHAnsi"/>
          <w:b/>
          <w:i/>
          <w:sz w:val="24"/>
          <w:szCs w:val="24"/>
        </w:rPr>
      </w:pPr>
    </w:p>
    <w:tbl>
      <w:tblPr>
        <w:tblW w:w="14408" w:type="dxa"/>
        <w:jc w:val="center"/>
        <w:tblLook w:val="04A0" w:firstRow="1" w:lastRow="0" w:firstColumn="1" w:lastColumn="0" w:noHBand="0" w:noVBand="1"/>
      </w:tblPr>
      <w:tblGrid>
        <w:gridCol w:w="1838"/>
        <w:gridCol w:w="1042"/>
        <w:gridCol w:w="982"/>
        <w:gridCol w:w="1051"/>
        <w:gridCol w:w="1138"/>
        <w:gridCol w:w="1002"/>
        <w:gridCol w:w="982"/>
        <w:gridCol w:w="1051"/>
        <w:gridCol w:w="1138"/>
        <w:gridCol w:w="1002"/>
        <w:gridCol w:w="982"/>
        <w:gridCol w:w="1051"/>
        <w:gridCol w:w="1187"/>
      </w:tblGrid>
      <w:tr w:rsidR="00E67099" w:rsidRPr="00E67099" w:rsidTr="00A36731">
        <w:trPr>
          <w:trHeight w:val="290"/>
          <w:jc w:val="center"/>
        </w:trPr>
        <w:tc>
          <w:tcPr>
            <w:tcW w:w="14408"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7099" w:rsidRPr="00276DE8" w:rsidRDefault="00E67099" w:rsidP="00E67099">
            <w:pPr>
              <w:spacing w:after="0" w:line="240" w:lineRule="auto"/>
              <w:jc w:val="center"/>
              <w:rPr>
                <w:rFonts w:asciiTheme="majorHAnsi" w:eastAsia="Times New Roman" w:hAnsiTheme="majorHAnsi" w:cstheme="majorHAnsi"/>
                <w:b/>
                <w:color w:val="000000"/>
                <w:sz w:val="20"/>
                <w:szCs w:val="20"/>
              </w:rPr>
            </w:pPr>
            <w:r w:rsidRPr="00276DE8">
              <w:rPr>
                <w:rFonts w:asciiTheme="majorHAnsi" w:eastAsia="Times New Roman" w:hAnsiTheme="majorHAnsi" w:cstheme="majorHAnsi"/>
                <w:b/>
                <w:color w:val="000000"/>
                <w:sz w:val="20"/>
                <w:szCs w:val="20"/>
              </w:rPr>
              <w:t>Analiza executării investițiilor capitale pe surse de finanțare pentru perioada anilor 2017-2019, mil. lei</w:t>
            </w:r>
          </w:p>
        </w:tc>
      </w:tr>
      <w:tr w:rsidR="00E67099" w:rsidRPr="00E67099" w:rsidTr="00A36731">
        <w:trPr>
          <w:trHeight w:val="327"/>
          <w:jc w:val="center"/>
        </w:trPr>
        <w:tc>
          <w:tcPr>
            <w:tcW w:w="1838" w:type="dxa"/>
            <w:vMerge w:val="restart"/>
            <w:tcBorders>
              <w:top w:val="single" w:sz="4" w:space="0" w:color="auto"/>
              <w:left w:val="single" w:sz="4" w:space="0" w:color="auto"/>
              <w:right w:val="single" w:sz="4" w:space="0" w:color="auto"/>
            </w:tcBorders>
            <w:shd w:val="clear" w:color="auto" w:fill="auto"/>
            <w:noWrap/>
            <w:vAlign w:val="center"/>
          </w:tcPr>
          <w:p w:rsidR="00E67099" w:rsidRPr="00276DE8" w:rsidRDefault="00E67099" w:rsidP="00E67099">
            <w:pPr>
              <w:spacing w:after="0" w:line="240" w:lineRule="auto"/>
              <w:jc w:val="center"/>
              <w:rPr>
                <w:rFonts w:asciiTheme="majorHAnsi" w:eastAsia="Times New Roman" w:hAnsiTheme="majorHAnsi" w:cstheme="majorHAnsi"/>
                <w:b/>
                <w:color w:val="000000"/>
                <w:sz w:val="20"/>
                <w:szCs w:val="20"/>
              </w:rPr>
            </w:pPr>
            <w:r w:rsidRPr="00276DE8">
              <w:rPr>
                <w:rFonts w:asciiTheme="majorHAnsi" w:eastAsia="Times New Roman" w:hAnsiTheme="majorHAnsi" w:cstheme="majorHAnsi"/>
                <w:b/>
                <w:color w:val="000000"/>
                <w:sz w:val="20"/>
                <w:szCs w:val="20"/>
              </w:rPr>
              <w:t>Indicator</w:t>
            </w:r>
          </w:p>
        </w:tc>
        <w:tc>
          <w:tcPr>
            <w:tcW w:w="4213" w:type="dxa"/>
            <w:gridSpan w:val="4"/>
            <w:tcBorders>
              <w:top w:val="single" w:sz="4" w:space="0" w:color="auto"/>
              <w:left w:val="nil"/>
              <w:bottom w:val="single" w:sz="4" w:space="0" w:color="auto"/>
              <w:right w:val="single" w:sz="4" w:space="0" w:color="auto"/>
            </w:tcBorders>
            <w:shd w:val="clear" w:color="auto" w:fill="auto"/>
            <w:noWrap/>
            <w:vAlign w:val="center"/>
          </w:tcPr>
          <w:p w:rsidR="00E67099" w:rsidRPr="00276DE8" w:rsidRDefault="00E67099" w:rsidP="00E67099">
            <w:pPr>
              <w:spacing w:after="0" w:line="240" w:lineRule="auto"/>
              <w:jc w:val="center"/>
              <w:rPr>
                <w:rFonts w:asciiTheme="majorHAnsi" w:eastAsia="Times New Roman" w:hAnsiTheme="majorHAnsi" w:cstheme="majorHAnsi"/>
                <w:b/>
                <w:color w:val="000000"/>
                <w:sz w:val="20"/>
                <w:szCs w:val="20"/>
              </w:rPr>
            </w:pPr>
            <w:r w:rsidRPr="00276DE8">
              <w:rPr>
                <w:rFonts w:asciiTheme="majorHAnsi" w:eastAsia="Times New Roman" w:hAnsiTheme="majorHAnsi" w:cstheme="majorHAnsi"/>
                <w:b/>
                <w:color w:val="000000"/>
                <w:sz w:val="20"/>
                <w:szCs w:val="20"/>
              </w:rPr>
              <w:t>Anul 2017</w:t>
            </w:r>
          </w:p>
        </w:tc>
        <w:tc>
          <w:tcPr>
            <w:tcW w:w="4173" w:type="dxa"/>
            <w:gridSpan w:val="4"/>
            <w:tcBorders>
              <w:top w:val="single" w:sz="4" w:space="0" w:color="auto"/>
              <w:left w:val="nil"/>
              <w:bottom w:val="single" w:sz="4" w:space="0" w:color="auto"/>
              <w:right w:val="single" w:sz="4" w:space="0" w:color="auto"/>
            </w:tcBorders>
            <w:shd w:val="clear" w:color="auto" w:fill="auto"/>
            <w:noWrap/>
            <w:vAlign w:val="center"/>
          </w:tcPr>
          <w:p w:rsidR="00E67099" w:rsidRPr="00276DE8" w:rsidRDefault="00E67099" w:rsidP="00E67099">
            <w:pPr>
              <w:spacing w:after="0" w:line="240" w:lineRule="auto"/>
              <w:jc w:val="center"/>
              <w:rPr>
                <w:rFonts w:asciiTheme="majorHAnsi" w:eastAsia="Times New Roman" w:hAnsiTheme="majorHAnsi" w:cstheme="majorHAnsi"/>
                <w:b/>
                <w:color w:val="000000"/>
                <w:sz w:val="20"/>
                <w:szCs w:val="20"/>
              </w:rPr>
            </w:pPr>
            <w:r w:rsidRPr="00276DE8">
              <w:rPr>
                <w:rFonts w:asciiTheme="majorHAnsi" w:eastAsia="Times New Roman" w:hAnsiTheme="majorHAnsi" w:cstheme="majorHAnsi"/>
                <w:b/>
                <w:color w:val="000000"/>
                <w:sz w:val="20"/>
                <w:szCs w:val="20"/>
              </w:rPr>
              <w:t>Anul 2018</w:t>
            </w:r>
          </w:p>
        </w:tc>
        <w:tc>
          <w:tcPr>
            <w:tcW w:w="4176" w:type="dxa"/>
            <w:gridSpan w:val="4"/>
            <w:tcBorders>
              <w:top w:val="single" w:sz="4" w:space="0" w:color="auto"/>
              <w:left w:val="nil"/>
              <w:bottom w:val="single" w:sz="4" w:space="0" w:color="auto"/>
              <w:right w:val="single" w:sz="4" w:space="0" w:color="auto"/>
            </w:tcBorders>
            <w:shd w:val="clear" w:color="auto" w:fill="auto"/>
            <w:noWrap/>
            <w:vAlign w:val="center"/>
          </w:tcPr>
          <w:p w:rsidR="00E67099" w:rsidRPr="00276DE8" w:rsidRDefault="00E67099" w:rsidP="00E67099">
            <w:pPr>
              <w:spacing w:after="0" w:line="240" w:lineRule="auto"/>
              <w:jc w:val="center"/>
              <w:rPr>
                <w:rFonts w:asciiTheme="majorHAnsi" w:eastAsia="Times New Roman" w:hAnsiTheme="majorHAnsi" w:cstheme="majorHAnsi"/>
                <w:b/>
                <w:color w:val="000000"/>
                <w:sz w:val="20"/>
                <w:szCs w:val="20"/>
              </w:rPr>
            </w:pPr>
            <w:r w:rsidRPr="00276DE8">
              <w:rPr>
                <w:rFonts w:asciiTheme="majorHAnsi" w:eastAsia="Times New Roman" w:hAnsiTheme="majorHAnsi" w:cstheme="majorHAnsi"/>
                <w:b/>
                <w:color w:val="000000"/>
                <w:sz w:val="20"/>
                <w:szCs w:val="20"/>
              </w:rPr>
              <w:t>Anul 2019</w:t>
            </w:r>
          </w:p>
        </w:tc>
      </w:tr>
      <w:tr w:rsidR="00E67099" w:rsidRPr="00E67099" w:rsidTr="00A36731">
        <w:trPr>
          <w:trHeight w:val="327"/>
          <w:jc w:val="center"/>
        </w:trPr>
        <w:tc>
          <w:tcPr>
            <w:tcW w:w="1838" w:type="dxa"/>
            <w:vMerge/>
            <w:tcBorders>
              <w:left w:val="single" w:sz="4" w:space="0" w:color="auto"/>
              <w:bottom w:val="single" w:sz="4" w:space="0" w:color="auto"/>
              <w:right w:val="single" w:sz="4" w:space="0" w:color="auto"/>
            </w:tcBorders>
            <w:shd w:val="clear" w:color="auto" w:fill="auto"/>
            <w:noWrap/>
            <w:vAlign w:val="center"/>
          </w:tcPr>
          <w:p w:rsidR="00E67099" w:rsidRPr="00276DE8" w:rsidRDefault="00E67099" w:rsidP="00E67099">
            <w:pPr>
              <w:spacing w:after="0" w:line="240" w:lineRule="auto"/>
              <w:jc w:val="center"/>
              <w:rPr>
                <w:rFonts w:asciiTheme="majorHAnsi" w:eastAsia="Times New Roman" w:hAnsiTheme="majorHAnsi" w:cstheme="majorHAnsi"/>
                <w:b/>
                <w:color w:val="000000"/>
                <w:sz w:val="20"/>
                <w:szCs w:val="20"/>
              </w:rPr>
            </w:pPr>
          </w:p>
        </w:tc>
        <w:tc>
          <w:tcPr>
            <w:tcW w:w="1042" w:type="dxa"/>
            <w:tcBorders>
              <w:top w:val="nil"/>
              <w:left w:val="nil"/>
              <w:bottom w:val="single" w:sz="4" w:space="0" w:color="auto"/>
              <w:right w:val="single" w:sz="4" w:space="0" w:color="auto"/>
            </w:tcBorders>
            <w:shd w:val="clear" w:color="auto" w:fill="auto"/>
            <w:noWrap/>
            <w:vAlign w:val="center"/>
          </w:tcPr>
          <w:p w:rsidR="00E67099" w:rsidRPr="00276DE8" w:rsidRDefault="00E67099" w:rsidP="00E67099">
            <w:pPr>
              <w:spacing w:after="0" w:line="240" w:lineRule="auto"/>
              <w:jc w:val="center"/>
              <w:rPr>
                <w:rFonts w:asciiTheme="majorHAnsi" w:eastAsia="Times New Roman" w:hAnsiTheme="majorHAnsi" w:cstheme="majorHAnsi"/>
                <w:b/>
                <w:color w:val="000000"/>
                <w:sz w:val="20"/>
                <w:szCs w:val="20"/>
              </w:rPr>
            </w:pPr>
            <w:r w:rsidRPr="00276DE8">
              <w:rPr>
                <w:rFonts w:asciiTheme="majorHAnsi" w:eastAsia="Times New Roman" w:hAnsiTheme="majorHAnsi" w:cstheme="majorHAnsi"/>
                <w:b/>
                <w:color w:val="000000"/>
                <w:sz w:val="20"/>
                <w:szCs w:val="20"/>
              </w:rPr>
              <w:t>Aprobat</w:t>
            </w:r>
          </w:p>
        </w:tc>
        <w:tc>
          <w:tcPr>
            <w:tcW w:w="982" w:type="dxa"/>
            <w:tcBorders>
              <w:top w:val="nil"/>
              <w:left w:val="nil"/>
              <w:bottom w:val="single" w:sz="4" w:space="0" w:color="auto"/>
              <w:right w:val="single" w:sz="4" w:space="0" w:color="auto"/>
            </w:tcBorders>
            <w:shd w:val="clear" w:color="auto" w:fill="auto"/>
            <w:noWrap/>
            <w:vAlign w:val="center"/>
          </w:tcPr>
          <w:p w:rsidR="00E67099" w:rsidRPr="00276DE8" w:rsidRDefault="00E67099" w:rsidP="00E67099">
            <w:pPr>
              <w:spacing w:after="0" w:line="240" w:lineRule="auto"/>
              <w:jc w:val="center"/>
              <w:rPr>
                <w:rFonts w:asciiTheme="majorHAnsi" w:eastAsia="Times New Roman" w:hAnsiTheme="majorHAnsi" w:cstheme="majorHAnsi"/>
                <w:b/>
                <w:color w:val="000000"/>
                <w:sz w:val="20"/>
                <w:szCs w:val="20"/>
              </w:rPr>
            </w:pPr>
            <w:r w:rsidRPr="00276DE8">
              <w:rPr>
                <w:rFonts w:asciiTheme="majorHAnsi" w:eastAsia="Times New Roman" w:hAnsiTheme="majorHAnsi" w:cstheme="majorHAnsi"/>
                <w:b/>
                <w:color w:val="000000"/>
                <w:sz w:val="20"/>
                <w:szCs w:val="20"/>
              </w:rPr>
              <w:t>Precizat</w:t>
            </w:r>
          </w:p>
        </w:tc>
        <w:tc>
          <w:tcPr>
            <w:tcW w:w="1051" w:type="dxa"/>
            <w:tcBorders>
              <w:top w:val="nil"/>
              <w:left w:val="nil"/>
              <w:bottom w:val="single" w:sz="4" w:space="0" w:color="auto"/>
              <w:right w:val="single" w:sz="4" w:space="0" w:color="auto"/>
            </w:tcBorders>
            <w:shd w:val="clear" w:color="auto" w:fill="auto"/>
            <w:noWrap/>
            <w:vAlign w:val="center"/>
          </w:tcPr>
          <w:p w:rsidR="00E67099" w:rsidRPr="00276DE8" w:rsidRDefault="00E67099" w:rsidP="00E67099">
            <w:pPr>
              <w:spacing w:after="0" w:line="240" w:lineRule="auto"/>
              <w:jc w:val="center"/>
              <w:rPr>
                <w:rFonts w:asciiTheme="majorHAnsi" w:eastAsia="Times New Roman" w:hAnsiTheme="majorHAnsi" w:cstheme="majorHAnsi"/>
                <w:b/>
                <w:color w:val="000000"/>
                <w:sz w:val="20"/>
                <w:szCs w:val="20"/>
              </w:rPr>
            </w:pPr>
            <w:r w:rsidRPr="00276DE8">
              <w:rPr>
                <w:rFonts w:asciiTheme="majorHAnsi" w:eastAsia="Times New Roman" w:hAnsiTheme="majorHAnsi" w:cstheme="majorHAnsi"/>
                <w:b/>
                <w:color w:val="000000"/>
                <w:sz w:val="20"/>
                <w:szCs w:val="20"/>
              </w:rPr>
              <w:t>Executat</w:t>
            </w:r>
          </w:p>
        </w:tc>
        <w:tc>
          <w:tcPr>
            <w:tcW w:w="1138" w:type="dxa"/>
            <w:tcBorders>
              <w:top w:val="nil"/>
              <w:left w:val="nil"/>
              <w:bottom w:val="single" w:sz="4" w:space="0" w:color="auto"/>
              <w:right w:val="single" w:sz="4" w:space="0" w:color="auto"/>
            </w:tcBorders>
            <w:shd w:val="clear" w:color="auto" w:fill="auto"/>
            <w:noWrap/>
            <w:vAlign w:val="center"/>
          </w:tcPr>
          <w:p w:rsidR="00E67099" w:rsidRPr="00276DE8" w:rsidRDefault="00E67099" w:rsidP="00E67099">
            <w:pPr>
              <w:spacing w:after="0" w:line="240" w:lineRule="auto"/>
              <w:jc w:val="center"/>
              <w:rPr>
                <w:rFonts w:asciiTheme="majorHAnsi" w:eastAsia="Times New Roman" w:hAnsiTheme="majorHAnsi" w:cstheme="majorHAnsi"/>
                <w:b/>
                <w:color w:val="000000"/>
                <w:sz w:val="20"/>
                <w:szCs w:val="20"/>
              </w:rPr>
            </w:pPr>
            <w:r w:rsidRPr="00276DE8">
              <w:rPr>
                <w:rFonts w:asciiTheme="majorHAnsi" w:eastAsia="Times New Roman" w:hAnsiTheme="majorHAnsi" w:cstheme="majorHAnsi"/>
                <w:b/>
                <w:color w:val="000000"/>
                <w:sz w:val="20"/>
                <w:szCs w:val="20"/>
              </w:rPr>
              <w:t>Executat/</w:t>
            </w:r>
          </w:p>
          <w:p w:rsidR="00E67099" w:rsidRPr="00276DE8" w:rsidRDefault="00E67099" w:rsidP="00E67099">
            <w:pPr>
              <w:spacing w:after="0" w:line="240" w:lineRule="auto"/>
              <w:jc w:val="center"/>
              <w:rPr>
                <w:rFonts w:asciiTheme="majorHAnsi" w:eastAsia="Times New Roman" w:hAnsiTheme="majorHAnsi" w:cstheme="majorHAnsi"/>
                <w:b/>
                <w:color w:val="000000"/>
                <w:sz w:val="20"/>
                <w:szCs w:val="20"/>
              </w:rPr>
            </w:pPr>
            <w:r w:rsidRPr="00276DE8">
              <w:rPr>
                <w:rFonts w:asciiTheme="majorHAnsi" w:eastAsia="Times New Roman" w:hAnsiTheme="majorHAnsi" w:cstheme="majorHAnsi"/>
                <w:b/>
                <w:color w:val="000000"/>
                <w:sz w:val="20"/>
                <w:szCs w:val="20"/>
              </w:rPr>
              <w:t>Precizat</w:t>
            </w:r>
          </w:p>
        </w:tc>
        <w:tc>
          <w:tcPr>
            <w:tcW w:w="1002" w:type="dxa"/>
            <w:tcBorders>
              <w:top w:val="nil"/>
              <w:left w:val="nil"/>
              <w:bottom w:val="single" w:sz="4" w:space="0" w:color="auto"/>
              <w:right w:val="single" w:sz="4" w:space="0" w:color="auto"/>
            </w:tcBorders>
            <w:shd w:val="clear" w:color="auto" w:fill="auto"/>
            <w:noWrap/>
            <w:vAlign w:val="center"/>
          </w:tcPr>
          <w:p w:rsidR="00E67099" w:rsidRPr="00276DE8" w:rsidRDefault="00E67099" w:rsidP="00E67099">
            <w:pPr>
              <w:spacing w:after="0" w:line="240" w:lineRule="auto"/>
              <w:jc w:val="center"/>
              <w:rPr>
                <w:rFonts w:asciiTheme="majorHAnsi" w:eastAsia="Times New Roman" w:hAnsiTheme="majorHAnsi" w:cstheme="majorHAnsi"/>
                <w:b/>
                <w:color w:val="000000"/>
                <w:sz w:val="20"/>
                <w:szCs w:val="20"/>
              </w:rPr>
            </w:pPr>
            <w:r w:rsidRPr="00276DE8">
              <w:rPr>
                <w:rFonts w:asciiTheme="majorHAnsi" w:eastAsia="Times New Roman" w:hAnsiTheme="majorHAnsi" w:cstheme="majorHAnsi"/>
                <w:b/>
                <w:color w:val="000000"/>
                <w:sz w:val="20"/>
                <w:szCs w:val="20"/>
              </w:rPr>
              <w:t>Aprobat</w:t>
            </w:r>
          </w:p>
        </w:tc>
        <w:tc>
          <w:tcPr>
            <w:tcW w:w="982" w:type="dxa"/>
            <w:tcBorders>
              <w:top w:val="nil"/>
              <w:left w:val="nil"/>
              <w:bottom w:val="single" w:sz="4" w:space="0" w:color="auto"/>
              <w:right w:val="single" w:sz="4" w:space="0" w:color="auto"/>
            </w:tcBorders>
            <w:shd w:val="clear" w:color="auto" w:fill="auto"/>
            <w:noWrap/>
            <w:vAlign w:val="center"/>
          </w:tcPr>
          <w:p w:rsidR="00E67099" w:rsidRPr="00276DE8" w:rsidRDefault="00E67099" w:rsidP="00E67099">
            <w:pPr>
              <w:spacing w:after="0" w:line="240" w:lineRule="auto"/>
              <w:jc w:val="center"/>
              <w:rPr>
                <w:rFonts w:asciiTheme="majorHAnsi" w:eastAsia="Times New Roman" w:hAnsiTheme="majorHAnsi" w:cstheme="majorHAnsi"/>
                <w:b/>
                <w:color w:val="000000"/>
                <w:sz w:val="20"/>
                <w:szCs w:val="20"/>
              </w:rPr>
            </w:pPr>
            <w:r w:rsidRPr="00276DE8">
              <w:rPr>
                <w:rFonts w:asciiTheme="majorHAnsi" w:eastAsia="Times New Roman" w:hAnsiTheme="majorHAnsi" w:cstheme="majorHAnsi"/>
                <w:b/>
                <w:color w:val="000000"/>
                <w:sz w:val="20"/>
                <w:szCs w:val="20"/>
              </w:rPr>
              <w:t>Precizat</w:t>
            </w:r>
          </w:p>
        </w:tc>
        <w:tc>
          <w:tcPr>
            <w:tcW w:w="1051" w:type="dxa"/>
            <w:tcBorders>
              <w:top w:val="nil"/>
              <w:left w:val="nil"/>
              <w:bottom w:val="single" w:sz="4" w:space="0" w:color="auto"/>
              <w:right w:val="single" w:sz="4" w:space="0" w:color="auto"/>
            </w:tcBorders>
            <w:shd w:val="clear" w:color="auto" w:fill="auto"/>
            <w:noWrap/>
            <w:vAlign w:val="center"/>
          </w:tcPr>
          <w:p w:rsidR="00E67099" w:rsidRPr="00276DE8" w:rsidRDefault="00E67099" w:rsidP="00E67099">
            <w:pPr>
              <w:spacing w:after="0" w:line="240" w:lineRule="auto"/>
              <w:jc w:val="center"/>
              <w:rPr>
                <w:rFonts w:asciiTheme="majorHAnsi" w:eastAsia="Times New Roman" w:hAnsiTheme="majorHAnsi" w:cstheme="majorHAnsi"/>
                <w:b/>
                <w:color w:val="000000"/>
                <w:sz w:val="20"/>
                <w:szCs w:val="20"/>
              </w:rPr>
            </w:pPr>
            <w:r w:rsidRPr="00276DE8">
              <w:rPr>
                <w:rFonts w:asciiTheme="majorHAnsi" w:eastAsia="Times New Roman" w:hAnsiTheme="majorHAnsi" w:cstheme="majorHAnsi"/>
                <w:b/>
                <w:color w:val="000000"/>
                <w:sz w:val="20"/>
                <w:szCs w:val="20"/>
              </w:rPr>
              <w:t>Executat</w:t>
            </w:r>
          </w:p>
        </w:tc>
        <w:tc>
          <w:tcPr>
            <w:tcW w:w="1138" w:type="dxa"/>
            <w:tcBorders>
              <w:top w:val="nil"/>
              <w:left w:val="nil"/>
              <w:bottom w:val="single" w:sz="4" w:space="0" w:color="auto"/>
              <w:right w:val="single" w:sz="4" w:space="0" w:color="auto"/>
            </w:tcBorders>
            <w:shd w:val="clear" w:color="auto" w:fill="auto"/>
            <w:noWrap/>
            <w:vAlign w:val="center"/>
          </w:tcPr>
          <w:p w:rsidR="00E67099" w:rsidRPr="00276DE8" w:rsidRDefault="00E67099" w:rsidP="00E67099">
            <w:pPr>
              <w:spacing w:after="0" w:line="240" w:lineRule="auto"/>
              <w:jc w:val="center"/>
              <w:rPr>
                <w:rFonts w:asciiTheme="majorHAnsi" w:eastAsia="Times New Roman" w:hAnsiTheme="majorHAnsi" w:cstheme="majorHAnsi"/>
                <w:b/>
                <w:color w:val="000000"/>
                <w:sz w:val="20"/>
                <w:szCs w:val="20"/>
              </w:rPr>
            </w:pPr>
            <w:r w:rsidRPr="00276DE8">
              <w:rPr>
                <w:rFonts w:asciiTheme="majorHAnsi" w:eastAsia="Times New Roman" w:hAnsiTheme="majorHAnsi" w:cstheme="majorHAnsi"/>
                <w:b/>
                <w:color w:val="000000"/>
                <w:sz w:val="20"/>
                <w:szCs w:val="20"/>
              </w:rPr>
              <w:t>Executat/</w:t>
            </w:r>
          </w:p>
          <w:p w:rsidR="00E67099" w:rsidRPr="00276DE8" w:rsidRDefault="00E67099" w:rsidP="00E67099">
            <w:pPr>
              <w:spacing w:after="0" w:line="240" w:lineRule="auto"/>
              <w:jc w:val="center"/>
              <w:rPr>
                <w:rFonts w:asciiTheme="majorHAnsi" w:eastAsia="Times New Roman" w:hAnsiTheme="majorHAnsi" w:cstheme="majorHAnsi"/>
                <w:b/>
                <w:color w:val="000000"/>
                <w:sz w:val="20"/>
                <w:szCs w:val="20"/>
              </w:rPr>
            </w:pPr>
            <w:r w:rsidRPr="00276DE8">
              <w:rPr>
                <w:rFonts w:asciiTheme="majorHAnsi" w:eastAsia="Times New Roman" w:hAnsiTheme="majorHAnsi" w:cstheme="majorHAnsi"/>
                <w:b/>
                <w:color w:val="000000"/>
                <w:sz w:val="20"/>
                <w:szCs w:val="20"/>
              </w:rPr>
              <w:t>Precizat</w:t>
            </w:r>
          </w:p>
        </w:tc>
        <w:tc>
          <w:tcPr>
            <w:tcW w:w="1002" w:type="dxa"/>
            <w:tcBorders>
              <w:top w:val="nil"/>
              <w:left w:val="nil"/>
              <w:bottom w:val="single" w:sz="4" w:space="0" w:color="auto"/>
              <w:right w:val="single" w:sz="4" w:space="0" w:color="auto"/>
            </w:tcBorders>
            <w:shd w:val="clear" w:color="auto" w:fill="auto"/>
            <w:noWrap/>
            <w:vAlign w:val="center"/>
          </w:tcPr>
          <w:p w:rsidR="00E67099" w:rsidRPr="00276DE8" w:rsidRDefault="00E67099" w:rsidP="00E67099">
            <w:pPr>
              <w:spacing w:after="0" w:line="240" w:lineRule="auto"/>
              <w:jc w:val="center"/>
              <w:rPr>
                <w:rFonts w:asciiTheme="majorHAnsi" w:eastAsia="Times New Roman" w:hAnsiTheme="majorHAnsi" w:cstheme="majorHAnsi"/>
                <w:b/>
                <w:color w:val="000000"/>
                <w:sz w:val="20"/>
                <w:szCs w:val="20"/>
              </w:rPr>
            </w:pPr>
            <w:r w:rsidRPr="00276DE8">
              <w:rPr>
                <w:rFonts w:asciiTheme="majorHAnsi" w:eastAsia="Times New Roman" w:hAnsiTheme="majorHAnsi" w:cstheme="majorHAnsi"/>
                <w:b/>
                <w:color w:val="000000"/>
                <w:sz w:val="20"/>
                <w:szCs w:val="20"/>
              </w:rPr>
              <w:t>Aprobat</w:t>
            </w:r>
          </w:p>
        </w:tc>
        <w:tc>
          <w:tcPr>
            <w:tcW w:w="982" w:type="dxa"/>
            <w:tcBorders>
              <w:top w:val="nil"/>
              <w:left w:val="nil"/>
              <w:bottom w:val="single" w:sz="4" w:space="0" w:color="auto"/>
              <w:right w:val="single" w:sz="4" w:space="0" w:color="auto"/>
            </w:tcBorders>
            <w:shd w:val="clear" w:color="auto" w:fill="auto"/>
            <w:noWrap/>
            <w:vAlign w:val="center"/>
          </w:tcPr>
          <w:p w:rsidR="00E67099" w:rsidRPr="00276DE8" w:rsidRDefault="00E67099" w:rsidP="00E67099">
            <w:pPr>
              <w:spacing w:after="0" w:line="240" w:lineRule="auto"/>
              <w:jc w:val="center"/>
              <w:rPr>
                <w:rFonts w:asciiTheme="majorHAnsi" w:eastAsia="Times New Roman" w:hAnsiTheme="majorHAnsi" w:cstheme="majorHAnsi"/>
                <w:b/>
                <w:color w:val="000000"/>
                <w:sz w:val="20"/>
                <w:szCs w:val="20"/>
              </w:rPr>
            </w:pPr>
            <w:r w:rsidRPr="00276DE8">
              <w:rPr>
                <w:rFonts w:asciiTheme="majorHAnsi" w:eastAsia="Times New Roman" w:hAnsiTheme="majorHAnsi" w:cstheme="majorHAnsi"/>
                <w:b/>
                <w:color w:val="000000"/>
                <w:sz w:val="20"/>
                <w:szCs w:val="20"/>
              </w:rPr>
              <w:t>Precizat</w:t>
            </w:r>
          </w:p>
        </w:tc>
        <w:tc>
          <w:tcPr>
            <w:tcW w:w="1051" w:type="dxa"/>
            <w:tcBorders>
              <w:top w:val="nil"/>
              <w:left w:val="nil"/>
              <w:bottom w:val="single" w:sz="4" w:space="0" w:color="auto"/>
              <w:right w:val="single" w:sz="4" w:space="0" w:color="auto"/>
            </w:tcBorders>
            <w:shd w:val="clear" w:color="auto" w:fill="auto"/>
            <w:noWrap/>
            <w:vAlign w:val="center"/>
          </w:tcPr>
          <w:p w:rsidR="00E67099" w:rsidRPr="00276DE8" w:rsidRDefault="00E67099" w:rsidP="00E67099">
            <w:pPr>
              <w:spacing w:after="0" w:line="240" w:lineRule="auto"/>
              <w:jc w:val="center"/>
              <w:rPr>
                <w:rFonts w:asciiTheme="majorHAnsi" w:eastAsia="Times New Roman" w:hAnsiTheme="majorHAnsi" w:cstheme="majorHAnsi"/>
                <w:b/>
                <w:color w:val="000000"/>
                <w:sz w:val="20"/>
                <w:szCs w:val="20"/>
              </w:rPr>
            </w:pPr>
            <w:r w:rsidRPr="00276DE8">
              <w:rPr>
                <w:rFonts w:asciiTheme="majorHAnsi" w:eastAsia="Times New Roman" w:hAnsiTheme="majorHAnsi" w:cstheme="majorHAnsi"/>
                <w:b/>
                <w:color w:val="000000"/>
                <w:sz w:val="20"/>
                <w:szCs w:val="20"/>
              </w:rPr>
              <w:t>Executat</w:t>
            </w:r>
          </w:p>
        </w:tc>
        <w:tc>
          <w:tcPr>
            <w:tcW w:w="1141" w:type="dxa"/>
            <w:tcBorders>
              <w:top w:val="nil"/>
              <w:left w:val="nil"/>
              <w:bottom w:val="single" w:sz="4" w:space="0" w:color="auto"/>
              <w:right w:val="single" w:sz="4" w:space="0" w:color="auto"/>
            </w:tcBorders>
            <w:shd w:val="clear" w:color="auto" w:fill="auto"/>
            <w:noWrap/>
            <w:vAlign w:val="center"/>
          </w:tcPr>
          <w:p w:rsidR="00E67099" w:rsidRPr="00276DE8" w:rsidRDefault="00E67099" w:rsidP="00E67099">
            <w:pPr>
              <w:spacing w:after="0" w:line="240" w:lineRule="auto"/>
              <w:jc w:val="center"/>
              <w:rPr>
                <w:rFonts w:asciiTheme="majorHAnsi" w:eastAsia="Times New Roman" w:hAnsiTheme="majorHAnsi" w:cstheme="majorHAnsi"/>
                <w:b/>
                <w:color w:val="000000"/>
                <w:sz w:val="20"/>
                <w:szCs w:val="20"/>
              </w:rPr>
            </w:pPr>
            <w:r w:rsidRPr="00276DE8">
              <w:rPr>
                <w:rFonts w:asciiTheme="majorHAnsi" w:eastAsia="Times New Roman" w:hAnsiTheme="majorHAnsi" w:cstheme="majorHAnsi"/>
                <w:b/>
                <w:color w:val="000000"/>
                <w:sz w:val="20"/>
                <w:szCs w:val="20"/>
              </w:rPr>
              <w:t>Executat/</w:t>
            </w:r>
          </w:p>
          <w:p w:rsidR="00E67099" w:rsidRPr="00276DE8" w:rsidRDefault="00E67099" w:rsidP="00E67099">
            <w:pPr>
              <w:spacing w:after="0" w:line="240" w:lineRule="auto"/>
              <w:jc w:val="center"/>
              <w:rPr>
                <w:rFonts w:asciiTheme="majorHAnsi" w:eastAsia="Times New Roman" w:hAnsiTheme="majorHAnsi" w:cstheme="majorHAnsi"/>
                <w:b/>
                <w:color w:val="000000"/>
                <w:sz w:val="20"/>
                <w:szCs w:val="20"/>
              </w:rPr>
            </w:pPr>
            <w:r w:rsidRPr="00276DE8">
              <w:rPr>
                <w:rFonts w:asciiTheme="majorHAnsi" w:eastAsia="Times New Roman" w:hAnsiTheme="majorHAnsi" w:cstheme="majorHAnsi"/>
                <w:b/>
                <w:color w:val="000000"/>
                <w:sz w:val="20"/>
                <w:szCs w:val="20"/>
              </w:rPr>
              <w:t>Precizat</w:t>
            </w:r>
          </w:p>
        </w:tc>
      </w:tr>
      <w:tr w:rsidR="00E67099" w:rsidRPr="00E67099" w:rsidTr="00A36731">
        <w:trPr>
          <w:trHeight w:val="153"/>
          <w:jc w:val="center"/>
        </w:trPr>
        <w:tc>
          <w:tcPr>
            <w:tcW w:w="1838" w:type="dxa"/>
            <w:tcBorders>
              <w:top w:val="nil"/>
              <w:left w:val="single" w:sz="4" w:space="0" w:color="auto"/>
              <w:bottom w:val="single" w:sz="4" w:space="0" w:color="auto"/>
              <w:right w:val="single" w:sz="4" w:space="0" w:color="auto"/>
            </w:tcBorders>
            <w:shd w:val="clear" w:color="auto" w:fill="auto"/>
            <w:noWrap/>
            <w:vAlign w:val="center"/>
          </w:tcPr>
          <w:p w:rsidR="00E67099" w:rsidRPr="00276DE8" w:rsidRDefault="00E67099" w:rsidP="00E67099">
            <w:pPr>
              <w:spacing w:after="0" w:line="240" w:lineRule="auto"/>
              <w:jc w:val="center"/>
              <w:rPr>
                <w:rFonts w:asciiTheme="majorHAnsi" w:eastAsia="Times New Roman" w:hAnsiTheme="majorHAnsi" w:cstheme="majorHAnsi"/>
                <w:color w:val="000000"/>
                <w:sz w:val="20"/>
                <w:szCs w:val="20"/>
              </w:rPr>
            </w:pPr>
            <w:r w:rsidRPr="00276DE8">
              <w:rPr>
                <w:rFonts w:asciiTheme="majorHAnsi" w:eastAsia="Times New Roman" w:hAnsiTheme="majorHAnsi" w:cstheme="majorHAnsi"/>
                <w:color w:val="000000"/>
                <w:sz w:val="20"/>
                <w:szCs w:val="20"/>
              </w:rPr>
              <w:t>1</w:t>
            </w:r>
          </w:p>
        </w:tc>
        <w:tc>
          <w:tcPr>
            <w:tcW w:w="1042" w:type="dxa"/>
            <w:tcBorders>
              <w:top w:val="nil"/>
              <w:left w:val="nil"/>
              <w:bottom w:val="single" w:sz="4" w:space="0" w:color="auto"/>
              <w:right w:val="single" w:sz="4" w:space="0" w:color="auto"/>
            </w:tcBorders>
            <w:shd w:val="clear" w:color="auto" w:fill="auto"/>
            <w:noWrap/>
            <w:vAlign w:val="center"/>
          </w:tcPr>
          <w:p w:rsidR="00E67099" w:rsidRPr="00276DE8" w:rsidRDefault="00E67099" w:rsidP="00E67099">
            <w:pPr>
              <w:spacing w:after="0" w:line="240" w:lineRule="auto"/>
              <w:jc w:val="center"/>
              <w:rPr>
                <w:rFonts w:asciiTheme="majorHAnsi" w:eastAsia="Times New Roman" w:hAnsiTheme="majorHAnsi" w:cstheme="majorHAnsi"/>
                <w:color w:val="000000"/>
                <w:sz w:val="20"/>
                <w:szCs w:val="20"/>
              </w:rPr>
            </w:pPr>
            <w:r w:rsidRPr="00276DE8">
              <w:rPr>
                <w:rFonts w:asciiTheme="majorHAnsi" w:eastAsia="Times New Roman" w:hAnsiTheme="majorHAnsi" w:cstheme="majorHAnsi"/>
                <w:color w:val="000000"/>
                <w:sz w:val="20"/>
                <w:szCs w:val="20"/>
              </w:rPr>
              <w:t>2</w:t>
            </w:r>
          </w:p>
        </w:tc>
        <w:tc>
          <w:tcPr>
            <w:tcW w:w="982" w:type="dxa"/>
            <w:tcBorders>
              <w:top w:val="nil"/>
              <w:left w:val="nil"/>
              <w:bottom w:val="single" w:sz="4" w:space="0" w:color="auto"/>
              <w:right w:val="single" w:sz="4" w:space="0" w:color="auto"/>
            </w:tcBorders>
            <w:shd w:val="clear" w:color="auto" w:fill="auto"/>
            <w:noWrap/>
            <w:vAlign w:val="center"/>
          </w:tcPr>
          <w:p w:rsidR="00E67099" w:rsidRPr="00276DE8" w:rsidRDefault="00E67099" w:rsidP="00E67099">
            <w:pPr>
              <w:spacing w:after="0" w:line="240" w:lineRule="auto"/>
              <w:jc w:val="center"/>
              <w:rPr>
                <w:rFonts w:asciiTheme="majorHAnsi" w:eastAsia="Times New Roman" w:hAnsiTheme="majorHAnsi" w:cstheme="majorHAnsi"/>
                <w:color w:val="000000"/>
                <w:sz w:val="20"/>
                <w:szCs w:val="20"/>
              </w:rPr>
            </w:pPr>
            <w:r w:rsidRPr="00276DE8">
              <w:rPr>
                <w:rFonts w:asciiTheme="majorHAnsi" w:eastAsia="Times New Roman" w:hAnsiTheme="majorHAnsi" w:cstheme="majorHAnsi"/>
                <w:color w:val="000000"/>
                <w:sz w:val="20"/>
                <w:szCs w:val="20"/>
              </w:rPr>
              <w:t>3</w:t>
            </w:r>
          </w:p>
        </w:tc>
        <w:tc>
          <w:tcPr>
            <w:tcW w:w="1051" w:type="dxa"/>
            <w:tcBorders>
              <w:top w:val="nil"/>
              <w:left w:val="nil"/>
              <w:bottom w:val="single" w:sz="4" w:space="0" w:color="auto"/>
              <w:right w:val="single" w:sz="4" w:space="0" w:color="auto"/>
            </w:tcBorders>
            <w:shd w:val="clear" w:color="auto" w:fill="auto"/>
            <w:noWrap/>
            <w:vAlign w:val="center"/>
          </w:tcPr>
          <w:p w:rsidR="00E67099" w:rsidRPr="00276DE8" w:rsidRDefault="00E67099" w:rsidP="00E67099">
            <w:pPr>
              <w:spacing w:after="0" w:line="240" w:lineRule="auto"/>
              <w:jc w:val="center"/>
              <w:rPr>
                <w:rFonts w:asciiTheme="majorHAnsi" w:eastAsia="Times New Roman" w:hAnsiTheme="majorHAnsi" w:cstheme="majorHAnsi"/>
                <w:color w:val="000000"/>
                <w:sz w:val="20"/>
                <w:szCs w:val="20"/>
              </w:rPr>
            </w:pPr>
            <w:r w:rsidRPr="00276DE8">
              <w:rPr>
                <w:rFonts w:asciiTheme="majorHAnsi" w:eastAsia="Times New Roman" w:hAnsiTheme="majorHAnsi" w:cstheme="majorHAnsi"/>
                <w:color w:val="000000"/>
                <w:sz w:val="20"/>
                <w:szCs w:val="20"/>
              </w:rPr>
              <w:t>4</w:t>
            </w:r>
          </w:p>
        </w:tc>
        <w:tc>
          <w:tcPr>
            <w:tcW w:w="1138" w:type="dxa"/>
            <w:tcBorders>
              <w:top w:val="nil"/>
              <w:left w:val="nil"/>
              <w:bottom w:val="single" w:sz="4" w:space="0" w:color="auto"/>
              <w:right w:val="single" w:sz="4" w:space="0" w:color="auto"/>
            </w:tcBorders>
            <w:shd w:val="clear" w:color="auto" w:fill="auto"/>
            <w:noWrap/>
            <w:vAlign w:val="center"/>
          </w:tcPr>
          <w:p w:rsidR="00E67099" w:rsidRPr="00276DE8" w:rsidRDefault="00E67099" w:rsidP="00E67099">
            <w:pPr>
              <w:spacing w:after="0" w:line="240" w:lineRule="auto"/>
              <w:jc w:val="center"/>
              <w:rPr>
                <w:rFonts w:asciiTheme="majorHAnsi" w:eastAsia="Times New Roman" w:hAnsiTheme="majorHAnsi" w:cstheme="majorHAnsi"/>
                <w:color w:val="000000"/>
                <w:sz w:val="20"/>
                <w:szCs w:val="20"/>
              </w:rPr>
            </w:pPr>
            <w:r w:rsidRPr="00276DE8">
              <w:rPr>
                <w:rFonts w:asciiTheme="majorHAnsi" w:eastAsia="Times New Roman" w:hAnsiTheme="majorHAnsi" w:cstheme="majorHAnsi"/>
                <w:color w:val="000000"/>
                <w:sz w:val="20"/>
                <w:szCs w:val="20"/>
              </w:rPr>
              <w:t>5=4/3,%</w:t>
            </w:r>
          </w:p>
        </w:tc>
        <w:tc>
          <w:tcPr>
            <w:tcW w:w="1002" w:type="dxa"/>
            <w:tcBorders>
              <w:top w:val="nil"/>
              <w:left w:val="nil"/>
              <w:bottom w:val="single" w:sz="4" w:space="0" w:color="auto"/>
              <w:right w:val="single" w:sz="4" w:space="0" w:color="auto"/>
            </w:tcBorders>
            <w:shd w:val="clear" w:color="auto" w:fill="auto"/>
            <w:noWrap/>
            <w:vAlign w:val="center"/>
          </w:tcPr>
          <w:p w:rsidR="00E67099" w:rsidRPr="00276DE8" w:rsidRDefault="00E67099" w:rsidP="00E67099">
            <w:pPr>
              <w:spacing w:after="0" w:line="240" w:lineRule="auto"/>
              <w:jc w:val="center"/>
              <w:rPr>
                <w:rFonts w:asciiTheme="majorHAnsi" w:eastAsia="Times New Roman" w:hAnsiTheme="majorHAnsi" w:cstheme="majorHAnsi"/>
                <w:color w:val="000000"/>
                <w:sz w:val="20"/>
                <w:szCs w:val="20"/>
              </w:rPr>
            </w:pPr>
            <w:r w:rsidRPr="00276DE8">
              <w:rPr>
                <w:rFonts w:asciiTheme="majorHAnsi" w:eastAsia="Times New Roman" w:hAnsiTheme="majorHAnsi" w:cstheme="majorHAnsi"/>
                <w:color w:val="000000"/>
                <w:sz w:val="20"/>
                <w:szCs w:val="20"/>
              </w:rPr>
              <w:t>6</w:t>
            </w:r>
          </w:p>
        </w:tc>
        <w:tc>
          <w:tcPr>
            <w:tcW w:w="982" w:type="dxa"/>
            <w:tcBorders>
              <w:top w:val="nil"/>
              <w:left w:val="nil"/>
              <w:bottom w:val="single" w:sz="4" w:space="0" w:color="auto"/>
              <w:right w:val="single" w:sz="4" w:space="0" w:color="auto"/>
            </w:tcBorders>
            <w:shd w:val="clear" w:color="auto" w:fill="auto"/>
            <w:noWrap/>
            <w:vAlign w:val="center"/>
          </w:tcPr>
          <w:p w:rsidR="00E67099" w:rsidRPr="00276DE8" w:rsidRDefault="00E67099" w:rsidP="00E67099">
            <w:pPr>
              <w:spacing w:after="0" w:line="240" w:lineRule="auto"/>
              <w:jc w:val="center"/>
              <w:rPr>
                <w:rFonts w:asciiTheme="majorHAnsi" w:eastAsia="Times New Roman" w:hAnsiTheme="majorHAnsi" w:cstheme="majorHAnsi"/>
                <w:color w:val="000000"/>
                <w:sz w:val="20"/>
                <w:szCs w:val="20"/>
              </w:rPr>
            </w:pPr>
            <w:r w:rsidRPr="00276DE8">
              <w:rPr>
                <w:rFonts w:asciiTheme="majorHAnsi" w:eastAsia="Times New Roman" w:hAnsiTheme="majorHAnsi" w:cstheme="majorHAnsi"/>
                <w:color w:val="000000"/>
                <w:sz w:val="20"/>
                <w:szCs w:val="20"/>
              </w:rPr>
              <w:t>7</w:t>
            </w:r>
          </w:p>
        </w:tc>
        <w:tc>
          <w:tcPr>
            <w:tcW w:w="1051" w:type="dxa"/>
            <w:tcBorders>
              <w:top w:val="nil"/>
              <w:left w:val="nil"/>
              <w:bottom w:val="single" w:sz="4" w:space="0" w:color="auto"/>
              <w:right w:val="single" w:sz="4" w:space="0" w:color="auto"/>
            </w:tcBorders>
            <w:shd w:val="clear" w:color="auto" w:fill="auto"/>
            <w:noWrap/>
            <w:vAlign w:val="center"/>
          </w:tcPr>
          <w:p w:rsidR="00E67099" w:rsidRPr="00276DE8" w:rsidRDefault="00E67099" w:rsidP="00E67099">
            <w:pPr>
              <w:spacing w:after="0" w:line="240" w:lineRule="auto"/>
              <w:jc w:val="center"/>
              <w:rPr>
                <w:rFonts w:asciiTheme="majorHAnsi" w:eastAsia="Times New Roman" w:hAnsiTheme="majorHAnsi" w:cstheme="majorHAnsi"/>
                <w:color w:val="000000"/>
                <w:sz w:val="20"/>
                <w:szCs w:val="20"/>
              </w:rPr>
            </w:pPr>
            <w:r w:rsidRPr="00276DE8">
              <w:rPr>
                <w:rFonts w:asciiTheme="majorHAnsi" w:eastAsia="Times New Roman" w:hAnsiTheme="majorHAnsi" w:cstheme="majorHAnsi"/>
                <w:color w:val="000000"/>
                <w:sz w:val="20"/>
                <w:szCs w:val="20"/>
              </w:rPr>
              <w:t>8</w:t>
            </w:r>
          </w:p>
        </w:tc>
        <w:tc>
          <w:tcPr>
            <w:tcW w:w="1138" w:type="dxa"/>
            <w:tcBorders>
              <w:top w:val="nil"/>
              <w:left w:val="nil"/>
              <w:bottom w:val="single" w:sz="4" w:space="0" w:color="auto"/>
              <w:right w:val="single" w:sz="4" w:space="0" w:color="auto"/>
            </w:tcBorders>
            <w:shd w:val="clear" w:color="auto" w:fill="auto"/>
            <w:noWrap/>
            <w:vAlign w:val="center"/>
          </w:tcPr>
          <w:p w:rsidR="00E67099" w:rsidRPr="00276DE8" w:rsidRDefault="00E67099" w:rsidP="00E67099">
            <w:pPr>
              <w:spacing w:after="0" w:line="240" w:lineRule="auto"/>
              <w:jc w:val="center"/>
              <w:rPr>
                <w:rFonts w:asciiTheme="majorHAnsi" w:eastAsia="Times New Roman" w:hAnsiTheme="majorHAnsi" w:cstheme="majorHAnsi"/>
                <w:color w:val="000000"/>
                <w:sz w:val="20"/>
                <w:szCs w:val="20"/>
              </w:rPr>
            </w:pPr>
            <w:r w:rsidRPr="00276DE8">
              <w:rPr>
                <w:rFonts w:asciiTheme="majorHAnsi" w:eastAsia="Times New Roman" w:hAnsiTheme="majorHAnsi" w:cstheme="majorHAnsi"/>
                <w:color w:val="000000"/>
                <w:sz w:val="20"/>
                <w:szCs w:val="20"/>
              </w:rPr>
              <w:t>9=8/7*100</w:t>
            </w:r>
          </w:p>
        </w:tc>
        <w:tc>
          <w:tcPr>
            <w:tcW w:w="1002" w:type="dxa"/>
            <w:tcBorders>
              <w:top w:val="nil"/>
              <w:left w:val="nil"/>
              <w:bottom w:val="single" w:sz="4" w:space="0" w:color="auto"/>
              <w:right w:val="single" w:sz="4" w:space="0" w:color="auto"/>
            </w:tcBorders>
            <w:shd w:val="clear" w:color="auto" w:fill="auto"/>
            <w:noWrap/>
            <w:vAlign w:val="center"/>
          </w:tcPr>
          <w:p w:rsidR="00E67099" w:rsidRPr="00276DE8" w:rsidRDefault="00E67099" w:rsidP="00E67099">
            <w:pPr>
              <w:spacing w:after="0" w:line="240" w:lineRule="auto"/>
              <w:jc w:val="center"/>
              <w:rPr>
                <w:rFonts w:asciiTheme="majorHAnsi" w:eastAsia="Times New Roman" w:hAnsiTheme="majorHAnsi" w:cstheme="majorHAnsi"/>
                <w:color w:val="000000"/>
                <w:sz w:val="20"/>
                <w:szCs w:val="20"/>
              </w:rPr>
            </w:pPr>
            <w:r w:rsidRPr="00276DE8">
              <w:rPr>
                <w:rFonts w:asciiTheme="majorHAnsi" w:eastAsia="Times New Roman" w:hAnsiTheme="majorHAnsi" w:cstheme="majorHAnsi"/>
                <w:color w:val="000000"/>
                <w:sz w:val="20"/>
                <w:szCs w:val="20"/>
              </w:rPr>
              <w:t>10</w:t>
            </w:r>
          </w:p>
        </w:tc>
        <w:tc>
          <w:tcPr>
            <w:tcW w:w="982" w:type="dxa"/>
            <w:tcBorders>
              <w:top w:val="nil"/>
              <w:left w:val="nil"/>
              <w:bottom w:val="single" w:sz="4" w:space="0" w:color="auto"/>
              <w:right w:val="single" w:sz="4" w:space="0" w:color="auto"/>
            </w:tcBorders>
            <w:shd w:val="clear" w:color="auto" w:fill="auto"/>
            <w:noWrap/>
            <w:vAlign w:val="center"/>
          </w:tcPr>
          <w:p w:rsidR="00E67099" w:rsidRPr="00276DE8" w:rsidRDefault="00E67099" w:rsidP="00E67099">
            <w:pPr>
              <w:spacing w:after="0" w:line="240" w:lineRule="auto"/>
              <w:jc w:val="center"/>
              <w:rPr>
                <w:rFonts w:asciiTheme="majorHAnsi" w:eastAsia="Times New Roman" w:hAnsiTheme="majorHAnsi" w:cstheme="majorHAnsi"/>
                <w:color w:val="000000"/>
                <w:sz w:val="20"/>
                <w:szCs w:val="20"/>
              </w:rPr>
            </w:pPr>
            <w:r w:rsidRPr="00276DE8">
              <w:rPr>
                <w:rFonts w:asciiTheme="majorHAnsi" w:eastAsia="Times New Roman" w:hAnsiTheme="majorHAnsi" w:cstheme="majorHAnsi"/>
                <w:color w:val="000000"/>
                <w:sz w:val="20"/>
                <w:szCs w:val="20"/>
              </w:rPr>
              <w:t>11</w:t>
            </w:r>
          </w:p>
        </w:tc>
        <w:tc>
          <w:tcPr>
            <w:tcW w:w="1051" w:type="dxa"/>
            <w:tcBorders>
              <w:top w:val="nil"/>
              <w:left w:val="nil"/>
              <w:bottom w:val="single" w:sz="4" w:space="0" w:color="auto"/>
              <w:right w:val="single" w:sz="4" w:space="0" w:color="auto"/>
            </w:tcBorders>
            <w:shd w:val="clear" w:color="auto" w:fill="auto"/>
            <w:noWrap/>
            <w:vAlign w:val="center"/>
          </w:tcPr>
          <w:p w:rsidR="00E67099" w:rsidRPr="00276DE8" w:rsidRDefault="00E67099" w:rsidP="00E67099">
            <w:pPr>
              <w:spacing w:after="0" w:line="240" w:lineRule="auto"/>
              <w:jc w:val="center"/>
              <w:rPr>
                <w:rFonts w:asciiTheme="majorHAnsi" w:eastAsia="Times New Roman" w:hAnsiTheme="majorHAnsi" w:cstheme="majorHAnsi"/>
                <w:color w:val="000000"/>
                <w:sz w:val="20"/>
                <w:szCs w:val="20"/>
              </w:rPr>
            </w:pPr>
            <w:r w:rsidRPr="00276DE8">
              <w:rPr>
                <w:rFonts w:asciiTheme="majorHAnsi" w:eastAsia="Times New Roman" w:hAnsiTheme="majorHAnsi" w:cstheme="majorHAnsi"/>
                <w:color w:val="000000"/>
                <w:sz w:val="20"/>
                <w:szCs w:val="20"/>
              </w:rPr>
              <w:t>12</w:t>
            </w:r>
          </w:p>
        </w:tc>
        <w:tc>
          <w:tcPr>
            <w:tcW w:w="1141" w:type="dxa"/>
            <w:tcBorders>
              <w:top w:val="nil"/>
              <w:left w:val="nil"/>
              <w:bottom w:val="single" w:sz="4" w:space="0" w:color="auto"/>
              <w:right w:val="single" w:sz="4" w:space="0" w:color="auto"/>
            </w:tcBorders>
            <w:shd w:val="clear" w:color="auto" w:fill="auto"/>
            <w:noWrap/>
            <w:vAlign w:val="center"/>
          </w:tcPr>
          <w:p w:rsidR="00E67099" w:rsidRPr="00276DE8" w:rsidRDefault="00E67099" w:rsidP="00E67099">
            <w:pPr>
              <w:spacing w:after="0" w:line="240" w:lineRule="auto"/>
              <w:jc w:val="right"/>
              <w:rPr>
                <w:rFonts w:asciiTheme="majorHAnsi" w:eastAsia="Times New Roman" w:hAnsiTheme="majorHAnsi" w:cstheme="majorHAnsi"/>
                <w:color w:val="000000"/>
                <w:sz w:val="20"/>
                <w:szCs w:val="20"/>
              </w:rPr>
            </w:pPr>
            <w:r w:rsidRPr="00276DE8">
              <w:rPr>
                <w:rFonts w:asciiTheme="majorHAnsi" w:eastAsia="Times New Roman" w:hAnsiTheme="majorHAnsi" w:cstheme="majorHAnsi"/>
                <w:color w:val="000000"/>
                <w:sz w:val="20"/>
                <w:szCs w:val="20"/>
              </w:rPr>
              <w:t>13=12/11,%</w:t>
            </w:r>
          </w:p>
        </w:tc>
      </w:tr>
      <w:tr w:rsidR="00E67099" w:rsidRPr="00E67099" w:rsidTr="00A36731">
        <w:trPr>
          <w:trHeight w:val="269"/>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67099" w:rsidRPr="00276DE8" w:rsidRDefault="00E67099" w:rsidP="00E67099">
            <w:pPr>
              <w:spacing w:after="0" w:line="240" w:lineRule="auto"/>
              <w:rPr>
                <w:rFonts w:asciiTheme="majorHAnsi" w:eastAsia="Times New Roman" w:hAnsiTheme="majorHAnsi" w:cstheme="majorHAnsi"/>
                <w:b/>
                <w:color w:val="000000"/>
                <w:sz w:val="20"/>
                <w:szCs w:val="20"/>
              </w:rPr>
            </w:pPr>
            <w:r w:rsidRPr="00276DE8">
              <w:rPr>
                <w:rFonts w:asciiTheme="majorHAnsi" w:eastAsia="Times New Roman" w:hAnsiTheme="majorHAnsi" w:cstheme="majorHAnsi"/>
                <w:b/>
                <w:color w:val="000000"/>
                <w:sz w:val="20"/>
                <w:szCs w:val="20"/>
              </w:rPr>
              <w:t>Total, inclusiv:</w:t>
            </w:r>
          </w:p>
        </w:tc>
        <w:tc>
          <w:tcPr>
            <w:tcW w:w="1042" w:type="dxa"/>
            <w:tcBorders>
              <w:top w:val="nil"/>
              <w:left w:val="nil"/>
              <w:bottom w:val="single" w:sz="4" w:space="0" w:color="auto"/>
              <w:right w:val="single" w:sz="4" w:space="0" w:color="auto"/>
            </w:tcBorders>
            <w:shd w:val="clear" w:color="auto" w:fill="auto"/>
            <w:noWrap/>
            <w:vAlign w:val="center"/>
            <w:hideMark/>
          </w:tcPr>
          <w:p w:rsidR="00E67099" w:rsidRPr="00276DE8" w:rsidRDefault="00E67099" w:rsidP="00E67099">
            <w:pPr>
              <w:spacing w:after="0" w:line="240" w:lineRule="auto"/>
              <w:jc w:val="right"/>
              <w:rPr>
                <w:rFonts w:asciiTheme="majorHAnsi" w:eastAsia="Times New Roman" w:hAnsiTheme="majorHAnsi" w:cstheme="majorHAnsi"/>
                <w:b/>
                <w:color w:val="000000"/>
                <w:sz w:val="20"/>
                <w:szCs w:val="20"/>
              </w:rPr>
            </w:pPr>
            <w:r w:rsidRPr="00276DE8">
              <w:rPr>
                <w:rFonts w:asciiTheme="majorHAnsi" w:eastAsia="Times New Roman" w:hAnsiTheme="majorHAnsi" w:cstheme="majorHAnsi"/>
                <w:b/>
                <w:color w:val="000000"/>
                <w:sz w:val="20"/>
                <w:szCs w:val="20"/>
              </w:rPr>
              <w:t>1802,8</w:t>
            </w:r>
          </w:p>
        </w:tc>
        <w:tc>
          <w:tcPr>
            <w:tcW w:w="982" w:type="dxa"/>
            <w:tcBorders>
              <w:top w:val="nil"/>
              <w:left w:val="nil"/>
              <w:bottom w:val="single" w:sz="4" w:space="0" w:color="auto"/>
              <w:right w:val="single" w:sz="4" w:space="0" w:color="auto"/>
            </w:tcBorders>
            <w:shd w:val="clear" w:color="auto" w:fill="auto"/>
            <w:noWrap/>
            <w:vAlign w:val="center"/>
            <w:hideMark/>
          </w:tcPr>
          <w:p w:rsidR="00E67099" w:rsidRPr="00276DE8" w:rsidRDefault="00E67099" w:rsidP="00E67099">
            <w:pPr>
              <w:spacing w:after="0" w:line="240" w:lineRule="auto"/>
              <w:jc w:val="right"/>
              <w:rPr>
                <w:rFonts w:asciiTheme="majorHAnsi" w:eastAsia="Times New Roman" w:hAnsiTheme="majorHAnsi" w:cstheme="majorHAnsi"/>
                <w:b/>
                <w:color w:val="000000"/>
                <w:sz w:val="20"/>
                <w:szCs w:val="20"/>
              </w:rPr>
            </w:pPr>
            <w:r w:rsidRPr="00276DE8">
              <w:rPr>
                <w:rFonts w:asciiTheme="majorHAnsi" w:eastAsia="Times New Roman" w:hAnsiTheme="majorHAnsi" w:cstheme="majorHAnsi"/>
                <w:b/>
                <w:color w:val="000000"/>
                <w:sz w:val="20"/>
                <w:szCs w:val="20"/>
              </w:rPr>
              <w:t>1363,2</w:t>
            </w:r>
          </w:p>
        </w:tc>
        <w:tc>
          <w:tcPr>
            <w:tcW w:w="1051" w:type="dxa"/>
            <w:tcBorders>
              <w:top w:val="nil"/>
              <w:left w:val="nil"/>
              <w:bottom w:val="single" w:sz="4" w:space="0" w:color="auto"/>
              <w:right w:val="single" w:sz="4" w:space="0" w:color="auto"/>
            </w:tcBorders>
            <w:shd w:val="clear" w:color="auto" w:fill="auto"/>
            <w:noWrap/>
            <w:vAlign w:val="center"/>
            <w:hideMark/>
          </w:tcPr>
          <w:p w:rsidR="00E67099" w:rsidRPr="00276DE8" w:rsidRDefault="00E67099" w:rsidP="00E67099">
            <w:pPr>
              <w:spacing w:after="0" w:line="240" w:lineRule="auto"/>
              <w:jc w:val="right"/>
              <w:rPr>
                <w:rFonts w:asciiTheme="majorHAnsi" w:eastAsia="Times New Roman" w:hAnsiTheme="majorHAnsi" w:cstheme="majorHAnsi"/>
                <w:b/>
                <w:color w:val="000000"/>
                <w:sz w:val="20"/>
                <w:szCs w:val="20"/>
              </w:rPr>
            </w:pPr>
            <w:r w:rsidRPr="00276DE8">
              <w:rPr>
                <w:rFonts w:asciiTheme="majorHAnsi" w:eastAsia="Times New Roman" w:hAnsiTheme="majorHAnsi" w:cstheme="majorHAnsi"/>
                <w:b/>
                <w:color w:val="000000"/>
                <w:sz w:val="20"/>
                <w:szCs w:val="20"/>
              </w:rPr>
              <w:t>824,4</w:t>
            </w:r>
          </w:p>
        </w:tc>
        <w:tc>
          <w:tcPr>
            <w:tcW w:w="1138" w:type="dxa"/>
            <w:tcBorders>
              <w:top w:val="nil"/>
              <w:left w:val="nil"/>
              <w:bottom w:val="single" w:sz="4" w:space="0" w:color="auto"/>
              <w:right w:val="single" w:sz="4" w:space="0" w:color="auto"/>
            </w:tcBorders>
            <w:shd w:val="clear" w:color="auto" w:fill="auto"/>
            <w:noWrap/>
            <w:vAlign w:val="center"/>
            <w:hideMark/>
          </w:tcPr>
          <w:p w:rsidR="00E67099" w:rsidRPr="00276DE8" w:rsidRDefault="00E67099" w:rsidP="00E67099">
            <w:pPr>
              <w:spacing w:after="0" w:line="240" w:lineRule="auto"/>
              <w:jc w:val="right"/>
              <w:rPr>
                <w:rFonts w:asciiTheme="majorHAnsi" w:eastAsia="Times New Roman" w:hAnsiTheme="majorHAnsi" w:cstheme="majorHAnsi"/>
                <w:b/>
                <w:color w:val="000000"/>
                <w:sz w:val="20"/>
                <w:szCs w:val="20"/>
              </w:rPr>
            </w:pPr>
            <w:r w:rsidRPr="00276DE8">
              <w:rPr>
                <w:rFonts w:asciiTheme="majorHAnsi" w:eastAsia="Times New Roman" w:hAnsiTheme="majorHAnsi" w:cstheme="majorHAnsi"/>
                <w:b/>
                <w:color w:val="000000"/>
                <w:sz w:val="20"/>
                <w:szCs w:val="20"/>
              </w:rPr>
              <w:t>60,5%</w:t>
            </w:r>
          </w:p>
        </w:tc>
        <w:tc>
          <w:tcPr>
            <w:tcW w:w="1002" w:type="dxa"/>
            <w:tcBorders>
              <w:top w:val="nil"/>
              <w:left w:val="nil"/>
              <w:bottom w:val="single" w:sz="4" w:space="0" w:color="auto"/>
              <w:right w:val="single" w:sz="4" w:space="0" w:color="auto"/>
            </w:tcBorders>
            <w:shd w:val="clear" w:color="auto" w:fill="auto"/>
            <w:noWrap/>
            <w:vAlign w:val="center"/>
            <w:hideMark/>
          </w:tcPr>
          <w:p w:rsidR="00E67099" w:rsidRPr="00276DE8" w:rsidRDefault="00E67099" w:rsidP="00E67099">
            <w:pPr>
              <w:spacing w:after="0" w:line="240" w:lineRule="auto"/>
              <w:jc w:val="right"/>
              <w:rPr>
                <w:rFonts w:asciiTheme="majorHAnsi" w:eastAsia="Times New Roman" w:hAnsiTheme="majorHAnsi" w:cstheme="majorHAnsi"/>
                <w:b/>
                <w:color w:val="000000"/>
                <w:sz w:val="20"/>
                <w:szCs w:val="20"/>
              </w:rPr>
            </w:pPr>
            <w:r w:rsidRPr="00276DE8">
              <w:rPr>
                <w:rFonts w:asciiTheme="majorHAnsi" w:eastAsia="Times New Roman" w:hAnsiTheme="majorHAnsi" w:cstheme="majorHAnsi"/>
                <w:b/>
                <w:color w:val="000000"/>
                <w:sz w:val="20"/>
                <w:szCs w:val="20"/>
              </w:rPr>
              <w:t>3336,7</w:t>
            </w:r>
          </w:p>
        </w:tc>
        <w:tc>
          <w:tcPr>
            <w:tcW w:w="982" w:type="dxa"/>
            <w:tcBorders>
              <w:top w:val="nil"/>
              <w:left w:val="nil"/>
              <w:bottom w:val="single" w:sz="4" w:space="0" w:color="auto"/>
              <w:right w:val="single" w:sz="4" w:space="0" w:color="auto"/>
            </w:tcBorders>
            <w:shd w:val="clear" w:color="auto" w:fill="auto"/>
            <w:noWrap/>
            <w:vAlign w:val="center"/>
            <w:hideMark/>
          </w:tcPr>
          <w:p w:rsidR="00E67099" w:rsidRPr="00276DE8" w:rsidRDefault="00E67099" w:rsidP="00E67099">
            <w:pPr>
              <w:spacing w:after="0" w:line="240" w:lineRule="auto"/>
              <w:jc w:val="right"/>
              <w:rPr>
                <w:rFonts w:asciiTheme="majorHAnsi" w:eastAsia="Times New Roman" w:hAnsiTheme="majorHAnsi" w:cstheme="majorHAnsi"/>
                <w:b/>
                <w:color w:val="000000"/>
                <w:sz w:val="20"/>
                <w:szCs w:val="20"/>
              </w:rPr>
            </w:pPr>
            <w:r w:rsidRPr="00276DE8">
              <w:rPr>
                <w:rFonts w:asciiTheme="majorHAnsi" w:eastAsia="Times New Roman" w:hAnsiTheme="majorHAnsi" w:cstheme="majorHAnsi"/>
                <w:b/>
                <w:color w:val="000000"/>
                <w:sz w:val="20"/>
                <w:szCs w:val="20"/>
              </w:rPr>
              <w:t>1906,5</w:t>
            </w:r>
          </w:p>
        </w:tc>
        <w:tc>
          <w:tcPr>
            <w:tcW w:w="1051" w:type="dxa"/>
            <w:tcBorders>
              <w:top w:val="nil"/>
              <w:left w:val="nil"/>
              <w:bottom w:val="single" w:sz="4" w:space="0" w:color="auto"/>
              <w:right w:val="single" w:sz="4" w:space="0" w:color="auto"/>
            </w:tcBorders>
            <w:shd w:val="clear" w:color="auto" w:fill="auto"/>
            <w:noWrap/>
            <w:vAlign w:val="center"/>
            <w:hideMark/>
          </w:tcPr>
          <w:p w:rsidR="00E67099" w:rsidRPr="00276DE8" w:rsidRDefault="00E67099" w:rsidP="00E67099">
            <w:pPr>
              <w:spacing w:after="0" w:line="240" w:lineRule="auto"/>
              <w:jc w:val="right"/>
              <w:rPr>
                <w:rFonts w:asciiTheme="majorHAnsi" w:eastAsia="Times New Roman" w:hAnsiTheme="majorHAnsi" w:cstheme="majorHAnsi"/>
                <w:b/>
                <w:color w:val="000000"/>
                <w:sz w:val="20"/>
                <w:szCs w:val="20"/>
              </w:rPr>
            </w:pPr>
            <w:r w:rsidRPr="00276DE8">
              <w:rPr>
                <w:rFonts w:asciiTheme="majorHAnsi" w:eastAsia="Times New Roman" w:hAnsiTheme="majorHAnsi" w:cstheme="majorHAnsi"/>
                <w:b/>
                <w:color w:val="000000"/>
                <w:sz w:val="20"/>
                <w:szCs w:val="20"/>
              </w:rPr>
              <w:t>849,7</w:t>
            </w:r>
          </w:p>
        </w:tc>
        <w:tc>
          <w:tcPr>
            <w:tcW w:w="1138" w:type="dxa"/>
            <w:tcBorders>
              <w:top w:val="nil"/>
              <w:left w:val="nil"/>
              <w:bottom w:val="single" w:sz="4" w:space="0" w:color="auto"/>
              <w:right w:val="single" w:sz="4" w:space="0" w:color="auto"/>
            </w:tcBorders>
            <w:shd w:val="clear" w:color="auto" w:fill="auto"/>
            <w:noWrap/>
            <w:vAlign w:val="center"/>
            <w:hideMark/>
          </w:tcPr>
          <w:p w:rsidR="00E67099" w:rsidRPr="00276DE8" w:rsidRDefault="00E67099" w:rsidP="00E67099">
            <w:pPr>
              <w:spacing w:after="0" w:line="240" w:lineRule="auto"/>
              <w:jc w:val="right"/>
              <w:rPr>
                <w:rFonts w:asciiTheme="majorHAnsi" w:eastAsia="Times New Roman" w:hAnsiTheme="majorHAnsi" w:cstheme="majorHAnsi"/>
                <w:b/>
                <w:color w:val="000000"/>
                <w:sz w:val="20"/>
                <w:szCs w:val="20"/>
              </w:rPr>
            </w:pPr>
            <w:r w:rsidRPr="00276DE8">
              <w:rPr>
                <w:rFonts w:asciiTheme="majorHAnsi" w:eastAsia="Times New Roman" w:hAnsiTheme="majorHAnsi" w:cstheme="majorHAnsi"/>
                <w:b/>
                <w:color w:val="000000"/>
                <w:sz w:val="20"/>
                <w:szCs w:val="20"/>
              </w:rPr>
              <w:t>44,6%</w:t>
            </w:r>
          </w:p>
        </w:tc>
        <w:tc>
          <w:tcPr>
            <w:tcW w:w="1002" w:type="dxa"/>
            <w:tcBorders>
              <w:top w:val="nil"/>
              <w:left w:val="nil"/>
              <w:bottom w:val="single" w:sz="4" w:space="0" w:color="auto"/>
              <w:right w:val="single" w:sz="4" w:space="0" w:color="auto"/>
            </w:tcBorders>
            <w:shd w:val="clear" w:color="auto" w:fill="auto"/>
            <w:noWrap/>
            <w:vAlign w:val="center"/>
            <w:hideMark/>
          </w:tcPr>
          <w:p w:rsidR="00E67099" w:rsidRPr="00276DE8" w:rsidRDefault="00E67099" w:rsidP="00E67099">
            <w:pPr>
              <w:spacing w:after="0" w:line="240" w:lineRule="auto"/>
              <w:jc w:val="right"/>
              <w:rPr>
                <w:rFonts w:asciiTheme="majorHAnsi" w:eastAsia="Times New Roman" w:hAnsiTheme="majorHAnsi" w:cstheme="majorHAnsi"/>
                <w:b/>
                <w:color w:val="000000"/>
                <w:sz w:val="20"/>
                <w:szCs w:val="20"/>
              </w:rPr>
            </w:pPr>
            <w:r w:rsidRPr="00276DE8">
              <w:rPr>
                <w:rFonts w:asciiTheme="majorHAnsi" w:eastAsia="Times New Roman" w:hAnsiTheme="majorHAnsi" w:cstheme="majorHAnsi"/>
                <w:b/>
                <w:color w:val="000000"/>
                <w:sz w:val="20"/>
                <w:szCs w:val="20"/>
              </w:rPr>
              <w:t>2374,2</w:t>
            </w:r>
          </w:p>
        </w:tc>
        <w:tc>
          <w:tcPr>
            <w:tcW w:w="982" w:type="dxa"/>
            <w:tcBorders>
              <w:top w:val="nil"/>
              <w:left w:val="nil"/>
              <w:bottom w:val="single" w:sz="4" w:space="0" w:color="auto"/>
              <w:right w:val="single" w:sz="4" w:space="0" w:color="auto"/>
            </w:tcBorders>
            <w:shd w:val="clear" w:color="auto" w:fill="auto"/>
            <w:noWrap/>
            <w:vAlign w:val="center"/>
            <w:hideMark/>
          </w:tcPr>
          <w:p w:rsidR="00E67099" w:rsidRPr="00276DE8" w:rsidRDefault="00E67099" w:rsidP="00E67099">
            <w:pPr>
              <w:spacing w:after="0" w:line="240" w:lineRule="auto"/>
              <w:jc w:val="right"/>
              <w:rPr>
                <w:rFonts w:asciiTheme="majorHAnsi" w:eastAsia="Times New Roman" w:hAnsiTheme="majorHAnsi" w:cstheme="majorHAnsi"/>
                <w:b/>
                <w:color w:val="000000"/>
                <w:sz w:val="20"/>
                <w:szCs w:val="20"/>
              </w:rPr>
            </w:pPr>
            <w:r w:rsidRPr="00276DE8">
              <w:rPr>
                <w:rFonts w:asciiTheme="majorHAnsi" w:eastAsia="Times New Roman" w:hAnsiTheme="majorHAnsi" w:cstheme="majorHAnsi"/>
                <w:b/>
                <w:color w:val="000000"/>
                <w:sz w:val="20"/>
                <w:szCs w:val="20"/>
              </w:rPr>
              <w:t>1665,4</w:t>
            </w:r>
          </w:p>
        </w:tc>
        <w:tc>
          <w:tcPr>
            <w:tcW w:w="1051" w:type="dxa"/>
            <w:tcBorders>
              <w:top w:val="nil"/>
              <w:left w:val="nil"/>
              <w:bottom w:val="single" w:sz="4" w:space="0" w:color="auto"/>
              <w:right w:val="single" w:sz="4" w:space="0" w:color="auto"/>
            </w:tcBorders>
            <w:shd w:val="clear" w:color="auto" w:fill="auto"/>
            <w:noWrap/>
            <w:vAlign w:val="center"/>
            <w:hideMark/>
          </w:tcPr>
          <w:p w:rsidR="00E67099" w:rsidRPr="00276DE8" w:rsidRDefault="00E67099" w:rsidP="00E67099">
            <w:pPr>
              <w:spacing w:after="0" w:line="240" w:lineRule="auto"/>
              <w:jc w:val="right"/>
              <w:rPr>
                <w:rFonts w:asciiTheme="majorHAnsi" w:eastAsia="Times New Roman" w:hAnsiTheme="majorHAnsi" w:cstheme="majorHAnsi"/>
                <w:b/>
                <w:color w:val="000000"/>
                <w:sz w:val="20"/>
                <w:szCs w:val="20"/>
              </w:rPr>
            </w:pPr>
            <w:r w:rsidRPr="00276DE8">
              <w:rPr>
                <w:rFonts w:asciiTheme="majorHAnsi" w:eastAsia="Times New Roman" w:hAnsiTheme="majorHAnsi" w:cstheme="majorHAnsi"/>
                <w:b/>
                <w:color w:val="000000"/>
                <w:sz w:val="20"/>
                <w:szCs w:val="20"/>
              </w:rPr>
              <w:t>1275,0</w:t>
            </w:r>
          </w:p>
        </w:tc>
        <w:tc>
          <w:tcPr>
            <w:tcW w:w="1141" w:type="dxa"/>
            <w:tcBorders>
              <w:top w:val="nil"/>
              <w:left w:val="nil"/>
              <w:bottom w:val="single" w:sz="4" w:space="0" w:color="auto"/>
              <w:right w:val="single" w:sz="4" w:space="0" w:color="auto"/>
            </w:tcBorders>
            <w:shd w:val="clear" w:color="auto" w:fill="auto"/>
            <w:noWrap/>
            <w:vAlign w:val="center"/>
            <w:hideMark/>
          </w:tcPr>
          <w:p w:rsidR="00E67099" w:rsidRPr="00276DE8" w:rsidRDefault="00E67099" w:rsidP="00E67099">
            <w:pPr>
              <w:spacing w:after="0" w:line="240" w:lineRule="auto"/>
              <w:jc w:val="right"/>
              <w:rPr>
                <w:rFonts w:asciiTheme="majorHAnsi" w:eastAsia="Times New Roman" w:hAnsiTheme="majorHAnsi" w:cstheme="majorHAnsi"/>
                <w:b/>
                <w:color w:val="000000"/>
                <w:sz w:val="20"/>
                <w:szCs w:val="20"/>
              </w:rPr>
            </w:pPr>
            <w:r w:rsidRPr="00276DE8">
              <w:rPr>
                <w:rFonts w:asciiTheme="majorHAnsi" w:eastAsia="Times New Roman" w:hAnsiTheme="majorHAnsi" w:cstheme="majorHAnsi"/>
                <w:b/>
                <w:color w:val="000000"/>
                <w:sz w:val="20"/>
                <w:szCs w:val="20"/>
              </w:rPr>
              <w:t>76,6%</w:t>
            </w:r>
          </w:p>
        </w:tc>
      </w:tr>
      <w:tr w:rsidR="00E67099" w:rsidRPr="00E67099" w:rsidTr="00A36731">
        <w:trPr>
          <w:trHeight w:val="826"/>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E67099" w:rsidRPr="00276DE8" w:rsidRDefault="00E67099" w:rsidP="00E67099">
            <w:pPr>
              <w:spacing w:after="0" w:line="240" w:lineRule="auto"/>
              <w:rPr>
                <w:rFonts w:asciiTheme="majorHAnsi" w:eastAsia="Times New Roman" w:hAnsiTheme="majorHAnsi" w:cstheme="majorHAnsi"/>
                <w:b/>
                <w:color w:val="000000"/>
                <w:sz w:val="20"/>
                <w:szCs w:val="20"/>
              </w:rPr>
            </w:pPr>
            <w:r w:rsidRPr="00276DE8">
              <w:rPr>
                <w:rFonts w:asciiTheme="majorHAnsi" w:eastAsia="Times New Roman" w:hAnsiTheme="majorHAnsi" w:cstheme="majorHAnsi"/>
                <w:b/>
                <w:color w:val="000000"/>
                <w:sz w:val="20"/>
                <w:szCs w:val="20"/>
              </w:rPr>
              <w:t>Resurse generale și colectate</w:t>
            </w:r>
          </w:p>
        </w:tc>
        <w:tc>
          <w:tcPr>
            <w:tcW w:w="1042" w:type="dxa"/>
            <w:tcBorders>
              <w:top w:val="nil"/>
              <w:left w:val="nil"/>
              <w:bottom w:val="single" w:sz="4" w:space="0" w:color="auto"/>
              <w:right w:val="single" w:sz="4" w:space="0" w:color="auto"/>
            </w:tcBorders>
            <w:shd w:val="clear" w:color="auto" w:fill="auto"/>
            <w:noWrap/>
            <w:vAlign w:val="center"/>
            <w:hideMark/>
          </w:tcPr>
          <w:p w:rsidR="00E67099" w:rsidRPr="00276DE8" w:rsidRDefault="00E67099" w:rsidP="00E67099">
            <w:pPr>
              <w:spacing w:after="0" w:line="240" w:lineRule="auto"/>
              <w:jc w:val="right"/>
              <w:rPr>
                <w:rFonts w:asciiTheme="majorHAnsi" w:eastAsia="Times New Roman" w:hAnsiTheme="majorHAnsi" w:cstheme="majorHAnsi"/>
                <w:color w:val="000000"/>
                <w:sz w:val="20"/>
                <w:szCs w:val="20"/>
              </w:rPr>
            </w:pPr>
            <w:r w:rsidRPr="00276DE8">
              <w:rPr>
                <w:rFonts w:asciiTheme="majorHAnsi" w:eastAsia="Times New Roman" w:hAnsiTheme="majorHAnsi" w:cstheme="majorHAnsi"/>
                <w:color w:val="000000"/>
                <w:sz w:val="20"/>
                <w:szCs w:val="20"/>
              </w:rPr>
              <w:t>330,8</w:t>
            </w:r>
          </w:p>
        </w:tc>
        <w:tc>
          <w:tcPr>
            <w:tcW w:w="982" w:type="dxa"/>
            <w:tcBorders>
              <w:top w:val="nil"/>
              <w:left w:val="nil"/>
              <w:bottom w:val="single" w:sz="4" w:space="0" w:color="auto"/>
              <w:right w:val="single" w:sz="4" w:space="0" w:color="auto"/>
            </w:tcBorders>
            <w:shd w:val="clear" w:color="auto" w:fill="auto"/>
            <w:noWrap/>
            <w:vAlign w:val="center"/>
            <w:hideMark/>
          </w:tcPr>
          <w:p w:rsidR="00E67099" w:rsidRPr="00276DE8" w:rsidRDefault="00E67099" w:rsidP="00E67099">
            <w:pPr>
              <w:spacing w:after="0" w:line="240" w:lineRule="auto"/>
              <w:jc w:val="right"/>
              <w:rPr>
                <w:rFonts w:asciiTheme="majorHAnsi" w:eastAsia="Times New Roman" w:hAnsiTheme="majorHAnsi" w:cstheme="majorHAnsi"/>
                <w:color w:val="000000"/>
                <w:sz w:val="20"/>
                <w:szCs w:val="20"/>
              </w:rPr>
            </w:pPr>
            <w:r w:rsidRPr="00276DE8">
              <w:rPr>
                <w:rFonts w:asciiTheme="majorHAnsi" w:eastAsia="Times New Roman" w:hAnsiTheme="majorHAnsi" w:cstheme="majorHAnsi"/>
                <w:color w:val="000000"/>
                <w:sz w:val="20"/>
                <w:szCs w:val="20"/>
              </w:rPr>
              <w:t>323,6</w:t>
            </w:r>
          </w:p>
        </w:tc>
        <w:tc>
          <w:tcPr>
            <w:tcW w:w="1051" w:type="dxa"/>
            <w:tcBorders>
              <w:top w:val="nil"/>
              <w:left w:val="nil"/>
              <w:bottom w:val="single" w:sz="4" w:space="0" w:color="auto"/>
              <w:right w:val="single" w:sz="4" w:space="0" w:color="auto"/>
            </w:tcBorders>
            <w:shd w:val="clear" w:color="auto" w:fill="auto"/>
            <w:noWrap/>
            <w:vAlign w:val="center"/>
            <w:hideMark/>
          </w:tcPr>
          <w:p w:rsidR="00E67099" w:rsidRPr="00276DE8" w:rsidRDefault="00E67099" w:rsidP="00E67099">
            <w:pPr>
              <w:spacing w:after="0" w:line="240" w:lineRule="auto"/>
              <w:jc w:val="right"/>
              <w:rPr>
                <w:rFonts w:asciiTheme="majorHAnsi" w:eastAsia="Times New Roman" w:hAnsiTheme="majorHAnsi" w:cstheme="majorHAnsi"/>
                <w:color w:val="000000"/>
                <w:sz w:val="20"/>
                <w:szCs w:val="20"/>
              </w:rPr>
            </w:pPr>
            <w:r w:rsidRPr="00276DE8">
              <w:rPr>
                <w:rFonts w:asciiTheme="majorHAnsi" w:eastAsia="Times New Roman" w:hAnsiTheme="majorHAnsi" w:cstheme="majorHAnsi"/>
                <w:color w:val="000000"/>
                <w:sz w:val="20"/>
                <w:szCs w:val="20"/>
              </w:rPr>
              <w:t>249,1</w:t>
            </w:r>
          </w:p>
        </w:tc>
        <w:tc>
          <w:tcPr>
            <w:tcW w:w="1138" w:type="dxa"/>
            <w:tcBorders>
              <w:top w:val="nil"/>
              <w:left w:val="nil"/>
              <w:bottom w:val="single" w:sz="4" w:space="0" w:color="auto"/>
              <w:right w:val="single" w:sz="4" w:space="0" w:color="auto"/>
            </w:tcBorders>
            <w:shd w:val="clear" w:color="auto" w:fill="auto"/>
            <w:noWrap/>
            <w:vAlign w:val="center"/>
            <w:hideMark/>
          </w:tcPr>
          <w:p w:rsidR="00E67099" w:rsidRPr="00276DE8" w:rsidRDefault="00E67099" w:rsidP="00E67099">
            <w:pPr>
              <w:spacing w:after="0" w:line="240" w:lineRule="auto"/>
              <w:jc w:val="right"/>
              <w:rPr>
                <w:rFonts w:asciiTheme="majorHAnsi" w:eastAsia="Times New Roman" w:hAnsiTheme="majorHAnsi" w:cstheme="majorHAnsi"/>
                <w:color w:val="000000"/>
                <w:sz w:val="20"/>
                <w:szCs w:val="20"/>
              </w:rPr>
            </w:pPr>
            <w:r w:rsidRPr="00276DE8">
              <w:rPr>
                <w:rFonts w:asciiTheme="majorHAnsi" w:eastAsia="Times New Roman" w:hAnsiTheme="majorHAnsi" w:cstheme="majorHAnsi"/>
                <w:color w:val="000000"/>
                <w:sz w:val="20"/>
                <w:szCs w:val="20"/>
              </w:rPr>
              <w:t>77,0%</w:t>
            </w:r>
          </w:p>
        </w:tc>
        <w:tc>
          <w:tcPr>
            <w:tcW w:w="1002" w:type="dxa"/>
            <w:tcBorders>
              <w:top w:val="nil"/>
              <w:left w:val="nil"/>
              <w:bottom w:val="single" w:sz="4" w:space="0" w:color="auto"/>
              <w:right w:val="single" w:sz="4" w:space="0" w:color="auto"/>
            </w:tcBorders>
            <w:shd w:val="clear" w:color="auto" w:fill="auto"/>
            <w:noWrap/>
            <w:vAlign w:val="center"/>
            <w:hideMark/>
          </w:tcPr>
          <w:p w:rsidR="00E67099" w:rsidRPr="00276DE8" w:rsidRDefault="00E67099" w:rsidP="00E67099">
            <w:pPr>
              <w:spacing w:after="0" w:line="240" w:lineRule="auto"/>
              <w:jc w:val="right"/>
              <w:rPr>
                <w:rFonts w:asciiTheme="majorHAnsi" w:eastAsia="Times New Roman" w:hAnsiTheme="majorHAnsi" w:cstheme="majorHAnsi"/>
                <w:color w:val="000000"/>
                <w:sz w:val="20"/>
                <w:szCs w:val="20"/>
              </w:rPr>
            </w:pPr>
            <w:r w:rsidRPr="00276DE8">
              <w:rPr>
                <w:rFonts w:asciiTheme="majorHAnsi" w:eastAsia="Times New Roman" w:hAnsiTheme="majorHAnsi" w:cstheme="majorHAnsi"/>
                <w:color w:val="000000"/>
                <w:sz w:val="20"/>
                <w:szCs w:val="20"/>
              </w:rPr>
              <w:t>499,0</w:t>
            </w:r>
          </w:p>
        </w:tc>
        <w:tc>
          <w:tcPr>
            <w:tcW w:w="982" w:type="dxa"/>
            <w:tcBorders>
              <w:top w:val="nil"/>
              <w:left w:val="nil"/>
              <w:bottom w:val="single" w:sz="4" w:space="0" w:color="auto"/>
              <w:right w:val="single" w:sz="4" w:space="0" w:color="auto"/>
            </w:tcBorders>
            <w:shd w:val="clear" w:color="auto" w:fill="auto"/>
            <w:noWrap/>
            <w:vAlign w:val="center"/>
            <w:hideMark/>
          </w:tcPr>
          <w:p w:rsidR="00E67099" w:rsidRPr="00276DE8" w:rsidRDefault="00E67099" w:rsidP="00E67099">
            <w:pPr>
              <w:spacing w:after="0" w:line="240" w:lineRule="auto"/>
              <w:jc w:val="right"/>
              <w:rPr>
                <w:rFonts w:asciiTheme="majorHAnsi" w:eastAsia="Times New Roman" w:hAnsiTheme="majorHAnsi" w:cstheme="majorHAnsi"/>
                <w:color w:val="000000"/>
                <w:sz w:val="20"/>
                <w:szCs w:val="20"/>
              </w:rPr>
            </w:pPr>
            <w:r w:rsidRPr="00276DE8">
              <w:rPr>
                <w:rFonts w:asciiTheme="majorHAnsi" w:eastAsia="Times New Roman" w:hAnsiTheme="majorHAnsi" w:cstheme="majorHAnsi"/>
                <w:color w:val="000000"/>
                <w:sz w:val="20"/>
                <w:szCs w:val="20"/>
              </w:rPr>
              <w:t>334,1</w:t>
            </w:r>
          </w:p>
        </w:tc>
        <w:tc>
          <w:tcPr>
            <w:tcW w:w="1051" w:type="dxa"/>
            <w:tcBorders>
              <w:top w:val="nil"/>
              <w:left w:val="nil"/>
              <w:bottom w:val="single" w:sz="4" w:space="0" w:color="auto"/>
              <w:right w:val="single" w:sz="4" w:space="0" w:color="auto"/>
            </w:tcBorders>
            <w:shd w:val="clear" w:color="auto" w:fill="auto"/>
            <w:noWrap/>
            <w:vAlign w:val="center"/>
            <w:hideMark/>
          </w:tcPr>
          <w:p w:rsidR="00E67099" w:rsidRPr="00276DE8" w:rsidRDefault="00E67099" w:rsidP="00E67099">
            <w:pPr>
              <w:spacing w:after="0" w:line="240" w:lineRule="auto"/>
              <w:jc w:val="right"/>
              <w:rPr>
                <w:rFonts w:asciiTheme="majorHAnsi" w:eastAsia="Times New Roman" w:hAnsiTheme="majorHAnsi" w:cstheme="majorHAnsi"/>
                <w:color w:val="000000"/>
                <w:sz w:val="20"/>
                <w:szCs w:val="20"/>
              </w:rPr>
            </w:pPr>
            <w:r w:rsidRPr="00276DE8">
              <w:rPr>
                <w:rFonts w:asciiTheme="majorHAnsi" w:eastAsia="Times New Roman" w:hAnsiTheme="majorHAnsi" w:cstheme="majorHAnsi"/>
                <w:color w:val="000000"/>
                <w:sz w:val="20"/>
                <w:szCs w:val="20"/>
              </w:rPr>
              <w:t>245,3</w:t>
            </w:r>
          </w:p>
        </w:tc>
        <w:tc>
          <w:tcPr>
            <w:tcW w:w="1138" w:type="dxa"/>
            <w:tcBorders>
              <w:top w:val="nil"/>
              <w:left w:val="nil"/>
              <w:bottom w:val="single" w:sz="4" w:space="0" w:color="auto"/>
              <w:right w:val="single" w:sz="4" w:space="0" w:color="auto"/>
            </w:tcBorders>
            <w:shd w:val="clear" w:color="auto" w:fill="auto"/>
            <w:noWrap/>
            <w:vAlign w:val="center"/>
            <w:hideMark/>
          </w:tcPr>
          <w:p w:rsidR="00E67099" w:rsidRPr="00276DE8" w:rsidRDefault="00E67099" w:rsidP="00E67099">
            <w:pPr>
              <w:spacing w:after="0" w:line="240" w:lineRule="auto"/>
              <w:jc w:val="right"/>
              <w:rPr>
                <w:rFonts w:asciiTheme="majorHAnsi" w:eastAsia="Times New Roman" w:hAnsiTheme="majorHAnsi" w:cstheme="majorHAnsi"/>
                <w:color w:val="000000"/>
                <w:sz w:val="20"/>
                <w:szCs w:val="20"/>
              </w:rPr>
            </w:pPr>
            <w:r w:rsidRPr="00276DE8">
              <w:rPr>
                <w:rFonts w:asciiTheme="majorHAnsi" w:eastAsia="Times New Roman" w:hAnsiTheme="majorHAnsi" w:cstheme="majorHAnsi"/>
                <w:color w:val="000000"/>
                <w:sz w:val="20"/>
                <w:szCs w:val="20"/>
              </w:rPr>
              <w:t>73,4%</w:t>
            </w:r>
          </w:p>
        </w:tc>
        <w:tc>
          <w:tcPr>
            <w:tcW w:w="1002" w:type="dxa"/>
            <w:tcBorders>
              <w:top w:val="nil"/>
              <w:left w:val="nil"/>
              <w:bottom w:val="single" w:sz="4" w:space="0" w:color="auto"/>
              <w:right w:val="single" w:sz="4" w:space="0" w:color="auto"/>
            </w:tcBorders>
            <w:shd w:val="clear" w:color="auto" w:fill="auto"/>
            <w:noWrap/>
            <w:vAlign w:val="center"/>
            <w:hideMark/>
          </w:tcPr>
          <w:p w:rsidR="00E67099" w:rsidRPr="00276DE8" w:rsidRDefault="00E67099" w:rsidP="00E67099">
            <w:pPr>
              <w:spacing w:after="0" w:line="240" w:lineRule="auto"/>
              <w:jc w:val="right"/>
              <w:rPr>
                <w:rFonts w:asciiTheme="majorHAnsi" w:eastAsia="Times New Roman" w:hAnsiTheme="majorHAnsi" w:cstheme="majorHAnsi"/>
                <w:color w:val="000000"/>
                <w:sz w:val="20"/>
                <w:szCs w:val="20"/>
              </w:rPr>
            </w:pPr>
            <w:r w:rsidRPr="00276DE8">
              <w:rPr>
                <w:rFonts w:asciiTheme="majorHAnsi" w:eastAsia="Times New Roman" w:hAnsiTheme="majorHAnsi" w:cstheme="majorHAnsi"/>
                <w:color w:val="000000"/>
                <w:sz w:val="20"/>
                <w:szCs w:val="20"/>
              </w:rPr>
              <w:t>520,1</w:t>
            </w:r>
          </w:p>
        </w:tc>
        <w:tc>
          <w:tcPr>
            <w:tcW w:w="982" w:type="dxa"/>
            <w:tcBorders>
              <w:top w:val="nil"/>
              <w:left w:val="nil"/>
              <w:bottom w:val="single" w:sz="4" w:space="0" w:color="auto"/>
              <w:right w:val="single" w:sz="4" w:space="0" w:color="auto"/>
            </w:tcBorders>
            <w:shd w:val="clear" w:color="auto" w:fill="auto"/>
            <w:noWrap/>
            <w:vAlign w:val="center"/>
            <w:hideMark/>
          </w:tcPr>
          <w:p w:rsidR="00E67099" w:rsidRPr="00276DE8" w:rsidRDefault="00E67099" w:rsidP="00E67099">
            <w:pPr>
              <w:spacing w:after="0" w:line="240" w:lineRule="auto"/>
              <w:jc w:val="right"/>
              <w:rPr>
                <w:rFonts w:asciiTheme="majorHAnsi" w:eastAsia="Times New Roman" w:hAnsiTheme="majorHAnsi" w:cstheme="majorHAnsi"/>
                <w:color w:val="000000"/>
                <w:sz w:val="20"/>
                <w:szCs w:val="20"/>
              </w:rPr>
            </w:pPr>
            <w:r w:rsidRPr="00276DE8">
              <w:rPr>
                <w:rFonts w:asciiTheme="majorHAnsi" w:eastAsia="Times New Roman" w:hAnsiTheme="majorHAnsi" w:cstheme="majorHAnsi"/>
                <w:color w:val="000000"/>
                <w:sz w:val="20"/>
                <w:szCs w:val="20"/>
              </w:rPr>
              <w:t>314,9</w:t>
            </w:r>
          </w:p>
        </w:tc>
        <w:tc>
          <w:tcPr>
            <w:tcW w:w="1051" w:type="dxa"/>
            <w:tcBorders>
              <w:top w:val="nil"/>
              <w:left w:val="nil"/>
              <w:bottom w:val="single" w:sz="4" w:space="0" w:color="auto"/>
              <w:right w:val="single" w:sz="4" w:space="0" w:color="auto"/>
            </w:tcBorders>
            <w:shd w:val="clear" w:color="auto" w:fill="auto"/>
            <w:noWrap/>
            <w:vAlign w:val="center"/>
            <w:hideMark/>
          </w:tcPr>
          <w:p w:rsidR="00E67099" w:rsidRPr="00276DE8" w:rsidRDefault="00E67099" w:rsidP="00E67099">
            <w:pPr>
              <w:spacing w:after="0" w:line="240" w:lineRule="auto"/>
              <w:jc w:val="right"/>
              <w:rPr>
                <w:rFonts w:asciiTheme="majorHAnsi" w:eastAsia="Times New Roman" w:hAnsiTheme="majorHAnsi" w:cstheme="majorHAnsi"/>
                <w:color w:val="000000"/>
                <w:sz w:val="20"/>
                <w:szCs w:val="20"/>
              </w:rPr>
            </w:pPr>
            <w:r w:rsidRPr="00276DE8">
              <w:rPr>
                <w:rFonts w:asciiTheme="majorHAnsi" w:eastAsia="Times New Roman" w:hAnsiTheme="majorHAnsi" w:cstheme="majorHAnsi"/>
                <w:color w:val="000000"/>
                <w:sz w:val="20"/>
                <w:szCs w:val="20"/>
              </w:rPr>
              <w:t>204,1</w:t>
            </w:r>
          </w:p>
        </w:tc>
        <w:tc>
          <w:tcPr>
            <w:tcW w:w="1141" w:type="dxa"/>
            <w:tcBorders>
              <w:top w:val="nil"/>
              <w:left w:val="nil"/>
              <w:bottom w:val="single" w:sz="4" w:space="0" w:color="auto"/>
              <w:right w:val="single" w:sz="4" w:space="0" w:color="auto"/>
            </w:tcBorders>
            <w:shd w:val="clear" w:color="auto" w:fill="auto"/>
            <w:noWrap/>
            <w:vAlign w:val="center"/>
            <w:hideMark/>
          </w:tcPr>
          <w:p w:rsidR="00E67099" w:rsidRPr="00276DE8" w:rsidRDefault="00E67099" w:rsidP="00E67099">
            <w:pPr>
              <w:spacing w:after="0" w:line="240" w:lineRule="auto"/>
              <w:jc w:val="right"/>
              <w:rPr>
                <w:rFonts w:asciiTheme="majorHAnsi" w:eastAsia="Times New Roman" w:hAnsiTheme="majorHAnsi" w:cstheme="majorHAnsi"/>
                <w:color w:val="000000"/>
                <w:sz w:val="20"/>
                <w:szCs w:val="20"/>
              </w:rPr>
            </w:pPr>
            <w:r w:rsidRPr="00276DE8">
              <w:rPr>
                <w:rFonts w:asciiTheme="majorHAnsi" w:eastAsia="Times New Roman" w:hAnsiTheme="majorHAnsi" w:cstheme="majorHAnsi"/>
                <w:color w:val="000000"/>
                <w:sz w:val="20"/>
                <w:szCs w:val="20"/>
              </w:rPr>
              <w:t>64,8%</w:t>
            </w:r>
          </w:p>
        </w:tc>
      </w:tr>
      <w:tr w:rsidR="00E67099" w:rsidRPr="00E67099" w:rsidTr="00A36731">
        <w:trPr>
          <w:trHeight w:val="215"/>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E67099" w:rsidRPr="00276DE8" w:rsidRDefault="00E67099" w:rsidP="00E67099">
            <w:pPr>
              <w:spacing w:after="0" w:line="240" w:lineRule="auto"/>
              <w:rPr>
                <w:rFonts w:asciiTheme="majorHAnsi" w:eastAsia="Times New Roman" w:hAnsiTheme="majorHAnsi" w:cstheme="majorHAnsi"/>
                <w:b/>
                <w:color w:val="000000"/>
                <w:sz w:val="20"/>
                <w:szCs w:val="20"/>
              </w:rPr>
            </w:pPr>
            <w:r w:rsidRPr="00276DE8">
              <w:rPr>
                <w:rFonts w:asciiTheme="majorHAnsi" w:eastAsia="Times New Roman" w:hAnsiTheme="majorHAnsi" w:cstheme="majorHAnsi"/>
                <w:b/>
                <w:color w:val="000000"/>
                <w:sz w:val="20"/>
                <w:szCs w:val="20"/>
              </w:rPr>
              <w:t>Surse externe</w:t>
            </w:r>
          </w:p>
        </w:tc>
        <w:tc>
          <w:tcPr>
            <w:tcW w:w="1042" w:type="dxa"/>
            <w:tcBorders>
              <w:top w:val="nil"/>
              <w:left w:val="nil"/>
              <w:bottom w:val="single" w:sz="4" w:space="0" w:color="auto"/>
              <w:right w:val="single" w:sz="4" w:space="0" w:color="auto"/>
            </w:tcBorders>
            <w:shd w:val="clear" w:color="auto" w:fill="auto"/>
            <w:noWrap/>
            <w:vAlign w:val="center"/>
            <w:hideMark/>
          </w:tcPr>
          <w:p w:rsidR="00E67099" w:rsidRPr="00276DE8" w:rsidRDefault="00E67099" w:rsidP="00E67099">
            <w:pPr>
              <w:spacing w:after="0" w:line="240" w:lineRule="auto"/>
              <w:jc w:val="right"/>
              <w:rPr>
                <w:rFonts w:asciiTheme="majorHAnsi" w:eastAsia="Times New Roman" w:hAnsiTheme="majorHAnsi" w:cstheme="majorHAnsi"/>
                <w:color w:val="000000"/>
                <w:sz w:val="20"/>
                <w:szCs w:val="20"/>
              </w:rPr>
            </w:pPr>
            <w:r w:rsidRPr="00276DE8">
              <w:rPr>
                <w:rFonts w:asciiTheme="majorHAnsi" w:eastAsia="Times New Roman" w:hAnsiTheme="majorHAnsi" w:cstheme="majorHAnsi"/>
                <w:color w:val="000000"/>
                <w:sz w:val="20"/>
                <w:szCs w:val="20"/>
              </w:rPr>
              <w:t>1472,0</w:t>
            </w:r>
          </w:p>
        </w:tc>
        <w:tc>
          <w:tcPr>
            <w:tcW w:w="982" w:type="dxa"/>
            <w:tcBorders>
              <w:top w:val="nil"/>
              <w:left w:val="nil"/>
              <w:bottom w:val="single" w:sz="4" w:space="0" w:color="auto"/>
              <w:right w:val="single" w:sz="4" w:space="0" w:color="auto"/>
            </w:tcBorders>
            <w:shd w:val="clear" w:color="auto" w:fill="auto"/>
            <w:noWrap/>
            <w:vAlign w:val="center"/>
            <w:hideMark/>
          </w:tcPr>
          <w:p w:rsidR="00E67099" w:rsidRPr="00276DE8" w:rsidRDefault="00E67099" w:rsidP="00E67099">
            <w:pPr>
              <w:spacing w:after="0" w:line="240" w:lineRule="auto"/>
              <w:jc w:val="right"/>
              <w:rPr>
                <w:rFonts w:asciiTheme="majorHAnsi" w:eastAsia="Times New Roman" w:hAnsiTheme="majorHAnsi" w:cstheme="majorHAnsi"/>
                <w:color w:val="000000"/>
                <w:sz w:val="20"/>
                <w:szCs w:val="20"/>
              </w:rPr>
            </w:pPr>
            <w:r w:rsidRPr="00276DE8">
              <w:rPr>
                <w:rFonts w:asciiTheme="majorHAnsi" w:eastAsia="Times New Roman" w:hAnsiTheme="majorHAnsi" w:cstheme="majorHAnsi"/>
                <w:color w:val="000000"/>
                <w:sz w:val="20"/>
                <w:szCs w:val="20"/>
              </w:rPr>
              <w:t>1040,6</w:t>
            </w:r>
          </w:p>
        </w:tc>
        <w:tc>
          <w:tcPr>
            <w:tcW w:w="1051" w:type="dxa"/>
            <w:tcBorders>
              <w:top w:val="nil"/>
              <w:left w:val="nil"/>
              <w:bottom w:val="single" w:sz="4" w:space="0" w:color="auto"/>
              <w:right w:val="single" w:sz="4" w:space="0" w:color="auto"/>
            </w:tcBorders>
            <w:shd w:val="clear" w:color="auto" w:fill="auto"/>
            <w:noWrap/>
            <w:vAlign w:val="center"/>
            <w:hideMark/>
          </w:tcPr>
          <w:p w:rsidR="00E67099" w:rsidRPr="00276DE8" w:rsidRDefault="00E67099" w:rsidP="00E67099">
            <w:pPr>
              <w:spacing w:after="0" w:line="240" w:lineRule="auto"/>
              <w:jc w:val="right"/>
              <w:rPr>
                <w:rFonts w:asciiTheme="majorHAnsi" w:eastAsia="Times New Roman" w:hAnsiTheme="majorHAnsi" w:cstheme="majorHAnsi"/>
                <w:color w:val="000000"/>
                <w:sz w:val="20"/>
                <w:szCs w:val="20"/>
              </w:rPr>
            </w:pPr>
            <w:r w:rsidRPr="00276DE8">
              <w:rPr>
                <w:rFonts w:asciiTheme="majorHAnsi" w:eastAsia="Times New Roman" w:hAnsiTheme="majorHAnsi" w:cstheme="majorHAnsi"/>
                <w:color w:val="000000"/>
                <w:sz w:val="20"/>
                <w:szCs w:val="20"/>
              </w:rPr>
              <w:t>575,3</w:t>
            </w:r>
          </w:p>
        </w:tc>
        <w:tc>
          <w:tcPr>
            <w:tcW w:w="1138" w:type="dxa"/>
            <w:tcBorders>
              <w:top w:val="nil"/>
              <w:left w:val="nil"/>
              <w:bottom w:val="single" w:sz="4" w:space="0" w:color="auto"/>
              <w:right w:val="single" w:sz="4" w:space="0" w:color="auto"/>
            </w:tcBorders>
            <w:shd w:val="clear" w:color="auto" w:fill="auto"/>
            <w:noWrap/>
            <w:vAlign w:val="center"/>
            <w:hideMark/>
          </w:tcPr>
          <w:p w:rsidR="00E67099" w:rsidRPr="00276DE8" w:rsidRDefault="00E67099" w:rsidP="00E67099">
            <w:pPr>
              <w:spacing w:after="0" w:line="240" w:lineRule="auto"/>
              <w:jc w:val="right"/>
              <w:rPr>
                <w:rFonts w:asciiTheme="majorHAnsi" w:eastAsia="Times New Roman" w:hAnsiTheme="majorHAnsi" w:cstheme="majorHAnsi"/>
                <w:color w:val="000000"/>
                <w:sz w:val="20"/>
                <w:szCs w:val="20"/>
              </w:rPr>
            </w:pPr>
            <w:r w:rsidRPr="00276DE8">
              <w:rPr>
                <w:rFonts w:asciiTheme="majorHAnsi" w:eastAsia="Times New Roman" w:hAnsiTheme="majorHAnsi" w:cstheme="majorHAnsi"/>
                <w:color w:val="000000"/>
                <w:sz w:val="20"/>
                <w:szCs w:val="20"/>
              </w:rPr>
              <w:t>55,3%</w:t>
            </w:r>
          </w:p>
        </w:tc>
        <w:tc>
          <w:tcPr>
            <w:tcW w:w="1002" w:type="dxa"/>
            <w:tcBorders>
              <w:top w:val="nil"/>
              <w:left w:val="nil"/>
              <w:bottom w:val="single" w:sz="4" w:space="0" w:color="auto"/>
              <w:right w:val="single" w:sz="4" w:space="0" w:color="auto"/>
            </w:tcBorders>
            <w:shd w:val="clear" w:color="auto" w:fill="auto"/>
            <w:noWrap/>
            <w:vAlign w:val="center"/>
            <w:hideMark/>
          </w:tcPr>
          <w:p w:rsidR="00E67099" w:rsidRPr="00276DE8" w:rsidRDefault="00E67099" w:rsidP="00E67099">
            <w:pPr>
              <w:spacing w:after="0" w:line="240" w:lineRule="auto"/>
              <w:jc w:val="right"/>
              <w:rPr>
                <w:rFonts w:asciiTheme="majorHAnsi" w:eastAsia="Times New Roman" w:hAnsiTheme="majorHAnsi" w:cstheme="majorHAnsi"/>
                <w:color w:val="000000"/>
                <w:sz w:val="20"/>
                <w:szCs w:val="20"/>
              </w:rPr>
            </w:pPr>
            <w:r w:rsidRPr="00276DE8">
              <w:rPr>
                <w:rFonts w:asciiTheme="majorHAnsi" w:eastAsia="Times New Roman" w:hAnsiTheme="majorHAnsi" w:cstheme="majorHAnsi"/>
                <w:color w:val="000000"/>
                <w:sz w:val="20"/>
                <w:szCs w:val="20"/>
              </w:rPr>
              <w:t>2837,7</w:t>
            </w:r>
          </w:p>
        </w:tc>
        <w:tc>
          <w:tcPr>
            <w:tcW w:w="982" w:type="dxa"/>
            <w:tcBorders>
              <w:top w:val="nil"/>
              <w:left w:val="nil"/>
              <w:bottom w:val="single" w:sz="4" w:space="0" w:color="auto"/>
              <w:right w:val="single" w:sz="4" w:space="0" w:color="auto"/>
            </w:tcBorders>
            <w:shd w:val="clear" w:color="auto" w:fill="auto"/>
            <w:noWrap/>
            <w:vAlign w:val="center"/>
            <w:hideMark/>
          </w:tcPr>
          <w:p w:rsidR="00E67099" w:rsidRPr="00276DE8" w:rsidRDefault="00E67099" w:rsidP="00E67099">
            <w:pPr>
              <w:spacing w:after="0" w:line="240" w:lineRule="auto"/>
              <w:jc w:val="right"/>
              <w:rPr>
                <w:rFonts w:asciiTheme="majorHAnsi" w:eastAsia="Times New Roman" w:hAnsiTheme="majorHAnsi" w:cstheme="majorHAnsi"/>
                <w:color w:val="000000"/>
                <w:sz w:val="20"/>
                <w:szCs w:val="20"/>
              </w:rPr>
            </w:pPr>
            <w:r w:rsidRPr="00276DE8">
              <w:rPr>
                <w:rFonts w:asciiTheme="majorHAnsi" w:eastAsia="Times New Roman" w:hAnsiTheme="majorHAnsi" w:cstheme="majorHAnsi"/>
                <w:color w:val="000000"/>
                <w:sz w:val="20"/>
                <w:szCs w:val="20"/>
              </w:rPr>
              <w:t>1572,4</w:t>
            </w:r>
          </w:p>
        </w:tc>
        <w:tc>
          <w:tcPr>
            <w:tcW w:w="1051" w:type="dxa"/>
            <w:tcBorders>
              <w:top w:val="nil"/>
              <w:left w:val="nil"/>
              <w:bottom w:val="single" w:sz="4" w:space="0" w:color="auto"/>
              <w:right w:val="single" w:sz="4" w:space="0" w:color="auto"/>
            </w:tcBorders>
            <w:shd w:val="clear" w:color="auto" w:fill="auto"/>
            <w:noWrap/>
            <w:vAlign w:val="center"/>
            <w:hideMark/>
          </w:tcPr>
          <w:p w:rsidR="00E67099" w:rsidRPr="00276DE8" w:rsidRDefault="00E67099" w:rsidP="00E67099">
            <w:pPr>
              <w:spacing w:after="0" w:line="240" w:lineRule="auto"/>
              <w:jc w:val="right"/>
              <w:rPr>
                <w:rFonts w:asciiTheme="majorHAnsi" w:eastAsia="Times New Roman" w:hAnsiTheme="majorHAnsi" w:cstheme="majorHAnsi"/>
                <w:color w:val="000000"/>
                <w:sz w:val="20"/>
                <w:szCs w:val="20"/>
              </w:rPr>
            </w:pPr>
            <w:r w:rsidRPr="00276DE8">
              <w:rPr>
                <w:rFonts w:asciiTheme="majorHAnsi" w:eastAsia="Times New Roman" w:hAnsiTheme="majorHAnsi" w:cstheme="majorHAnsi"/>
                <w:color w:val="000000"/>
                <w:sz w:val="20"/>
                <w:szCs w:val="20"/>
              </w:rPr>
              <w:t>604,3</w:t>
            </w:r>
          </w:p>
        </w:tc>
        <w:tc>
          <w:tcPr>
            <w:tcW w:w="1138" w:type="dxa"/>
            <w:tcBorders>
              <w:top w:val="nil"/>
              <w:left w:val="nil"/>
              <w:bottom w:val="single" w:sz="4" w:space="0" w:color="auto"/>
              <w:right w:val="single" w:sz="4" w:space="0" w:color="auto"/>
            </w:tcBorders>
            <w:shd w:val="clear" w:color="auto" w:fill="auto"/>
            <w:noWrap/>
            <w:vAlign w:val="center"/>
            <w:hideMark/>
          </w:tcPr>
          <w:p w:rsidR="00E67099" w:rsidRPr="00276DE8" w:rsidRDefault="00E67099" w:rsidP="00E67099">
            <w:pPr>
              <w:spacing w:after="0" w:line="240" w:lineRule="auto"/>
              <w:jc w:val="right"/>
              <w:rPr>
                <w:rFonts w:asciiTheme="majorHAnsi" w:eastAsia="Times New Roman" w:hAnsiTheme="majorHAnsi" w:cstheme="majorHAnsi"/>
                <w:color w:val="000000"/>
                <w:sz w:val="20"/>
                <w:szCs w:val="20"/>
              </w:rPr>
            </w:pPr>
            <w:r w:rsidRPr="00276DE8">
              <w:rPr>
                <w:rFonts w:asciiTheme="majorHAnsi" w:eastAsia="Times New Roman" w:hAnsiTheme="majorHAnsi" w:cstheme="majorHAnsi"/>
                <w:color w:val="000000"/>
                <w:sz w:val="20"/>
                <w:szCs w:val="20"/>
              </w:rPr>
              <w:t>38,4%</w:t>
            </w:r>
          </w:p>
        </w:tc>
        <w:tc>
          <w:tcPr>
            <w:tcW w:w="1002" w:type="dxa"/>
            <w:tcBorders>
              <w:top w:val="nil"/>
              <w:left w:val="nil"/>
              <w:bottom w:val="single" w:sz="4" w:space="0" w:color="auto"/>
              <w:right w:val="single" w:sz="4" w:space="0" w:color="auto"/>
            </w:tcBorders>
            <w:shd w:val="clear" w:color="auto" w:fill="auto"/>
            <w:noWrap/>
            <w:vAlign w:val="center"/>
            <w:hideMark/>
          </w:tcPr>
          <w:p w:rsidR="00E67099" w:rsidRPr="00276DE8" w:rsidRDefault="00E67099" w:rsidP="00E67099">
            <w:pPr>
              <w:spacing w:after="0" w:line="240" w:lineRule="auto"/>
              <w:jc w:val="right"/>
              <w:rPr>
                <w:rFonts w:asciiTheme="majorHAnsi" w:eastAsia="Times New Roman" w:hAnsiTheme="majorHAnsi" w:cstheme="majorHAnsi"/>
                <w:color w:val="000000"/>
                <w:sz w:val="20"/>
                <w:szCs w:val="20"/>
              </w:rPr>
            </w:pPr>
            <w:r w:rsidRPr="00276DE8">
              <w:rPr>
                <w:rFonts w:asciiTheme="majorHAnsi" w:eastAsia="Times New Roman" w:hAnsiTheme="majorHAnsi" w:cstheme="majorHAnsi"/>
                <w:color w:val="000000"/>
                <w:sz w:val="20"/>
                <w:szCs w:val="20"/>
              </w:rPr>
              <w:t>1854,1</w:t>
            </w:r>
          </w:p>
        </w:tc>
        <w:tc>
          <w:tcPr>
            <w:tcW w:w="982" w:type="dxa"/>
            <w:tcBorders>
              <w:top w:val="nil"/>
              <w:left w:val="nil"/>
              <w:bottom w:val="single" w:sz="4" w:space="0" w:color="auto"/>
              <w:right w:val="single" w:sz="4" w:space="0" w:color="auto"/>
            </w:tcBorders>
            <w:shd w:val="clear" w:color="auto" w:fill="auto"/>
            <w:noWrap/>
            <w:vAlign w:val="center"/>
            <w:hideMark/>
          </w:tcPr>
          <w:p w:rsidR="00E67099" w:rsidRPr="00276DE8" w:rsidRDefault="00E67099" w:rsidP="00E67099">
            <w:pPr>
              <w:spacing w:after="0" w:line="240" w:lineRule="auto"/>
              <w:jc w:val="right"/>
              <w:rPr>
                <w:rFonts w:asciiTheme="majorHAnsi" w:eastAsia="Times New Roman" w:hAnsiTheme="majorHAnsi" w:cstheme="majorHAnsi"/>
                <w:color w:val="000000"/>
                <w:sz w:val="20"/>
                <w:szCs w:val="20"/>
              </w:rPr>
            </w:pPr>
            <w:r w:rsidRPr="00276DE8">
              <w:rPr>
                <w:rFonts w:asciiTheme="majorHAnsi" w:eastAsia="Times New Roman" w:hAnsiTheme="majorHAnsi" w:cstheme="majorHAnsi"/>
                <w:color w:val="000000"/>
                <w:sz w:val="20"/>
                <w:szCs w:val="20"/>
              </w:rPr>
              <w:t>1350,5</w:t>
            </w:r>
          </w:p>
        </w:tc>
        <w:tc>
          <w:tcPr>
            <w:tcW w:w="1051" w:type="dxa"/>
            <w:tcBorders>
              <w:top w:val="nil"/>
              <w:left w:val="nil"/>
              <w:bottom w:val="single" w:sz="4" w:space="0" w:color="auto"/>
              <w:right w:val="single" w:sz="4" w:space="0" w:color="auto"/>
            </w:tcBorders>
            <w:shd w:val="clear" w:color="auto" w:fill="auto"/>
            <w:noWrap/>
            <w:vAlign w:val="center"/>
            <w:hideMark/>
          </w:tcPr>
          <w:p w:rsidR="00E67099" w:rsidRPr="00276DE8" w:rsidRDefault="00E67099" w:rsidP="00E67099">
            <w:pPr>
              <w:spacing w:after="0" w:line="240" w:lineRule="auto"/>
              <w:jc w:val="right"/>
              <w:rPr>
                <w:rFonts w:asciiTheme="majorHAnsi" w:eastAsia="Times New Roman" w:hAnsiTheme="majorHAnsi" w:cstheme="majorHAnsi"/>
                <w:color w:val="000000"/>
                <w:sz w:val="20"/>
                <w:szCs w:val="20"/>
              </w:rPr>
            </w:pPr>
            <w:r w:rsidRPr="00276DE8">
              <w:rPr>
                <w:rFonts w:asciiTheme="majorHAnsi" w:eastAsia="Times New Roman" w:hAnsiTheme="majorHAnsi" w:cstheme="majorHAnsi"/>
                <w:color w:val="000000"/>
                <w:sz w:val="20"/>
                <w:szCs w:val="20"/>
              </w:rPr>
              <w:t>1070,9</w:t>
            </w:r>
          </w:p>
        </w:tc>
        <w:tc>
          <w:tcPr>
            <w:tcW w:w="1141" w:type="dxa"/>
            <w:tcBorders>
              <w:top w:val="nil"/>
              <w:left w:val="nil"/>
              <w:bottom w:val="single" w:sz="4" w:space="0" w:color="auto"/>
              <w:right w:val="single" w:sz="4" w:space="0" w:color="auto"/>
            </w:tcBorders>
            <w:shd w:val="clear" w:color="auto" w:fill="auto"/>
            <w:noWrap/>
            <w:vAlign w:val="center"/>
            <w:hideMark/>
          </w:tcPr>
          <w:p w:rsidR="00E67099" w:rsidRPr="00276DE8" w:rsidRDefault="00E67099" w:rsidP="00E67099">
            <w:pPr>
              <w:spacing w:after="0" w:line="240" w:lineRule="auto"/>
              <w:jc w:val="right"/>
              <w:rPr>
                <w:rFonts w:asciiTheme="majorHAnsi" w:eastAsia="Times New Roman" w:hAnsiTheme="majorHAnsi" w:cstheme="majorHAnsi"/>
                <w:color w:val="000000"/>
                <w:sz w:val="20"/>
                <w:szCs w:val="20"/>
              </w:rPr>
            </w:pPr>
            <w:r w:rsidRPr="00276DE8">
              <w:rPr>
                <w:rFonts w:asciiTheme="majorHAnsi" w:eastAsia="Times New Roman" w:hAnsiTheme="majorHAnsi" w:cstheme="majorHAnsi"/>
                <w:color w:val="000000"/>
                <w:sz w:val="20"/>
                <w:szCs w:val="20"/>
              </w:rPr>
              <w:t>79,3%</w:t>
            </w:r>
          </w:p>
        </w:tc>
      </w:tr>
    </w:tbl>
    <w:p w:rsidR="00E67099" w:rsidRPr="00C47988" w:rsidRDefault="00E67099" w:rsidP="00C47988">
      <w:pPr>
        <w:spacing w:after="0" w:line="276" w:lineRule="auto"/>
        <w:ind w:left="-567" w:right="49"/>
        <w:jc w:val="both"/>
        <w:rPr>
          <w:rFonts w:asciiTheme="majorHAnsi" w:hAnsiTheme="majorHAnsi" w:cstheme="majorHAnsi"/>
          <w:i/>
          <w:sz w:val="20"/>
          <w:szCs w:val="20"/>
        </w:rPr>
      </w:pPr>
      <w:r w:rsidRPr="00C47988">
        <w:rPr>
          <w:rFonts w:asciiTheme="majorHAnsi" w:hAnsiTheme="majorHAnsi" w:cstheme="majorHAnsi"/>
          <w:b/>
          <w:i/>
          <w:sz w:val="20"/>
          <w:szCs w:val="20"/>
        </w:rPr>
        <w:t>Sursă</w:t>
      </w:r>
      <w:r w:rsidRPr="00C47988">
        <w:rPr>
          <w:rFonts w:asciiTheme="majorHAnsi" w:hAnsiTheme="majorHAnsi" w:cstheme="majorHAnsi"/>
          <w:i/>
          <w:sz w:val="20"/>
          <w:szCs w:val="20"/>
        </w:rPr>
        <w:t>: Date generalizate de echipa de audit în baza Rapoartelor Ministerului Finanțelor privind executarea investițiilor capitale de la bugetul de stat pe anii 2017, 2018, 2019.</w:t>
      </w:r>
    </w:p>
    <w:p w:rsidR="00E67099" w:rsidRPr="00E67099" w:rsidRDefault="00E67099" w:rsidP="00E67099">
      <w:pPr>
        <w:shd w:val="clear" w:color="auto" w:fill="FFFFFF" w:themeFill="background1"/>
        <w:tabs>
          <w:tab w:val="left" w:pos="284"/>
          <w:tab w:val="left" w:pos="567"/>
          <w:tab w:val="left" w:pos="6237"/>
          <w:tab w:val="left" w:pos="6379"/>
        </w:tabs>
        <w:spacing w:after="0" w:line="276" w:lineRule="auto"/>
        <w:contextualSpacing/>
        <w:jc w:val="center"/>
        <w:rPr>
          <w:rFonts w:asciiTheme="majorHAnsi" w:eastAsia="Times New Roman" w:hAnsiTheme="majorHAnsi" w:cstheme="majorHAnsi"/>
          <w:b/>
          <w:sz w:val="24"/>
          <w:szCs w:val="24"/>
        </w:rPr>
      </w:pPr>
    </w:p>
    <w:p w:rsidR="00E67099" w:rsidRPr="00E67099" w:rsidRDefault="00E67099" w:rsidP="00E67099">
      <w:pPr>
        <w:shd w:val="clear" w:color="auto" w:fill="FFFFFF" w:themeFill="background1"/>
        <w:tabs>
          <w:tab w:val="left" w:pos="284"/>
          <w:tab w:val="left" w:pos="567"/>
          <w:tab w:val="left" w:pos="6237"/>
          <w:tab w:val="left" w:pos="6379"/>
        </w:tabs>
        <w:spacing w:after="0" w:line="276" w:lineRule="auto"/>
        <w:contextualSpacing/>
        <w:jc w:val="right"/>
        <w:rPr>
          <w:rFonts w:asciiTheme="majorHAnsi" w:eastAsia="Times New Roman" w:hAnsiTheme="majorHAnsi" w:cstheme="majorHAnsi"/>
          <w:b/>
          <w:i/>
          <w:sz w:val="24"/>
          <w:szCs w:val="24"/>
        </w:rPr>
      </w:pPr>
      <w:r w:rsidRPr="00E67099">
        <w:rPr>
          <w:rFonts w:asciiTheme="majorHAnsi" w:eastAsia="Times New Roman" w:hAnsiTheme="majorHAnsi" w:cstheme="majorHAnsi"/>
          <w:b/>
          <w:i/>
          <w:sz w:val="24"/>
          <w:szCs w:val="24"/>
        </w:rPr>
        <w:t>Anexa nr.19</w:t>
      </w:r>
    </w:p>
    <w:tbl>
      <w:tblPr>
        <w:tblW w:w="15139" w:type="dxa"/>
        <w:tblInd w:w="-851" w:type="dxa"/>
        <w:tblLayout w:type="fixed"/>
        <w:tblLook w:val="04A0" w:firstRow="1" w:lastRow="0" w:firstColumn="1" w:lastColumn="0" w:noHBand="0" w:noVBand="1"/>
      </w:tblPr>
      <w:tblGrid>
        <w:gridCol w:w="408"/>
        <w:gridCol w:w="2003"/>
        <w:gridCol w:w="757"/>
        <w:gridCol w:w="802"/>
        <w:gridCol w:w="709"/>
        <w:gridCol w:w="850"/>
        <w:gridCol w:w="850"/>
        <w:gridCol w:w="858"/>
        <w:gridCol w:w="844"/>
        <w:gridCol w:w="11"/>
        <w:gridCol w:w="839"/>
        <w:gridCol w:w="11"/>
        <w:gridCol w:w="982"/>
        <w:gridCol w:w="11"/>
        <w:gridCol w:w="839"/>
        <w:gridCol w:w="11"/>
        <w:gridCol w:w="828"/>
        <w:gridCol w:w="11"/>
        <w:gridCol w:w="986"/>
        <w:gridCol w:w="11"/>
        <w:gridCol w:w="183"/>
        <w:gridCol w:w="515"/>
        <w:gridCol w:w="11"/>
        <w:gridCol w:w="847"/>
        <w:gridCol w:w="11"/>
        <w:gridCol w:w="698"/>
        <w:gridCol w:w="11"/>
        <w:gridCol w:w="242"/>
      </w:tblGrid>
      <w:tr w:rsidR="00E67099" w:rsidRPr="00E67099" w:rsidTr="00A36731">
        <w:trPr>
          <w:trHeight w:val="210"/>
        </w:trPr>
        <w:tc>
          <w:tcPr>
            <w:tcW w:w="15139" w:type="dxa"/>
            <w:gridSpan w:val="28"/>
            <w:tcBorders>
              <w:top w:val="nil"/>
              <w:left w:val="nil"/>
              <w:bottom w:val="single" w:sz="2" w:space="0" w:color="FFFFFF" w:themeColor="background1"/>
              <w:right w:val="nil"/>
            </w:tcBorders>
            <w:noWrap/>
            <w:vAlign w:val="bottom"/>
            <w:hideMark/>
          </w:tcPr>
          <w:p w:rsidR="00E67099" w:rsidRPr="00E67099" w:rsidRDefault="00E67099" w:rsidP="00E67099">
            <w:pPr>
              <w:spacing w:after="0" w:line="240" w:lineRule="auto"/>
              <w:jc w:val="center"/>
              <w:rPr>
                <w:rFonts w:asciiTheme="majorHAnsi" w:eastAsia="Times New Roman" w:hAnsiTheme="majorHAnsi" w:cstheme="majorHAnsi"/>
                <w:b/>
                <w:bCs/>
                <w:color w:val="000000"/>
                <w:sz w:val="24"/>
                <w:szCs w:val="24"/>
                <w:lang w:eastAsia="ru-RU"/>
              </w:rPr>
            </w:pPr>
            <w:r w:rsidRPr="00E67099">
              <w:rPr>
                <w:rFonts w:asciiTheme="majorHAnsi" w:eastAsia="Times New Roman" w:hAnsiTheme="majorHAnsi" w:cstheme="majorHAnsi"/>
                <w:b/>
                <w:bCs/>
                <w:color w:val="000000"/>
                <w:sz w:val="24"/>
                <w:szCs w:val="24"/>
                <w:lang w:eastAsia="ru-RU"/>
              </w:rPr>
              <w:t>Analiza executării cumulative a alocațiilor destinate investițiilor capitale față de  costurile estimate inițiale ale proiectelor, mii lei</w:t>
            </w:r>
          </w:p>
        </w:tc>
      </w:tr>
      <w:tr w:rsidR="00E67099" w:rsidRPr="00E67099" w:rsidTr="00A36731">
        <w:trPr>
          <w:trHeight w:val="210"/>
        </w:trPr>
        <w:tc>
          <w:tcPr>
            <w:tcW w:w="12804" w:type="dxa"/>
            <w:gridSpan w:val="21"/>
            <w:tcBorders>
              <w:top w:val="single" w:sz="2" w:space="0" w:color="FFFFFF" w:themeColor="background1"/>
              <w:left w:val="nil"/>
              <w:bottom w:val="single" w:sz="4" w:space="0" w:color="auto"/>
              <w:right w:val="nil"/>
            </w:tcBorders>
            <w:noWrap/>
            <w:vAlign w:val="bottom"/>
            <w:hideMark/>
          </w:tcPr>
          <w:p w:rsidR="00E67099" w:rsidRPr="00E67099" w:rsidRDefault="00E67099" w:rsidP="00E67099">
            <w:pPr>
              <w:rPr>
                <w:rFonts w:ascii="Calibri" w:eastAsia="Times New Roman" w:hAnsi="Calibri" w:cs="Calibri"/>
                <w:b/>
                <w:bCs/>
                <w:color w:val="000000"/>
                <w:lang w:eastAsia="ru-RU"/>
              </w:rPr>
            </w:pPr>
          </w:p>
        </w:tc>
        <w:tc>
          <w:tcPr>
            <w:tcW w:w="2335" w:type="dxa"/>
            <w:gridSpan w:val="7"/>
            <w:tcBorders>
              <w:top w:val="single" w:sz="2" w:space="0" w:color="FFFFFF" w:themeColor="background1"/>
              <w:left w:val="nil"/>
              <w:bottom w:val="single" w:sz="4" w:space="0" w:color="auto"/>
              <w:right w:val="nil"/>
            </w:tcBorders>
            <w:noWrap/>
            <w:vAlign w:val="bottom"/>
            <w:hideMark/>
          </w:tcPr>
          <w:p w:rsidR="00E67099" w:rsidRPr="00E67099" w:rsidRDefault="00E67099" w:rsidP="00E67099">
            <w:pPr>
              <w:spacing w:after="0"/>
              <w:rPr>
                <w:sz w:val="20"/>
                <w:szCs w:val="20"/>
                <w:lang w:val="en-US"/>
              </w:rPr>
            </w:pPr>
          </w:p>
        </w:tc>
      </w:tr>
      <w:tr w:rsidR="00E67099" w:rsidRPr="00E67099" w:rsidTr="00A36731">
        <w:trPr>
          <w:gridAfter w:val="2"/>
          <w:wAfter w:w="253" w:type="dxa"/>
          <w:trHeight w:val="2197"/>
        </w:trPr>
        <w:tc>
          <w:tcPr>
            <w:tcW w:w="408" w:type="dxa"/>
            <w:vMerge w:val="restart"/>
            <w:tcBorders>
              <w:top w:val="nil"/>
              <w:left w:val="single" w:sz="4" w:space="0" w:color="auto"/>
              <w:bottom w:val="single" w:sz="4" w:space="0" w:color="auto"/>
              <w:right w:val="single" w:sz="4" w:space="0" w:color="auto"/>
            </w:tcBorders>
            <w:vAlign w:val="center"/>
            <w:hideMark/>
          </w:tcPr>
          <w:p w:rsidR="00E67099" w:rsidRPr="00E67099" w:rsidRDefault="00E67099" w:rsidP="00E67099">
            <w:pPr>
              <w:spacing w:after="0" w:line="240" w:lineRule="auto"/>
              <w:jc w:val="center"/>
              <w:rPr>
                <w:rFonts w:ascii="Calibri" w:eastAsia="Times New Roman" w:hAnsi="Calibri" w:cs="Calibri"/>
                <w:b/>
                <w:bCs/>
                <w:color w:val="000000"/>
                <w:sz w:val="16"/>
                <w:szCs w:val="16"/>
                <w:lang w:val="ro-MD" w:eastAsia="ru-RU"/>
              </w:rPr>
            </w:pPr>
            <w:r w:rsidRPr="00E67099">
              <w:rPr>
                <w:rFonts w:ascii="Calibri" w:eastAsia="Times New Roman" w:hAnsi="Calibri" w:cs="Calibri"/>
                <w:b/>
                <w:bCs/>
                <w:color w:val="000000"/>
                <w:sz w:val="16"/>
                <w:szCs w:val="16"/>
                <w:lang w:eastAsia="ru-RU"/>
              </w:rPr>
              <w:t>Nr. d/</w:t>
            </w:r>
          </w:p>
          <w:p w:rsidR="00E67099" w:rsidRPr="00E67099" w:rsidRDefault="00E67099" w:rsidP="00E67099">
            <w:pPr>
              <w:spacing w:after="0" w:line="240" w:lineRule="auto"/>
              <w:jc w:val="center"/>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o</w:t>
            </w:r>
          </w:p>
        </w:tc>
        <w:tc>
          <w:tcPr>
            <w:tcW w:w="2003" w:type="dxa"/>
            <w:vMerge w:val="restart"/>
            <w:tcBorders>
              <w:top w:val="nil"/>
              <w:left w:val="single" w:sz="4" w:space="0" w:color="auto"/>
              <w:bottom w:val="single" w:sz="4" w:space="0" w:color="auto"/>
              <w:right w:val="single" w:sz="4" w:space="0" w:color="auto"/>
            </w:tcBorders>
            <w:vAlign w:val="center"/>
            <w:hideMark/>
          </w:tcPr>
          <w:p w:rsidR="00E67099" w:rsidRPr="00E67099" w:rsidRDefault="00E67099" w:rsidP="00E67099">
            <w:pPr>
              <w:spacing w:after="0" w:line="240" w:lineRule="auto"/>
              <w:jc w:val="center"/>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Denumirea proiectului</w:t>
            </w:r>
          </w:p>
        </w:tc>
        <w:tc>
          <w:tcPr>
            <w:tcW w:w="757" w:type="dxa"/>
            <w:vMerge w:val="restart"/>
            <w:tcBorders>
              <w:top w:val="nil"/>
              <w:left w:val="single" w:sz="4" w:space="0" w:color="auto"/>
              <w:bottom w:val="single" w:sz="4" w:space="0" w:color="auto"/>
              <w:right w:val="single" w:sz="4" w:space="0" w:color="auto"/>
            </w:tcBorders>
            <w:vAlign w:val="center"/>
            <w:hideMark/>
          </w:tcPr>
          <w:p w:rsidR="00E67099" w:rsidRPr="00E67099" w:rsidRDefault="00E67099" w:rsidP="00E67099">
            <w:pPr>
              <w:spacing w:after="0" w:line="240" w:lineRule="auto"/>
              <w:jc w:val="center"/>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Anul lansării</w:t>
            </w:r>
          </w:p>
        </w:tc>
        <w:tc>
          <w:tcPr>
            <w:tcW w:w="5763" w:type="dxa"/>
            <w:gridSpan w:val="8"/>
            <w:tcBorders>
              <w:top w:val="single" w:sz="4" w:space="0" w:color="auto"/>
              <w:left w:val="single" w:sz="4" w:space="0" w:color="auto"/>
              <w:bottom w:val="single" w:sz="4" w:space="0" w:color="auto"/>
              <w:right w:val="single" w:sz="4" w:space="0" w:color="auto"/>
            </w:tcBorders>
            <w:vAlign w:val="center"/>
            <w:hideMark/>
          </w:tcPr>
          <w:p w:rsidR="00E67099" w:rsidRPr="00E67099" w:rsidRDefault="00E67099" w:rsidP="00E67099">
            <w:pPr>
              <w:spacing w:after="0" w:line="240" w:lineRule="auto"/>
              <w:jc w:val="center"/>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Costul total estimat de către MF</w:t>
            </w:r>
            <w:r w:rsidRPr="00E67099">
              <w:rPr>
                <w:rFonts w:ascii="Calibri" w:eastAsia="Times New Roman" w:hAnsi="Calibri" w:cs="Calibri"/>
                <w:b/>
                <w:bCs/>
                <w:color w:val="000000"/>
                <w:sz w:val="16"/>
                <w:szCs w:val="16"/>
                <w:lang w:eastAsia="ru-RU"/>
              </w:rPr>
              <w:br/>
              <w:t>în Nota informativă la proiectul Legii bugetului de stat pe anul:</w:t>
            </w:r>
          </w:p>
        </w:tc>
        <w:tc>
          <w:tcPr>
            <w:tcW w:w="993" w:type="dxa"/>
            <w:gridSpan w:val="2"/>
            <w:tcBorders>
              <w:top w:val="nil"/>
              <w:left w:val="single" w:sz="4" w:space="0" w:color="auto"/>
              <w:bottom w:val="nil"/>
              <w:right w:val="single" w:sz="4" w:space="0" w:color="auto"/>
            </w:tcBorders>
            <w:vAlign w:val="center"/>
            <w:hideMark/>
          </w:tcPr>
          <w:p w:rsidR="00E67099" w:rsidRPr="00E67099" w:rsidRDefault="00E67099" w:rsidP="00E67099">
            <w:pPr>
              <w:spacing w:after="0" w:line="240" w:lineRule="auto"/>
              <w:jc w:val="center"/>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Costul total inițial (la lansarea proiectului)</w:t>
            </w:r>
          </w:p>
        </w:tc>
        <w:tc>
          <w:tcPr>
            <w:tcW w:w="1689" w:type="dxa"/>
            <w:gridSpan w:val="4"/>
            <w:tcBorders>
              <w:top w:val="single" w:sz="4" w:space="0" w:color="auto"/>
              <w:left w:val="single" w:sz="4" w:space="0" w:color="auto"/>
              <w:bottom w:val="single" w:sz="4" w:space="0" w:color="000000"/>
              <w:right w:val="single" w:sz="4" w:space="0" w:color="000000"/>
            </w:tcBorders>
            <w:vAlign w:val="center"/>
            <w:hideMark/>
          </w:tcPr>
          <w:p w:rsidR="00E67099" w:rsidRPr="00E67099" w:rsidRDefault="00E67099" w:rsidP="00E67099">
            <w:pPr>
              <w:spacing w:after="0" w:line="240" w:lineRule="auto"/>
              <w:jc w:val="center"/>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Costul total estimat pentru anul 2019 față de costul total inițial</w:t>
            </w:r>
          </w:p>
        </w:tc>
        <w:tc>
          <w:tcPr>
            <w:tcW w:w="997" w:type="dxa"/>
            <w:gridSpan w:val="2"/>
            <w:vMerge w:val="restart"/>
            <w:tcBorders>
              <w:top w:val="nil"/>
              <w:left w:val="single" w:sz="4" w:space="0" w:color="auto"/>
              <w:right w:val="single" w:sz="4" w:space="0" w:color="auto"/>
            </w:tcBorders>
            <w:vAlign w:val="center"/>
            <w:hideMark/>
          </w:tcPr>
          <w:p w:rsidR="00E67099" w:rsidRPr="00E67099" w:rsidRDefault="00E67099" w:rsidP="00E67099">
            <w:pPr>
              <w:spacing w:after="0" w:line="240" w:lineRule="auto"/>
              <w:jc w:val="center"/>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Total executat cumulativ la situația din 31.12.2019</w:t>
            </w:r>
          </w:p>
        </w:tc>
        <w:tc>
          <w:tcPr>
            <w:tcW w:w="709" w:type="dxa"/>
            <w:gridSpan w:val="3"/>
            <w:vMerge w:val="restart"/>
            <w:tcBorders>
              <w:top w:val="nil"/>
              <w:left w:val="single" w:sz="4" w:space="0" w:color="auto"/>
              <w:right w:val="single" w:sz="4" w:space="0" w:color="auto"/>
            </w:tcBorders>
            <w:vAlign w:val="center"/>
            <w:hideMark/>
          </w:tcPr>
          <w:p w:rsidR="00E67099" w:rsidRPr="00E67099" w:rsidRDefault="00E67099" w:rsidP="00E67099">
            <w:pPr>
              <w:spacing w:after="0" w:line="240" w:lineRule="auto"/>
              <w:jc w:val="center"/>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Total execu-tat cumu-lativ față de costul total esti-mat pentru anul 2019,</w:t>
            </w:r>
            <w:r w:rsidRPr="00E67099">
              <w:rPr>
                <w:rFonts w:ascii="Calibri" w:eastAsia="Times New Roman" w:hAnsi="Calibri" w:cs="Calibri"/>
                <w:b/>
                <w:bCs/>
                <w:color w:val="000000"/>
                <w:sz w:val="16"/>
                <w:szCs w:val="16"/>
                <w:lang w:eastAsia="ru-RU"/>
              </w:rPr>
              <w:br/>
              <w:t>%</w:t>
            </w:r>
          </w:p>
        </w:tc>
        <w:tc>
          <w:tcPr>
            <w:tcW w:w="1567" w:type="dxa"/>
            <w:gridSpan w:val="4"/>
            <w:tcBorders>
              <w:top w:val="single" w:sz="4" w:space="0" w:color="auto"/>
              <w:left w:val="single" w:sz="4" w:space="0" w:color="auto"/>
              <w:bottom w:val="single" w:sz="4" w:space="0" w:color="auto"/>
              <w:right w:val="single" w:sz="4" w:space="0" w:color="auto"/>
            </w:tcBorders>
            <w:vAlign w:val="center"/>
            <w:hideMark/>
          </w:tcPr>
          <w:p w:rsidR="00E67099" w:rsidRPr="00E67099" w:rsidRDefault="00E67099" w:rsidP="00E67099">
            <w:pPr>
              <w:spacing w:after="0" w:line="240" w:lineRule="auto"/>
              <w:jc w:val="center"/>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Total executat cumulativ față de costul total inițial</w:t>
            </w:r>
          </w:p>
        </w:tc>
      </w:tr>
      <w:tr w:rsidR="00E67099" w:rsidRPr="00E67099" w:rsidTr="00A36731">
        <w:trPr>
          <w:gridAfter w:val="2"/>
          <w:wAfter w:w="253" w:type="dxa"/>
          <w:trHeight w:val="155"/>
        </w:trPr>
        <w:tc>
          <w:tcPr>
            <w:tcW w:w="408" w:type="dxa"/>
            <w:vMerge/>
            <w:tcBorders>
              <w:top w:val="nil"/>
              <w:left w:val="single" w:sz="4" w:space="0" w:color="auto"/>
              <w:bottom w:val="single" w:sz="4" w:space="0" w:color="auto"/>
              <w:right w:val="single" w:sz="4" w:space="0" w:color="auto"/>
            </w:tcBorders>
            <w:vAlign w:val="center"/>
            <w:hideMark/>
          </w:tcPr>
          <w:p w:rsidR="00E67099" w:rsidRPr="00E67099" w:rsidRDefault="00E67099" w:rsidP="00E67099">
            <w:pPr>
              <w:spacing w:after="0"/>
              <w:rPr>
                <w:rFonts w:ascii="Calibri" w:eastAsia="Times New Roman" w:hAnsi="Calibri" w:cs="Calibri"/>
                <w:b/>
                <w:bCs/>
                <w:color w:val="000000"/>
                <w:sz w:val="16"/>
                <w:szCs w:val="16"/>
                <w:lang w:val="ro-MD" w:eastAsia="ru-RU"/>
              </w:rPr>
            </w:pPr>
          </w:p>
        </w:tc>
        <w:tc>
          <w:tcPr>
            <w:tcW w:w="2003" w:type="dxa"/>
            <w:vMerge/>
            <w:tcBorders>
              <w:top w:val="nil"/>
              <w:left w:val="single" w:sz="4" w:space="0" w:color="auto"/>
              <w:bottom w:val="single" w:sz="4" w:space="0" w:color="auto"/>
              <w:right w:val="single" w:sz="4" w:space="0" w:color="auto"/>
            </w:tcBorders>
            <w:vAlign w:val="center"/>
            <w:hideMark/>
          </w:tcPr>
          <w:p w:rsidR="00E67099" w:rsidRPr="00E67099" w:rsidRDefault="00E67099" w:rsidP="00E67099">
            <w:pPr>
              <w:spacing w:after="0"/>
              <w:rPr>
                <w:rFonts w:ascii="Calibri" w:eastAsia="Times New Roman" w:hAnsi="Calibri" w:cs="Calibri"/>
                <w:b/>
                <w:bCs/>
                <w:color w:val="000000"/>
                <w:sz w:val="16"/>
                <w:szCs w:val="16"/>
                <w:lang w:val="ro-MD" w:eastAsia="ru-RU"/>
              </w:rPr>
            </w:pPr>
          </w:p>
        </w:tc>
        <w:tc>
          <w:tcPr>
            <w:tcW w:w="757" w:type="dxa"/>
            <w:vMerge/>
            <w:tcBorders>
              <w:top w:val="nil"/>
              <w:left w:val="single" w:sz="4" w:space="0" w:color="auto"/>
              <w:bottom w:val="single" w:sz="4" w:space="0" w:color="auto"/>
              <w:right w:val="single" w:sz="4" w:space="0" w:color="auto"/>
            </w:tcBorders>
            <w:vAlign w:val="center"/>
            <w:hideMark/>
          </w:tcPr>
          <w:p w:rsidR="00E67099" w:rsidRPr="00E67099" w:rsidRDefault="00E67099" w:rsidP="00E67099">
            <w:pPr>
              <w:spacing w:after="0"/>
              <w:rPr>
                <w:rFonts w:ascii="Calibri" w:eastAsia="Times New Roman" w:hAnsi="Calibri" w:cs="Calibri"/>
                <w:b/>
                <w:bCs/>
                <w:color w:val="000000"/>
                <w:sz w:val="16"/>
                <w:szCs w:val="16"/>
                <w:lang w:val="ro-MD" w:eastAsia="ru-RU"/>
              </w:rPr>
            </w:pPr>
          </w:p>
        </w:tc>
        <w:tc>
          <w:tcPr>
            <w:tcW w:w="802" w:type="dxa"/>
            <w:tcBorders>
              <w:top w:val="nil"/>
              <w:left w:val="single" w:sz="4" w:space="0" w:color="auto"/>
              <w:bottom w:val="single" w:sz="4" w:space="0" w:color="auto"/>
              <w:right w:val="single" w:sz="4" w:space="0" w:color="auto"/>
            </w:tcBorders>
            <w:vAlign w:val="center"/>
            <w:hideMark/>
          </w:tcPr>
          <w:p w:rsidR="00E67099" w:rsidRPr="00E67099" w:rsidRDefault="00E67099" w:rsidP="00E67099">
            <w:pPr>
              <w:spacing w:after="0" w:line="240" w:lineRule="auto"/>
              <w:jc w:val="center"/>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2013</w:t>
            </w:r>
          </w:p>
        </w:tc>
        <w:tc>
          <w:tcPr>
            <w:tcW w:w="709" w:type="dxa"/>
            <w:tcBorders>
              <w:top w:val="nil"/>
              <w:left w:val="single" w:sz="4" w:space="0" w:color="auto"/>
              <w:bottom w:val="single" w:sz="4" w:space="0" w:color="auto"/>
              <w:right w:val="single" w:sz="4" w:space="0" w:color="auto"/>
            </w:tcBorders>
            <w:vAlign w:val="center"/>
            <w:hideMark/>
          </w:tcPr>
          <w:p w:rsidR="00E67099" w:rsidRPr="00E67099" w:rsidRDefault="00E67099" w:rsidP="00E67099">
            <w:pPr>
              <w:spacing w:after="0" w:line="240" w:lineRule="auto"/>
              <w:jc w:val="center"/>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2014</w:t>
            </w:r>
          </w:p>
        </w:tc>
        <w:tc>
          <w:tcPr>
            <w:tcW w:w="850" w:type="dxa"/>
            <w:tcBorders>
              <w:top w:val="nil"/>
              <w:left w:val="single" w:sz="4" w:space="0" w:color="auto"/>
              <w:bottom w:val="single" w:sz="4" w:space="0" w:color="auto"/>
              <w:right w:val="single" w:sz="4" w:space="0" w:color="auto"/>
            </w:tcBorders>
            <w:vAlign w:val="center"/>
            <w:hideMark/>
          </w:tcPr>
          <w:p w:rsidR="00E67099" w:rsidRPr="00E67099" w:rsidRDefault="00E67099" w:rsidP="00E67099">
            <w:pPr>
              <w:spacing w:after="0" w:line="240" w:lineRule="auto"/>
              <w:jc w:val="center"/>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2015</w:t>
            </w:r>
          </w:p>
        </w:tc>
        <w:tc>
          <w:tcPr>
            <w:tcW w:w="850" w:type="dxa"/>
            <w:tcBorders>
              <w:top w:val="nil"/>
              <w:left w:val="single" w:sz="4" w:space="0" w:color="auto"/>
              <w:bottom w:val="single" w:sz="4" w:space="0" w:color="auto"/>
              <w:right w:val="single" w:sz="4" w:space="0" w:color="auto"/>
            </w:tcBorders>
            <w:vAlign w:val="center"/>
            <w:hideMark/>
          </w:tcPr>
          <w:p w:rsidR="00E67099" w:rsidRPr="00E67099" w:rsidRDefault="00E67099" w:rsidP="00E67099">
            <w:pPr>
              <w:spacing w:after="0" w:line="240" w:lineRule="auto"/>
              <w:jc w:val="center"/>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2016</w:t>
            </w:r>
          </w:p>
        </w:tc>
        <w:tc>
          <w:tcPr>
            <w:tcW w:w="858" w:type="dxa"/>
            <w:tcBorders>
              <w:top w:val="nil"/>
              <w:left w:val="single" w:sz="4" w:space="0" w:color="auto"/>
              <w:bottom w:val="single" w:sz="4" w:space="0" w:color="auto"/>
              <w:right w:val="single" w:sz="4" w:space="0" w:color="auto"/>
            </w:tcBorders>
            <w:vAlign w:val="center"/>
            <w:hideMark/>
          </w:tcPr>
          <w:p w:rsidR="00E67099" w:rsidRPr="00E67099" w:rsidRDefault="00E67099" w:rsidP="00E67099">
            <w:pPr>
              <w:spacing w:after="0" w:line="240" w:lineRule="auto"/>
              <w:jc w:val="center"/>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2017</w:t>
            </w:r>
          </w:p>
        </w:tc>
        <w:tc>
          <w:tcPr>
            <w:tcW w:w="844" w:type="dxa"/>
            <w:tcBorders>
              <w:top w:val="nil"/>
              <w:left w:val="single" w:sz="4" w:space="0" w:color="auto"/>
              <w:bottom w:val="single" w:sz="4" w:space="0" w:color="auto"/>
              <w:right w:val="single" w:sz="4" w:space="0" w:color="auto"/>
            </w:tcBorders>
            <w:vAlign w:val="center"/>
            <w:hideMark/>
          </w:tcPr>
          <w:p w:rsidR="00E67099" w:rsidRPr="00E67099" w:rsidRDefault="00E67099" w:rsidP="00E67099">
            <w:pPr>
              <w:spacing w:after="0" w:line="240" w:lineRule="auto"/>
              <w:jc w:val="center"/>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2018</w:t>
            </w:r>
          </w:p>
        </w:tc>
        <w:tc>
          <w:tcPr>
            <w:tcW w:w="850" w:type="dxa"/>
            <w:gridSpan w:val="2"/>
            <w:tcBorders>
              <w:top w:val="nil"/>
              <w:left w:val="single" w:sz="4" w:space="0" w:color="auto"/>
              <w:bottom w:val="single" w:sz="4" w:space="0" w:color="auto"/>
              <w:right w:val="single" w:sz="4" w:space="0" w:color="auto"/>
            </w:tcBorders>
            <w:vAlign w:val="center"/>
            <w:hideMark/>
          </w:tcPr>
          <w:p w:rsidR="00E67099" w:rsidRPr="00E67099" w:rsidRDefault="00E67099" w:rsidP="00E67099">
            <w:pPr>
              <w:spacing w:after="0" w:line="240" w:lineRule="auto"/>
              <w:jc w:val="center"/>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2019</w:t>
            </w:r>
          </w:p>
        </w:tc>
        <w:tc>
          <w:tcPr>
            <w:tcW w:w="993" w:type="dxa"/>
            <w:gridSpan w:val="2"/>
            <w:tcBorders>
              <w:top w:val="nil"/>
              <w:left w:val="single" w:sz="4" w:space="0" w:color="auto"/>
              <w:bottom w:val="nil"/>
              <w:right w:val="single" w:sz="4" w:space="0" w:color="auto"/>
            </w:tcBorders>
            <w:vAlign w:val="center"/>
            <w:hideMark/>
          </w:tcPr>
          <w:p w:rsidR="00E67099" w:rsidRPr="00E67099" w:rsidRDefault="00E67099" w:rsidP="00E67099">
            <w:pPr>
              <w:spacing w:after="0"/>
              <w:rPr>
                <w:rFonts w:ascii="Calibri" w:eastAsia="Times New Roman" w:hAnsi="Calibri" w:cs="Calibri"/>
                <w:b/>
                <w:bCs/>
                <w:color w:val="000000"/>
                <w:sz w:val="16"/>
                <w:szCs w:val="16"/>
                <w:lang w:val="ro-MD" w:eastAsia="ru-RU"/>
              </w:rPr>
            </w:pPr>
          </w:p>
        </w:tc>
        <w:tc>
          <w:tcPr>
            <w:tcW w:w="850" w:type="dxa"/>
            <w:gridSpan w:val="2"/>
            <w:tcBorders>
              <w:top w:val="nil"/>
              <w:left w:val="single" w:sz="4" w:space="0" w:color="auto"/>
              <w:bottom w:val="single" w:sz="4" w:space="0" w:color="000000"/>
              <w:right w:val="single" w:sz="4" w:space="0" w:color="auto"/>
            </w:tcBorders>
            <w:vAlign w:val="center"/>
            <w:hideMark/>
          </w:tcPr>
          <w:p w:rsidR="00E67099" w:rsidRPr="00E67099" w:rsidRDefault="00E67099" w:rsidP="00E67099">
            <w:pPr>
              <w:spacing w:after="0" w:line="240" w:lineRule="auto"/>
              <w:jc w:val="center"/>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w:t>
            </w:r>
          </w:p>
        </w:tc>
        <w:tc>
          <w:tcPr>
            <w:tcW w:w="839" w:type="dxa"/>
            <w:gridSpan w:val="2"/>
            <w:tcBorders>
              <w:top w:val="nil"/>
              <w:left w:val="single" w:sz="4" w:space="0" w:color="auto"/>
              <w:bottom w:val="single" w:sz="4" w:space="0" w:color="000000"/>
              <w:right w:val="single" w:sz="4" w:space="0" w:color="auto"/>
            </w:tcBorders>
            <w:vAlign w:val="center"/>
            <w:hideMark/>
          </w:tcPr>
          <w:p w:rsidR="00E67099" w:rsidRPr="00E67099" w:rsidRDefault="00E67099" w:rsidP="00E67099">
            <w:pPr>
              <w:spacing w:after="0" w:line="240" w:lineRule="auto"/>
              <w:jc w:val="center"/>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w:t>
            </w:r>
          </w:p>
        </w:tc>
        <w:tc>
          <w:tcPr>
            <w:tcW w:w="997" w:type="dxa"/>
            <w:gridSpan w:val="2"/>
            <w:vMerge/>
            <w:tcBorders>
              <w:left w:val="single" w:sz="4" w:space="0" w:color="auto"/>
              <w:bottom w:val="single" w:sz="4" w:space="0" w:color="auto"/>
              <w:right w:val="single" w:sz="4" w:space="0" w:color="auto"/>
            </w:tcBorders>
            <w:vAlign w:val="center"/>
            <w:hideMark/>
          </w:tcPr>
          <w:p w:rsidR="00E67099" w:rsidRPr="00E67099" w:rsidRDefault="00E67099" w:rsidP="00E67099">
            <w:pPr>
              <w:spacing w:after="0"/>
              <w:rPr>
                <w:rFonts w:ascii="Calibri" w:eastAsia="Times New Roman" w:hAnsi="Calibri" w:cs="Calibri"/>
                <w:b/>
                <w:bCs/>
                <w:color w:val="000000"/>
                <w:sz w:val="16"/>
                <w:szCs w:val="16"/>
                <w:lang w:val="ro-MD" w:eastAsia="ru-RU"/>
              </w:rPr>
            </w:pPr>
          </w:p>
        </w:tc>
        <w:tc>
          <w:tcPr>
            <w:tcW w:w="709" w:type="dxa"/>
            <w:gridSpan w:val="3"/>
            <w:vMerge/>
            <w:tcBorders>
              <w:left w:val="single" w:sz="4" w:space="0" w:color="auto"/>
              <w:bottom w:val="single" w:sz="4" w:space="0" w:color="auto"/>
              <w:right w:val="single" w:sz="4" w:space="0" w:color="auto"/>
            </w:tcBorders>
            <w:vAlign w:val="center"/>
            <w:hideMark/>
          </w:tcPr>
          <w:p w:rsidR="00E67099" w:rsidRPr="00E67099" w:rsidRDefault="00E67099" w:rsidP="00E67099">
            <w:pPr>
              <w:spacing w:after="0"/>
              <w:rPr>
                <w:rFonts w:ascii="Calibri" w:eastAsia="Times New Roman" w:hAnsi="Calibri" w:cs="Calibri"/>
                <w:b/>
                <w:bCs/>
                <w:color w:val="000000"/>
                <w:sz w:val="16"/>
                <w:szCs w:val="16"/>
                <w:lang w:val="ro-MD" w:eastAsia="ru-RU"/>
              </w:rPr>
            </w:pPr>
          </w:p>
        </w:tc>
        <w:tc>
          <w:tcPr>
            <w:tcW w:w="858" w:type="dxa"/>
            <w:gridSpan w:val="2"/>
            <w:tcBorders>
              <w:top w:val="single" w:sz="4" w:space="0" w:color="auto"/>
              <w:left w:val="single" w:sz="4" w:space="0" w:color="auto"/>
              <w:bottom w:val="nil"/>
              <w:right w:val="single" w:sz="2" w:space="0" w:color="auto"/>
            </w:tcBorders>
            <w:vAlign w:val="center"/>
            <w:hideMark/>
          </w:tcPr>
          <w:p w:rsidR="00E67099" w:rsidRPr="00E67099" w:rsidRDefault="00E67099" w:rsidP="00E67099">
            <w:pPr>
              <w:spacing w:after="0" w:line="240" w:lineRule="auto"/>
              <w:jc w:val="center"/>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w:t>
            </w:r>
          </w:p>
        </w:tc>
        <w:tc>
          <w:tcPr>
            <w:tcW w:w="709" w:type="dxa"/>
            <w:gridSpan w:val="2"/>
            <w:tcBorders>
              <w:top w:val="single" w:sz="4" w:space="0" w:color="auto"/>
              <w:left w:val="single" w:sz="2" w:space="0" w:color="auto"/>
              <w:bottom w:val="nil"/>
              <w:right w:val="single" w:sz="2" w:space="0" w:color="auto"/>
            </w:tcBorders>
            <w:vAlign w:val="center"/>
            <w:hideMark/>
          </w:tcPr>
          <w:p w:rsidR="00E67099" w:rsidRPr="00E67099" w:rsidRDefault="00E67099" w:rsidP="00E67099">
            <w:pPr>
              <w:spacing w:after="0" w:line="240" w:lineRule="auto"/>
              <w:jc w:val="center"/>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br/>
              <w:t>%</w:t>
            </w:r>
          </w:p>
        </w:tc>
      </w:tr>
      <w:tr w:rsidR="00E67099" w:rsidRPr="00E67099" w:rsidTr="00A36731">
        <w:trPr>
          <w:gridAfter w:val="2"/>
          <w:wAfter w:w="253" w:type="dxa"/>
          <w:trHeight w:val="160"/>
        </w:trPr>
        <w:tc>
          <w:tcPr>
            <w:tcW w:w="408" w:type="dxa"/>
            <w:tcBorders>
              <w:top w:val="nil"/>
              <w:left w:val="single" w:sz="4" w:space="0" w:color="auto"/>
              <w:bottom w:val="single" w:sz="4" w:space="0" w:color="auto"/>
              <w:right w:val="single" w:sz="4" w:space="0" w:color="auto"/>
            </w:tcBorders>
            <w:noWrap/>
            <w:vAlign w:val="center"/>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1</w:t>
            </w:r>
          </w:p>
        </w:tc>
        <w:tc>
          <w:tcPr>
            <w:tcW w:w="2003" w:type="dxa"/>
            <w:tcBorders>
              <w:top w:val="nil"/>
              <w:left w:val="nil"/>
              <w:bottom w:val="single" w:sz="4" w:space="0" w:color="auto"/>
              <w:right w:val="single" w:sz="4" w:space="0" w:color="auto"/>
            </w:tcBorders>
            <w:vAlign w:val="center"/>
            <w:hideMark/>
          </w:tcPr>
          <w:p w:rsidR="00E67099" w:rsidRPr="00E67099" w:rsidRDefault="00E67099" w:rsidP="00E67099">
            <w:pPr>
              <w:spacing w:after="0" w:line="240" w:lineRule="auto"/>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Reconstrucția Penitenciarului nr. 3, orașul Leova</w:t>
            </w:r>
          </w:p>
        </w:tc>
        <w:tc>
          <w:tcPr>
            <w:tcW w:w="757" w:type="dxa"/>
            <w:tcBorders>
              <w:top w:val="nil"/>
              <w:left w:val="nil"/>
              <w:bottom w:val="single" w:sz="4" w:space="0" w:color="auto"/>
              <w:right w:val="single" w:sz="4" w:space="0" w:color="auto"/>
            </w:tcBorders>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2013</w:t>
            </w:r>
          </w:p>
        </w:tc>
        <w:tc>
          <w:tcPr>
            <w:tcW w:w="802" w:type="dxa"/>
            <w:tcBorders>
              <w:top w:val="nil"/>
              <w:left w:val="nil"/>
              <w:bottom w:val="single" w:sz="4" w:space="0" w:color="auto"/>
              <w:right w:val="single" w:sz="4" w:space="0" w:color="auto"/>
            </w:tcBorders>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8000,0</w:t>
            </w:r>
          </w:p>
        </w:tc>
        <w:tc>
          <w:tcPr>
            <w:tcW w:w="709" w:type="dxa"/>
            <w:tcBorders>
              <w:top w:val="nil"/>
              <w:left w:val="nil"/>
              <w:bottom w:val="single" w:sz="4" w:space="0" w:color="auto"/>
              <w:right w:val="single" w:sz="4" w:space="0" w:color="auto"/>
            </w:tcBorders>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8000,0</w:t>
            </w:r>
          </w:p>
        </w:tc>
        <w:tc>
          <w:tcPr>
            <w:tcW w:w="850" w:type="dxa"/>
            <w:tcBorders>
              <w:top w:val="nil"/>
              <w:left w:val="nil"/>
              <w:bottom w:val="single" w:sz="4" w:space="0" w:color="auto"/>
              <w:right w:val="single" w:sz="4" w:space="0" w:color="auto"/>
            </w:tcBorders>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26.959,0</w:t>
            </w:r>
          </w:p>
        </w:tc>
        <w:tc>
          <w:tcPr>
            <w:tcW w:w="850" w:type="dxa"/>
            <w:tcBorders>
              <w:top w:val="nil"/>
              <w:left w:val="nil"/>
              <w:bottom w:val="single" w:sz="4" w:space="0" w:color="auto"/>
              <w:right w:val="single" w:sz="4" w:space="0" w:color="auto"/>
            </w:tcBorders>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26.956,0</w:t>
            </w:r>
          </w:p>
        </w:tc>
        <w:tc>
          <w:tcPr>
            <w:tcW w:w="858" w:type="dxa"/>
            <w:tcBorders>
              <w:top w:val="nil"/>
              <w:left w:val="nil"/>
              <w:bottom w:val="single" w:sz="4" w:space="0" w:color="auto"/>
              <w:right w:val="single" w:sz="4" w:space="0" w:color="auto"/>
            </w:tcBorders>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35.112,7</w:t>
            </w:r>
          </w:p>
        </w:tc>
        <w:tc>
          <w:tcPr>
            <w:tcW w:w="844" w:type="dxa"/>
            <w:tcBorders>
              <w:top w:val="nil"/>
              <w:left w:val="nil"/>
              <w:bottom w:val="single" w:sz="4" w:space="0" w:color="auto"/>
              <w:right w:val="single" w:sz="4" w:space="0" w:color="auto"/>
            </w:tcBorders>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35.112,7</w:t>
            </w:r>
          </w:p>
        </w:tc>
        <w:tc>
          <w:tcPr>
            <w:tcW w:w="850" w:type="dxa"/>
            <w:gridSpan w:val="2"/>
            <w:tcBorders>
              <w:top w:val="nil"/>
              <w:left w:val="nil"/>
              <w:bottom w:val="single" w:sz="4" w:space="0" w:color="auto"/>
              <w:right w:val="single" w:sz="4" w:space="0" w:color="auto"/>
            </w:tcBorders>
            <w:shd w:val="clear" w:color="auto" w:fill="C6E0B4"/>
            <w:noWrap/>
            <w:vAlign w:val="bottom"/>
            <w:hideMark/>
          </w:tcPr>
          <w:p w:rsidR="00E67099" w:rsidRPr="00E67099" w:rsidRDefault="00E67099" w:rsidP="00E67099">
            <w:pPr>
              <w:spacing w:after="0" w:line="240" w:lineRule="auto"/>
              <w:jc w:val="right"/>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35.437,3</w:t>
            </w:r>
          </w:p>
        </w:tc>
        <w:tc>
          <w:tcPr>
            <w:tcW w:w="993" w:type="dxa"/>
            <w:gridSpan w:val="2"/>
            <w:tcBorders>
              <w:top w:val="nil"/>
              <w:left w:val="nil"/>
              <w:bottom w:val="single" w:sz="4" w:space="0" w:color="auto"/>
              <w:right w:val="single" w:sz="4" w:space="0" w:color="auto"/>
            </w:tcBorders>
            <w:shd w:val="clear" w:color="auto" w:fill="C6E0B4"/>
            <w:noWrap/>
            <w:vAlign w:val="bottom"/>
            <w:hideMark/>
          </w:tcPr>
          <w:p w:rsidR="00E67099" w:rsidRPr="00E67099" w:rsidRDefault="00E67099" w:rsidP="00E67099">
            <w:pPr>
              <w:spacing w:after="0" w:line="240" w:lineRule="auto"/>
              <w:jc w:val="right"/>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8.000,0</w:t>
            </w:r>
          </w:p>
        </w:tc>
        <w:tc>
          <w:tcPr>
            <w:tcW w:w="850" w:type="dxa"/>
            <w:gridSpan w:val="2"/>
            <w:tcBorders>
              <w:top w:val="nil"/>
              <w:left w:val="nil"/>
              <w:bottom w:val="single" w:sz="4" w:space="0" w:color="auto"/>
              <w:right w:val="single" w:sz="4" w:space="0" w:color="auto"/>
            </w:tcBorders>
            <w:shd w:val="clear" w:color="auto" w:fill="C6E0B4"/>
            <w:noWrap/>
            <w:vAlign w:val="bottom"/>
            <w:hideMark/>
          </w:tcPr>
          <w:p w:rsidR="00E67099" w:rsidRPr="00E67099" w:rsidRDefault="00E67099" w:rsidP="00E67099">
            <w:pPr>
              <w:spacing w:after="0" w:line="240" w:lineRule="auto"/>
              <w:jc w:val="right"/>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27.437,3</w:t>
            </w:r>
          </w:p>
        </w:tc>
        <w:tc>
          <w:tcPr>
            <w:tcW w:w="839" w:type="dxa"/>
            <w:gridSpan w:val="2"/>
            <w:tcBorders>
              <w:top w:val="nil"/>
              <w:left w:val="nil"/>
              <w:bottom w:val="single" w:sz="4" w:space="0" w:color="auto"/>
              <w:right w:val="single" w:sz="4" w:space="0" w:color="auto"/>
            </w:tcBorders>
            <w:shd w:val="clear" w:color="auto" w:fill="C6E0B4"/>
            <w:noWrap/>
            <w:vAlign w:val="bottom"/>
            <w:hideMark/>
          </w:tcPr>
          <w:p w:rsidR="00E67099" w:rsidRPr="00E67099" w:rsidRDefault="00E67099" w:rsidP="00E67099">
            <w:pPr>
              <w:spacing w:after="0" w:line="240" w:lineRule="auto"/>
              <w:jc w:val="right"/>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343,0%</w:t>
            </w:r>
          </w:p>
        </w:tc>
        <w:tc>
          <w:tcPr>
            <w:tcW w:w="997" w:type="dxa"/>
            <w:gridSpan w:val="2"/>
            <w:tcBorders>
              <w:top w:val="nil"/>
              <w:left w:val="nil"/>
              <w:bottom w:val="single" w:sz="4" w:space="0" w:color="auto"/>
              <w:right w:val="single" w:sz="4" w:space="0" w:color="auto"/>
            </w:tcBorders>
            <w:shd w:val="clear" w:color="auto" w:fill="C6E0B4"/>
            <w:noWrap/>
            <w:vAlign w:val="bottom"/>
            <w:hideMark/>
          </w:tcPr>
          <w:p w:rsidR="00E67099" w:rsidRPr="00E67099" w:rsidRDefault="00E67099" w:rsidP="00E67099">
            <w:pPr>
              <w:spacing w:after="0" w:line="240" w:lineRule="auto"/>
              <w:jc w:val="right"/>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35.437,30</w:t>
            </w:r>
          </w:p>
        </w:tc>
        <w:tc>
          <w:tcPr>
            <w:tcW w:w="709" w:type="dxa"/>
            <w:gridSpan w:val="3"/>
            <w:tcBorders>
              <w:top w:val="nil"/>
              <w:left w:val="nil"/>
              <w:bottom w:val="single" w:sz="4" w:space="0" w:color="auto"/>
              <w:right w:val="single" w:sz="4" w:space="0" w:color="auto"/>
            </w:tcBorders>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100,0%</w:t>
            </w:r>
          </w:p>
        </w:tc>
        <w:tc>
          <w:tcPr>
            <w:tcW w:w="858" w:type="dxa"/>
            <w:gridSpan w:val="2"/>
            <w:tcBorders>
              <w:top w:val="nil"/>
              <w:left w:val="nil"/>
              <w:bottom w:val="single" w:sz="4" w:space="0" w:color="auto"/>
              <w:right w:val="single" w:sz="4" w:space="0" w:color="auto"/>
            </w:tcBorders>
            <w:shd w:val="clear" w:color="auto" w:fill="C6E0B4"/>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27.437,3</w:t>
            </w:r>
          </w:p>
        </w:tc>
        <w:tc>
          <w:tcPr>
            <w:tcW w:w="709" w:type="dxa"/>
            <w:gridSpan w:val="2"/>
            <w:tcBorders>
              <w:top w:val="nil"/>
              <w:left w:val="nil"/>
              <w:bottom w:val="single" w:sz="4" w:space="0" w:color="auto"/>
              <w:right w:val="single" w:sz="4" w:space="0" w:color="auto"/>
            </w:tcBorders>
            <w:shd w:val="clear" w:color="auto" w:fill="C6E0B4"/>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443,0%</w:t>
            </w:r>
          </w:p>
        </w:tc>
      </w:tr>
      <w:tr w:rsidR="00E67099" w:rsidRPr="00E67099" w:rsidTr="00A36731">
        <w:trPr>
          <w:gridAfter w:val="2"/>
          <w:wAfter w:w="253" w:type="dxa"/>
          <w:trHeight w:val="320"/>
        </w:trPr>
        <w:tc>
          <w:tcPr>
            <w:tcW w:w="408" w:type="dxa"/>
            <w:tcBorders>
              <w:top w:val="nil"/>
              <w:left w:val="single" w:sz="4" w:space="0" w:color="auto"/>
              <w:bottom w:val="single" w:sz="4" w:space="0" w:color="auto"/>
              <w:right w:val="single" w:sz="4" w:space="0" w:color="auto"/>
            </w:tcBorders>
            <w:shd w:val="clear" w:color="auto" w:fill="FFFFFF"/>
            <w:noWrap/>
            <w:vAlign w:val="center"/>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2</w:t>
            </w:r>
          </w:p>
        </w:tc>
        <w:tc>
          <w:tcPr>
            <w:tcW w:w="2003" w:type="dxa"/>
            <w:tcBorders>
              <w:top w:val="nil"/>
              <w:left w:val="nil"/>
              <w:bottom w:val="single" w:sz="4" w:space="0" w:color="auto"/>
              <w:right w:val="single" w:sz="4" w:space="0" w:color="auto"/>
            </w:tcBorders>
            <w:vAlign w:val="center"/>
            <w:hideMark/>
          </w:tcPr>
          <w:p w:rsidR="00E67099" w:rsidRPr="00E67099" w:rsidRDefault="00E67099" w:rsidP="00E67099">
            <w:pPr>
              <w:spacing w:after="0" w:line="240" w:lineRule="auto"/>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Reconstrucția Penitenciarului nr. 10, satul Goian, municipiul Chișinău</w:t>
            </w:r>
          </w:p>
        </w:tc>
        <w:tc>
          <w:tcPr>
            <w:tcW w:w="757" w:type="dxa"/>
            <w:tcBorders>
              <w:top w:val="nil"/>
              <w:left w:val="nil"/>
              <w:bottom w:val="single" w:sz="4" w:space="0" w:color="auto"/>
              <w:right w:val="single" w:sz="4" w:space="0" w:color="auto"/>
            </w:tcBorders>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2014</w:t>
            </w:r>
          </w:p>
        </w:tc>
        <w:tc>
          <w:tcPr>
            <w:tcW w:w="802" w:type="dxa"/>
            <w:tcBorders>
              <w:top w:val="nil"/>
              <w:left w:val="nil"/>
              <w:bottom w:val="single" w:sz="4" w:space="0" w:color="auto"/>
              <w:right w:val="single" w:sz="4" w:space="0" w:color="auto"/>
            </w:tcBorders>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2000,0</w:t>
            </w:r>
          </w:p>
        </w:tc>
        <w:tc>
          <w:tcPr>
            <w:tcW w:w="709" w:type="dxa"/>
            <w:tcBorders>
              <w:top w:val="nil"/>
              <w:left w:val="nil"/>
              <w:bottom w:val="single" w:sz="4" w:space="0" w:color="auto"/>
              <w:right w:val="single" w:sz="4" w:space="0" w:color="auto"/>
            </w:tcBorders>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40000,0</w:t>
            </w:r>
          </w:p>
        </w:tc>
        <w:tc>
          <w:tcPr>
            <w:tcW w:w="850" w:type="dxa"/>
            <w:tcBorders>
              <w:top w:val="nil"/>
              <w:left w:val="nil"/>
              <w:bottom w:val="single" w:sz="4" w:space="0" w:color="auto"/>
              <w:right w:val="single" w:sz="4" w:space="0" w:color="auto"/>
            </w:tcBorders>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30.000,0</w:t>
            </w:r>
          </w:p>
        </w:tc>
        <w:tc>
          <w:tcPr>
            <w:tcW w:w="850" w:type="dxa"/>
            <w:tcBorders>
              <w:top w:val="nil"/>
              <w:left w:val="nil"/>
              <w:bottom w:val="single" w:sz="4" w:space="0" w:color="auto"/>
              <w:right w:val="single" w:sz="4" w:space="0" w:color="auto"/>
            </w:tcBorders>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32.999,0</w:t>
            </w:r>
          </w:p>
        </w:tc>
        <w:tc>
          <w:tcPr>
            <w:tcW w:w="858" w:type="dxa"/>
            <w:tcBorders>
              <w:top w:val="nil"/>
              <w:left w:val="nil"/>
              <w:bottom w:val="single" w:sz="4" w:space="0" w:color="auto"/>
              <w:right w:val="single" w:sz="4" w:space="0" w:color="auto"/>
            </w:tcBorders>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36.326,5</w:t>
            </w:r>
          </w:p>
        </w:tc>
        <w:tc>
          <w:tcPr>
            <w:tcW w:w="844" w:type="dxa"/>
            <w:tcBorders>
              <w:top w:val="nil"/>
              <w:left w:val="nil"/>
              <w:bottom w:val="single" w:sz="4" w:space="0" w:color="auto"/>
              <w:right w:val="single" w:sz="4" w:space="0" w:color="auto"/>
            </w:tcBorders>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36.326,5</w:t>
            </w:r>
          </w:p>
        </w:tc>
        <w:tc>
          <w:tcPr>
            <w:tcW w:w="850" w:type="dxa"/>
            <w:gridSpan w:val="2"/>
            <w:tcBorders>
              <w:top w:val="nil"/>
              <w:left w:val="nil"/>
              <w:bottom w:val="single" w:sz="4" w:space="0" w:color="auto"/>
              <w:right w:val="single" w:sz="4" w:space="0" w:color="auto"/>
            </w:tcBorders>
            <w:shd w:val="clear" w:color="auto" w:fill="C6E0B4"/>
            <w:noWrap/>
            <w:vAlign w:val="bottom"/>
            <w:hideMark/>
          </w:tcPr>
          <w:p w:rsidR="00E67099" w:rsidRPr="00E67099" w:rsidRDefault="00E67099" w:rsidP="00E67099">
            <w:pPr>
              <w:spacing w:after="0" w:line="240" w:lineRule="auto"/>
              <w:jc w:val="right"/>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38.326,5</w:t>
            </w:r>
          </w:p>
        </w:tc>
        <w:tc>
          <w:tcPr>
            <w:tcW w:w="993" w:type="dxa"/>
            <w:gridSpan w:val="2"/>
            <w:tcBorders>
              <w:top w:val="nil"/>
              <w:left w:val="nil"/>
              <w:bottom w:val="single" w:sz="4" w:space="0" w:color="auto"/>
              <w:right w:val="single" w:sz="4" w:space="0" w:color="auto"/>
            </w:tcBorders>
            <w:shd w:val="clear" w:color="auto" w:fill="C6E0B4"/>
            <w:noWrap/>
            <w:vAlign w:val="bottom"/>
            <w:hideMark/>
          </w:tcPr>
          <w:p w:rsidR="00E67099" w:rsidRPr="00E67099" w:rsidRDefault="00E67099" w:rsidP="00E67099">
            <w:pPr>
              <w:spacing w:after="0" w:line="240" w:lineRule="auto"/>
              <w:jc w:val="right"/>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2.000,0</w:t>
            </w:r>
          </w:p>
        </w:tc>
        <w:tc>
          <w:tcPr>
            <w:tcW w:w="850" w:type="dxa"/>
            <w:gridSpan w:val="2"/>
            <w:tcBorders>
              <w:top w:val="nil"/>
              <w:left w:val="nil"/>
              <w:bottom w:val="single" w:sz="4" w:space="0" w:color="auto"/>
              <w:right w:val="single" w:sz="4" w:space="0" w:color="auto"/>
            </w:tcBorders>
            <w:shd w:val="clear" w:color="auto" w:fill="C6E0B4"/>
            <w:noWrap/>
            <w:vAlign w:val="bottom"/>
            <w:hideMark/>
          </w:tcPr>
          <w:p w:rsidR="00E67099" w:rsidRPr="00E67099" w:rsidRDefault="00E67099" w:rsidP="00E67099">
            <w:pPr>
              <w:spacing w:after="0" w:line="240" w:lineRule="auto"/>
              <w:jc w:val="right"/>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36.326,5</w:t>
            </w:r>
          </w:p>
        </w:tc>
        <w:tc>
          <w:tcPr>
            <w:tcW w:w="839" w:type="dxa"/>
            <w:gridSpan w:val="2"/>
            <w:tcBorders>
              <w:top w:val="nil"/>
              <w:left w:val="nil"/>
              <w:bottom w:val="single" w:sz="4" w:space="0" w:color="auto"/>
              <w:right w:val="single" w:sz="4" w:space="0" w:color="auto"/>
            </w:tcBorders>
            <w:shd w:val="clear" w:color="auto" w:fill="C6E0B4"/>
            <w:noWrap/>
            <w:vAlign w:val="bottom"/>
            <w:hideMark/>
          </w:tcPr>
          <w:p w:rsidR="00E67099" w:rsidRPr="00E67099" w:rsidRDefault="00E67099" w:rsidP="00E67099">
            <w:pPr>
              <w:spacing w:after="0" w:line="240" w:lineRule="auto"/>
              <w:jc w:val="right"/>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1816,3%</w:t>
            </w:r>
          </w:p>
        </w:tc>
        <w:tc>
          <w:tcPr>
            <w:tcW w:w="997" w:type="dxa"/>
            <w:gridSpan w:val="2"/>
            <w:tcBorders>
              <w:top w:val="nil"/>
              <w:left w:val="nil"/>
              <w:bottom w:val="single" w:sz="4" w:space="0" w:color="auto"/>
              <w:right w:val="single" w:sz="4" w:space="0" w:color="auto"/>
            </w:tcBorders>
            <w:shd w:val="clear" w:color="auto" w:fill="C6E0B4"/>
            <w:noWrap/>
            <w:vAlign w:val="bottom"/>
            <w:hideMark/>
          </w:tcPr>
          <w:p w:rsidR="00E67099" w:rsidRPr="00E67099" w:rsidRDefault="00E67099" w:rsidP="00E67099">
            <w:pPr>
              <w:spacing w:after="0" w:line="240" w:lineRule="auto"/>
              <w:jc w:val="right"/>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38.226,50</w:t>
            </w:r>
          </w:p>
        </w:tc>
        <w:tc>
          <w:tcPr>
            <w:tcW w:w="709" w:type="dxa"/>
            <w:gridSpan w:val="3"/>
            <w:tcBorders>
              <w:top w:val="nil"/>
              <w:left w:val="nil"/>
              <w:bottom w:val="single" w:sz="4" w:space="0" w:color="auto"/>
              <w:right w:val="single" w:sz="4" w:space="0" w:color="auto"/>
            </w:tcBorders>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99,7%</w:t>
            </w:r>
          </w:p>
        </w:tc>
        <w:tc>
          <w:tcPr>
            <w:tcW w:w="858" w:type="dxa"/>
            <w:gridSpan w:val="2"/>
            <w:tcBorders>
              <w:top w:val="nil"/>
              <w:left w:val="nil"/>
              <w:bottom w:val="single" w:sz="4" w:space="0" w:color="auto"/>
              <w:right w:val="single" w:sz="4" w:space="0" w:color="auto"/>
            </w:tcBorders>
            <w:shd w:val="clear" w:color="auto" w:fill="C6E0B4"/>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36.226,5</w:t>
            </w:r>
          </w:p>
        </w:tc>
        <w:tc>
          <w:tcPr>
            <w:tcW w:w="709" w:type="dxa"/>
            <w:gridSpan w:val="2"/>
            <w:tcBorders>
              <w:top w:val="nil"/>
              <w:left w:val="nil"/>
              <w:bottom w:val="single" w:sz="4" w:space="0" w:color="auto"/>
              <w:right w:val="single" w:sz="4" w:space="0" w:color="auto"/>
            </w:tcBorders>
            <w:shd w:val="clear" w:color="auto" w:fill="C6E0B4"/>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1911,3%</w:t>
            </w:r>
          </w:p>
        </w:tc>
      </w:tr>
      <w:tr w:rsidR="00E67099" w:rsidRPr="00E67099" w:rsidTr="00A36731">
        <w:trPr>
          <w:gridAfter w:val="2"/>
          <w:wAfter w:w="253" w:type="dxa"/>
          <w:trHeight w:val="160"/>
        </w:trPr>
        <w:tc>
          <w:tcPr>
            <w:tcW w:w="408" w:type="dxa"/>
            <w:tcBorders>
              <w:top w:val="nil"/>
              <w:left w:val="single" w:sz="4" w:space="0" w:color="auto"/>
              <w:bottom w:val="single" w:sz="4" w:space="0" w:color="auto"/>
              <w:right w:val="single" w:sz="4" w:space="0" w:color="auto"/>
            </w:tcBorders>
            <w:noWrap/>
            <w:vAlign w:val="center"/>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3</w:t>
            </w:r>
          </w:p>
        </w:tc>
        <w:tc>
          <w:tcPr>
            <w:tcW w:w="2003" w:type="dxa"/>
            <w:tcBorders>
              <w:top w:val="nil"/>
              <w:left w:val="nil"/>
              <w:bottom w:val="single" w:sz="4" w:space="0" w:color="auto"/>
              <w:right w:val="single" w:sz="4" w:space="0" w:color="auto"/>
            </w:tcBorders>
            <w:vAlign w:val="center"/>
            <w:hideMark/>
          </w:tcPr>
          <w:p w:rsidR="00E67099" w:rsidRPr="00E67099" w:rsidRDefault="00E67099" w:rsidP="00E67099">
            <w:pPr>
              <w:spacing w:after="0" w:line="240" w:lineRule="auto"/>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Restaurarea Conacului familiei Lazo din satul Piatra, raionul Orhei</w:t>
            </w:r>
          </w:p>
        </w:tc>
        <w:tc>
          <w:tcPr>
            <w:tcW w:w="757" w:type="dxa"/>
            <w:tcBorders>
              <w:top w:val="nil"/>
              <w:left w:val="nil"/>
              <w:bottom w:val="single" w:sz="4" w:space="0" w:color="auto"/>
              <w:right w:val="single" w:sz="4" w:space="0" w:color="auto"/>
            </w:tcBorders>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2014</w:t>
            </w:r>
          </w:p>
        </w:tc>
        <w:tc>
          <w:tcPr>
            <w:tcW w:w="802" w:type="dxa"/>
            <w:tcBorders>
              <w:top w:val="nil"/>
              <w:left w:val="nil"/>
              <w:bottom w:val="single" w:sz="4" w:space="0" w:color="auto"/>
              <w:right w:val="single" w:sz="4" w:space="0" w:color="auto"/>
            </w:tcBorders>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7800,0</w:t>
            </w:r>
          </w:p>
        </w:tc>
        <w:tc>
          <w:tcPr>
            <w:tcW w:w="709" w:type="dxa"/>
            <w:tcBorders>
              <w:top w:val="nil"/>
              <w:left w:val="nil"/>
              <w:bottom w:val="single" w:sz="4" w:space="0" w:color="auto"/>
              <w:right w:val="single" w:sz="4" w:space="0" w:color="auto"/>
            </w:tcBorders>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7800,0</w:t>
            </w:r>
          </w:p>
        </w:tc>
        <w:tc>
          <w:tcPr>
            <w:tcW w:w="850" w:type="dxa"/>
            <w:tcBorders>
              <w:top w:val="nil"/>
              <w:left w:val="nil"/>
              <w:bottom w:val="single" w:sz="4" w:space="0" w:color="auto"/>
              <w:right w:val="single" w:sz="4" w:space="0" w:color="auto"/>
            </w:tcBorders>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7.800,0</w:t>
            </w:r>
          </w:p>
        </w:tc>
        <w:tc>
          <w:tcPr>
            <w:tcW w:w="850" w:type="dxa"/>
            <w:tcBorders>
              <w:top w:val="nil"/>
              <w:left w:val="nil"/>
              <w:bottom w:val="single" w:sz="4" w:space="0" w:color="auto"/>
              <w:right w:val="single" w:sz="4" w:space="0" w:color="auto"/>
            </w:tcBorders>
            <w:vAlign w:val="bottom"/>
            <w:hideMark/>
          </w:tcPr>
          <w:p w:rsidR="00E67099" w:rsidRPr="00E67099" w:rsidRDefault="00E67099" w:rsidP="00E67099">
            <w:pPr>
              <w:spacing w:after="0" w:line="240" w:lineRule="auto"/>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 </w:t>
            </w:r>
          </w:p>
        </w:tc>
        <w:tc>
          <w:tcPr>
            <w:tcW w:w="858" w:type="dxa"/>
            <w:tcBorders>
              <w:top w:val="nil"/>
              <w:left w:val="nil"/>
              <w:bottom w:val="single" w:sz="4" w:space="0" w:color="auto"/>
              <w:right w:val="single" w:sz="4" w:space="0" w:color="auto"/>
            </w:tcBorders>
            <w:vAlign w:val="bottom"/>
            <w:hideMark/>
          </w:tcPr>
          <w:p w:rsidR="00E67099" w:rsidRPr="00E67099" w:rsidRDefault="00E67099" w:rsidP="00E67099">
            <w:pPr>
              <w:spacing w:after="0" w:line="240" w:lineRule="auto"/>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 </w:t>
            </w:r>
          </w:p>
        </w:tc>
        <w:tc>
          <w:tcPr>
            <w:tcW w:w="844" w:type="dxa"/>
            <w:tcBorders>
              <w:top w:val="nil"/>
              <w:left w:val="nil"/>
              <w:bottom w:val="single" w:sz="4" w:space="0" w:color="auto"/>
              <w:right w:val="single" w:sz="4" w:space="0" w:color="auto"/>
            </w:tcBorders>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9.395,3</w:t>
            </w:r>
          </w:p>
        </w:tc>
        <w:tc>
          <w:tcPr>
            <w:tcW w:w="850" w:type="dxa"/>
            <w:gridSpan w:val="2"/>
            <w:tcBorders>
              <w:top w:val="nil"/>
              <w:left w:val="nil"/>
              <w:bottom w:val="single" w:sz="4" w:space="0" w:color="auto"/>
              <w:right w:val="single" w:sz="4" w:space="0" w:color="auto"/>
            </w:tcBorders>
            <w:shd w:val="clear" w:color="auto" w:fill="C6E0B4"/>
            <w:noWrap/>
            <w:vAlign w:val="bottom"/>
            <w:hideMark/>
          </w:tcPr>
          <w:p w:rsidR="00E67099" w:rsidRPr="00E67099" w:rsidRDefault="00E67099" w:rsidP="00E67099">
            <w:pPr>
              <w:spacing w:after="0" w:line="240" w:lineRule="auto"/>
              <w:jc w:val="right"/>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12.024,0</w:t>
            </w:r>
          </w:p>
        </w:tc>
        <w:tc>
          <w:tcPr>
            <w:tcW w:w="993" w:type="dxa"/>
            <w:gridSpan w:val="2"/>
            <w:tcBorders>
              <w:top w:val="nil"/>
              <w:left w:val="nil"/>
              <w:bottom w:val="single" w:sz="4" w:space="0" w:color="auto"/>
              <w:right w:val="single" w:sz="4" w:space="0" w:color="auto"/>
            </w:tcBorders>
            <w:shd w:val="clear" w:color="auto" w:fill="C6E0B4"/>
            <w:noWrap/>
            <w:vAlign w:val="bottom"/>
            <w:hideMark/>
          </w:tcPr>
          <w:p w:rsidR="00E67099" w:rsidRPr="00E67099" w:rsidRDefault="00E67099" w:rsidP="00E67099">
            <w:pPr>
              <w:spacing w:after="0" w:line="240" w:lineRule="auto"/>
              <w:jc w:val="right"/>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7.800,0</w:t>
            </w:r>
          </w:p>
        </w:tc>
        <w:tc>
          <w:tcPr>
            <w:tcW w:w="850" w:type="dxa"/>
            <w:gridSpan w:val="2"/>
            <w:tcBorders>
              <w:top w:val="nil"/>
              <w:left w:val="nil"/>
              <w:bottom w:val="single" w:sz="4" w:space="0" w:color="auto"/>
              <w:right w:val="single" w:sz="4" w:space="0" w:color="auto"/>
            </w:tcBorders>
            <w:shd w:val="clear" w:color="auto" w:fill="C6E0B4"/>
            <w:noWrap/>
            <w:vAlign w:val="bottom"/>
            <w:hideMark/>
          </w:tcPr>
          <w:p w:rsidR="00E67099" w:rsidRPr="00E67099" w:rsidRDefault="00E67099" w:rsidP="00E67099">
            <w:pPr>
              <w:spacing w:after="0" w:line="240" w:lineRule="auto"/>
              <w:jc w:val="right"/>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4.224,0</w:t>
            </w:r>
          </w:p>
        </w:tc>
        <w:tc>
          <w:tcPr>
            <w:tcW w:w="839" w:type="dxa"/>
            <w:gridSpan w:val="2"/>
            <w:tcBorders>
              <w:top w:val="nil"/>
              <w:left w:val="nil"/>
              <w:bottom w:val="single" w:sz="4" w:space="0" w:color="auto"/>
              <w:right w:val="single" w:sz="4" w:space="0" w:color="auto"/>
            </w:tcBorders>
            <w:shd w:val="clear" w:color="auto" w:fill="C6E0B4"/>
            <w:noWrap/>
            <w:vAlign w:val="bottom"/>
            <w:hideMark/>
          </w:tcPr>
          <w:p w:rsidR="00E67099" w:rsidRPr="00E67099" w:rsidRDefault="00E67099" w:rsidP="00E67099">
            <w:pPr>
              <w:spacing w:after="0" w:line="240" w:lineRule="auto"/>
              <w:jc w:val="right"/>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54,2%</w:t>
            </w:r>
          </w:p>
        </w:tc>
        <w:tc>
          <w:tcPr>
            <w:tcW w:w="997" w:type="dxa"/>
            <w:gridSpan w:val="2"/>
            <w:tcBorders>
              <w:top w:val="nil"/>
              <w:left w:val="nil"/>
              <w:bottom w:val="single" w:sz="4" w:space="0" w:color="auto"/>
              <w:right w:val="single" w:sz="4" w:space="0" w:color="auto"/>
            </w:tcBorders>
            <w:shd w:val="clear" w:color="auto" w:fill="C6E0B4"/>
            <w:noWrap/>
            <w:vAlign w:val="bottom"/>
            <w:hideMark/>
          </w:tcPr>
          <w:p w:rsidR="00E67099" w:rsidRPr="00E67099" w:rsidRDefault="00E67099" w:rsidP="00E67099">
            <w:pPr>
              <w:spacing w:after="0" w:line="240" w:lineRule="auto"/>
              <w:jc w:val="right"/>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12.822,35</w:t>
            </w:r>
          </w:p>
        </w:tc>
        <w:tc>
          <w:tcPr>
            <w:tcW w:w="709" w:type="dxa"/>
            <w:gridSpan w:val="3"/>
            <w:tcBorders>
              <w:top w:val="nil"/>
              <w:left w:val="nil"/>
              <w:bottom w:val="single" w:sz="4" w:space="0" w:color="auto"/>
              <w:right w:val="single" w:sz="4" w:space="0" w:color="auto"/>
            </w:tcBorders>
            <w:shd w:val="clear" w:color="auto" w:fill="FFE699"/>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106,6%</w:t>
            </w:r>
          </w:p>
        </w:tc>
        <w:tc>
          <w:tcPr>
            <w:tcW w:w="858" w:type="dxa"/>
            <w:gridSpan w:val="2"/>
            <w:tcBorders>
              <w:top w:val="nil"/>
              <w:left w:val="nil"/>
              <w:bottom w:val="single" w:sz="4" w:space="0" w:color="auto"/>
              <w:right w:val="single" w:sz="4" w:space="0" w:color="auto"/>
            </w:tcBorders>
            <w:shd w:val="clear" w:color="auto" w:fill="C6E0B4"/>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5.022,4</w:t>
            </w:r>
          </w:p>
        </w:tc>
        <w:tc>
          <w:tcPr>
            <w:tcW w:w="709" w:type="dxa"/>
            <w:gridSpan w:val="2"/>
            <w:tcBorders>
              <w:top w:val="nil"/>
              <w:left w:val="nil"/>
              <w:bottom w:val="single" w:sz="4" w:space="0" w:color="auto"/>
              <w:right w:val="single" w:sz="4" w:space="0" w:color="auto"/>
            </w:tcBorders>
            <w:shd w:val="clear" w:color="auto" w:fill="C6E0B4"/>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164,4%</w:t>
            </w:r>
          </w:p>
        </w:tc>
      </w:tr>
      <w:tr w:rsidR="00E67099" w:rsidRPr="00E67099" w:rsidTr="00A36731">
        <w:trPr>
          <w:gridAfter w:val="2"/>
          <w:wAfter w:w="253" w:type="dxa"/>
          <w:trHeight w:val="320"/>
        </w:trPr>
        <w:tc>
          <w:tcPr>
            <w:tcW w:w="408" w:type="dxa"/>
            <w:tcBorders>
              <w:top w:val="nil"/>
              <w:left w:val="single" w:sz="4" w:space="0" w:color="auto"/>
              <w:bottom w:val="single" w:sz="4" w:space="0" w:color="auto"/>
              <w:right w:val="single" w:sz="4" w:space="0" w:color="auto"/>
            </w:tcBorders>
            <w:shd w:val="clear" w:color="auto" w:fill="FFFFFF"/>
            <w:noWrap/>
            <w:vAlign w:val="center"/>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4</w:t>
            </w:r>
          </w:p>
        </w:tc>
        <w:tc>
          <w:tcPr>
            <w:tcW w:w="2003" w:type="dxa"/>
            <w:tcBorders>
              <w:top w:val="nil"/>
              <w:left w:val="nil"/>
              <w:bottom w:val="single" w:sz="4" w:space="0" w:color="auto"/>
              <w:right w:val="single" w:sz="4" w:space="0" w:color="auto"/>
            </w:tcBorders>
            <w:vAlign w:val="center"/>
            <w:hideMark/>
          </w:tcPr>
          <w:p w:rsidR="00E67099" w:rsidRPr="00E67099" w:rsidRDefault="00E67099" w:rsidP="00E67099">
            <w:pPr>
              <w:spacing w:after="0" w:line="240" w:lineRule="auto"/>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Construcția terenului de fotbal al Școlii sportive specializate de fotbal nr. 2, comuna Stăuceni, municipiul Chișinău</w:t>
            </w:r>
          </w:p>
        </w:tc>
        <w:tc>
          <w:tcPr>
            <w:tcW w:w="757" w:type="dxa"/>
            <w:tcBorders>
              <w:top w:val="nil"/>
              <w:left w:val="nil"/>
              <w:bottom w:val="single" w:sz="4" w:space="0" w:color="auto"/>
              <w:right w:val="single" w:sz="4" w:space="0" w:color="auto"/>
            </w:tcBorders>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2013</w:t>
            </w:r>
          </w:p>
        </w:tc>
        <w:tc>
          <w:tcPr>
            <w:tcW w:w="802" w:type="dxa"/>
            <w:tcBorders>
              <w:top w:val="nil"/>
              <w:left w:val="nil"/>
              <w:bottom w:val="single" w:sz="4" w:space="0" w:color="auto"/>
              <w:right w:val="single" w:sz="4" w:space="0" w:color="auto"/>
            </w:tcBorders>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900,0</w:t>
            </w:r>
          </w:p>
        </w:tc>
        <w:tc>
          <w:tcPr>
            <w:tcW w:w="709" w:type="dxa"/>
            <w:tcBorders>
              <w:top w:val="nil"/>
              <w:left w:val="nil"/>
              <w:bottom w:val="single" w:sz="4" w:space="0" w:color="auto"/>
              <w:right w:val="single" w:sz="4" w:space="0" w:color="auto"/>
            </w:tcBorders>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1400,0</w:t>
            </w:r>
          </w:p>
        </w:tc>
        <w:tc>
          <w:tcPr>
            <w:tcW w:w="850" w:type="dxa"/>
            <w:tcBorders>
              <w:top w:val="nil"/>
              <w:left w:val="nil"/>
              <w:bottom w:val="single" w:sz="4" w:space="0" w:color="auto"/>
              <w:right w:val="single" w:sz="4" w:space="0" w:color="auto"/>
            </w:tcBorders>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2.000,0</w:t>
            </w:r>
          </w:p>
        </w:tc>
        <w:tc>
          <w:tcPr>
            <w:tcW w:w="850" w:type="dxa"/>
            <w:tcBorders>
              <w:top w:val="nil"/>
              <w:left w:val="nil"/>
              <w:bottom w:val="single" w:sz="4" w:space="0" w:color="auto"/>
              <w:right w:val="single" w:sz="4" w:space="0" w:color="auto"/>
            </w:tcBorders>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5.000,0</w:t>
            </w:r>
          </w:p>
        </w:tc>
        <w:tc>
          <w:tcPr>
            <w:tcW w:w="858" w:type="dxa"/>
            <w:tcBorders>
              <w:top w:val="nil"/>
              <w:left w:val="nil"/>
              <w:bottom w:val="single" w:sz="4" w:space="0" w:color="auto"/>
              <w:right w:val="single" w:sz="4" w:space="0" w:color="auto"/>
            </w:tcBorders>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5.000,0</w:t>
            </w:r>
          </w:p>
        </w:tc>
        <w:tc>
          <w:tcPr>
            <w:tcW w:w="844" w:type="dxa"/>
            <w:tcBorders>
              <w:top w:val="nil"/>
              <w:left w:val="nil"/>
              <w:bottom w:val="single" w:sz="4" w:space="0" w:color="auto"/>
              <w:right w:val="single" w:sz="4" w:space="0" w:color="auto"/>
            </w:tcBorders>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4.498,0</w:t>
            </w:r>
          </w:p>
        </w:tc>
        <w:tc>
          <w:tcPr>
            <w:tcW w:w="850" w:type="dxa"/>
            <w:gridSpan w:val="2"/>
            <w:tcBorders>
              <w:top w:val="nil"/>
              <w:left w:val="nil"/>
              <w:bottom w:val="single" w:sz="4" w:space="0" w:color="auto"/>
              <w:right w:val="single" w:sz="4" w:space="0" w:color="auto"/>
            </w:tcBorders>
            <w:shd w:val="clear" w:color="auto" w:fill="C6E0B4"/>
            <w:noWrap/>
            <w:vAlign w:val="bottom"/>
            <w:hideMark/>
          </w:tcPr>
          <w:p w:rsidR="00E67099" w:rsidRPr="00E67099" w:rsidRDefault="00E67099" w:rsidP="00E67099">
            <w:pPr>
              <w:spacing w:after="0" w:line="240" w:lineRule="auto"/>
              <w:jc w:val="right"/>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7.442,5</w:t>
            </w:r>
          </w:p>
        </w:tc>
        <w:tc>
          <w:tcPr>
            <w:tcW w:w="993" w:type="dxa"/>
            <w:gridSpan w:val="2"/>
            <w:tcBorders>
              <w:top w:val="nil"/>
              <w:left w:val="nil"/>
              <w:bottom w:val="single" w:sz="4" w:space="0" w:color="auto"/>
              <w:right w:val="single" w:sz="4" w:space="0" w:color="auto"/>
            </w:tcBorders>
            <w:shd w:val="clear" w:color="auto" w:fill="C6E0B4"/>
            <w:noWrap/>
            <w:vAlign w:val="bottom"/>
            <w:hideMark/>
          </w:tcPr>
          <w:p w:rsidR="00E67099" w:rsidRPr="00E67099" w:rsidRDefault="00E67099" w:rsidP="00E67099">
            <w:pPr>
              <w:spacing w:after="0" w:line="240" w:lineRule="auto"/>
              <w:jc w:val="right"/>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900,0</w:t>
            </w:r>
          </w:p>
        </w:tc>
        <w:tc>
          <w:tcPr>
            <w:tcW w:w="850" w:type="dxa"/>
            <w:gridSpan w:val="2"/>
            <w:tcBorders>
              <w:top w:val="nil"/>
              <w:left w:val="nil"/>
              <w:bottom w:val="single" w:sz="4" w:space="0" w:color="auto"/>
              <w:right w:val="single" w:sz="4" w:space="0" w:color="auto"/>
            </w:tcBorders>
            <w:shd w:val="clear" w:color="auto" w:fill="C6E0B4"/>
            <w:noWrap/>
            <w:vAlign w:val="bottom"/>
            <w:hideMark/>
          </w:tcPr>
          <w:p w:rsidR="00E67099" w:rsidRPr="00E67099" w:rsidRDefault="00E67099" w:rsidP="00E67099">
            <w:pPr>
              <w:spacing w:after="0" w:line="240" w:lineRule="auto"/>
              <w:jc w:val="right"/>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6.542,5</w:t>
            </w:r>
          </w:p>
        </w:tc>
        <w:tc>
          <w:tcPr>
            <w:tcW w:w="839" w:type="dxa"/>
            <w:gridSpan w:val="2"/>
            <w:tcBorders>
              <w:top w:val="nil"/>
              <w:left w:val="nil"/>
              <w:bottom w:val="single" w:sz="4" w:space="0" w:color="auto"/>
              <w:right w:val="single" w:sz="4" w:space="0" w:color="auto"/>
            </w:tcBorders>
            <w:shd w:val="clear" w:color="auto" w:fill="C6E0B4"/>
            <w:noWrap/>
            <w:vAlign w:val="bottom"/>
            <w:hideMark/>
          </w:tcPr>
          <w:p w:rsidR="00E67099" w:rsidRPr="00E67099" w:rsidRDefault="00E67099" w:rsidP="00E67099">
            <w:pPr>
              <w:spacing w:after="0" w:line="240" w:lineRule="auto"/>
              <w:jc w:val="right"/>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726,9%</w:t>
            </w:r>
          </w:p>
        </w:tc>
        <w:tc>
          <w:tcPr>
            <w:tcW w:w="997" w:type="dxa"/>
            <w:gridSpan w:val="2"/>
            <w:tcBorders>
              <w:top w:val="nil"/>
              <w:left w:val="nil"/>
              <w:bottom w:val="single" w:sz="4" w:space="0" w:color="auto"/>
              <w:right w:val="single" w:sz="4" w:space="0" w:color="auto"/>
            </w:tcBorders>
            <w:shd w:val="clear" w:color="auto" w:fill="C6E0B4"/>
            <w:noWrap/>
            <w:vAlign w:val="bottom"/>
            <w:hideMark/>
          </w:tcPr>
          <w:p w:rsidR="00E67099" w:rsidRPr="00E67099" w:rsidRDefault="00E67099" w:rsidP="00E67099">
            <w:pPr>
              <w:spacing w:after="0" w:line="240" w:lineRule="auto"/>
              <w:jc w:val="right"/>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7.081,52</w:t>
            </w:r>
          </w:p>
        </w:tc>
        <w:tc>
          <w:tcPr>
            <w:tcW w:w="709" w:type="dxa"/>
            <w:gridSpan w:val="3"/>
            <w:tcBorders>
              <w:top w:val="nil"/>
              <w:left w:val="nil"/>
              <w:bottom w:val="single" w:sz="4" w:space="0" w:color="auto"/>
              <w:right w:val="single" w:sz="4" w:space="0" w:color="auto"/>
            </w:tcBorders>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95,1%</w:t>
            </w:r>
          </w:p>
        </w:tc>
        <w:tc>
          <w:tcPr>
            <w:tcW w:w="858" w:type="dxa"/>
            <w:gridSpan w:val="2"/>
            <w:tcBorders>
              <w:top w:val="nil"/>
              <w:left w:val="nil"/>
              <w:bottom w:val="single" w:sz="4" w:space="0" w:color="auto"/>
              <w:right w:val="single" w:sz="4" w:space="0" w:color="auto"/>
            </w:tcBorders>
            <w:shd w:val="clear" w:color="auto" w:fill="C6E0B4"/>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6.181,5</w:t>
            </w:r>
          </w:p>
        </w:tc>
        <w:tc>
          <w:tcPr>
            <w:tcW w:w="709" w:type="dxa"/>
            <w:gridSpan w:val="2"/>
            <w:tcBorders>
              <w:top w:val="nil"/>
              <w:left w:val="nil"/>
              <w:bottom w:val="single" w:sz="4" w:space="0" w:color="auto"/>
              <w:right w:val="single" w:sz="4" w:space="0" w:color="auto"/>
            </w:tcBorders>
            <w:shd w:val="clear" w:color="auto" w:fill="C6E0B4"/>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786,8%</w:t>
            </w:r>
          </w:p>
        </w:tc>
      </w:tr>
      <w:tr w:rsidR="00E67099" w:rsidRPr="00E67099" w:rsidTr="00A36731">
        <w:trPr>
          <w:gridAfter w:val="2"/>
          <w:wAfter w:w="253" w:type="dxa"/>
          <w:trHeight w:val="480"/>
        </w:trPr>
        <w:tc>
          <w:tcPr>
            <w:tcW w:w="408" w:type="dxa"/>
            <w:tcBorders>
              <w:top w:val="nil"/>
              <w:left w:val="single" w:sz="4" w:space="0" w:color="auto"/>
              <w:bottom w:val="single" w:sz="4" w:space="0" w:color="auto"/>
              <w:right w:val="single" w:sz="4" w:space="0" w:color="auto"/>
            </w:tcBorders>
            <w:noWrap/>
            <w:vAlign w:val="center"/>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5</w:t>
            </w:r>
          </w:p>
        </w:tc>
        <w:tc>
          <w:tcPr>
            <w:tcW w:w="2003" w:type="dxa"/>
            <w:tcBorders>
              <w:top w:val="nil"/>
              <w:left w:val="nil"/>
              <w:bottom w:val="single" w:sz="4" w:space="0" w:color="auto"/>
              <w:right w:val="single" w:sz="4" w:space="0" w:color="auto"/>
            </w:tcBorders>
            <w:vAlign w:val="center"/>
            <w:hideMark/>
          </w:tcPr>
          <w:p w:rsidR="00E67099" w:rsidRPr="00E67099" w:rsidRDefault="00E67099" w:rsidP="00E67099">
            <w:pPr>
              <w:spacing w:after="0" w:line="240" w:lineRule="auto"/>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Reconstrucția sălii sportive de haltere a Centrului sportiv de pregătire a loturilor naţionale, str. Alexandru Lăpuşneanu nr. 2, municipiul Chişinău</w:t>
            </w:r>
          </w:p>
        </w:tc>
        <w:tc>
          <w:tcPr>
            <w:tcW w:w="757" w:type="dxa"/>
            <w:tcBorders>
              <w:top w:val="nil"/>
              <w:left w:val="nil"/>
              <w:bottom w:val="single" w:sz="4" w:space="0" w:color="auto"/>
              <w:right w:val="single" w:sz="4" w:space="0" w:color="auto"/>
            </w:tcBorders>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2012</w:t>
            </w:r>
          </w:p>
        </w:tc>
        <w:tc>
          <w:tcPr>
            <w:tcW w:w="802" w:type="dxa"/>
            <w:tcBorders>
              <w:top w:val="nil"/>
              <w:left w:val="nil"/>
              <w:bottom w:val="single" w:sz="4" w:space="0" w:color="auto"/>
              <w:right w:val="single" w:sz="4" w:space="0" w:color="auto"/>
            </w:tcBorders>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5000,0</w:t>
            </w:r>
          </w:p>
        </w:tc>
        <w:tc>
          <w:tcPr>
            <w:tcW w:w="709" w:type="dxa"/>
            <w:tcBorders>
              <w:top w:val="nil"/>
              <w:left w:val="nil"/>
              <w:bottom w:val="single" w:sz="4" w:space="0" w:color="auto"/>
              <w:right w:val="single" w:sz="4" w:space="0" w:color="auto"/>
            </w:tcBorders>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5020,0</w:t>
            </w:r>
          </w:p>
        </w:tc>
        <w:tc>
          <w:tcPr>
            <w:tcW w:w="850" w:type="dxa"/>
            <w:tcBorders>
              <w:top w:val="nil"/>
              <w:left w:val="nil"/>
              <w:bottom w:val="single" w:sz="4" w:space="0" w:color="auto"/>
              <w:right w:val="single" w:sz="4" w:space="0" w:color="auto"/>
            </w:tcBorders>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6.500,0</w:t>
            </w:r>
          </w:p>
        </w:tc>
        <w:tc>
          <w:tcPr>
            <w:tcW w:w="850" w:type="dxa"/>
            <w:tcBorders>
              <w:top w:val="nil"/>
              <w:left w:val="nil"/>
              <w:bottom w:val="single" w:sz="4" w:space="0" w:color="auto"/>
              <w:right w:val="single" w:sz="4" w:space="0" w:color="auto"/>
            </w:tcBorders>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6.720,0</w:t>
            </w:r>
          </w:p>
        </w:tc>
        <w:tc>
          <w:tcPr>
            <w:tcW w:w="858" w:type="dxa"/>
            <w:tcBorders>
              <w:top w:val="nil"/>
              <w:left w:val="nil"/>
              <w:bottom w:val="single" w:sz="4" w:space="0" w:color="auto"/>
              <w:right w:val="single" w:sz="4" w:space="0" w:color="auto"/>
            </w:tcBorders>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6.720,0</w:t>
            </w:r>
          </w:p>
        </w:tc>
        <w:tc>
          <w:tcPr>
            <w:tcW w:w="844" w:type="dxa"/>
            <w:tcBorders>
              <w:top w:val="nil"/>
              <w:left w:val="nil"/>
              <w:bottom w:val="single" w:sz="4" w:space="0" w:color="auto"/>
              <w:right w:val="single" w:sz="4" w:space="0" w:color="auto"/>
            </w:tcBorders>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6.720,0</w:t>
            </w:r>
          </w:p>
        </w:tc>
        <w:tc>
          <w:tcPr>
            <w:tcW w:w="850" w:type="dxa"/>
            <w:gridSpan w:val="2"/>
            <w:tcBorders>
              <w:top w:val="nil"/>
              <w:left w:val="nil"/>
              <w:bottom w:val="single" w:sz="4" w:space="0" w:color="auto"/>
              <w:right w:val="single" w:sz="4" w:space="0" w:color="auto"/>
            </w:tcBorders>
            <w:shd w:val="clear" w:color="auto" w:fill="C6E0B4"/>
            <w:noWrap/>
            <w:vAlign w:val="bottom"/>
            <w:hideMark/>
          </w:tcPr>
          <w:p w:rsidR="00E67099" w:rsidRPr="00E67099" w:rsidRDefault="00E67099" w:rsidP="00E67099">
            <w:pPr>
              <w:spacing w:after="0" w:line="240" w:lineRule="auto"/>
              <w:jc w:val="right"/>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7.500,0</w:t>
            </w:r>
          </w:p>
        </w:tc>
        <w:tc>
          <w:tcPr>
            <w:tcW w:w="993" w:type="dxa"/>
            <w:gridSpan w:val="2"/>
            <w:tcBorders>
              <w:top w:val="nil"/>
              <w:left w:val="nil"/>
              <w:bottom w:val="single" w:sz="4" w:space="0" w:color="auto"/>
              <w:right w:val="single" w:sz="4" w:space="0" w:color="auto"/>
            </w:tcBorders>
            <w:shd w:val="clear" w:color="auto" w:fill="C6E0B4"/>
            <w:noWrap/>
            <w:vAlign w:val="bottom"/>
            <w:hideMark/>
          </w:tcPr>
          <w:p w:rsidR="00E67099" w:rsidRPr="00E67099" w:rsidRDefault="00E67099" w:rsidP="00E67099">
            <w:pPr>
              <w:spacing w:after="0" w:line="240" w:lineRule="auto"/>
              <w:jc w:val="right"/>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5.000,0</w:t>
            </w:r>
          </w:p>
        </w:tc>
        <w:tc>
          <w:tcPr>
            <w:tcW w:w="850" w:type="dxa"/>
            <w:gridSpan w:val="2"/>
            <w:tcBorders>
              <w:top w:val="nil"/>
              <w:left w:val="nil"/>
              <w:bottom w:val="single" w:sz="4" w:space="0" w:color="auto"/>
              <w:right w:val="single" w:sz="4" w:space="0" w:color="auto"/>
            </w:tcBorders>
            <w:shd w:val="clear" w:color="auto" w:fill="C6E0B4"/>
            <w:noWrap/>
            <w:vAlign w:val="bottom"/>
            <w:hideMark/>
          </w:tcPr>
          <w:p w:rsidR="00E67099" w:rsidRPr="00E67099" w:rsidRDefault="00E67099" w:rsidP="00E67099">
            <w:pPr>
              <w:spacing w:after="0" w:line="240" w:lineRule="auto"/>
              <w:jc w:val="right"/>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2.500,0</w:t>
            </w:r>
          </w:p>
        </w:tc>
        <w:tc>
          <w:tcPr>
            <w:tcW w:w="839" w:type="dxa"/>
            <w:gridSpan w:val="2"/>
            <w:tcBorders>
              <w:top w:val="nil"/>
              <w:left w:val="nil"/>
              <w:bottom w:val="single" w:sz="4" w:space="0" w:color="auto"/>
              <w:right w:val="single" w:sz="4" w:space="0" w:color="auto"/>
            </w:tcBorders>
            <w:shd w:val="clear" w:color="auto" w:fill="C6E0B4"/>
            <w:noWrap/>
            <w:vAlign w:val="bottom"/>
            <w:hideMark/>
          </w:tcPr>
          <w:p w:rsidR="00E67099" w:rsidRPr="00E67099" w:rsidRDefault="00E67099" w:rsidP="00E67099">
            <w:pPr>
              <w:spacing w:after="0" w:line="240" w:lineRule="auto"/>
              <w:jc w:val="right"/>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50,0%</w:t>
            </w:r>
          </w:p>
        </w:tc>
        <w:tc>
          <w:tcPr>
            <w:tcW w:w="997" w:type="dxa"/>
            <w:gridSpan w:val="2"/>
            <w:tcBorders>
              <w:top w:val="nil"/>
              <w:left w:val="nil"/>
              <w:bottom w:val="single" w:sz="4" w:space="0" w:color="auto"/>
              <w:right w:val="single" w:sz="4" w:space="0" w:color="auto"/>
            </w:tcBorders>
            <w:shd w:val="clear" w:color="auto" w:fill="C6E0B4"/>
            <w:noWrap/>
            <w:vAlign w:val="bottom"/>
            <w:hideMark/>
          </w:tcPr>
          <w:p w:rsidR="00E67099" w:rsidRPr="00E67099" w:rsidRDefault="00E67099" w:rsidP="00E67099">
            <w:pPr>
              <w:spacing w:after="0" w:line="240" w:lineRule="auto"/>
              <w:jc w:val="right"/>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7.958,10</w:t>
            </w:r>
          </w:p>
        </w:tc>
        <w:tc>
          <w:tcPr>
            <w:tcW w:w="709" w:type="dxa"/>
            <w:gridSpan w:val="3"/>
            <w:tcBorders>
              <w:top w:val="nil"/>
              <w:left w:val="nil"/>
              <w:bottom w:val="single" w:sz="4" w:space="0" w:color="auto"/>
              <w:right w:val="single" w:sz="4" w:space="0" w:color="auto"/>
            </w:tcBorders>
            <w:shd w:val="clear" w:color="auto" w:fill="FFE699"/>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106,1%</w:t>
            </w:r>
          </w:p>
        </w:tc>
        <w:tc>
          <w:tcPr>
            <w:tcW w:w="858" w:type="dxa"/>
            <w:gridSpan w:val="2"/>
            <w:tcBorders>
              <w:top w:val="nil"/>
              <w:left w:val="nil"/>
              <w:bottom w:val="single" w:sz="4" w:space="0" w:color="auto"/>
              <w:right w:val="single" w:sz="4" w:space="0" w:color="auto"/>
            </w:tcBorders>
            <w:shd w:val="clear" w:color="auto" w:fill="C6E0B4"/>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2.958,1</w:t>
            </w:r>
          </w:p>
        </w:tc>
        <w:tc>
          <w:tcPr>
            <w:tcW w:w="709" w:type="dxa"/>
            <w:gridSpan w:val="2"/>
            <w:tcBorders>
              <w:top w:val="nil"/>
              <w:left w:val="nil"/>
              <w:bottom w:val="single" w:sz="4" w:space="0" w:color="auto"/>
              <w:right w:val="single" w:sz="4" w:space="0" w:color="auto"/>
            </w:tcBorders>
            <w:shd w:val="clear" w:color="auto" w:fill="C6E0B4"/>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159,2%</w:t>
            </w:r>
          </w:p>
        </w:tc>
      </w:tr>
      <w:tr w:rsidR="00E67099" w:rsidRPr="00E67099" w:rsidTr="00A36731">
        <w:trPr>
          <w:gridAfter w:val="2"/>
          <w:wAfter w:w="253" w:type="dxa"/>
          <w:trHeight w:val="320"/>
        </w:trPr>
        <w:tc>
          <w:tcPr>
            <w:tcW w:w="408" w:type="dxa"/>
            <w:tcBorders>
              <w:top w:val="nil"/>
              <w:left w:val="single" w:sz="4" w:space="0" w:color="auto"/>
              <w:bottom w:val="single" w:sz="4" w:space="0" w:color="auto"/>
              <w:right w:val="single" w:sz="4" w:space="0" w:color="auto"/>
            </w:tcBorders>
            <w:shd w:val="clear" w:color="auto" w:fill="FFFFFF"/>
            <w:noWrap/>
            <w:vAlign w:val="center"/>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6</w:t>
            </w:r>
          </w:p>
        </w:tc>
        <w:tc>
          <w:tcPr>
            <w:tcW w:w="2003" w:type="dxa"/>
            <w:tcBorders>
              <w:top w:val="nil"/>
              <w:left w:val="nil"/>
              <w:bottom w:val="single" w:sz="4" w:space="0" w:color="auto"/>
              <w:right w:val="single" w:sz="4" w:space="0" w:color="auto"/>
            </w:tcBorders>
            <w:vAlign w:val="center"/>
            <w:hideMark/>
          </w:tcPr>
          <w:p w:rsidR="00E67099" w:rsidRPr="00E67099" w:rsidRDefault="00E67099" w:rsidP="00E67099">
            <w:pPr>
              <w:spacing w:after="0" w:line="240" w:lineRule="auto"/>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Reconstrucția și modernizarea clădirilor Centrului de Excelență în Industria Ușoară, str. Nicolae Costin nr. 55, municipiul Chișinău</w:t>
            </w:r>
          </w:p>
        </w:tc>
        <w:tc>
          <w:tcPr>
            <w:tcW w:w="757" w:type="dxa"/>
            <w:tcBorders>
              <w:top w:val="nil"/>
              <w:left w:val="nil"/>
              <w:bottom w:val="single" w:sz="4" w:space="0" w:color="auto"/>
              <w:right w:val="single" w:sz="4" w:space="0" w:color="auto"/>
            </w:tcBorders>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2016</w:t>
            </w:r>
          </w:p>
        </w:tc>
        <w:tc>
          <w:tcPr>
            <w:tcW w:w="802" w:type="dxa"/>
            <w:tcBorders>
              <w:top w:val="nil"/>
              <w:left w:val="nil"/>
              <w:bottom w:val="single" w:sz="4" w:space="0" w:color="auto"/>
              <w:right w:val="single" w:sz="4" w:space="0" w:color="auto"/>
            </w:tcBorders>
            <w:vAlign w:val="bottom"/>
            <w:hideMark/>
          </w:tcPr>
          <w:p w:rsidR="00E67099" w:rsidRPr="00E67099" w:rsidRDefault="00E67099" w:rsidP="00E67099">
            <w:pPr>
              <w:spacing w:after="0" w:line="240" w:lineRule="auto"/>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 </w:t>
            </w:r>
          </w:p>
        </w:tc>
        <w:tc>
          <w:tcPr>
            <w:tcW w:w="709" w:type="dxa"/>
            <w:tcBorders>
              <w:top w:val="nil"/>
              <w:left w:val="nil"/>
              <w:bottom w:val="single" w:sz="4" w:space="0" w:color="auto"/>
              <w:right w:val="single" w:sz="4" w:space="0" w:color="auto"/>
            </w:tcBorders>
            <w:vAlign w:val="bottom"/>
            <w:hideMark/>
          </w:tcPr>
          <w:p w:rsidR="00E67099" w:rsidRPr="00E67099" w:rsidRDefault="00E67099" w:rsidP="00E67099">
            <w:pPr>
              <w:spacing w:after="0" w:line="240" w:lineRule="auto"/>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 </w:t>
            </w:r>
          </w:p>
        </w:tc>
        <w:tc>
          <w:tcPr>
            <w:tcW w:w="850" w:type="dxa"/>
            <w:tcBorders>
              <w:top w:val="nil"/>
              <w:left w:val="nil"/>
              <w:bottom w:val="single" w:sz="4" w:space="0" w:color="auto"/>
              <w:right w:val="single" w:sz="4" w:space="0" w:color="auto"/>
            </w:tcBorders>
            <w:vAlign w:val="bottom"/>
            <w:hideMark/>
          </w:tcPr>
          <w:p w:rsidR="00E67099" w:rsidRPr="00E67099" w:rsidRDefault="00E67099" w:rsidP="00E67099">
            <w:pPr>
              <w:spacing w:after="0" w:line="240" w:lineRule="auto"/>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 </w:t>
            </w:r>
          </w:p>
        </w:tc>
        <w:tc>
          <w:tcPr>
            <w:tcW w:w="850" w:type="dxa"/>
            <w:tcBorders>
              <w:top w:val="nil"/>
              <w:left w:val="nil"/>
              <w:bottom w:val="single" w:sz="4" w:space="0" w:color="auto"/>
              <w:right w:val="single" w:sz="4" w:space="0" w:color="auto"/>
            </w:tcBorders>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24.000,0</w:t>
            </w:r>
          </w:p>
        </w:tc>
        <w:tc>
          <w:tcPr>
            <w:tcW w:w="858" w:type="dxa"/>
            <w:tcBorders>
              <w:top w:val="nil"/>
              <w:left w:val="nil"/>
              <w:bottom w:val="single" w:sz="4" w:space="0" w:color="auto"/>
              <w:right w:val="single" w:sz="4" w:space="0" w:color="auto"/>
            </w:tcBorders>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27.615,9</w:t>
            </w:r>
          </w:p>
        </w:tc>
        <w:tc>
          <w:tcPr>
            <w:tcW w:w="844" w:type="dxa"/>
            <w:tcBorders>
              <w:top w:val="nil"/>
              <w:left w:val="nil"/>
              <w:bottom w:val="single" w:sz="4" w:space="0" w:color="auto"/>
              <w:right w:val="single" w:sz="4" w:space="0" w:color="auto"/>
            </w:tcBorders>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23.750,0</w:t>
            </w:r>
          </w:p>
        </w:tc>
        <w:tc>
          <w:tcPr>
            <w:tcW w:w="850" w:type="dxa"/>
            <w:gridSpan w:val="2"/>
            <w:tcBorders>
              <w:top w:val="nil"/>
              <w:left w:val="nil"/>
              <w:bottom w:val="single" w:sz="4" w:space="0" w:color="auto"/>
              <w:right w:val="single" w:sz="4" w:space="0" w:color="auto"/>
            </w:tcBorders>
            <w:noWrap/>
            <w:vAlign w:val="bottom"/>
            <w:hideMark/>
          </w:tcPr>
          <w:p w:rsidR="00E67099" w:rsidRPr="00E67099" w:rsidRDefault="00E67099" w:rsidP="00E67099">
            <w:pPr>
              <w:spacing w:after="0" w:line="240" w:lineRule="auto"/>
              <w:jc w:val="right"/>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23.750,0</w:t>
            </w:r>
          </w:p>
        </w:tc>
        <w:tc>
          <w:tcPr>
            <w:tcW w:w="993" w:type="dxa"/>
            <w:gridSpan w:val="2"/>
            <w:tcBorders>
              <w:top w:val="nil"/>
              <w:left w:val="nil"/>
              <w:bottom w:val="single" w:sz="4" w:space="0" w:color="auto"/>
              <w:right w:val="single" w:sz="4" w:space="0" w:color="auto"/>
            </w:tcBorders>
            <w:noWrap/>
            <w:vAlign w:val="bottom"/>
            <w:hideMark/>
          </w:tcPr>
          <w:p w:rsidR="00E67099" w:rsidRPr="00E67099" w:rsidRDefault="00E67099" w:rsidP="00E67099">
            <w:pPr>
              <w:spacing w:after="0" w:line="240" w:lineRule="auto"/>
              <w:jc w:val="right"/>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24.000,0</w:t>
            </w:r>
          </w:p>
        </w:tc>
        <w:tc>
          <w:tcPr>
            <w:tcW w:w="850" w:type="dxa"/>
            <w:gridSpan w:val="2"/>
            <w:tcBorders>
              <w:top w:val="nil"/>
              <w:left w:val="nil"/>
              <w:bottom w:val="single" w:sz="4" w:space="0" w:color="auto"/>
              <w:right w:val="single" w:sz="4" w:space="0" w:color="auto"/>
            </w:tcBorders>
            <w:noWrap/>
            <w:vAlign w:val="bottom"/>
            <w:hideMark/>
          </w:tcPr>
          <w:p w:rsidR="00E67099" w:rsidRPr="00E67099" w:rsidRDefault="00E67099" w:rsidP="00E67099">
            <w:pPr>
              <w:spacing w:after="0" w:line="240" w:lineRule="auto"/>
              <w:jc w:val="right"/>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-250,0</w:t>
            </w:r>
          </w:p>
        </w:tc>
        <w:tc>
          <w:tcPr>
            <w:tcW w:w="839" w:type="dxa"/>
            <w:gridSpan w:val="2"/>
            <w:tcBorders>
              <w:top w:val="nil"/>
              <w:left w:val="nil"/>
              <w:bottom w:val="single" w:sz="4" w:space="0" w:color="auto"/>
              <w:right w:val="single" w:sz="4" w:space="0" w:color="auto"/>
            </w:tcBorders>
            <w:shd w:val="clear" w:color="auto" w:fill="FFFFFF"/>
            <w:noWrap/>
            <w:vAlign w:val="bottom"/>
            <w:hideMark/>
          </w:tcPr>
          <w:p w:rsidR="00E67099" w:rsidRPr="00E67099" w:rsidRDefault="00E67099" w:rsidP="00E67099">
            <w:pPr>
              <w:spacing w:after="0" w:line="240" w:lineRule="auto"/>
              <w:jc w:val="right"/>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-1,0%</w:t>
            </w:r>
          </w:p>
        </w:tc>
        <w:tc>
          <w:tcPr>
            <w:tcW w:w="997" w:type="dxa"/>
            <w:gridSpan w:val="2"/>
            <w:tcBorders>
              <w:top w:val="nil"/>
              <w:left w:val="nil"/>
              <w:bottom w:val="single" w:sz="4" w:space="0" w:color="auto"/>
              <w:right w:val="single" w:sz="4" w:space="0" w:color="auto"/>
            </w:tcBorders>
            <w:shd w:val="clear" w:color="auto" w:fill="FFFFFF"/>
            <w:noWrap/>
            <w:vAlign w:val="bottom"/>
            <w:hideMark/>
          </w:tcPr>
          <w:p w:rsidR="00E67099" w:rsidRPr="00E67099" w:rsidRDefault="00E67099" w:rsidP="00E67099">
            <w:pPr>
              <w:spacing w:after="0" w:line="240" w:lineRule="auto"/>
              <w:jc w:val="right"/>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25.016,68</w:t>
            </w:r>
          </w:p>
        </w:tc>
        <w:tc>
          <w:tcPr>
            <w:tcW w:w="709" w:type="dxa"/>
            <w:gridSpan w:val="3"/>
            <w:tcBorders>
              <w:top w:val="nil"/>
              <w:left w:val="nil"/>
              <w:bottom w:val="single" w:sz="4" w:space="0" w:color="auto"/>
              <w:right w:val="single" w:sz="4" w:space="0" w:color="auto"/>
            </w:tcBorders>
            <w:shd w:val="clear" w:color="auto" w:fill="FFE699"/>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105,3%</w:t>
            </w:r>
          </w:p>
        </w:tc>
        <w:tc>
          <w:tcPr>
            <w:tcW w:w="858" w:type="dxa"/>
            <w:gridSpan w:val="2"/>
            <w:tcBorders>
              <w:top w:val="nil"/>
              <w:left w:val="nil"/>
              <w:bottom w:val="single" w:sz="4" w:space="0" w:color="auto"/>
              <w:right w:val="single" w:sz="4" w:space="0" w:color="auto"/>
            </w:tcBorders>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1.016,7</w:t>
            </w:r>
          </w:p>
        </w:tc>
        <w:tc>
          <w:tcPr>
            <w:tcW w:w="709" w:type="dxa"/>
            <w:gridSpan w:val="2"/>
            <w:tcBorders>
              <w:top w:val="nil"/>
              <w:left w:val="nil"/>
              <w:bottom w:val="single" w:sz="4" w:space="0" w:color="auto"/>
              <w:right w:val="single" w:sz="4" w:space="0" w:color="auto"/>
            </w:tcBorders>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104,2%</w:t>
            </w:r>
          </w:p>
        </w:tc>
      </w:tr>
      <w:tr w:rsidR="00E67099" w:rsidRPr="00E67099" w:rsidTr="00A36731">
        <w:trPr>
          <w:gridAfter w:val="2"/>
          <w:wAfter w:w="253" w:type="dxa"/>
          <w:trHeight w:val="480"/>
        </w:trPr>
        <w:tc>
          <w:tcPr>
            <w:tcW w:w="408" w:type="dxa"/>
            <w:tcBorders>
              <w:top w:val="nil"/>
              <w:left w:val="single" w:sz="4" w:space="0" w:color="auto"/>
              <w:bottom w:val="single" w:sz="4" w:space="0" w:color="auto"/>
              <w:right w:val="single" w:sz="4" w:space="0" w:color="auto"/>
            </w:tcBorders>
            <w:noWrap/>
            <w:vAlign w:val="center"/>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7</w:t>
            </w:r>
          </w:p>
        </w:tc>
        <w:tc>
          <w:tcPr>
            <w:tcW w:w="2003" w:type="dxa"/>
            <w:tcBorders>
              <w:top w:val="nil"/>
              <w:left w:val="nil"/>
              <w:bottom w:val="single" w:sz="4" w:space="0" w:color="auto"/>
              <w:right w:val="single" w:sz="4" w:space="0" w:color="auto"/>
            </w:tcBorders>
            <w:vAlign w:val="center"/>
            <w:hideMark/>
          </w:tcPr>
          <w:p w:rsidR="00E67099" w:rsidRPr="00E67099" w:rsidRDefault="00E67099" w:rsidP="00E67099">
            <w:pPr>
              <w:spacing w:after="0" w:line="240" w:lineRule="auto"/>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Reconstrucția și modernizarea clădirii Centrului de Excelență în Informatică și Tehnologii Informaționale, str. Sarmizegetusa nr. 48, municipiul Chișinău</w:t>
            </w:r>
          </w:p>
        </w:tc>
        <w:tc>
          <w:tcPr>
            <w:tcW w:w="757" w:type="dxa"/>
            <w:tcBorders>
              <w:top w:val="nil"/>
              <w:left w:val="nil"/>
              <w:bottom w:val="single" w:sz="4" w:space="0" w:color="auto"/>
              <w:right w:val="single" w:sz="4" w:space="0" w:color="auto"/>
            </w:tcBorders>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2016</w:t>
            </w:r>
          </w:p>
        </w:tc>
        <w:tc>
          <w:tcPr>
            <w:tcW w:w="802" w:type="dxa"/>
            <w:tcBorders>
              <w:top w:val="nil"/>
              <w:left w:val="nil"/>
              <w:bottom w:val="single" w:sz="4" w:space="0" w:color="auto"/>
              <w:right w:val="single" w:sz="4" w:space="0" w:color="auto"/>
            </w:tcBorders>
            <w:vAlign w:val="bottom"/>
            <w:hideMark/>
          </w:tcPr>
          <w:p w:rsidR="00E67099" w:rsidRPr="00E67099" w:rsidRDefault="00E67099" w:rsidP="00E67099">
            <w:pPr>
              <w:spacing w:after="0" w:line="240" w:lineRule="auto"/>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 </w:t>
            </w:r>
          </w:p>
        </w:tc>
        <w:tc>
          <w:tcPr>
            <w:tcW w:w="709" w:type="dxa"/>
            <w:tcBorders>
              <w:top w:val="nil"/>
              <w:left w:val="nil"/>
              <w:bottom w:val="single" w:sz="4" w:space="0" w:color="auto"/>
              <w:right w:val="single" w:sz="4" w:space="0" w:color="auto"/>
            </w:tcBorders>
            <w:vAlign w:val="bottom"/>
            <w:hideMark/>
          </w:tcPr>
          <w:p w:rsidR="00E67099" w:rsidRPr="00E67099" w:rsidRDefault="00E67099" w:rsidP="00E67099">
            <w:pPr>
              <w:spacing w:after="0" w:line="240" w:lineRule="auto"/>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 </w:t>
            </w:r>
          </w:p>
        </w:tc>
        <w:tc>
          <w:tcPr>
            <w:tcW w:w="850" w:type="dxa"/>
            <w:tcBorders>
              <w:top w:val="nil"/>
              <w:left w:val="nil"/>
              <w:bottom w:val="single" w:sz="4" w:space="0" w:color="auto"/>
              <w:right w:val="single" w:sz="4" w:space="0" w:color="auto"/>
            </w:tcBorders>
            <w:vAlign w:val="bottom"/>
            <w:hideMark/>
          </w:tcPr>
          <w:p w:rsidR="00E67099" w:rsidRPr="00E67099" w:rsidRDefault="00E67099" w:rsidP="00E67099">
            <w:pPr>
              <w:spacing w:after="0" w:line="240" w:lineRule="auto"/>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 </w:t>
            </w:r>
          </w:p>
        </w:tc>
        <w:tc>
          <w:tcPr>
            <w:tcW w:w="850" w:type="dxa"/>
            <w:tcBorders>
              <w:top w:val="nil"/>
              <w:left w:val="nil"/>
              <w:bottom w:val="single" w:sz="4" w:space="0" w:color="auto"/>
              <w:right w:val="single" w:sz="4" w:space="0" w:color="auto"/>
            </w:tcBorders>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21.200,0</w:t>
            </w:r>
          </w:p>
        </w:tc>
        <w:tc>
          <w:tcPr>
            <w:tcW w:w="858" w:type="dxa"/>
            <w:tcBorders>
              <w:top w:val="nil"/>
              <w:left w:val="nil"/>
              <w:bottom w:val="single" w:sz="4" w:space="0" w:color="auto"/>
              <w:right w:val="single" w:sz="4" w:space="0" w:color="auto"/>
            </w:tcBorders>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32.359,4</w:t>
            </w:r>
          </w:p>
        </w:tc>
        <w:tc>
          <w:tcPr>
            <w:tcW w:w="844" w:type="dxa"/>
            <w:tcBorders>
              <w:top w:val="nil"/>
              <w:left w:val="nil"/>
              <w:bottom w:val="single" w:sz="4" w:space="0" w:color="auto"/>
              <w:right w:val="single" w:sz="4" w:space="0" w:color="auto"/>
            </w:tcBorders>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27.186,5</w:t>
            </w:r>
          </w:p>
        </w:tc>
        <w:tc>
          <w:tcPr>
            <w:tcW w:w="850" w:type="dxa"/>
            <w:gridSpan w:val="2"/>
            <w:tcBorders>
              <w:top w:val="nil"/>
              <w:left w:val="nil"/>
              <w:bottom w:val="single" w:sz="4" w:space="0" w:color="auto"/>
              <w:right w:val="single" w:sz="4" w:space="0" w:color="auto"/>
            </w:tcBorders>
            <w:shd w:val="clear" w:color="auto" w:fill="C6E0B4"/>
            <w:noWrap/>
            <w:vAlign w:val="bottom"/>
            <w:hideMark/>
          </w:tcPr>
          <w:p w:rsidR="00E67099" w:rsidRPr="00E67099" w:rsidRDefault="00E67099" w:rsidP="00E67099">
            <w:pPr>
              <w:spacing w:after="0" w:line="240" w:lineRule="auto"/>
              <w:jc w:val="right"/>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27.186,5</w:t>
            </w:r>
          </w:p>
        </w:tc>
        <w:tc>
          <w:tcPr>
            <w:tcW w:w="993" w:type="dxa"/>
            <w:gridSpan w:val="2"/>
            <w:tcBorders>
              <w:top w:val="nil"/>
              <w:left w:val="nil"/>
              <w:bottom w:val="single" w:sz="4" w:space="0" w:color="auto"/>
              <w:right w:val="single" w:sz="4" w:space="0" w:color="auto"/>
            </w:tcBorders>
            <w:shd w:val="clear" w:color="auto" w:fill="C6E0B4"/>
            <w:noWrap/>
            <w:vAlign w:val="bottom"/>
            <w:hideMark/>
          </w:tcPr>
          <w:p w:rsidR="00E67099" w:rsidRPr="00E67099" w:rsidRDefault="00E67099" w:rsidP="00E67099">
            <w:pPr>
              <w:spacing w:after="0" w:line="240" w:lineRule="auto"/>
              <w:jc w:val="right"/>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21.200,0</w:t>
            </w:r>
          </w:p>
        </w:tc>
        <w:tc>
          <w:tcPr>
            <w:tcW w:w="850" w:type="dxa"/>
            <w:gridSpan w:val="2"/>
            <w:tcBorders>
              <w:top w:val="nil"/>
              <w:left w:val="nil"/>
              <w:bottom w:val="single" w:sz="4" w:space="0" w:color="auto"/>
              <w:right w:val="single" w:sz="4" w:space="0" w:color="auto"/>
            </w:tcBorders>
            <w:shd w:val="clear" w:color="auto" w:fill="C6E0B4"/>
            <w:noWrap/>
            <w:vAlign w:val="bottom"/>
            <w:hideMark/>
          </w:tcPr>
          <w:p w:rsidR="00E67099" w:rsidRPr="00E67099" w:rsidRDefault="00E67099" w:rsidP="00E67099">
            <w:pPr>
              <w:spacing w:after="0" w:line="240" w:lineRule="auto"/>
              <w:jc w:val="right"/>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5.986,5</w:t>
            </w:r>
          </w:p>
        </w:tc>
        <w:tc>
          <w:tcPr>
            <w:tcW w:w="839" w:type="dxa"/>
            <w:gridSpan w:val="2"/>
            <w:tcBorders>
              <w:top w:val="nil"/>
              <w:left w:val="nil"/>
              <w:bottom w:val="single" w:sz="4" w:space="0" w:color="auto"/>
              <w:right w:val="single" w:sz="4" w:space="0" w:color="auto"/>
            </w:tcBorders>
            <w:shd w:val="clear" w:color="auto" w:fill="C6E0B4"/>
            <w:noWrap/>
            <w:vAlign w:val="bottom"/>
            <w:hideMark/>
          </w:tcPr>
          <w:p w:rsidR="00E67099" w:rsidRPr="00E67099" w:rsidRDefault="00E67099" w:rsidP="00E67099">
            <w:pPr>
              <w:spacing w:after="0" w:line="240" w:lineRule="auto"/>
              <w:jc w:val="right"/>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28,2%</w:t>
            </w:r>
          </w:p>
        </w:tc>
        <w:tc>
          <w:tcPr>
            <w:tcW w:w="997" w:type="dxa"/>
            <w:gridSpan w:val="2"/>
            <w:tcBorders>
              <w:top w:val="nil"/>
              <w:left w:val="nil"/>
              <w:bottom w:val="single" w:sz="4" w:space="0" w:color="auto"/>
              <w:right w:val="single" w:sz="4" w:space="0" w:color="auto"/>
            </w:tcBorders>
            <w:shd w:val="clear" w:color="auto" w:fill="C6E0B4"/>
            <w:noWrap/>
            <w:vAlign w:val="bottom"/>
            <w:hideMark/>
          </w:tcPr>
          <w:p w:rsidR="00E67099" w:rsidRPr="00E67099" w:rsidRDefault="00E67099" w:rsidP="00E67099">
            <w:pPr>
              <w:spacing w:after="0" w:line="240" w:lineRule="auto"/>
              <w:jc w:val="right"/>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26.494,88</w:t>
            </w:r>
          </w:p>
        </w:tc>
        <w:tc>
          <w:tcPr>
            <w:tcW w:w="709" w:type="dxa"/>
            <w:gridSpan w:val="3"/>
            <w:tcBorders>
              <w:top w:val="nil"/>
              <w:left w:val="nil"/>
              <w:bottom w:val="single" w:sz="4" w:space="0" w:color="auto"/>
              <w:right w:val="single" w:sz="4" w:space="0" w:color="auto"/>
            </w:tcBorders>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97,5%</w:t>
            </w:r>
          </w:p>
        </w:tc>
        <w:tc>
          <w:tcPr>
            <w:tcW w:w="858" w:type="dxa"/>
            <w:gridSpan w:val="2"/>
            <w:tcBorders>
              <w:top w:val="nil"/>
              <w:left w:val="nil"/>
              <w:bottom w:val="single" w:sz="4" w:space="0" w:color="auto"/>
              <w:right w:val="single" w:sz="4" w:space="0" w:color="auto"/>
            </w:tcBorders>
            <w:shd w:val="clear" w:color="auto" w:fill="C6E0B4"/>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5.294,9</w:t>
            </w:r>
          </w:p>
        </w:tc>
        <w:tc>
          <w:tcPr>
            <w:tcW w:w="709" w:type="dxa"/>
            <w:gridSpan w:val="2"/>
            <w:tcBorders>
              <w:top w:val="nil"/>
              <w:left w:val="nil"/>
              <w:bottom w:val="single" w:sz="4" w:space="0" w:color="auto"/>
              <w:right w:val="single" w:sz="4" w:space="0" w:color="auto"/>
            </w:tcBorders>
            <w:shd w:val="clear" w:color="auto" w:fill="C6E0B4"/>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125,0%</w:t>
            </w:r>
          </w:p>
        </w:tc>
      </w:tr>
      <w:tr w:rsidR="00E67099" w:rsidRPr="00E67099" w:rsidTr="00A36731">
        <w:trPr>
          <w:gridAfter w:val="2"/>
          <w:wAfter w:w="253" w:type="dxa"/>
          <w:trHeight w:val="320"/>
        </w:trPr>
        <w:tc>
          <w:tcPr>
            <w:tcW w:w="408" w:type="dxa"/>
            <w:tcBorders>
              <w:top w:val="nil"/>
              <w:left w:val="single" w:sz="4" w:space="0" w:color="auto"/>
              <w:bottom w:val="single" w:sz="4" w:space="0" w:color="auto"/>
              <w:right w:val="single" w:sz="4" w:space="0" w:color="auto"/>
            </w:tcBorders>
            <w:shd w:val="clear" w:color="auto" w:fill="FFFFFF"/>
            <w:noWrap/>
            <w:vAlign w:val="center"/>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8</w:t>
            </w:r>
          </w:p>
        </w:tc>
        <w:tc>
          <w:tcPr>
            <w:tcW w:w="2003" w:type="dxa"/>
            <w:tcBorders>
              <w:top w:val="nil"/>
              <w:left w:val="nil"/>
              <w:bottom w:val="single" w:sz="4" w:space="0" w:color="auto"/>
              <w:right w:val="single" w:sz="4" w:space="0" w:color="auto"/>
            </w:tcBorders>
            <w:vAlign w:val="center"/>
            <w:hideMark/>
          </w:tcPr>
          <w:p w:rsidR="00E67099" w:rsidRPr="00E67099" w:rsidRDefault="00E67099" w:rsidP="00E67099">
            <w:pPr>
              <w:spacing w:after="0" w:line="240" w:lineRule="auto"/>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Reconstrucția și modernizarea clădirilor Centrului de Excelență Financiar-Economic, str. Miron Costin nr. 26/2, municipiul Chișinău</w:t>
            </w:r>
          </w:p>
        </w:tc>
        <w:tc>
          <w:tcPr>
            <w:tcW w:w="757" w:type="dxa"/>
            <w:tcBorders>
              <w:top w:val="nil"/>
              <w:left w:val="nil"/>
              <w:bottom w:val="single" w:sz="4" w:space="0" w:color="auto"/>
              <w:right w:val="single" w:sz="4" w:space="0" w:color="auto"/>
            </w:tcBorders>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2016</w:t>
            </w:r>
          </w:p>
        </w:tc>
        <w:tc>
          <w:tcPr>
            <w:tcW w:w="802" w:type="dxa"/>
            <w:tcBorders>
              <w:top w:val="nil"/>
              <w:left w:val="nil"/>
              <w:bottom w:val="single" w:sz="4" w:space="0" w:color="auto"/>
              <w:right w:val="single" w:sz="4" w:space="0" w:color="auto"/>
            </w:tcBorders>
            <w:vAlign w:val="bottom"/>
            <w:hideMark/>
          </w:tcPr>
          <w:p w:rsidR="00E67099" w:rsidRPr="00E67099" w:rsidRDefault="00E67099" w:rsidP="00E67099">
            <w:pPr>
              <w:spacing w:after="0" w:line="240" w:lineRule="auto"/>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 </w:t>
            </w:r>
          </w:p>
        </w:tc>
        <w:tc>
          <w:tcPr>
            <w:tcW w:w="709" w:type="dxa"/>
            <w:tcBorders>
              <w:top w:val="nil"/>
              <w:left w:val="nil"/>
              <w:bottom w:val="single" w:sz="4" w:space="0" w:color="auto"/>
              <w:right w:val="single" w:sz="4" w:space="0" w:color="auto"/>
            </w:tcBorders>
            <w:vAlign w:val="bottom"/>
            <w:hideMark/>
          </w:tcPr>
          <w:p w:rsidR="00E67099" w:rsidRPr="00E67099" w:rsidRDefault="00E67099" w:rsidP="00E67099">
            <w:pPr>
              <w:spacing w:after="0" w:line="240" w:lineRule="auto"/>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 </w:t>
            </w:r>
          </w:p>
        </w:tc>
        <w:tc>
          <w:tcPr>
            <w:tcW w:w="850" w:type="dxa"/>
            <w:tcBorders>
              <w:top w:val="nil"/>
              <w:left w:val="nil"/>
              <w:bottom w:val="single" w:sz="4" w:space="0" w:color="auto"/>
              <w:right w:val="single" w:sz="4" w:space="0" w:color="auto"/>
            </w:tcBorders>
            <w:vAlign w:val="bottom"/>
            <w:hideMark/>
          </w:tcPr>
          <w:p w:rsidR="00E67099" w:rsidRPr="00E67099" w:rsidRDefault="00E67099" w:rsidP="00E67099">
            <w:pPr>
              <w:spacing w:after="0" w:line="240" w:lineRule="auto"/>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 </w:t>
            </w:r>
          </w:p>
        </w:tc>
        <w:tc>
          <w:tcPr>
            <w:tcW w:w="850" w:type="dxa"/>
            <w:tcBorders>
              <w:top w:val="nil"/>
              <w:left w:val="nil"/>
              <w:bottom w:val="single" w:sz="4" w:space="0" w:color="auto"/>
              <w:right w:val="single" w:sz="4" w:space="0" w:color="auto"/>
            </w:tcBorders>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24.000,0</w:t>
            </w:r>
          </w:p>
        </w:tc>
        <w:tc>
          <w:tcPr>
            <w:tcW w:w="858" w:type="dxa"/>
            <w:tcBorders>
              <w:top w:val="nil"/>
              <w:left w:val="nil"/>
              <w:bottom w:val="single" w:sz="4" w:space="0" w:color="auto"/>
              <w:right w:val="single" w:sz="4" w:space="0" w:color="auto"/>
            </w:tcBorders>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20.000,0</w:t>
            </w:r>
          </w:p>
        </w:tc>
        <w:tc>
          <w:tcPr>
            <w:tcW w:w="844" w:type="dxa"/>
            <w:tcBorders>
              <w:top w:val="nil"/>
              <w:left w:val="nil"/>
              <w:bottom w:val="single" w:sz="4" w:space="0" w:color="auto"/>
              <w:right w:val="single" w:sz="4" w:space="0" w:color="auto"/>
            </w:tcBorders>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32.050,0</w:t>
            </w:r>
          </w:p>
        </w:tc>
        <w:tc>
          <w:tcPr>
            <w:tcW w:w="850" w:type="dxa"/>
            <w:gridSpan w:val="2"/>
            <w:tcBorders>
              <w:top w:val="nil"/>
              <w:left w:val="nil"/>
              <w:bottom w:val="single" w:sz="4" w:space="0" w:color="auto"/>
              <w:right w:val="single" w:sz="4" w:space="0" w:color="auto"/>
            </w:tcBorders>
            <w:shd w:val="clear" w:color="auto" w:fill="C6E0B4"/>
            <w:noWrap/>
            <w:vAlign w:val="bottom"/>
            <w:hideMark/>
          </w:tcPr>
          <w:p w:rsidR="00E67099" w:rsidRPr="00E67099" w:rsidRDefault="00E67099" w:rsidP="00E67099">
            <w:pPr>
              <w:spacing w:after="0" w:line="240" w:lineRule="auto"/>
              <w:jc w:val="right"/>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33.816,0</w:t>
            </w:r>
          </w:p>
        </w:tc>
        <w:tc>
          <w:tcPr>
            <w:tcW w:w="993" w:type="dxa"/>
            <w:gridSpan w:val="2"/>
            <w:tcBorders>
              <w:top w:val="nil"/>
              <w:left w:val="nil"/>
              <w:bottom w:val="single" w:sz="4" w:space="0" w:color="auto"/>
              <w:right w:val="single" w:sz="4" w:space="0" w:color="auto"/>
            </w:tcBorders>
            <w:shd w:val="clear" w:color="auto" w:fill="C6E0B4"/>
            <w:noWrap/>
            <w:vAlign w:val="bottom"/>
            <w:hideMark/>
          </w:tcPr>
          <w:p w:rsidR="00E67099" w:rsidRPr="00E67099" w:rsidRDefault="00E67099" w:rsidP="00E67099">
            <w:pPr>
              <w:spacing w:after="0" w:line="240" w:lineRule="auto"/>
              <w:jc w:val="right"/>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24.000,0</w:t>
            </w:r>
          </w:p>
        </w:tc>
        <w:tc>
          <w:tcPr>
            <w:tcW w:w="850" w:type="dxa"/>
            <w:gridSpan w:val="2"/>
            <w:tcBorders>
              <w:top w:val="nil"/>
              <w:left w:val="nil"/>
              <w:bottom w:val="single" w:sz="4" w:space="0" w:color="auto"/>
              <w:right w:val="single" w:sz="4" w:space="0" w:color="auto"/>
            </w:tcBorders>
            <w:shd w:val="clear" w:color="auto" w:fill="C6E0B4"/>
            <w:noWrap/>
            <w:vAlign w:val="bottom"/>
            <w:hideMark/>
          </w:tcPr>
          <w:p w:rsidR="00E67099" w:rsidRPr="00E67099" w:rsidRDefault="00E67099" w:rsidP="00E67099">
            <w:pPr>
              <w:spacing w:after="0" w:line="240" w:lineRule="auto"/>
              <w:jc w:val="right"/>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9.816,0</w:t>
            </w:r>
          </w:p>
        </w:tc>
        <w:tc>
          <w:tcPr>
            <w:tcW w:w="839" w:type="dxa"/>
            <w:gridSpan w:val="2"/>
            <w:tcBorders>
              <w:top w:val="nil"/>
              <w:left w:val="nil"/>
              <w:bottom w:val="single" w:sz="4" w:space="0" w:color="auto"/>
              <w:right w:val="single" w:sz="4" w:space="0" w:color="auto"/>
            </w:tcBorders>
            <w:shd w:val="clear" w:color="auto" w:fill="C6E0B4"/>
            <w:noWrap/>
            <w:vAlign w:val="bottom"/>
            <w:hideMark/>
          </w:tcPr>
          <w:p w:rsidR="00E67099" w:rsidRPr="00E67099" w:rsidRDefault="00E67099" w:rsidP="00E67099">
            <w:pPr>
              <w:spacing w:after="0" w:line="240" w:lineRule="auto"/>
              <w:jc w:val="right"/>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40,9%</w:t>
            </w:r>
          </w:p>
        </w:tc>
        <w:tc>
          <w:tcPr>
            <w:tcW w:w="997" w:type="dxa"/>
            <w:gridSpan w:val="2"/>
            <w:tcBorders>
              <w:top w:val="nil"/>
              <w:left w:val="nil"/>
              <w:bottom w:val="single" w:sz="4" w:space="0" w:color="auto"/>
              <w:right w:val="single" w:sz="4" w:space="0" w:color="auto"/>
            </w:tcBorders>
            <w:shd w:val="clear" w:color="auto" w:fill="C6E0B4"/>
            <w:noWrap/>
            <w:vAlign w:val="bottom"/>
            <w:hideMark/>
          </w:tcPr>
          <w:p w:rsidR="00E67099" w:rsidRPr="00E67099" w:rsidRDefault="00E67099" w:rsidP="00E67099">
            <w:pPr>
              <w:spacing w:after="0" w:line="240" w:lineRule="auto"/>
              <w:jc w:val="right"/>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30.829,61</w:t>
            </w:r>
          </w:p>
        </w:tc>
        <w:tc>
          <w:tcPr>
            <w:tcW w:w="709" w:type="dxa"/>
            <w:gridSpan w:val="3"/>
            <w:tcBorders>
              <w:top w:val="nil"/>
              <w:left w:val="nil"/>
              <w:bottom w:val="single" w:sz="4" w:space="0" w:color="auto"/>
              <w:right w:val="single" w:sz="4" w:space="0" w:color="auto"/>
            </w:tcBorders>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91,2%</w:t>
            </w:r>
          </w:p>
        </w:tc>
        <w:tc>
          <w:tcPr>
            <w:tcW w:w="858" w:type="dxa"/>
            <w:gridSpan w:val="2"/>
            <w:tcBorders>
              <w:top w:val="nil"/>
              <w:left w:val="nil"/>
              <w:bottom w:val="single" w:sz="4" w:space="0" w:color="auto"/>
              <w:right w:val="single" w:sz="4" w:space="0" w:color="auto"/>
            </w:tcBorders>
            <w:shd w:val="clear" w:color="auto" w:fill="C6E0B4"/>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6.829,6</w:t>
            </w:r>
          </w:p>
        </w:tc>
        <w:tc>
          <w:tcPr>
            <w:tcW w:w="709" w:type="dxa"/>
            <w:gridSpan w:val="2"/>
            <w:tcBorders>
              <w:top w:val="nil"/>
              <w:left w:val="nil"/>
              <w:bottom w:val="single" w:sz="4" w:space="0" w:color="auto"/>
              <w:right w:val="single" w:sz="4" w:space="0" w:color="auto"/>
            </w:tcBorders>
            <w:shd w:val="clear" w:color="auto" w:fill="C6E0B4"/>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128,5%</w:t>
            </w:r>
          </w:p>
        </w:tc>
      </w:tr>
      <w:tr w:rsidR="00E67099" w:rsidRPr="00E67099" w:rsidTr="00A36731">
        <w:trPr>
          <w:gridAfter w:val="2"/>
          <w:wAfter w:w="253" w:type="dxa"/>
          <w:trHeight w:val="320"/>
        </w:trPr>
        <w:tc>
          <w:tcPr>
            <w:tcW w:w="408" w:type="dxa"/>
            <w:tcBorders>
              <w:top w:val="nil"/>
              <w:left w:val="single" w:sz="4" w:space="0" w:color="auto"/>
              <w:bottom w:val="single" w:sz="4" w:space="0" w:color="auto"/>
              <w:right w:val="single" w:sz="4" w:space="0" w:color="auto"/>
            </w:tcBorders>
            <w:noWrap/>
            <w:vAlign w:val="center"/>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9</w:t>
            </w:r>
          </w:p>
        </w:tc>
        <w:tc>
          <w:tcPr>
            <w:tcW w:w="2003" w:type="dxa"/>
            <w:tcBorders>
              <w:top w:val="nil"/>
              <w:left w:val="nil"/>
              <w:bottom w:val="single" w:sz="4" w:space="0" w:color="auto"/>
              <w:right w:val="single" w:sz="4" w:space="0" w:color="auto"/>
            </w:tcBorders>
            <w:vAlign w:val="center"/>
            <w:hideMark/>
          </w:tcPr>
          <w:p w:rsidR="00E67099" w:rsidRPr="00E67099" w:rsidRDefault="00E67099" w:rsidP="00E67099">
            <w:pPr>
              <w:spacing w:after="0" w:line="240" w:lineRule="auto"/>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Construcția complexului sportiv al Universității Pedagogice de Stat „Ion Creangă”, str. Ion Creangă nr. 1, municipiul Chișinău</w:t>
            </w:r>
          </w:p>
        </w:tc>
        <w:tc>
          <w:tcPr>
            <w:tcW w:w="757" w:type="dxa"/>
            <w:tcBorders>
              <w:top w:val="nil"/>
              <w:left w:val="nil"/>
              <w:bottom w:val="single" w:sz="4" w:space="0" w:color="auto"/>
              <w:right w:val="single" w:sz="4" w:space="0" w:color="auto"/>
            </w:tcBorders>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2003</w:t>
            </w:r>
          </w:p>
        </w:tc>
        <w:tc>
          <w:tcPr>
            <w:tcW w:w="802" w:type="dxa"/>
            <w:tcBorders>
              <w:top w:val="nil"/>
              <w:left w:val="nil"/>
              <w:bottom w:val="single" w:sz="4" w:space="0" w:color="auto"/>
              <w:right w:val="single" w:sz="4" w:space="0" w:color="auto"/>
            </w:tcBorders>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9586,7</w:t>
            </w:r>
          </w:p>
        </w:tc>
        <w:tc>
          <w:tcPr>
            <w:tcW w:w="709" w:type="dxa"/>
            <w:tcBorders>
              <w:top w:val="nil"/>
              <w:left w:val="nil"/>
              <w:bottom w:val="single" w:sz="4" w:space="0" w:color="auto"/>
              <w:right w:val="single" w:sz="4" w:space="0" w:color="auto"/>
            </w:tcBorders>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9856,7</w:t>
            </w:r>
          </w:p>
        </w:tc>
        <w:tc>
          <w:tcPr>
            <w:tcW w:w="850" w:type="dxa"/>
            <w:tcBorders>
              <w:top w:val="nil"/>
              <w:left w:val="nil"/>
              <w:bottom w:val="single" w:sz="4" w:space="0" w:color="auto"/>
              <w:right w:val="single" w:sz="4" w:space="0" w:color="auto"/>
            </w:tcBorders>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9.856,7</w:t>
            </w:r>
          </w:p>
        </w:tc>
        <w:tc>
          <w:tcPr>
            <w:tcW w:w="850" w:type="dxa"/>
            <w:tcBorders>
              <w:top w:val="nil"/>
              <w:left w:val="nil"/>
              <w:bottom w:val="single" w:sz="4" w:space="0" w:color="auto"/>
              <w:right w:val="single" w:sz="4" w:space="0" w:color="auto"/>
            </w:tcBorders>
            <w:vAlign w:val="bottom"/>
            <w:hideMark/>
          </w:tcPr>
          <w:p w:rsidR="00E67099" w:rsidRPr="00E67099" w:rsidRDefault="00E67099" w:rsidP="00E67099">
            <w:pPr>
              <w:spacing w:after="0" w:line="240" w:lineRule="auto"/>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 </w:t>
            </w:r>
          </w:p>
        </w:tc>
        <w:tc>
          <w:tcPr>
            <w:tcW w:w="858" w:type="dxa"/>
            <w:tcBorders>
              <w:top w:val="nil"/>
              <w:left w:val="nil"/>
              <w:bottom w:val="single" w:sz="4" w:space="0" w:color="auto"/>
              <w:right w:val="single" w:sz="4" w:space="0" w:color="auto"/>
            </w:tcBorders>
            <w:vAlign w:val="bottom"/>
            <w:hideMark/>
          </w:tcPr>
          <w:p w:rsidR="00E67099" w:rsidRPr="00E67099" w:rsidRDefault="00E67099" w:rsidP="00E67099">
            <w:pPr>
              <w:spacing w:after="0" w:line="240" w:lineRule="auto"/>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 </w:t>
            </w:r>
          </w:p>
        </w:tc>
        <w:tc>
          <w:tcPr>
            <w:tcW w:w="844" w:type="dxa"/>
            <w:tcBorders>
              <w:top w:val="nil"/>
              <w:left w:val="nil"/>
              <w:bottom w:val="single" w:sz="4" w:space="0" w:color="auto"/>
              <w:right w:val="single" w:sz="4" w:space="0" w:color="auto"/>
            </w:tcBorders>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15.308,8</w:t>
            </w:r>
          </w:p>
        </w:tc>
        <w:tc>
          <w:tcPr>
            <w:tcW w:w="850" w:type="dxa"/>
            <w:gridSpan w:val="2"/>
            <w:tcBorders>
              <w:top w:val="nil"/>
              <w:left w:val="nil"/>
              <w:bottom w:val="single" w:sz="4" w:space="0" w:color="auto"/>
              <w:right w:val="single" w:sz="4" w:space="0" w:color="auto"/>
            </w:tcBorders>
            <w:shd w:val="clear" w:color="auto" w:fill="C6E0B4"/>
            <w:noWrap/>
            <w:vAlign w:val="bottom"/>
            <w:hideMark/>
          </w:tcPr>
          <w:p w:rsidR="00E67099" w:rsidRPr="00E67099" w:rsidRDefault="00E67099" w:rsidP="00E67099">
            <w:pPr>
              <w:spacing w:after="0" w:line="240" w:lineRule="auto"/>
              <w:ind w:left="-112"/>
              <w:jc w:val="right"/>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20.122,1</w:t>
            </w:r>
          </w:p>
        </w:tc>
        <w:tc>
          <w:tcPr>
            <w:tcW w:w="993" w:type="dxa"/>
            <w:gridSpan w:val="2"/>
            <w:tcBorders>
              <w:top w:val="nil"/>
              <w:left w:val="nil"/>
              <w:bottom w:val="single" w:sz="4" w:space="0" w:color="auto"/>
              <w:right w:val="single" w:sz="4" w:space="0" w:color="auto"/>
            </w:tcBorders>
            <w:shd w:val="clear" w:color="auto" w:fill="C6E0B4"/>
            <w:noWrap/>
            <w:vAlign w:val="bottom"/>
            <w:hideMark/>
          </w:tcPr>
          <w:p w:rsidR="00E67099" w:rsidRPr="00E67099" w:rsidRDefault="00E67099" w:rsidP="00E67099">
            <w:pPr>
              <w:spacing w:after="0" w:line="240" w:lineRule="auto"/>
              <w:jc w:val="right"/>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9.586,7</w:t>
            </w:r>
          </w:p>
        </w:tc>
        <w:tc>
          <w:tcPr>
            <w:tcW w:w="850" w:type="dxa"/>
            <w:gridSpan w:val="2"/>
            <w:tcBorders>
              <w:top w:val="nil"/>
              <w:left w:val="nil"/>
              <w:bottom w:val="single" w:sz="4" w:space="0" w:color="auto"/>
              <w:right w:val="single" w:sz="4" w:space="0" w:color="auto"/>
            </w:tcBorders>
            <w:shd w:val="clear" w:color="auto" w:fill="C6E0B4"/>
            <w:noWrap/>
            <w:vAlign w:val="bottom"/>
            <w:hideMark/>
          </w:tcPr>
          <w:p w:rsidR="00E67099" w:rsidRPr="00E67099" w:rsidRDefault="00E67099" w:rsidP="00E67099">
            <w:pPr>
              <w:spacing w:after="0" w:line="240" w:lineRule="auto"/>
              <w:jc w:val="right"/>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10.535,4</w:t>
            </w:r>
          </w:p>
        </w:tc>
        <w:tc>
          <w:tcPr>
            <w:tcW w:w="839" w:type="dxa"/>
            <w:gridSpan w:val="2"/>
            <w:tcBorders>
              <w:top w:val="nil"/>
              <w:left w:val="nil"/>
              <w:bottom w:val="single" w:sz="4" w:space="0" w:color="auto"/>
              <w:right w:val="single" w:sz="4" w:space="0" w:color="auto"/>
            </w:tcBorders>
            <w:shd w:val="clear" w:color="auto" w:fill="C6E0B4"/>
            <w:noWrap/>
            <w:vAlign w:val="bottom"/>
            <w:hideMark/>
          </w:tcPr>
          <w:p w:rsidR="00E67099" w:rsidRPr="00E67099" w:rsidRDefault="00E67099" w:rsidP="00E67099">
            <w:pPr>
              <w:spacing w:after="0" w:line="240" w:lineRule="auto"/>
              <w:jc w:val="right"/>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109,9%</w:t>
            </w:r>
          </w:p>
        </w:tc>
        <w:tc>
          <w:tcPr>
            <w:tcW w:w="997" w:type="dxa"/>
            <w:gridSpan w:val="2"/>
            <w:tcBorders>
              <w:top w:val="nil"/>
              <w:left w:val="nil"/>
              <w:bottom w:val="single" w:sz="4" w:space="0" w:color="auto"/>
              <w:right w:val="single" w:sz="4" w:space="0" w:color="auto"/>
            </w:tcBorders>
            <w:shd w:val="clear" w:color="auto" w:fill="C6E0B4"/>
            <w:noWrap/>
            <w:vAlign w:val="bottom"/>
            <w:hideMark/>
          </w:tcPr>
          <w:p w:rsidR="00E67099" w:rsidRPr="00E67099" w:rsidRDefault="00E67099" w:rsidP="00E67099">
            <w:pPr>
              <w:spacing w:after="0" w:line="240" w:lineRule="auto"/>
              <w:jc w:val="right"/>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18.394,73</w:t>
            </w:r>
          </w:p>
        </w:tc>
        <w:tc>
          <w:tcPr>
            <w:tcW w:w="709" w:type="dxa"/>
            <w:gridSpan w:val="3"/>
            <w:tcBorders>
              <w:top w:val="nil"/>
              <w:left w:val="nil"/>
              <w:bottom w:val="single" w:sz="4" w:space="0" w:color="auto"/>
              <w:right w:val="single" w:sz="4" w:space="0" w:color="auto"/>
            </w:tcBorders>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91,4%</w:t>
            </w:r>
          </w:p>
        </w:tc>
        <w:tc>
          <w:tcPr>
            <w:tcW w:w="858" w:type="dxa"/>
            <w:gridSpan w:val="2"/>
            <w:tcBorders>
              <w:top w:val="nil"/>
              <w:left w:val="nil"/>
              <w:bottom w:val="single" w:sz="4" w:space="0" w:color="auto"/>
              <w:right w:val="single" w:sz="4" w:space="0" w:color="auto"/>
            </w:tcBorders>
            <w:shd w:val="clear" w:color="auto" w:fill="C6E0B4"/>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8.808,0</w:t>
            </w:r>
          </w:p>
        </w:tc>
        <w:tc>
          <w:tcPr>
            <w:tcW w:w="709" w:type="dxa"/>
            <w:gridSpan w:val="2"/>
            <w:tcBorders>
              <w:top w:val="nil"/>
              <w:left w:val="nil"/>
              <w:bottom w:val="single" w:sz="4" w:space="0" w:color="auto"/>
              <w:right w:val="single" w:sz="4" w:space="0" w:color="auto"/>
            </w:tcBorders>
            <w:shd w:val="clear" w:color="auto" w:fill="C6E0B4"/>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191,9%</w:t>
            </w:r>
          </w:p>
        </w:tc>
      </w:tr>
      <w:tr w:rsidR="00E67099" w:rsidRPr="00E67099" w:rsidTr="00A36731">
        <w:trPr>
          <w:gridAfter w:val="2"/>
          <w:wAfter w:w="253" w:type="dxa"/>
          <w:trHeight w:val="320"/>
        </w:trPr>
        <w:tc>
          <w:tcPr>
            <w:tcW w:w="408" w:type="dxa"/>
            <w:tcBorders>
              <w:top w:val="nil"/>
              <w:left w:val="single" w:sz="4" w:space="0" w:color="auto"/>
              <w:bottom w:val="single" w:sz="4" w:space="0" w:color="auto"/>
              <w:right w:val="single" w:sz="4" w:space="0" w:color="auto"/>
            </w:tcBorders>
            <w:shd w:val="clear" w:color="auto" w:fill="FFFFFF"/>
            <w:noWrap/>
            <w:vAlign w:val="center"/>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10</w:t>
            </w:r>
          </w:p>
        </w:tc>
        <w:tc>
          <w:tcPr>
            <w:tcW w:w="2003" w:type="dxa"/>
            <w:tcBorders>
              <w:top w:val="nil"/>
              <w:left w:val="nil"/>
              <w:bottom w:val="single" w:sz="4" w:space="0" w:color="auto"/>
              <w:right w:val="single" w:sz="4" w:space="0" w:color="auto"/>
            </w:tcBorders>
            <w:shd w:val="clear" w:color="auto" w:fill="FFFFFF"/>
            <w:vAlign w:val="center"/>
            <w:hideMark/>
          </w:tcPr>
          <w:p w:rsidR="00E67099" w:rsidRPr="00E67099" w:rsidRDefault="00E67099" w:rsidP="00E67099">
            <w:pPr>
              <w:spacing w:after="0" w:line="240" w:lineRule="auto"/>
              <w:rPr>
                <w:rFonts w:ascii="Calibri" w:eastAsia="Times New Roman" w:hAnsi="Calibri" w:cs="Calibri"/>
                <w:sz w:val="16"/>
                <w:szCs w:val="16"/>
                <w:lang w:eastAsia="ru-RU"/>
              </w:rPr>
            </w:pPr>
            <w:r w:rsidRPr="00E67099">
              <w:rPr>
                <w:rFonts w:ascii="Calibri" w:eastAsia="Times New Roman" w:hAnsi="Calibri" w:cs="Calibri"/>
                <w:sz w:val="16"/>
                <w:szCs w:val="16"/>
                <w:lang w:eastAsia="ru-RU"/>
              </w:rPr>
              <w:t xml:space="preserve">Reconstrucţia clădirii Centrului Republican pentru Copii şi Tineret, bd. Ștefan cel Mare și Sfânt nr. 169, municipiul Chişinău </w:t>
            </w:r>
          </w:p>
        </w:tc>
        <w:tc>
          <w:tcPr>
            <w:tcW w:w="757" w:type="dxa"/>
            <w:tcBorders>
              <w:top w:val="nil"/>
              <w:left w:val="nil"/>
              <w:bottom w:val="single" w:sz="4" w:space="0" w:color="auto"/>
              <w:right w:val="single" w:sz="4" w:space="0" w:color="auto"/>
            </w:tcBorders>
            <w:shd w:val="clear" w:color="auto" w:fill="FFFFFF"/>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2008</w:t>
            </w:r>
          </w:p>
        </w:tc>
        <w:tc>
          <w:tcPr>
            <w:tcW w:w="802" w:type="dxa"/>
            <w:tcBorders>
              <w:top w:val="nil"/>
              <w:left w:val="nil"/>
              <w:bottom w:val="single" w:sz="4" w:space="0" w:color="auto"/>
              <w:right w:val="single" w:sz="4" w:space="0" w:color="auto"/>
            </w:tcBorders>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157434,5</w:t>
            </w:r>
          </w:p>
        </w:tc>
        <w:tc>
          <w:tcPr>
            <w:tcW w:w="709" w:type="dxa"/>
            <w:tcBorders>
              <w:top w:val="nil"/>
              <w:left w:val="nil"/>
              <w:bottom w:val="single" w:sz="4" w:space="0" w:color="auto"/>
              <w:right w:val="single" w:sz="4" w:space="0" w:color="auto"/>
            </w:tcBorders>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274819,3</w:t>
            </w:r>
          </w:p>
        </w:tc>
        <w:tc>
          <w:tcPr>
            <w:tcW w:w="850" w:type="dxa"/>
            <w:tcBorders>
              <w:top w:val="nil"/>
              <w:left w:val="nil"/>
              <w:bottom w:val="single" w:sz="4" w:space="0" w:color="auto"/>
              <w:right w:val="single" w:sz="4" w:space="0" w:color="auto"/>
            </w:tcBorders>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117.384,7</w:t>
            </w:r>
          </w:p>
        </w:tc>
        <w:tc>
          <w:tcPr>
            <w:tcW w:w="850" w:type="dxa"/>
            <w:tcBorders>
              <w:top w:val="nil"/>
              <w:left w:val="nil"/>
              <w:bottom w:val="single" w:sz="4" w:space="0" w:color="auto"/>
              <w:right w:val="single" w:sz="4" w:space="0" w:color="auto"/>
            </w:tcBorders>
            <w:shd w:val="clear" w:color="auto" w:fill="FFFFFF"/>
            <w:vAlign w:val="bottom"/>
            <w:hideMark/>
          </w:tcPr>
          <w:p w:rsidR="00E67099" w:rsidRPr="00E67099" w:rsidRDefault="00E67099" w:rsidP="00E67099">
            <w:pPr>
              <w:spacing w:after="0" w:line="240" w:lineRule="auto"/>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 </w:t>
            </w:r>
          </w:p>
        </w:tc>
        <w:tc>
          <w:tcPr>
            <w:tcW w:w="858" w:type="dxa"/>
            <w:tcBorders>
              <w:top w:val="nil"/>
              <w:left w:val="nil"/>
              <w:bottom w:val="single" w:sz="4" w:space="0" w:color="auto"/>
              <w:right w:val="single" w:sz="4" w:space="0" w:color="auto"/>
            </w:tcBorders>
            <w:shd w:val="clear" w:color="auto" w:fill="FFFFFF"/>
            <w:vAlign w:val="bottom"/>
            <w:hideMark/>
          </w:tcPr>
          <w:p w:rsidR="00E67099" w:rsidRPr="00E67099" w:rsidRDefault="00E67099" w:rsidP="00E67099">
            <w:pPr>
              <w:spacing w:after="0" w:line="240" w:lineRule="auto"/>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 </w:t>
            </w:r>
          </w:p>
        </w:tc>
        <w:tc>
          <w:tcPr>
            <w:tcW w:w="844" w:type="dxa"/>
            <w:tcBorders>
              <w:top w:val="nil"/>
              <w:left w:val="nil"/>
              <w:bottom w:val="single" w:sz="4" w:space="0" w:color="auto"/>
              <w:right w:val="single" w:sz="4" w:space="0" w:color="auto"/>
            </w:tcBorders>
            <w:shd w:val="clear" w:color="auto" w:fill="FFFFFF"/>
            <w:vAlign w:val="bottom"/>
            <w:hideMark/>
          </w:tcPr>
          <w:p w:rsidR="00E67099" w:rsidRPr="00E67099" w:rsidRDefault="00E67099" w:rsidP="00E67099">
            <w:pPr>
              <w:spacing w:after="0" w:line="240" w:lineRule="auto"/>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 </w:t>
            </w:r>
          </w:p>
        </w:tc>
        <w:tc>
          <w:tcPr>
            <w:tcW w:w="850" w:type="dxa"/>
            <w:gridSpan w:val="2"/>
            <w:tcBorders>
              <w:top w:val="nil"/>
              <w:left w:val="nil"/>
              <w:bottom w:val="single" w:sz="4" w:space="0" w:color="auto"/>
              <w:right w:val="single" w:sz="4" w:space="0" w:color="auto"/>
            </w:tcBorders>
            <w:noWrap/>
            <w:vAlign w:val="bottom"/>
            <w:hideMark/>
          </w:tcPr>
          <w:p w:rsidR="00E67099" w:rsidRPr="00E67099" w:rsidRDefault="00E67099" w:rsidP="00E67099">
            <w:pPr>
              <w:spacing w:after="0" w:line="240" w:lineRule="auto"/>
              <w:jc w:val="right"/>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122.786,8</w:t>
            </w:r>
          </w:p>
        </w:tc>
        <w:tc>
          <w:tcPr>
            <w:tcW w:w="993" w:type="dxa"/>
            <w:gridSpan w:val="2"/>
            <w:tcBorders>
              <w:top w:val="nil"/>
              <w:left w:val="nil"/>
              <w:bottom w:val="single" w:sz="4" w:space="0" w:color="auto"/>
              <w:right w:val="single" w:sz="4" w:space="0" w:color="auto"/>
            </w:tcBorders>
            <w:noWrap/>
            <w:vAlign w:val="bottom"/>
            <w:hideMark/>
          </w:tcPr>
          <w:p w:rsidR="00E67099" w:rsidRPr="00E67099" w:rsidRDefault="00E67099" w:rsidP="00E67099">
            <w:pPr>
              <w:spacing w:after="0" w:line="240" w:lineRule="auto"/>
              <w:jc w:val="right"/>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157.434,5</w:t>
            </w:r>
          </w:p>
        </w:tc>
        <w:tc>
          <w:tcPr>
            <w:tcW w:w="850" w:type="dxa"/>
            <w:gridSpan w:val="2"/>
            <w:tcBorders>
              <w:top w:val="nil"/>
              <w:left w:val="nil"/>
              <w:bottom w:val="single" w:sz="4" w:space="0" w:color="auto"/>
              <w:right w:val="single" w:sz="4" w:space="0" w:color="auto"/>
            </w:tcBorders>
            <w:noWrap/>
            <w:vAlign w:val="bottom"/>
            <w:hideMark/>
          </w:tcPr>
          <w:p w:rsidR="00E67099" w:rsidRPr="00E67099" w:rsidRDefault="00E67099" w:rsidP="00E67099">
            <w:pPr>
              <w:spacing w:after="0" w:line="240" w:lineRule="auto"/>
              <w:jc w:val="right"/>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-34.647,7</w:t>
            </w:r>
          </w:p>
        </w:tc>
        <w:tc>
          <w:tcPr>
            <w:tcW w:w="839" w:type="dxa"/>
            <w:gridSpan w:val="2"/>
            <w:tcBorders>
              <w:top w:val="nil"/>
              <w:left w:val="nil"/>
              <w:bottom w:val="single" w:sz="4" w:space="0" w:color="auto"/>
              <w:right w:val="single" w:sz="4" w:space="0" w:color="auto"/>
            </w:tcBorders>
            <w:shd w:val="clear" w:color="auto" w:fill="FFFFFF"/>
            <w:noWrap/>
            <w:vAlign w:val="bottom"/>
            <w:hideMark/>
          </w:tcPr>
          <w:p w:rsidR="00E67099" w:rsidRPr="00E67099" w:rsidRDefault="00E67099" w:rsidP="00E67099">
            <w:pPr>
              <w:spacing w:after="0" w:line="240" w:lineRule="auto"/>
              <w:jc w:val="right"/>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-22,0%</w:t>
            </w:r>
          </w:p>
        </w:tc>
        <w:tc>
          <w:tcPr>
            <w:tcW w:w="997" w:type="dxa"/>
            <w:gridSpan w:val="2"/>
            <w:tcBorders>
              <w:top w:val="nil"/>
              <w:left w:val="nil"/>
              <w:bottom w:val="single" w:sz="4" w:space="0" w:color="auto"/>
              <w:right w:val="single" w:sz="4" w:space="0" w:color="auto"/>
            </w:tcBorders>
            <w:shd w:val="clear" w:color="auto" w:fill="FFFFFF"/>
            <w:noWrap/>
            <w:vAlign w:val="bottom"/>
            <w:hideMark/>
          </w:tcPr>
          <w:p w:rsidR="00E67099" w:rsidRPr="00E67099" w:rsidRDefault="00E67099" w:rsidP="00E67099">
            <w:pPr>
              <w:spacing w:after="0" w:line="240" w:lineRule="auto"/>
              <w:jc w:val="right"/>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122.785,82</w:t>
            </w:r>
          </w:p>
        </w:tc>
        <w:tc>
          <w:tcPr>
            <w:tcW w:w="709" w:type="dxa"/>
            <w:gridSpan w:val="3"/>
            <w:tcBorders>
              <w:top w:val="nil"/>
              <w:left w:val="nil"/>
              <w:bottom w:val="single" w:sz="4" w:space="0" w:color="auto"/>
              <w:right w:val="single" w:sz="4" w:space="0" w:color="auto"/>
            </w:tcBorders>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100,0%</w:t>
            </w:r>
          </w:p>
        </w:tc>
        <w:tc>
          <w:tcPr>
            <w:tcW w:w="858" w:type="dxa"/>
            <w:gridSpan w:val="2"/>
            <w:tcBorders>
              <w:top w:val="nil"/>
              <w:left w:val="nil"/>
              <w:bottom w:val="single" w:sz="4" w:space="0" w:color="auto"/>
              <w:right w:val="single" w:sz="4" w:space="0" w:color="auto"/>
            </w:tcBorders>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-34.648,7</w:t>
            </w:r>
          </w:p>
        </w:tc>
        <w:tc>
          <w:tcPr>
            <w:tcW w:w="709" w:type="dxa"/>
            <w:gridSpan w:val="2"/>
            <w:tcBorders>
              <w:top w:val="nil"/>
              <w:left w:val="nil"/>
              <w:bottom w:val="single" w:sz="4" w:space="0" w:color="auto"/>
              <w:right w:val="single" w:sz="4" w:space="0" w:color="auto"/>
            </w:tcBorders>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78,0%</w:t>
            </w:r>
          </w:p>
        </w:tc>
      </w:tr>
      <w:tr w:rsidR="00E67099" w:rsidRPr="00E67099" w:rsidTr="00A36731">
        <w:trPr>
          <w:gridAfter w:val="2"/>
          <w:wAfter w:w="253" w:type="dxa"/>
          <w:trHeight w:val="320"/>
        </w:trPr>
        <w:tc>
          <w:tcPr>
            <w:tcW w:w="408" w:type="dxa"/>
            <w:tcBorders>
              <w:top w:val="nil"/>
              <w:left w:val="single" w:sz="4" w:space="0" w:color="auto"/>
              <w:bottom w:val="single" w:sz="4" w:space="0" w:color="auto"/>
              <w:right w:val="single" w:sz="4" w:space="0" w:color="auto"/>
            </w:tcBorders>
            <w:noWrap/>
            <w:vAlign w:val="center"/>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11</w:t>
            </w:r>
          </w:p>
        </w:tc>
        <w:tc>
          <w:tcPr>
            <w:tcW w:w="2003" w:type="dxa"/>
            <w:tcBorders>
              <w:top w:val="nil"/>
              <w:left w:val="nil"/>
              <w:bottom w:val="single" w:sz="4" w:space="0" w:color="auto"/>
              <w:right w:val="single" w:sz="4" w:space="0" w:color="auto"/>
            </w:tcBorders>
            <w:shd w:val="clear" w:color="auto" w:fill="FFFFFF"/>
            <w:vAlign w:val="center"/>
            <w:hideMark/>
          </w:tcPr>
          <w:p w:rsidR="00E67099" w:rsidRPr="00E67099" w:rsidRDefault="00E67099" w:rsidP="00E67099">
            <w:pPr>
              <w:spacing w:after="0" w:line="240" w:lineRule="auto"/>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Renovarea clădirii și a teritoriului adiacent ale Spitalului Cancelariei de Stat, str. Drumul Viilor nr. 34, municipiul Chișinău</w:t>
            </w:r>
          </w:p>
        </w:tc>
        <w:tc>
          <w:tcPr>
            <w:tcW w:w="757" w:type="dxa"/>
            <w:tcBorders>
              <w:top w:val="nil"/>
              <w:left w:val="nil"/>
              <w:bottom w:val="single" w:sz="4" w:space="0" w:color="auto"/>
              <w:right w:val="single" w:sz="4" w:space="0" w:color="auto"/>
            </w:tcBorders>
            <w:shd w:val="clear" w:color="auto" w:fill="FFFFFF"/>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2019</w:t>
            </w:r>
          </w:p>
        </w:tc>
        <w:tc>
          <w:tcPr>
            <w:tcW w:w="802" w:type="dxa"/>
            <w:tcBorders>
              <w:top w:val="nil"/>
              <w:left w:val="nil"/>
              <w:bottom w:val="single" w:sz="4" w:space="0" w:color="auto"/>
              <w:right w:val="single" w:sz="4" w:space="0" w:color="auto"/>
            </w:tcBorders>
            <w:shd w:val="clear" w:color="auto" w:fill="FFFFFF"/>
            <w:vAlign w:val="bottom"/>
            <w:hideMark/>
          </w:tcPr>
          <w:p w:rsidR="00E67099" w:rsidRPr="00E67099" w:rsidRDefault="00E67099" w:rsidP="00E67099">
            <w:pPr>
              <w:spacing w:after="0" w:line="240" w:lineRule="auto"/>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 </w:t>
            </w:r>
          </w:p>
        </w:tc>
        <w:tc>
          <w:tcPr>
            <w:tcW w:w="709" w:type="dxa"/>
            <w:tcBorders>
              <w:top w:val="nil"/>
              <w:left w:val="nil"/>
              <w:bottom w:val="single" w:sz="4" w:space="0" w:color="auto"/>
              <w:right w:val="single" w:sz="4" w:space="0" w:color="auto"/>
            </w:tcBorders>
            <w:shd w:val="clear" w:color="auto" w:fill="FFFFFF"/>
            <w:vAlign w:val="bottom"/>
            <w:hideMark/>
          </w:tcPr>
          <w:p w:rsidR="00E67099" w:rsidRPr="00E67099" w:rsidRDefault="00E67099" w:rsidP="00E67099">
            <w:pPr>
              <w:spacing w:after="0" w:line="240" w:lineRule="auto"/>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 </w:t>
            </w:r>
          </w:p>
        </w:tc>
        <w:tc>
          <w:tcPr>
            <w:tcW w:w="850" w:type="dxa"/>
            <w:tcBorders>
              <w:top w:val="nil"/>
              <w:left w:val="nil"/>
              <w:bottom w:val="single" w:sz="4" w:space="0" w:color="auto"/>
              <w:right w:val="single" w:sz="4" w:space="0" w:color="auto"/>
            </w:tcBorders>
            <w:shd w:val="clear" w:color="auto" w:fill="FFFFFF"/>
            <w:vAlign w:val="bottom"/>
            <w:hideMark/>
          </w:tcPr>
          <w:p w:rsidR="00E67099" w:rsidRPr="00E67099" w:rsidRDefault="00E67099" w:rsidP="00E67099">
            <w:pPr>
              <w:spacing w:after="0" w:line="240" w:lineRule="auto"/>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 </w:t>
            </w:r>
          </w:p>
        </w:tc>
        <w:tc>
          <w:tcPr>
            <w:tcW w:w="850" w:type="dxa"/>
            <w:tcBorders>
              <w:top w:val="nil"/>
              <w:left w:val="nil"/>
              <w:bottom w:val="single" w:sz="4" w:space="0" w:color="auto"/>
              <w:right w:val="single" w:sz="4" w:space="0" w:color="auto"/>
            </w:tcBorders>
            <w:shd w:val="clear" w:color="auto" w:fill="FFFFFF"/>
            <w:vAlign w:val="bottom"/>
            <w:hideMark/>
          </w:tcPr>
          <w:p w:rsidR="00E67099" w:rsidRPr="00E67099" w:rsidRDefault="00E67099" w:rsidP="00E67099">
            <w:pPr>
              <w:spacing w:after="0" w:line="240" w:lineRule="auto"/>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 </w:t>
            </w:r>
          </w:p>
        </w:tc>
        <w:tc>
          <w:tcPr>
            <w:tcW w:w="858" w:type="dxa"/>
            <w:tcBorders>
              <w:top w:val="nil"/>
              <w:left w:val="nil"/>
              <w:bottom w:val="single" w:sz="4" w:space="0" w:color="auto"/>
              <w:right w:val="single" w:sz="4" w:space="0" w:color="auto"/>
            </w:tcBorders>
            <w:shd w:val="clear" w:color="auto" w:fill="FFFFFF"/>
            <w:vAlign w:val="bottom"/>
            <w:hideMark/>
          </w:tcPr>
          <w:p w:rsidR="00E67099" w:rsidRPr="00E67099" w:rsidRDefault="00E67099" w:rsidP="00E67099">
            <w:pPr>
              <w:spacing w:after="0" w:line="240" w:lineRule="auto"/>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 </w:t>
            </w:r>
          </w:p>
        </w:tc>
        <w:tc>
          <w:tcPr>
            <w:tcW w:w="844" w:type="dxa"/>
            <w:tcBorders>
              <w:top w:val="nil"/>
              <w:left w:val="nil"/>
              <w:bottom w:val="single" w:sz="4" w:space="0" w:color="auto"/>
              <w:right w:val="single" w:sz="4" w:space="0" w:color="auto"/>
            </w:tcBorders>
            <w:shd w:val="clear" w:color="auto" w:fill="FFFFFF"/>
            <w:vAlign w:val="bottom"/>
            <w:hideMark/>
          </w:tcPr>
          <w:p w:rsidR="00E67099" w:rsidRPr="00E67099" w:rsidRDefault="00E67099" w:rsidP="00E67099">
            <w:pPr>
              <w:spacing w:after="0" w:line="240" w:lineRule="auto"/>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 </w:t>
            </w:r>
          </w:p>
        </w:tc>
        <w:tc>
          <w:tcPr>
            <w:tcW w:w="850" w:type="dxa"/>
            <w:gridSpan w:val="2"/>
            <w:tcBorders>
              <w:top w:val="nil"/>
              <w:left w:val="nil"/>
              <w:bottom w:val="single" w:sz="4" w:space="0" w:color="auto"/>
              <w:right w:val="single" w:sz="4" w:space="0" w:color="auto"/>
            </w:tcBorders>
            <w:vAlign w:val="bottom"/>
            <w:hideMark/>
          </w:tcPr>
          <w:p w:rsidR="00E67099" w:rsidRPr="00E67099" w:rsidRDefault="00E67099" w:rsidP="00E67099">
            <w:pPr>
              <w:spacing w:after="0" w:line="240" w:lineRule="auto"/>
              <w:jc w:val="right"/>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6000</w:t>
            </w:r>
          </w:p>
        </w:tc>
        <w:tc>
          <w:tcPr>
            <w:tcW w:w="993" w:type="dxa"/>
            <w:gridSpan w:val="2"/>
            <w:tcBorders>
              <w:top w:val="nil"/>
              <w:left w:val="nil"/>
              <w:bottom w:val="single" w:sz="4" w:space="0" w:color="auto"/>
              <w:right w:val="single" w:sz="4" w:space="0" w:color="auto"/>
            </w:tcBorders>
            <w:vAlign w:val="bottom"/>
            <w:hideMark/>
          </w:tcPr>
          <w:p w:rsidR="00E67099" w:rsidRPr="00E67099" w:rsidRDefault="00E67099" w:rsidP="00E67099">
            <w:pPr>
              <w:spacing w:after="0" w:line="240" w:lineRule="auto"/>
              <w:jc w:val="right"/>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6000</w:t>
            </w:r>
          </w:p>
        </w:tc>
        <w:tc>
          <w:tcPr>
            <w:tcW w:w="850" w:type="dxa"/>
            <w:gridSpan w:val="2"/>
            <w:tcBorders>
              <w:top w:val="nil"/>
              <w:left w:val="nil"/>
              <w:bottom w:val="single" w:sz="4" w:space="0" w:color="auto"/>
              <w:right w:val="single" w:sz="4" w:space="0" w:color="auto"/>
            </w:tcBorders>
            <w:noWrap/>
            <w:vAlign w:val="bottom"/>
            <w:hideMark/>
          </w:tcPr>
          <w:p w:rsidR="00E67099" w:rsidRPr="00E67099" w:rsidRDefault="00E67099" w:rsidP="00E67099">
            <w:pPr>
              <w:spacing w:after="0" w:line="240" w:lineRule="auto"/>
              <w:jc w:val="right"/>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0,0</w:t>
            </w:r>
          </w:p>
        </w:tc>
        <w:tc>
          <w:tcPr>
            <w:tcW w:w="839" w:type="dxa"/>
            <w:gridSpan w:val="2"/>
            <w:tcBorders>
              <w:top w:val="nil"/>
              <w:left w:val="nil"/>
              <w:bottom w:val="single" w:sz="4" w:space="0" w:color="auto"/>
              <w:right w:val="single" w:sz="4" w:space="0" w:color="auto"/>
            </w:tcBorders>
            <w:shd w:val="clear" w:color="auto" w:fill="FFFFFF"/>
            <w:noWrap/>
            <w:vAlign w:val="bottom"/>
            <w:hideMark/>
          </w:tcPr>
          <w:p w:rsidR="00E67099" w:rsidRPr="00E67099" w:rsidRDefault="00E67099" w:rsidP="00E67099">
            <w:pPr>
              <w:spacing w:after="0" w:line="240" w:lineRule="auto"/>
              <w:jc w:val="right"/>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0,0%</w:t>
            </w:r>
          </w:p>
        </w:tc>
        <w:tc>
          <w:tcPr>
            <w:tcW w:w="997" w:type="dxa"/>
            <w:gridSpan w:val="2"/>
            <w:tcBorders>
              <w:top w:val="nil"/>
              <w:left w:val="nil"/>
              <w:bottom w:val="single" w:sz="4" w:space="0" w:color="auto"/>
              <w:right w:val="single" w:sz="4" w:space="0" w:color="auto"/>
            </w:tcBorders>
            <w:shd w:val="clear" w:color="auto" w:fill="FFFFFF"/>
            <w:noWrap/>
            <w:vAlign w:val="bottom"/>
            <w:hideMark/>
          </w:tcPr>
          <w:p w:rsidR="00E67099" w:rsidRPr="00E67099" w:rsidRDefault="00E67099" w:rsidP="00E67099">
            <w:pPr>
              <w:spacing w:after="0" w:line="240" w:lineRule="auto"/>
              <w:jc w:val="right"/>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5.674,80</w:t>
            </w:r>
          </w:p>
        </w:tc>
        <w:tc>
          <w:tcPr>
            <w:tcW w:w="709" w:type="dxa"/>
            <w:gridSpan w:val="3"/>
            <w:tcBorders>
              <w:top w:val="nil"/>
              <w:left w:val="nil"/>
              <w:bottom w:val="single" w:sz="4" w:space="0" w:color="auto"/>
              <w:right w:val="single" w:sz="4" w:space="0" w:color="auto"/>
            </w:tcBorders>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94,6%</w:t>
            </w:r>
          </w:p>
        </w:tc>
        <w:tc>
          <w:tcPr>
            <w:tcW w:w="858" w:type="dxa"/>
            <w:gridSpan w:val="2"/>
            <w:tcBorders>
              <w:top w:val="nil"/>
              <w:left w:val="nil"/>
              <w:bottom w:val="single" w:sz="4" w:space="0" w:color="auto"/>
              <w:right w:val="single" w:sz="4" w:space="0" w:color="auto"/>
            </w:tcBorders>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-325,2</w:t>
            </w:r>
          </w:p>
        </w:tc>
        <w:tc>
          <w:tcPr>
            <w:tcW w:w="709" w:type="dxa"/>
            <w:gridSpan w:val="2"/>
            <w:tcBorders>
              <w:top w:val="nil"/>
              <w:left w:val="nil"/>
              <w:bottom w:val="single" w:sz="4" w:space="0" w:color="auto"/>
              <w:right w:val="single" w:sz="4" w:space="0" w:color="auto"/>
            </w:tcBorders>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94,6%</w:t>
            </w:r>
          </w:p>
        </w:tc>
      </w:tr>
      <w:tr w:rsidR="00E67099" w:rsidRPr="00E67099" w:rsidTr="00A36731">
        <w:trPr>
          <w:gridAfter w:val="2"/>
          <w:wAfter w:w="253" w:type="dxa"/>
          <w:trHeight w:val="480"/>
        </w:trPr>
        <w:tc>
          <w:tcPr>
            <w:tcW w:w="408" w:type="dxa"/>
            <w:tcBorders>
              <w:top w:val="nil"/>
              <w:left w:val="single" w:sz="4" w:space="0" w:color="auto"/>
              <w:bottom w:val="single" w:sz="4" w:space="0" w:color="auto"/>
              <w:right w:val="single" w:sz="4" w:space="0" w:color="auto"/>
            </w:tcBorders>
            <w:shd w:val="clear" w:color="auto" w:fill="FFFFFF"/>
            <w:noWrap/>
            <w:vAlign w:val="center"/>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12</w:t>
            </w:r>
          </w:p>
        </w:tc>
        <w:tc>
          <w:tcPr>
            <w:tcW w:w="2003" w:type="dxa"/>
            <w:tcBorders>
              <w:top w:val="nil"/>
              <w:left w:val="nil"/>
              <w:bottom w:val="single" w:sz="4" w:space="0" w:color="auto"/>
              <w:right w:val="single" w:sz="4" w:space="0" w:color="auto"/>
            </w:tcBorders>
            <w:vAlign w:val="center"/>
            <w:hideMark/>
          </w:tcPr>
          <w:p w:rsidR="00E67099" w:rsidRPr="00E67099" w:rsidRDefault="00E67099" w:rsidP="00E67099">
            <w:pPr>
              <w:spacing w:after="0" w:line="240" w:lineRule="auto"/>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Reconstrucția Secției de producere a preparatelor sanguine a Centrului Național de Transfuzie a Sângelui, str. Gheorghe Asachi nr. 65, municipiul Chișinău</w:t>
            </w:r>
          </w:p>
        </w:tc>
        <w:tc>
          <w:tcPr>
            <w:tcW w:w="757" w:type="dxa"/>
            <w:tcBorders>
              <w:top w:val="nil"/>
              <w:left w:val="nil"/>
              <w:bottom w:val="single" w:sz="4" w:space="0" w:color="auto"/>
              <w:right w:val="single" w:sz="4" w:space="0" w:color="auto"/>
            </w:tcBorders>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2019</w:t>
            </w:r>
          </w:p>
        </w:tc>
        <w:tc>
          <w:tcPr>
            <w:tcW w:w="802" w:type="dxa"/>
            <w:tcBorders>
              <w:top w:val="nil"/>
              <w:left w:val="nil"/>
              <w:bottom w:val="single" w:sz="4" w:space="0" w:color="auto"/>
              <w:right w:val="single" w:sz="4" w:space="0" w:color="auto"/>
            </w:tcBorders>
            <w:vAlign w:val="bottom"/>
            <w:hideMark/>
          </w:tcPr>
          <w:p w:rsidR="00E67099" w:rsidRPr="00E67099" w:rsidRDefault="00E67099" w:rsidP="00E67099">
            <w:pPr>
              <w:spacing w:after="0" w:line="240" w:lineRule="auto"/>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 </w:t>
            </w:r>
          </w:p>
        </w:tc>
        <w:tc>
          <w:tcPr>
            <w:tcW w:w="709" w:type="dxa"/>
            <w:tcBorders>
              <w:top w:val="nil"/>
              <w:left w:val="nil"/>
              <w:bottom w:val="single" w:sz="4" w:space="0" w:color="auto"/>
              <w:right w:val="single" w:sz="4" w:space="0" w:color="auto"/>
            </w:tcBorders>
            <w:vAlign w:val="bottom"/>
            <w:hideMark/>
          </w:tcPr>
          <w:p w:rsidR="00E67099" w:rsidRPr="00E67099" w:rsidRDefault="00E67099" w:rsidP="00E67099">
            <w:pPr>
              <w:spacing w:after="0" w:line="240" w:lineRule="auto"/>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 </w:t>
            </w:r>
          </w:p>
        </w:tc>
        <w:tc>
          <w:tcPr>
            <w:tcW w:w="850" w:type="dxa"/>
            <w:tcBorders>
              <w:top w:val="nil"/>
              <w:left w:val="nil"/>
              <w:bottom w:val="single" w:sz="4" w:space="0" w:color="auto"/>
              <w:right w:val="single" w:sz="4" w:space="0" w:color="auto"/>
            </w:tcBorders>
            <w:vAlign w:val="bottom"/>
            <w:hideMark/>
          </w:tcPr>
          <w:p w:rsidR="00E67099" w:rsidRPr="00E67099" w:rsidRDefault="00E67099" w:rsidP="00E67099">
            <w:pPr>
              <w:spacing w:after="0" w:line="240" w:lineRule="auto"/>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 </w:t>
            </w:r>
          </w:p>
        </w:tc>
        <w:tc>
          <w:tcPr>
            <w:tcW w:w="850" w:type="dxa"/>
            <w:tcBorders>
              <w:top w:val="nil"/>
              <w:left w:val="nil"/>
              <w:bottom w:val="single" w:sz="4" w:space="0" w:color="auto"/>
              <w:right w:val="single" w:sz="4" w:space="0" w:color="auto"/>
            </w:tcBorders>
            <w:vAlign w:val="bottom"/>
            <w:hideMark/>
          </w:tcPr>
          <w:p w:rsidR="00E67099" w:rsidRPr="00E67099" w:rsidRDefault="00E67099" w:rsidP="00E67099">
            <w:pPr>
              <w:spacing w:after="0" w:line="240" w:lineRule="auto"/>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 </w:t>
            </w:r>
          </w:p>
        </w:tc>
        <w:tc>
          <w:tcPr>
            <w:tcW w:w="858" w:type="dxa"/>
            <w:tcBorders>
              <w:top w:val="nil"/>
              <w:left w:val="nil"/>
              <w:bottom w:val="single" w:sz="4" w:space="0" w:color="auto"/>
              <w:right w:val="single" w:sz="4" w:space="0" w:color="auto"/>
            </w:tcBorders>
            <w:vAlign w:val="bottom"/>
            <w:hideMark/>
          </w:tcPr>
          <w:p w:rsidR="00E67099" w:rsidRPr="00E67099" w:rsidRDefault="00E67099" w:rsidP="00E67099">
            <w:pPr>
              <w:spacing w:after="0" w:line="240" w:lineRule="auto"/>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 </w:t>
            </w:r>
          </w:p>
        </w:tc>
        <w:tc>
          <w:tcPr>
            <w:tcW w:w="844" w:type="dxa"/>
            <w:tcBorders>
              <w:top w:val="nil"/>
              <w:left w:val="nil"/>
              <w:bottom w:val="single" w:sz="4" w:space="0" w:color="auto"/>
              <w:right w:val="single" w:sz="4" w:space="0" w:color="auto"/>
            </w:tcBorders>
            <w:vAlign w:val="bottom"/>
            <w:hideMark/>
          </w:tcPr>
          <w:p w:rsidR="00E67099" w:rsidRPr="00E67099" w:rsidRDefault="00E67099" w:rsidP="00E67099">
            <w:pPr>
              <w:spacing w:after="0" w:line="240" w:lineRule="auto"/>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 </w:t>
            </w:r>
          </w:p>
        </w:tc>
        <w:tc>
          <w:tcPr>
            <w:tcW w:w="850" w:type="dxa"/>
            <w:gridSpan w:val="2"/>
            <w:tcBorders>
              <w:top w:val="nil"/>
              <w:left w:val="nil"/>
              <w:bottom w:val="single" w:sz="4" w:space="0" w:color="auto"/>
              <w:right w:val="single" w:sz="4" w:space="0" w:color="auto"/>
            </w:tcBorders>
            <w:noWrap/>
            <w:vAlign w:val="bottom"/>
            <w:hideMark/>
          </w:tcPr>
          <w:p w:rsidR="00E67099" w:rsidRPr="00E67099" w:rsidRDefault="00E67099" w:rsidP="00E67099">
            <w:pPr>
              <w:spacing w:after="0" w:line="240" w:lineRule="auto"/>
              <w:jc w:val="right"/>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1.188,0</w:t>
            </w:r>
          </w:p>
        </w:tc>
        <w:tc>
          <w:tcPr>
            <w:tcW w:w="993" w:type="dxa"/>
            <w:gridSpan w:val="2"/>
            <w:tcBorders>
              <w:top w:val="nil"/>
              <w:left w:val="nil"/>
              <w:bottom w:val="single" w:sz="4" w:space="0" w:color="auto"/>
              <w:right w:val="single" w:sz="4" w:space="0" w:color="auto"/>
            </w:tcBorders>
            <w:noWrap/>
            <w:vAlign w:val="bottom"/>
            <w:hideMark/>
          </w:tcPr>
          <w:p w:rsidR="00E67099" w:rsidRPr="00E67099" w:rsidRDefault="00E67099" w:rsidP="00E67099">
            <w:pPr>
              <w:spacing w:after="0" w:line="240" w:lineRule="auto"/>
              <w:jc w:val="right"/>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1.188,0</w:t>
            </w:r>
          </w:p>
        </w:tc>
        <w:tc>
          <w:tcPr>
            <w:tcW w:w="850" w:type="dxa"/>
            <w:gridSpan w:val="2"/>
            <w:tcBorders>
              <w:top w:val="nil"/>
              <w:left w:val="nil"/>
              <w:bottom w:val="single" w:sz="4" w:space="0" w:color="auto"/>
              <w:right w:val="single" w:sz="4" w:space="0" w:color="auto"/>
            </w:tcBorders>
            <w:noWrap/>
            <w:vAlign w:val="bottom"/>
            <w:hideMark/>
          </w:tcPr>
          <w:p w:rsidR="00E67099" w:rsidRPr="00E67099" w:rsidRDefault="00E67099" w:rsidP="00E67099">
            <w:pPr>
              <w:spacing w:after="0" w:line="240" w:lineRule="auto"/>
              <w:jc w:val="right"/>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0,0</w:t>
            </w:r>
          </w:p>
        </w:tc>
        <w:tc>
          <w:tcPr>
            <w:tcW w:w="839" w:type="dxa"/>
            <w:gridSpan w:val="2"/>
            <w:tcBorders>
              <w:top w:val="nil"/>
              <w:left w:val="nil"/>
              <w:bottom w:val="single" w:sz="4" w:space="0" w:color="auto"/>
              <w:right w:val="single" w:sz="4" w:space="0" w:color="auto"/>
            </w:tcBorders>
            <w:shd w:val="clear" w:color="auto" w:fill="FFFFFF"/>
            <w:noWrap/>
            <w:vAlign w:val="bottom"/>
            <w:hideMark/>
          </w:tcPr>
          <w:p w:rsidR="00E67099" w:rsidRPr="00E67099" w:rsidRDefault="00E67099" w:rsidP="00E67099">
            <w:pPr>
              <w:spacing w:after="0" w:line="240" w:lineRule="auto"/>
              <w:jc w:val="right"/>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0,0%</w:t>
            </w:r>
          </w:p>
        </w:tc>
        <w:tc>
          <w:tcPr>
            <w:tcW w:w="997" w:type="dxa"/>
            <w:gridSpan w:val="2"/>
            <w:tcBorders>
              <w:top w:val="nil"/>
              <w:left w:val="nil"/>
              <w:bottom w:val="single" w:sz="4" w:space="0" w:color="auto"/>
              <w:right w:val="single" w:sz="4" w:space="0" w:color="auto"/>
            </w:tcBorders>
            <w:shd w:val="clear" w:color="auto" w:fill="FFFFFF"/>
            <w:noWrap/>
            <w:vAlign w:val="bottom"/>
            <w:hideMark/>
          </w:tcPr>
          <w:p w:rsidR="00E67099" w:rsidRPr="00E67099" w:rsidRDefault="00E67099" w:rsidP="00E67099">
            <w:pPr>
              <w:spacing w:after="0" w:line="240" w:lineRule="auto"/>
              <w:jc w:val="right"/>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1.177,51</w:t>
            </w:r>
          </w:p>
        </w:tc>
        <w:tc>
          <w:tcPr>
            <w:tcW w:w="709" w:type="dxa"/>
            <w:gridSpan w:val="3"/>
            <w:tcBorders>
              <w:top w:val="nil"/>
              <w:left w:val="nil"/>
              <w:bottom w:val="single" w:sz="4" w:space="0" w:color="auto"/>
              <w:right w:val="single" w:sz="4" w:space="0" w:color="auto"/>
            </w:tcBorders>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99,1%</w:t>
            </w:r>
          </w:p>
        </w:tc>
        <w:tc>
          <w:tcPr>
            <w:tcW w:w="858" w:type="dxa"/>
            <w:gridSpan w:val="2"/>
            <w:tcBorders>
              <w:top w:val="nil"/>
              <w:left w:val="nil"/>
              <w:bottom w:val="single" w:sz="4" w:space="0" w:color="auto"/>
              <w:right w:val="single" w:sz="4" w:space="0" w:color="auto"/>
            </w:tcBorders>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-10,5</w:t>
            </w:r>
          </w:p>
        </w:tc>
        <w:tc>
          <w:tcPr>
            <w:tcW w:w="709" w:type="dxa"/>
            <w:gridSpan w:val="2"/>
            <w:tcBorders>
              <w:top w:val="nil"/>
              <w:left w:val="nil"/>
              <w:bottom w:val="single" w:sz="4" w:space="0" w:color="auto"/>
              <w:right w:val="single" w:sz="4" w:space="0" w:color="auto"/>
            </w:tcBorders>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99,1%</w:t>
            </w:r>
          </w:p>
        </w:tc>
      </w:tr>
      <w:tr w:rsidR="00E67099" w:rsidRPr="00E67099" w:rsidTr="00A36731">
        <w:trPr>
          <w:gridAfter w:val="2"/>
          <w:wAfter w:w="253" w:type="dxa"/>
          <w:trHeight w:val="320"/>
        </w:trPr>
        <w:tc>
          <w:tcPr>
            <w:tcW w:w="408" w:type="dxa"/>
            <w:tcBorders>
              <w:top w:val="nil"/>
              <w:left w:val="single" w:sz="4" w:space="0" w:color="auto"/>
              <w:bottom w:val="single" w:sz="4" w:space="0" w:color="auto"/>
              <w:right w:val="single" w:sz="4" w:space="0" w:color="auto"/>
            </w:tcBorders>
            <w:noWrap/>
            <w:vAlign w:val="center"/>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13</w:t>
            </w:r>
          </w:p>
        </w:tc>
        <w:tc>
          <w:tcPr>
            <w:tcW w:w="2003" w:type="dxa"/>
            <w:tcBorders>
              <w:top w:val="nil"/>
              <w:left w:val="nil"/>
              <w:bottom w:val="single" w:sz="4" w:space="0" w:color="auto"/>
              <w:right w:val="single" w:sz="4" w:space="0" w:color="auto"/>
            </w:tcBorders>
            <w:shd w:val="clear" w:color="auto" w:fill="FFFFFF"/>
            <w:vAlign w:val="center"/>
            <w:hideMark/>
          </w:tcPr>
          <w:p w:rsidR="00E67099" w:rsidRPr="00E67099" w:rsidRDefault="00E67099" w:rsidP="00E67099">
            <w:pPr>
              <w:spacing w:after="0" w:line="240" w:lineRule="auto"/>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Reconstrucția clădirii Judecătoriei Chișinău, sediul Buiucani, bd. Ștefan cel Mare şi Sfânt nr. 200, municipiul Chișinău</w:t>
            </w:r>
          </w:p>
        </w:tc>
        <w:tc>
          <w:tcPr>
            <w:tcW w:w="757" w:type="dxa"/>
            <w:tcBorders>
              <w:top w:val="nil"/>
              <w:left w:val="nil"/>
              <w:bottom w:val="single" w:sz="4" w:space="0" w:color="auto"/>
              <w:right w:val="single" w:sz="4" w:space="0" w:color="auto"/>
            </w:tcBorders>
            <w:shd w:val="clear" w:color="auto" w:fill="FFFFFF"/>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2014</w:t>
            </w:r>
          </w:p>
        </w:tc>
        <w:tc>
          <w:tcPr>
            <w:tcW w:w="802" w:type="dxa"/>
            <w:tcBorders>
              <w:top w:val="nil"/>
              <w:left w:val="nil"/>
              <w:bottom w:val="single" w:sz="4" w:space="0" w:color="auto"/>
              <w:right w:val="single" w:sz="4" w:space="0" w:color="auto"/>
            </w:tcBorders>
            <w:shd w:val="clear" w:color="auto" w:fill="FFFFFF"/>
            <w:vAlign w:val="bottom"/>
            <w:hideMark/>
          </w:tcPr>
          <w:p w:rsidR="00E67099" w:rsidRPr="00E67099" w:rsidRDefault="00E67099" w:rsidP="00E67099">
            <w:pPr>
              <w:spacing w:after="0" w:line="240" w:lineRule="auto"/>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 </w:t>
            </w:r>
          </w:p>
        </w:tc>
        <w:tc>
          <w:tcPr>
            <w:tcW w:w="709" w:type="dxa"/>
            <w:tcBorders>
              <w:top w:val="nil"/>
              <w:left w:val="nil"/>
              <w:bottom w:val="single" w:sz="4" w:space="0" w:color="auto"/>
              <w:right w:val="single" w:sz="4" w:space="0" w:color="auto"/>
            </w:tcBorders>
            <w:shd w:val="clear" w:color="auto" w:fill="FFFFFF"/>
            <w:vAlign w:val="bottom"/>
            <w:hideMark/>
          </w:tcPr>
          <w:p w:rsidR="00E67099" w:rsidRPr="00E67099" w:rsidRDefault="00E67099" w:rsidP="00E67099">
            <w:pPr>
              <w:spacing w:after="0" w:line="240" w:lineRule="auto"/>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 </w:t>
            </w:r>
          </w:p>
        </w:tc>
        <w:tc>
          <w:tcPr>
            <w:tcW w:w="850" w:type="dxa"/>
            <w:tcBorders>
              <w:top w:val="nil"/>
              <w:left w:val="nil"/>
              <w:bottom w:val="single" w:sz="4" w:space="0" w:color="auto"/>
              <w:right w:val="single" w:sz="4" w:space="0" w:color="auto"/>
            </w:tcBorders>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12.253,0</w:t>
            </w:r>
          </w:p>
        </w:tc>
        <w:tc>
          <w:tcPr>
            <w:tcW w:w="850" w:type="dxa"/>
            <w:tcBorders>
              <w:top w:val="nil"/>
              <w:left w:val="nil"/>
              <w:bottom w:val="single" w:sz="4" w:space="0" w:color="auto"/>
              <w:right w:val="single" w:sz="4" w:space="0" w:color="auto"/>
            </w:tcBorders>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26.315,8</w:t>
            </w:r>
          </w:p>
        </w:tc>
        <w:tc>
          <w:tcPr>
            <w:tcW w:w="858" w:type="dxa"/>
            <w:tcBorders>
              <w:top w:val="nil"/>
              <w:left w:val="nil"/>
              <w:bottom w:val="single" w:sz="4" w:space="0" w:color="auto"/>
              <w:right w:val="single" w:sz="4" w:space="0" w:color="auto"/>
            </w:tcBorders>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28.605,3</w:t>
            </w:r>
          </w:p>
        </w:tc>
        <w:tc>
          <w:tcPr>
            <w:tcW w:w="844" w:type="dxa"/>
            <w:tcBorders>
              <w:top w:val="nil"/>
              <w:left w:val="nil"/>
              <w:bottom w:val="single" w:sz="4" w:space="0" w:color="auto"/>
              <w:right w:val="single" w:sz="4" w:space="0" w:color="auto"/>
            </w:tcBorders>
            <w:vAlign w:val="bottom"/>
            <w:hideMark/>
          </w:tcPr>
          <w:p w:rsidR="00E67099" w:rsidRPr="00E67099" w:rsidRDefault="00E67099" w:rsidP="00E67099">
            <w:pPr>
              <w:spacing w:after="0" w:line="240" w:lineRule="auto"/>
              <w:jc w:val="right"/>
              <w:rPr>
                <w:rFonts w:ascii="Calibri" w:eastAsia="Times New Roman" w:hAnsi="Calibri" w:cs="Calibri"/>
                <w:sz w:val="16"/>
                <w:szCs w:val="16"/>
                <w:lang w:eastAsia="ru-RU"/>
              </w:rPr>
            </w:pPr>
            <w:r w:rsidRPr="00E67099">
              <w:rPr>
                <w:rFonts w:ascii="Calibri" w:eastAsia="Times New Roman" w:hAnsi="Calibri" w:cs="Calibri"/>
                <w:sz w:val="16"/>
                <w:szCs w:val="16"/>
                <w:lang w:eastAsia="ru-RU"/>
              </w:rPr>
              <w:t>15.595,6</w:t>
            </w:r>
          </w:p>
        </w:tc>
        <w:tc>
          <w:tcPr>
            <w:tcW w:w="850" w:type="dxa"/>
            <w:gridSpan w:val="2"/>
            <w:tcBorders>
              <w:top w:val="nil"/>
              <w:left w:val="nil"/>
              <w:bottom w:val="single" w:sz="4" w:space="0" w:color="auto"/>
              <w:right w:val="single" w:sz="4" w:space="0" w:color="auto"/>
            </w:tcBorders>
            <w:shd w:val="clear" w:color="auto" w:fill="C6E0B4"/>
            <w:vAlign w:val="bottom"/>
            <w:hideMark/>
          </w:tcPr>
          <w:p w:rsidR="00E67099" w:rsidRPr="00E67099" w:rsidRDefault="00E67099" w:rsidP="00E67099">
            <w:pPr>
              <w:spacing w:after="0" w:line="240" w:lineRule="auto"/>
              <w:jc w:val="right"/>
              <w:rPr>
                <w:rFonts w:ascii="Calibri" w:eastAsia="Times New Roman" w:hAnsi="Calibri" w:cs="Calibri"/>
                <w:b/>
                <w:bCs/>
                <w:sz w:val="16"/>
                <w:szCs w:val="16"/>
                <w:lang w:eastAsia="ru-RU"/>
              </w:rPr>
            </w:pPr>
            <w:r w:rsidRPr="00E67099">
              <w:rPr>
                <w:rFonts w:ascii="Calibri" w:eastAsia="Times New Roman" w:hAnsi="Calibri" w:cs="Calibri"/>
                <w:b/>
                <w:bCs/>
                <w:sz w:val="16"/>
                <w:szCs w:val="16"/>
                <w:lang w:eastAsia="ru-RU"/>
              </w:rPr>
              <w:t>31.231,8</w:t>
            </w:r>
          </w:p>
        </w:tc>
        <w:tc>
          <w:tcPr>
            <w:tcW w:w="993" w:type="dxa"/>
            <w:gridSpan w:val="2"/>
            <w:tcBorders>
              <w:top w:val="nil"/>
              <w:left w:val="nil"/>
              <w:bottom w:val="single" w:sz="4" w:space="0" w:color="auto"/>
              <w:right w:val="single" w:sz="4" w:space="0" w:color="auto"/>
            </w:tcBorders>
            <w:shd w:val="clear" w:color="auto" w:fill="C6E0B4"/>
            <w:vAlign w:val="bottom"/>
            <w:hideMark/>
          </w:tcPr>
          <w:p w:rsidR="00E67099" w:rsidRPr="00E67099" w:rsidRDefault="00E67099" w:rsidP="00E67099">
            <w:pPr>
              <w:spacing w:after="0" w:line="240" w:lineRule="auto"/>
              <w:jc w:val="right"/>
              <w:rPr>
                <w:rFonts w:ascii="Calibri" w:eastAsia="Times New Roman" w:hAnsi="Calibri" w:cs="Calibri"/>
                <w:b/>
                <w:bCs/>
                <w:sz w:val="16"/>
                <w:szCs w:val="16"/>
                <w:lang w:eastAsia="ru-RU"/>
              </w:rPr>
            </w:pPr>
            <w:r w:rsidRPr="00E67099">
              <w:rPr>
                <w:rFonts w:ascii="Calibri" w:eastAsia="Times New Roman" w:hAnsi="Calibri" w:cs="Calibri"/>
                <w:b/>
                <w:bCs/>
                <w:sz w:val="16"/>
                <w:szCs w:val="16"/>
                <w:lang w:eastAsia="ru-RU"/>
              </w:rPr>
              <w:t>12.253,0</w:t>
            </w:r>
          </w:p>
        </w:tc>
        <w:tc>
          <w:tcPr>
            <w:tcW w:w="850" w:type="dxa"/>
            <w:gridSpan w:val="2"/>
            <w:tcBorders>
              <w:top w:val="nil"/>
              <w:left w:val="nil"/>
              <w:bottom w:val="single" w:sz="4" w:space="0" w:color="auto"/>
              <w:right w:val="single" w:sz="4" w:space="0" w:color="auto"/>
            </w:tcBorders>
            <w:shd w:val="clear" w:color="auto" w:fill="C6E0B4"/>
            <w:noWrap/>
            <w:vAlign w:val="bottom"/>
            <w:hideMark/>
          </w:tcPr>
          <w:p w:rsidR="00E67099" w:rsidRPr="00E67099" w:rsidRDefault="00E67099" w:rsidP="00E67099">
            <w:pPr>
              <w:spacing w:after="0" w:line="240" w:lineRule="auto"/>
              <w:jc w:val="right"/>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18.978,8</w:t>
            </w:r>
          </w:p>
        </w:tc>
        <w:tc>
          <w:tcPr>
            <w:tcW w:w="839" w:type="dxa"/>
            <w:gridSpan w:val="2"/>
            <w:tcBorders>
              <w:top w:val="nil"/>
              <w:left w:val="nil"/>
              <w:bottom w:val="single" w:sz="4" w:space="0" w:color="auto"/>
              <w:right w:val="single" w:sz="4" w:space="0" w:color="auto"/>
            </w:tcBorders>
            <w:shd w:val="clear" w:color="auto" w:fill="C6E0B4"/>
            <w:noWrap/>
            <w:vAlign w:val="bottom"/>
            <w:hideMark/>
          </w:tcPr>
          <w:p w:rsidR="00E67099" w:rsidRPr="00E67099" w:rsidRDefault="00E67099" w:rsidP="00E67099">
            <w:pPr>
              <w:spacing w:after="0" w:line="240" w:lineRule="auto"/>
              <w:jc w:val="right"/>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154,9%</w:t>
            </w:r>
          </w:p>
        </w:tc>
        <w:tc>
          <w:tcPr>
            <w:tcW w:w="997" w:type="dxa"/>
            <w:gridSpan w:val="2"/>
            <w:tcBorders>
              <w:top w:val="nil"/>
              <w:left w:val="nil"/>
              <w:bottom w:val="single" w:sz="4" w:space="0" w:color="auto"/>
              <w:right w:val="single" w:sz="4" w:space="0" w:color="auto"/>
            </w:tcBorders>
            <w:shd w:val="clear" w:color="auto" w:fill="C6E0B4"/>
            <w:noWrap/>
            <w:vAlign w:val="bottom"/>
            <w:hideMark/>
          </w:tcPr>
          <w:p w:rsidR="00E67099" w:rsidRPr="00E67099" w:rsidRDefault="00E67099" w:rsidP="00E67099">
            <w:pPr>
              <w:spacing w:after="0" w:line="240" w:lineRule="auto"/>
              <w:jc w:val="right"/>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32.281,43</w:t>
            </w:r>
          </w:p>
        </w:tc>
        <w:tc>
          <w:tcPr>
            <w:tcW w:w="709" w:type="dxa"/>
            <w:gridSpan w:val="3"/>
            <w:tcBorders>
              <w:top w:val="nil"/>
              <w:left w:val="nil"/>
              <w:bottom w:val="single" w:sz="4" w:space="0" w:color="auto"/>
              <w:right w:val="single" w:sz="4" w:space="0" w:color="auto"/>
            </w:tcBorders>
            <w:shd w:val="clear" w:color="auto" w:fill="FFE699"/>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103,4%</w:t>
            </w:r>
          </w:p>
        </w:tc>
        <w:tc>
          <w:tcPr>
            <w:tcW w:w="858" w:type="dxa"/>
            <w:gridSpan w:val="2"/>
            <w:tcBorders>
              <w:top w:val="nil"/>
              <w:left w:val="nil"/>
              <w:bottom w:val="single" w:sz="4" w:space="0" w:color="auto"/>
              <w:right w:val="single" w:sz="4" w:space="0" w:color="auto"/>
            </w:tcBorders>
            <w:shd w:val="clear" w:color="auto" w:fill="C6E0B4"/>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20.028,4</w:t>
            </w:r>
          </w:p>
        </w:tc>
        <w:tc>
          <w:tcPr>
            <w:tcW w:w="709" w:type="dxa"/>
            <w:gridSpan w:val="2"/>
            <w:tcBorders>
              <w:top w:val="nil"/>
              <w:left w:val="nil"/>
              <w:bottom w:val="single" w:sz="4" w:space="0" w:color="auto"/>
              <w:right w:val="single" w:sz="4" w:space="0" w:color="auto"/>
            </w:tcBorders>
            <w:shd w:val="clear" w:color="auto" w:fill="C6E0B4"/>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263,5%</w:t>
            </w:r>
          </w:p>
        </w:tc>
      </w:tr>
      <w:tr w:rsidR="00E67099" w:rsidRPr="00E67099" w:rsidTr="00A36731">
        <w:trPr>
          <w:gridAfter w:val="2"/>
          <w:wAfter w:w="253" w:type="dxa"/>
          <w:trHeight w:val="320"/>
        </w:trPr>
        <w:tc>
          <w:tcPr>
            <w:tcW w:w="408" w:type="dxa"/>
            <w:tcBorders>
              <w:top w:val="nil"/>
              <w:left w:val="single" w:sz="4" w:space="0" w:color="auto"/>
              <w:bottom w:val="single" w:sz="4" w:space="0" w:color="auto"/>
              <w:right w:val="single" w:sz="4" w:space="0" w:color="auto"/>
            </w:tcBorders>
            <w:shd w:val="clear" w:color="auto" w:fill="FFFFFF"/>
            <w:noWrap/>
            <w:vAlign w:val="center"/>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14</w:t>
            </w:r>
          </w:p>
        </w:tc>
        <w:tc>
          <w:tcPr>
            <w:tcW w:w="2003" w:type="dxa"/>
            <w:tcBorders>
              <w:top w:val="nil"/>
              <w:left w:val="nil"/>
              <w:bottom w:val="nil"/>
              <w:right w:val="single" w:sz="4" w:space="0" w:color="auto"/>
            </w:tcBorders>
            <w:shd w:val="clear" w:color="auto" w:fill="FFFFFF"/>
            <w:vAlign w:val="center"/>
            <w:hideMark/>
          </w:tcPr>
          <w:p w:rsidR="00E67099" w:rsidRPr="00E67099" w:rsidRDefault="00E67099" w:rsidP="00E67099">
            <w:pPr>
              <w:spacing w:after="0" w:line="240" w:lineRule="auto"/>
              <w:rPr>
                <w:rFonts w:ascii="Calibri" w:eastAsia="Times New Roman" w:hAnsi="Calibri" w:cs="Calibri"/>
                <w:sz w:val="16"/>
                <w:szCs w:val="16"/>
                <w:lang w:eastAsia="ru-RU"/>
              </w:rPr>
            </w:pPr>
            <w:r w:rsidRPr="00E67099">
              <w:rPr>
                <w:rFonts w:ascii="Calibri" w:eastAsia="Times New Roman" w:hAnsi="Calibri" w:cs="Calibri"/>
                <w:sz w:val="16"/>
                <w:szCs w:val="16"/>
                <w:lang w:eastAsia="ru-RU"/>
              </w:rPr>
              <w:t xml:space="preserve">Reconstrucția clădirii Centrului Republican pentru Copii şi Tineret, bd. Ștefan cel Mare și Sfânt nr. 169, municipiul Chişinău </w:t>
            </w:r>
          </w:p>
        </w:tc>
        <w:tc>
          <w:tcPr>
            <w:tcW w:w="757" w:type="dxa"/>
            <w:tcBorders>
              <w:top w:val="nil"/>
              <w:left w:val="nil"/>
              <w:bottom w:val="nil"/>
              <w:right w:val="single" w:sz="4" w:space="0" w:color="auto"/>
            </w:tcBorders>
            <w:shd w:val="clear" w:color="auto" w:fill="FFFFFF"/>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2008</w:t>
            </w:r>
          </w:p>
        </w:tc>
        <w:tc>
          <w:tcPr>
            <w:tcW w:w="802" w:type="dxa"/>
            <w:tcBorders>
              <w:top w:val="nil"/>
              <w:left w:val="nil"/>
              <w:bottom w:val="nil"/>
              <w:right w:val="single" w:sz="4" w:space="0" w:color="auto"/>
            </w:tcBorders>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157434,5</w:t>
            </w:r>
          </w:p>
        </w:tc>
        <w:tc>
          <w:tcPr>
            <w:tcW w:w="709" w:type="dxa"/>
            <w:tcBorders>
              <w:top w:val="nil"/>
              <w:left w:val="nil"/>
              <w:bottom w:val="nil"/>
              <w:right w:val="single" w:sz="4" w:space="0" w:color="auto"/>
            </w:tcBorders>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274819,3</w:t>
            </w:r>
          </w:p>
        </w:tc>
        <w:tc>
          <w:tcPr>
            <w:tcW w:w="850" w:type="dxa"/>
            <w:tcBorders>
              <w:top w:val="nil"/>
              <w:left w:val="nil"/>
              <w:bottom w:val="nil"/>
              <w:right w:val="single" w:sz="4" w:space="0" w:color="auto"/>
            </w:tcBorders>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117.384,7</w:t>
            </w:r>
          </w:p>
        </w:tc>
        <w:tc>
          <w:tcPr>
            <w:tcW w:w="850" w:type="dxa"/>
            <w:tcBorders>
              <w:top w:val="nil"/>
              <w:left w:val="nil"/>
              <w:bottom w:val="nil"/>
              <w:right w:val="single" w:sz="4" w:space="0" w:color="auto"/>
            </w:tcBorders>
            <w:shd w:val="clear" w:color="auto" w:fill="FFFFFF"/>
            <w:vAlign w:val="bottom"/>
            <w:hideMark/>
          </w:tcPr>
          <w:p w:rsidR="00E67099" w:rsidRPr="00E67099" w:rsidRDefault="00E67099" w:rsidP="00E67099">
            <w:pPr>
              <w:spacing w:after="0" w:line="240" w:lineRule="auto"/>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 </w:t>
            </w:r>
          </w:p>
        </w:tc>
        <w:tc>
          <w:tcPr>
            <w:tcW w:w="858" w:type="dxa"/>
            <w:tcBorders>
              <w:top w:val="nil"/>
              <w:left w:val="nil"/>
              <w:bottom w:val="nil"/>
              <w:right w:val="single" w:sz="4" w:space="0" w:color="auto"/>
            </w:tcBorders>
            <w:shd w:val="clear" w:color="auto" w:fill="FFFFFF"/>
            <w:vAlign w:val="bottom"/>
            <w:hideMark/>
          </w:tcPr>
          <w:p w:rsidR="00E67099" w:rsidRPr="00E67099" w:rsidRDefault="00E67099" w:rsidP="00E67099">
            <w:pPr>
              <w:spacing w:after="0" w:line="240" w:lineRule="auto"/>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 </w:t>
            </w:r>
          </w:p>
        </w:tc>
        <w:tc>
          <w:tcPr>
            <w:tcW w:w="844" w:type="dxa"/>
            <w:tcBorders>
              <w:top w:val="nil"/>
              <w:left w:val="nil"/>
              <w:bottom w:val="nil"/>
              <w:right w:val="single" w:sz="4" w:space="0" w:color="auto"/>
            </w:tcBorders>
            <w:shd w:val="clear" w:color="auto" w:fill="FFFFFF"/>
            <w:vAlign w:val="bottom"/>
            <w:hideMark/>
          </w:tcPr>
          <w:p w:rsidR="00E67099" w:rsidRPr="00E67099" w:rsidRDefault="00E67099" w:rsidP="00E67099">
            <w:pPr>
              <w:spacing w:after="0" w:line="240" w:lineRule="auto"/>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 </w:t>
            </w:r>
          </w:p>
        </w:tc>
        <w:tc>
          <w:tcPr>
            <w:tcW w:w="850" w:type="dxa"/>
            <w:gridSpan w:val="2"/>
            <w:tcBorders>
              <w:top w:val="nil"/>
              <w:left w:val="nil"/>
              <w:bottom w:val="nil"/>
              <w:right w:val="single" w:sz="4" w:space="0" w:color="auto"/>
            </w:tcBorders>
            <w:noWrap/>
            <w:vAlign w:val="bottom"/>
            <w:hideMark/>
          </w:tcPr>
          <w:p w:rsidR="00E67099" w:rsidRPr="00E67099" w:rsidRDefault="00E67099" w:rsidP="00E67099">
            <w:pPr>
              <w:spacing w:after="0" w:line="240" w:lineRule="auto"/>
              <w:jc w:val="right"/>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122.786,8</w:t>
            </w:r>
          </w:p>
        </w:tc>
        <w:tc>
          <w:tcPr>
            <w:tcW w:w="993" w:type="dxa"/>
            <w:gridSpan w:val="2"/>
            <w:tcBorders>
              <w:top w:val="nil"/>
              <w:left w:val="nil"/>
              <w:bottom w:val="nil"/>
              <w:right w:val="single" w:sz="4" w:space="0" w:color="auto"/>
            </w:tcBorders>
            <w:shd w:val="clear" w:color="auto" w:fill="FFFFFF"/>
            <w:noWrap/>
            <w:vAlign w:val="bottom"/>
            <w:hideMark/>
          </w:tcPr>
          <w:p w:rsidR="00E67099" w:rsidRPr="00E67099" w:rsidRDefault="00E67099" w:rsidP="00E67099">
            <w:pPr>
              <w:spacing w:after="0" w:line="240" w:lineRule="auto"/>
              <w:jc w:val="right"/>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157.434,5</w:t>
            </w:r>
          </w:p>
        </w:tc>
        <w:tc>
          <w:tcPr>
            <w:tcW w:w="850" w:type="dxa"/>
            <w:gridSpan w:val="2"/>
            <w:tcBorders>
              <w:top w:val="nil"/>
              <w:left w:val="nil"/>
              <w:bottom w:val="single" w:sz="4" w:space="0" w:color="auto"/>
              <w:right w:val="single" w:sz="4" w:space="0" w:color="auto"/>
            </w:tcBorders>
            <w:shd w:val="clear" w:color="auto" w:fill="FFFFFF"/>
            <w:noWrap/>
            <w:vAlign w:val="bottom"/>
            <w:hideMark/>
          </w:tcPr>
          <w:p w:rsidR="00E67099" w:rsidRPr="00E67099" w:rsidRDefault="00E67099" w:rsidP="00E67099">
            <w:pPr>
              <w:spacing w:after="0" w:line="240" w:lineRule="auto"/>
              <w:jc w:val="right"/>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-34.647,7</w:t>
            </w:r>
          </w:p>
        </w:tc>
        <w:tc>
          <w:tcPr>
            <w:tcW w:w="839" w:type="dxa"/>
            <w:gridSpan w:val="2"/>
            <w:tcBorders>
              <w:top w:val="nil"/>
              <w:left w:val="nil"/>
              <w:bottom w:val="nil"/>
              <w:right w:val="single" w:sz="4" w:space="0" w:color="auto"/>
            </w:tcBorders>
            <w:shd w:val="clear" w:color="auto" w:fill="FFFFFF"/>
            <w:noWrap/>
            <w:vAlign w:val="bottom"/>
            <w:hideMark/>
          </w:tcPr>
          <w:p w:rsidR="00E67099" w:rsidRPr="00E67099" w:rsidRDefault="00E67099" w:rsidP="00E67099">
            <w:pPr>
              <w:spacing w:after="0" w:line="240" w:lineRule="auto"/>
              <w:jc w:val="right"/>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-22,0%</w:t>
            </w:r>
          </w:p>
        </w:tc>
        <w:tc>
          <w:tcPr>
            <w:tcW w:w="997" w:type="dxa"/>
            <w:gridSpan w:val="2"/>
            <w:tcBorders>
              <w:top w:val="nil"/>
              <w:left w:val="nil"/>
              <w:bottom w:val="nil"/>
              <w:right w:val="single" w:sz="4" w:space="0" w:color="auto"/>
            </w:tcBorders>
            <w:shd w:val="clear" w:color="auto" w:fill="FFFFFF"/>
            <w:noWrap/>
            <w:vAlign w:val="bottom"/>
            <w:hideMark/>
          </w:tcPr>
          <w:p w:rsidR="00E67099" w:rsidRPr="00E67099" w:rsidRDefault="00E67099" w:rsidP="00E67099">
            <w:pPr>
              <w:spacing w:after="0" w:line="240" w:lineRule="auto"/>
              <w:jc w:val="right"/>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122.785,82</w:t>
            </w:r>
          </w:p>
        </w:tc>
        <w:tc>
          <w:tcPr>
            <w:tcW w:w="709" w:type="dxa"/>
            <w:gridSpan w:val="3"/>
            <w:tcBorders>
              <w:top w:val="nil"/>
              <w:left w:val="nil"/>
              <w:bottom w:val="nil"/>
              <w:right w:val="single" w:sz="4" w:space="0" w:color="auto"/>
            </w:tcBorders>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100,0%</w:t>
            </w:r>
          </w:p>
        </w:tc>
        <w:tc>
          <w:tcPr>
            <w:tcW w:w="858" w:type="dxa"/>
            <w:gridSpan w:val="2"/>
            <w:tcBorders>
              <w:top w:val="nil"/>
              <w:left w:val="nil"/>
              <w:bottom w:val="nil"/>
              <w:right w:val="single" w:sz="4" w:space="0" w:color="auto"/>
            </w:tcBorders>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-34.648,7</w:t>
            </w:r>
          </w:p>
        </w:tc>
        <w:tc>
          <w:tcPr>
            <w:tcW w:w="709" w:type="dxa"/>
            <w:gridSpan w:val="2"/>
            <w:tcBorders>
              <w:top w:val="nil"/>
              <w:left w:val="nil"/>
              <w:bottom w:val="nil"/>
              <w:right w:val="single" w:sz="4" w:space="0" w:color="auto"/>
            </w:tcBorders>
            <w:noWrap/>
            <w:vAlign w:val="bottom"/>
            <w:hideMark/>
          </w:tcPr>
          <w:p w:rsidR="00E67099" w:rsidRPr="00E67099" w:rsidRDefault="00E67099" w:rsidP="00E67099">
            <w:pPr>
              <w:spacing w:after="0" w:line="240" w:lineRule="auto"/>
              <w:jc w:val="right"/>
              <w:rPr>
                <w:rFonts w:ascii="Calibri" w:eastAsia="Times New Roman" w:hAnsi="Calibri" w:cs="Calibri"/>
                <w:color w:val="000000"/>
                <w:sz w:val="16"/>
                <w:szCs w:val="16"/>
                <w:lang w:eastAsia="ru-RU"/>
              </w:rPr>
            </w:pPr>
            <w:r w:rsidRPr="00E67099">
              <w:rPr>
                <w:rFonts w:ascii="Calibri" w:eastAsia="Times New Roman" w:hAnsi="Calibri" w:cs="Calibri"/>
                <w:color w:val="000000"/>
                <w:sz w:val="16"/>
                <w:szCs w:val="16"/>
                <w:lang w:eastAsia="ru-RU"/>
              </w:rPr>
              <w:t>78,0%</w:t>
            </w:r>
          </w:p>
        </w:tc>
      </w:tr>
      <w:tr w:rsidR="00E67099" w:rsidRPr="00E67099" w:rsidTr="00A36731">
        <w:trPr>
          <w:gridAfter w:val="1"/>
          <w:wAfter w:w="242" w:type="dxa"/>
          <w:trHeight w:val="190"/>
        </w:trPr>
        <w:tc>
          <w:tcPr>
            <w:tcW w:w="8092" w:type="dxa"/>
            <w:gridSpan w:val="10"/>
            <w:tcBorders>
              <w:top w:val="single" w:sz="4" w:space="0" w:color="auto"/>
              <w:left w:val="single" w:sz="4" w:space="0" w:color="auto"/>
              <w:bottom w:val="single" w:sz="4" w:space="0" w:color="auto"/>
              <w:right w:val="nil"/>
            </w:tcBorders>
            <w:shd w:val="clear" w:color="auto" w:fill="C6E0B4"/>
            <w:noWrap/>
            <w:vAlign w:val="bottom"/>
            <w:hideMark/>
          </w:tcPr>
          <w:p w:rsidR="00E67099" w:rsidRPr="00E67099" w:rsidRDefault="00E67099" w:rsidP="00E67099">
            <w:pPr>
              <w:spacing w:after="0" w:line="240" w:lineRule="auto"/>
              <w:ind w:firstLineChars="100" w:firstLine="161"/>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Total proiecte cu majorări de peste 15%</w:t>
            </w:r>
          </w:p>
        </w:tc>
        <w:tc>
          <w:tcPr>
            <w:tcW w:w="850" w:type="dxa"/>
            <w:gridSpan w:val="2"/>
            <w:tcBorders>
              <w:top w:val="single" w:sz="4" w:space="0" w:color="auto"/>
              <w:left w:val="nil"/>
              <w:bottom w:val="single" w:sz="4" w:space="0" w:color="auto"/>
              <w:right w:val="nil"/>
            </w:tcBorders>
            <w:shd w:val="clear" w:color="auto" w:fill="C6E0B4"/>
            <w:noWrap/>
            <w:vAlign w:val="bottom"/>
            <w:hideMark/>
          </w:tcPr>
          <w:p w:rsidR="00E67099" w:rsidRPr="00E67099" w:rsidRDefault="00E67099" w:rsidP="00E67099">
            <w:pPr>
              <w:spacing w:after="0" w:line="240" w:lineRule="auto"/>
              <w:jc w:val="right"/>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213.086,7</w:t>
            </w:r>
          </w:p>
        </w:tc>
        <w:tc>
          <w:tcPr>
            <w:tcW w:w="993" w:type="dxa"/>
            <w:gridSpan w:val="2"/>
            <w:tcBorders>
              <w:top w:val="single" w:sz="4" w:space="0" w:color="auto"/>
              <w:left w:val="nil"/>
              <w:bottom w:val="single" w:sz="4" w:space="0" w:color="auto"/>
              <w:right w:val="nil"/>
            </w:tcBorders>
            <w:shd w:val="clear" w:color="auto" w:fill="C6E0B4"/>
            <w:noWrap/>
            <w:vAlign w:val="bottom"/>
            <w:hideMark/>
          </w:tcPr>
          <w:p w:rsidR="00E67099" w:rsidRPr="00E67099" w:rsidRDefault="00E67099" w:rsidP="00E67099">
            <w:pPr>
              <w:spacing w:after="0" w:line="240" w:lineRule="auto"/>
              <w:jc w:val="right"/>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90.739,7</w:t>
            </w:r>
          </w:p>
        </w:tc>
        <w:tc>
          <w:tcPr>
            <w:tcW w:w="850" w:type="dxa"/>
            <w:gridSpan w:val="2"/>
            <w:tcBorders>
              <w:top w:val="nil"/>
              <w:left w:val="nil"/>
              <w:bottom w:val="single" w:sz="4" w:space="0" w:color="auto"/>
              <w:right w:val="nil"/>
            </w:tcBorders>
            <w:shd w:val="clear" w:color="auto" w:fill="C6E0B4"/>
            <w:noWrap/>
            <w:vAlign w:val="bottom"/>
            <w:hideMark/>
          </w:tcPr>
          <w:p w:rsidR="00E67099" w:rsidRPr="00E67099" w:rsidRDefault="00E67099" w:rsidP="00E67099">
            <w:pPr>
              <w:spacing w:after="0" w:line="240" w:lineRule="auto"/>
              <w:jc w:val="right"/>
              <w:rPr>
                <w:rFonts w:ascii="Calibri" w:eastAsia="Times New Roman" w:hAnsi="Calibri" w:cs="Calibri"/>
                <w:b/>
                <w:bCs/>
                <w:color w:val="FF0000"/>
                <w:sz w:val="16"/>
                <w:szCs w:val="16"/>
                <w:lang w:eastAsia="ru-RU"/>
              </w:rPr>
            </w:pPr>
            <w:r w:rsidRPr="00E67099">
              <w:rPr>
                <w:rFonts w:ascii="Calibri" w:eastAsia="Times New Roman" w:hAnsi="Calibri" w:cs="Calibri"/>
                <w:b/>
                <w:bCs/>
                <w:color w:val="FF0000"/>
                <w:sz w:val="16"/>
                <w:szCs w:val="16"/>
                <w:lang w:eastAsia="ru-RU"/>
              </w:rPr>
              <w:t>122.347,0</w:t>
            </w:r>
          </w:p>
        </w:tc>
        <w:tc>
          <w:tcPr>
            <w:tcW w:w="839" w:type="dxa"/>
            <w:gridSpan w:val="2"/>
            <w:tcBorders>
              <w:top w:val="single" w:sz="4" w:space="0" w:color="auto"/>
              <w:left w:val="nil"/>
              <w:bottom w:val="single" w:sz="4" w:space="0" w:color="auto"/>
              <w:right w:val="nil"/>
            </w:tcBorders>
            <w:shd w:val="clear" w:color="auto" w:fill="C6E0B4"/>
            <w:noWrap/>
            <w:vAlign w:val="bottom"/>
            <w:hideMark/>
          </w:tcPr>
          <w:p w:rsidR="00E67099" w:rsidRPr="00E67099" w:rsidRDefault="00E67099" w:rsidP="00E67099">
            <w:pPr>
              <w:spacing w:after="0" w:line="240" w:lineRule="auto"/>
              <w:jc w:val="right"/>
              <w:rPr>
                <w:rFonts w:ascii="Calibri" w:eastAsia="Times New Roman" w:hAnsi="Calibri" w:cs="Calibri"/>
                <w:b/>
                <w:bCs/>
                <w:color w:val="FF0000"/>
                <w:sz w:val="16"/>
                <w:szCs w:val="16"/>
                <w:lang w:eastAsia="ru-RU"/>
              </w:rPr>
            </w:pPr>
            <w:r w:rsidRPr="00E67099">
              <w:rPr>
                <w:rFonts w:ascii="Calibri" w:eastAsia="Times New Roman" w:hAnsi="Calibri" w:cs="Calibri"/>
                <w:b/>
                <w:bCs/>
                <w:color w:val="FF0000"/>
                <w:sz w:val="16"/>
                <w:szCs w:val="16"/>
                <w:lang w:eastAsia="ru-RU"/>
              </w:rPr>
              <w:t>134,8%</w:t>
            </w:r>
          </w:p>
        </w:tc>
        <w:tc>
          <w:tcPr>
            <w:tcW w:w="997" w:type="dxa"/>
            <w:gridSpan w:val="2"/>
            <w:tcBorders>
              <w:top w:val="single" w:sz="4" w:space="0" w:color="auto"/>
              <w:left w:val="nil"/>
              <w:bottom w:val="single" w:sz="4" w:space="0" w:color="auto"/>
              <w:right w:val="nil"/>
            </w:tcBorders>
            <w:shd w:val="clear" w:color="auto" w:fill="C6E0B4"/>
            <w:noWrap/>
            <w:vAlign w:val="bottom"/>
            <w:hideMark/>
          </w:tcPr>
          <w:p w:rsidR="00E67099" w:rsidRPr="00E67099" w:rsidRDefault="00E67099" w:rsidP="00E67099">
            <w:pPr>
              <w:spacing w:after="0" w:line="240" w:lineRule="auto"/>
              <w:jc w:val="right"/>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209.526,42</w:t>
            </w:r>
          </w:p>
        </w:tc>
        <w:tc>
          <w:tcPr>
            <w:tcW w:w="709" w:type="dxa"/>
            <w:gridSpan w:val="3"/>
            <w:tcBorders>
              <w:top w:val="single" w:sz="4" w:space="0" w:color="auto"/>
              <w:left w:val="nil"/>
              <w:bottom w:val="single" w:sz="4" w:space="0" w:color="auto"/>
              <w:right w:val="nil"/>
            </w:tcBorders>
            <w:shd w:val="clear" w:color="auto" w:fill="C6E0B4"/>
            <w:noWrap/>
            <w:vAlign w:val="bottom"/>
            <w:hideMark/>
          </w:tcPr>
          <w:p w:rsidR="00E67099" w:rsidRPr="00E67099" w:rsidRDefault="00E67099" w:rsidP="00E67099">
            <w:pPr>
              <w:spacing w:after="0" w:line="240" w:lineRule="auto"/>
              <w:rPr>
                <w:rFonts w:ascii="Calibri" w:eastAsia="Times New Roman" w:hAnsi="Calibri" w:cs="Calibri"/>
                <w:b/>
                <w:bCs/>
                <w:color w:val="000000"/>
                <w:sz w:val="16"/>
                <w:szCs w:val="16"/>
                <w:lang w:eastAsia="ru-RU"/>
              </w:rPr>
            </w:pPr>
            <w:r w:rsidRPr="00E67099">
              <w:rPr>
                <w:rFonts w:ascii="Calibri" w:eastAsia="Times New Roman" w:hAnsi="Calibri" w:cs="Calibri"/>
                <w:b/>
                <w:bCs/>
                <w:color w:val="000000"/>
                <w:sz w:val="16"/>
                <w:szCs w:val="16"/>
                <w:lang w:eastAsia="ru-RU"/>
              </w:rPr>
              <w:t> </w:t>
            </w:r>
          </w:p>
        </w:tc>
        <w:tc>
          <w:tcPr>
            <w:tcW w:w="858" w:type="dxa"/>
            <w:gridSpan w:val="2"/>
            <w:tcBorders>
              <w:top w:val="single" w:sz="4" w:space="0" w:color="auto"/>
              <w:left w:val="nil"/>
              <w:bottom w:val="single" w:sz="4" w:space="0" w:color="auto"/>
              <w:right w:val="nil"/>
            </w:tcBorders>
            <w:shd w:val="clear" w:color="auto" w:fill="C6E0B4"/>
            <w:noWrap/>
            <w:vAlign w:val="bottom"/>
            <w:hideMark/>
          </w:tcPr>
          <w:p w:rsidR="00E67099" w:rsidRPr="00E67099" w:rsidRDefault="00E67099" w:rsidP="00E67099">
            <w:pPr>
              <w:spacing w:after="0" w:line="240" w:lineRule="auto"/>
              <w:jc w:val="right"/>
              <w:rPr>
                <w:rFonts w:ascii="Calibri" w:eastAsia="Times New Roman" w:hAnsi="Calibri" w:cs="Calibri"/>
                <w:b/>
                <w:bCs/>
                <w:color w:val="FF0000"/>
                <w:sz w:val="16"/>
                <w:szCs w:val="16"/>
                <w:lang w:eastAsia="ru-RU"/>
              </w:rPr>
            </w:pPr>
            <w:r w:rsidRPr="00E67099">
              <w:rPr>
                <w:rFonts w:ascii="Calibri" w:eastAsia="Times New Roman" w:hAnsi="Calibri" w:cs="Calibri"/>
                <w:b/>
                <w:bCs/>
                <w:color w:val="FF0000"/>
                <w:sz w:val="16"/>
                <w:szCs w:val="16"/>
                <w:lang w:eastAsia="ru-RU"/>
              </w:rPr>
              <w:t>118.786,7</w:t>
            </w:r>
          </w:p>
        </w:tc>
        <w:tc>
          <w:tcPr>
            <w:tcW w:w="709" w:type="dxa"/>
            <w:gridSpan w:val="2"/>
            <w:tcBorders>
              <w:top w:val="single" w:sz="4" w:space="0" w:color="auto"/>
              <w:left w:val="nil"/>
              <w:bottom w:val="single" w:sz="4" w:space="0" w:color="auto"/>
              <w:right w:val="single" w:sz="4" w:space="0" w:color="auto"/>
            </w:tcBorders>
            <w:shd w:val="clear" w:color="auto" w:fill="C6E0B4"/>
            <w:noWrap/>
            <w:vAlign w:val="bottom"/>
            <w:hideMark/>
          </w:tcPr>
          <w:p w:rsidR="00E67099" w:rsidRPr="00E67099" w:rsidRDefault="00E67099" w:rsidP="00E67099">
            <w:pPr>
              <w:spacing w:after="0" w:line="240" w:lineRule="auto"/>
              <w:jc w:val="right"/>
              <w:rPr>
                <w:rFonts w:ascii="Calibri" w:eastAsia="Times New Roman" w:hAnsi="Calibri" w:cs="Calibri"/>
                <w:b/>
                <w:bCs/>
                <w:color w:val="FF0000"/>
                <w:sz w:val="16"/>
                <w:szCs w:val="16"/>
                <w:lang w:eastAsia="ru-RU"/>
              </w:rPr>
            </w:pPr>
            <w:r w:rsidRPr="00E67099">
              <w:rPr>
                <w:rFonts w:ascii="Calibri" w:eastAsia="Times New Roman" w:hAnsi="Calibri" w:cs="Calibri"/>
                <w:b/>
                <w:bCs/>
                <w:color w:val="FF0000"/>
                <w:sz w:val="16"/>
                <w:szCs w:val="16"/>
                <w:lang w:eastAsia="ru-RU"/>
              </w:rPr>
              <w:t>230,9%</w:t>
            </w:r>
          </w:p>
        </w:tc>
      </w:tr>
    </w:tbl>
    <w:p w:rsidR="00E67099" w:rsidRPr="008B3719" w:rsidRDefault="00E67099" w:rsidP="00E67099">
      <w:pPr>
        <w:spacing w:after="0"/>
        <w:rPr>
          <w:rFonts w:asciiTheme="majorHAnsi" w:hAnsiTheme="majorHAnsi" w:cstheme="majorHAnsi"/>
          <w:i/>
          <w:sz w:val="20"/>
          <w:szCs w:val="20"/>
          <w:lang w:val="ro-MD"/>
        </w:rPr>
      </w:pPr>
      <w:r w:rsidRPr="008B3719">
        <w:rPr>
          <w:rFonts w:asciiTheme="majorHAnsi" w:hAnsiTheme="majorHAnsi" w:cstheme="majorHAnsi"/>
          <w:b/>
          <w:i/>
          <w:sz w:val="20"/>
          <w:szCs w:val="20"/>
        </w:rPr>
        <w:t>Sursă:</w:t>
      </w:r>
      <w:r w:rsidRPr="008B3719">
        <w:rPr>
          <w:rFonts w:asciiTheme="majorHAnsi" w:hAnsiTheme="majorHAnsi" w:cstheme="majorHAnsi"/>
          <w:i/>
          <w:sz w:val="20"/>
          <w:szCs w:val="20"/>
        </w:rPr>
        <w:t xml:space="preserve"> Notele informative la proiectele Legilor bugetulu</w:t>
      </w:r>
      <w:r w:rsidR="00710824" w:rsidRPr="008B3719">
        <w:rPr>
          <w:rFonts w:asciiTheme="majorHAnsi" w:hAnsiTheme="majorHAnsi" w:cstheme="majorHAnsi"/>
          <w:i/>
          <w:sz w:val="20"/>
          <w:szCs w:val="20"/>
        </w:rPr>
        <w:t>i de stat pentru anii 2013-2019.</w:t>
      </w:r>
      <w:r w:rsidR="008B3719" w:rsidRPr="008B3719">
        <w:rPr>
          <w:rFonts w:asciiTheme="majorHAnsi" w:hAnsiTheme="majorHAnsi" w:cstheme="majorHAnsi"/>
          <w:i/>
          <w:sz w:val="20"/>
          <w:szCs w:val="20"/>
          <w:lang w:val="ro-MD"/>
        </w:rPr>
        <w:t xml:space="preserve"> </w:t>
      </w:r>
      <w:r w:rsidRPr="008B3719">
        <w:rPr>
          <w:rFonts w:asciiTheme="majorHAnsi" w:hAnsiTheme="majorHAnsi" w:cstheme="majorHAnsi"/>
          <w:i/>
          <w:sz w:val="20"/>
          <w:szCs w:val="20"/>
        </w:rPr>
        <w:t>Raportul privind executarea investițiilor capitale de la bugetul pe autoritățile publice și proiecte la situația din 31.12.2019.</w:t>
      </w:r>
    </w:p>
    <w:p w:rsidR="00E67099" w:rsidRPr="00ED66E8" w:rsidRDefault="00E67099" w:rsidP="00ED66E8">
      <w:pPr>
        <w:tabs>
          <w:tab w:val="left" w:pos="993"/>
        </w:tabs>
        <w:spacing w:after="0" w:line="276" w:lineRule="auto"/>
        <w:ind w:firstLine="540"/>
        <w:jc w:val="right"/>
        <w:outlineLvl w:val="2"/>
        <w:rPr>
          <w:rFonts w:ascii="Calibri Light" w:hAnsi="Calibri Light" w:cs="Calibri Light"/>
          <w:b/>
          <w:i/>
          <w:sz w:val="24"/>
          <w:szCs w:val="24"/>
        </w:rPr>
      </w:pPr>
      <w:r w:rsidRPr="00E67099">
        <w:rPr>
          <w:rFonts w:ascii="Calibri Light" w:hAnsi="Calibri Light" w:cs="Calibri Light"/>
          <w:b/>
          <w:i/>
          <w:sz w:val="24"/>
          <w:szCs w:val="24"/>
        </w:rPr>
        <w:t>Anexa nr.20</w:t>
      </w:r>
    </w:p>
    <w:p w:rsidR="00E67099" w:rsidRPr="00E67099" w:rsidRDefault="00E67099" w:rsidP="00E67099">
      <w:pPr>
        <w:jc w:val="center"/>
        <w:rPr>
          <w:rFonts w:asciiTheme="majorHAnsi" w:eastAsia="Times New Roman" w:hAnsiTheme="majorHAnsi" w:cstheme="majorHAnsi"/>
          <w:b/>
          <w:bCs/>
          <w:iCs/>
          <w:sz w:val="24"/>
          <w:szCs w:val="24"/>
          <w:lang w:eastAsia="ru-RU"/>
        </w:rPr>
      </w:pPr>
      <w:r w:rsidRPr="00E67099">
        <w:rPr>
          <w:rFonts w:asciiTheme="majorHAnsi" w:eastAsia="Times New Roman" w:hAnsiTheme="majorHAnsi" w:cstheme="majorHAnsi"/>
          <w:b/>
          <w:bCs/>
          <w:iCs/>
          <w:sz w:val="24"/>
          <w:szCs w:val="24"/>
          <w:lang w:eastAsia="ru-RU"/>
        </w:rPr>
        <w:t>Implementarea cerințelor și recomandărilor expuse în Hotărârile anterioare ale Curții de Conturi</w:t>
      </w:r>
    </w:p>
    <w:tbl>
      <w:tblPr>
        <w:tblW w:w="13609" w:type="dxa"/>
        <w:tblInd w:w="-10" w:type="dxa"/>
        <w:tblLayout w:type="fixed"/>
        <w:tblLook w:val="04A0" w:firstRow="1" w:lastRow="0" w:firstColumn="1" w:lastColumn="0" w:noHBand="0" w:noVBand="1"/>
      </w:tblPr>
      <w:tblGrid>
        <w:gridCol w:w="3828"/>
        <w:gridCol w:w="6804"/>
        <w:gridCol w:w="993"/>
        <w:gridCol w:w="992"/>
        <w:gridCol w:w="992"/>
      </w:tblGrid>
      <w:tr w:rsidR="00E67099" w:rsidRPr="004C0263" w:rsidTr="00A36731">
        <w:trPr>
          <w:trHeight w:val="269"/>
        </w:trPr>
        <w:tc>
          <w:tcPr>
            <w:tcW w:w="3828" w:type="dxa"/>
            <w:vMerge w:val="restart"/>
            <w:tcBorders>
              <w:top w:val="single" w:sz="8" w:space="0" w:color="auto"/>
              <w:left w:val="single" w:sz="8" w:space="0" w:color="auto"/>
              <w:right w:val="single" w:sz="8" w:space="0" w:color="auto"/>
            </w:tcBorders>
            <w:shd w:val="clear" w:color="auto" w:fill="auto"/>
            <w:vAlign w:val="center"/>
            <w:hideMark/>
          </w:tcPr>
          <w:p w:rsidR="00E67099" w:rsidRPr="004C0263" w:rsidRDefault="00E67099" w:rsidP="00E67099">
            <w:pPr>
              <w:spacing w:after="0" w:line="240" w:lineRule="auto"/>
              <w:jc w:val="center"/>
              <w:rPr>
                <w:rFonts w:asciiTheme="majorHAnsi" w:eastAsia="Times New Roman" w:hAnsiTheme="majorHAnsi" w:cstheme="majorHAnsi"/>
                <w:b/>
                <w:bCs/>
                <w:color w:val="000000"/>
                <w:sz w:val="20"/>
                <w:szCs w:val="20"/>
              </w:rPr>
            </w:pPr>
            <w:r w:rsidRPr="004C0263">
              <w:rPr>
                <w:rFonts w:asciiTheme="majorHAnsi" w:eastAsia="Times New Roman" w:hAnsiTheme="majorHAnsi" w:cstheme="majorHAnsi"/>
                <w:b/>
                <w:bCs/>
                <w:color w:val="000000"/>
                <w:sz w:val="20"/>
                <w:szCs w:val="20"/>
              </w:rPr>
              <w:t>Recomandarea</w:t>
            </w:r>
          </w:p>
        </w:tc>
        <w:tc>
          <w:tcPr>
            <w:tcW w:w="6804" w:type="dxa"/>
            <w:vMerge w:val="restart"/>
            <w:tcBorders>
              <w:top w:val="single" w:sz="8" w:space="0" w:color="auto"/>
              <w:left w:val="nil"/>
              <w:right w:val="single" w:sz="8" w:space="0" w:color="auto"/>
            </w:tcBorders>
            <w:shd w:val="clear" w:color="auto" w:fill="auto"/>
            <w:vAlign w:val="center"/>
            <w:hideMark/>
          </w:tcPr>
          <w:p w:rsidR="00E67099" w:rsidRPr="004C0263" w:rsidRDefault="00E67099" w:rsidP="00E67099">
            <w:pPr>
              <w:spacing w:after="0" w:line="240" w:lineRule="auto"/>
              <w:jc w:val="center"/>
              <w:rPr>
                <w:rFonts w:asciiTheme="majorHAnsi" w:eastAsia="Times New Roman" w:hAnsiTheme="majorHAnsi" w:cstheme="majorHAnsi"/>
                <w:b/>
                <w:bCs/>
                <w:color w:val="000000"/>
                <w:sz w:val="20"/>
                <w:szCs w:val="20"/>
              </w:rPr>
            </w:pPr>
            <w:r w:rsidRPr="004C0263">
              <w:rPr>
                <w:rFonts w:asciiTheme="majorHAnsi" w:hAnsiTheme="majorHAnsi" w:cstheme="majorHAnsi"/>
                <w:b/>
                <w:sz w:val="20"/>
                <w:szCs w:val="20"/>
              </w:rPr>
              <w:t>Măsurile întreprinse</w:t>
            </w:r>
          </w:p>
        </w:tc>
        <w:tc>
          <w:tcPr>
            <w:tcW w:w="2977" w:type="dxa"/>
            <w:gridSpan w:val="3"/>
            <w:tcBorders>
              <w:top w:val="single" w:sz="8" w:space="0" w:color="auto"/>
              <w:left w:val="nil"/>
              <w:bottom w:val="single" w:sz="4" w:space="0" w:color="auto"/>
              <w:right w:val="single" w:sz="8" w:space="0" w:color="auto"/>
            </w:tcBorders>
          </w:tcPr>
          <w:p w:rsidR="00E67099" w:rsidRPr="004C0263" w:rsidRDefault="00E67099" w:rsidP="00E67099">
            <w:pPr>
              <w:spacing w:after="0" w:line="240" w:lineRule="auto"/>
              <w:jc w:val="center"/>
              <w:rPr>
                <w:rFonts w:asciiTheme="majorHAnsi" w:eastAsia="Times New Roman" w:hAnsiTheme="majorHAnsi" w:cstheme="majorHAnsi"/>
                <w:b/>
                <w:bCs/>
                <w:color w:val="000000"/>
                <w:sz w:val="20"/>
                <w:szCs w:val="20"/>
              </w:rPr>
            </w:pPr>
            <w:r w:rsidRPr="004C0263">
              <w:rPr>
                <w:rFonts w:asciiTheme="majorHAnsi" w:hAnsiTheme="majorHAnsi" w:cstheme="majorHAnsi"/>
                <w:b/>
                <w:sz w:val="20"/>
                <w:szCs w:val="20"/>
              </w:rPr>
              <w:t>Statutul implementării recomandării</w:t>
            </w:r>
          </w:p>
        </w:tc>
      </w:tr>
      <w:tr w:rsidR="00E67099" w:rsidRPr="004C0263" w:rsidTr="00A36731">
        <w:trPr>
          <w:trHeight w:val="57"/>
        </w:trPr>
        <w:tc>
          <w:tcPr>
            <w:tcW w:w="3828" w:type="dxa"/>
            <w:vMerge/>
            <w:tcBorders>
              <w:left w:val="single" w:sz="8" w:space="0" w:color="auto"/>
              <w:bottom w:val="single" w:sz="8" w:space="0" w:color="auto"/>
              <w:right w:val="single" w:sz="8" w:space="0" w:color="auto"/>
            </w:tcBorders>
            <w:shd w:val="clear" w:color="auto" w:fill="auto"/>
          </w:tcPr>
          <w:p w:rsidR="00E67099" w:rsidRPr="004C0263" w:rsidRDefault="00E67099" w:rsidP="00E67099">
            <w:pPr>
              <w:spacing w:after="0" w:line="240" w:lineRule="auto"/>
              <w:jc w:val="both"/>
              <w:rPr>
                <w:rFonts w:asciiTheme="majorHAnsi" w:hAnsiTheme="majorHAnsi" w:cstheme="majorHAnsi"/>
                <w:sz w:val="20"/>
                <w:szCs w:val="20"/>
              </w:rPr>
            </w:pPr>
          </w:p>
        </w:tc>
        <w:tc>
          <w:tcPr>
            <w:tcW w:w="6804" w:type="dxa"/>
            <w:vMerge/>
            <w:tcBorders>
              <w:left w:val="nil"/>
              <w:bottom w:val="single" w:sz="8" w:space="0" w:color="auto"/>
              <w:right w:val="single" w:sz="8" w:space="0" w:color="auto"/>
            </w:tcBorders>
            <w:shd w:val="clear" w:color="auto" w:fill="auto"/>
          </w:tcPr>
          <w:p w:rsidR="00E67099" w:rsidRPr="004C0263" w:rsidRDefault="00E67099" w:rsidP="00E67099">
            <w:pPr>
              <w:spacing w:after="0" w:line="240" w:lineRule="auto"/>
              <w:jc w:val="both"/>
              <w:rPr>
                <w:rFonts w:asciiTheme="majorHAnsi" w:hAnsiTheme="majorHAnsi" w:cstheme="majorHAnsi"/>
                <w:sz w:val="20"/>
                <w:szCs w:val="20"/>
              </w:rPr>
            </w:pPr>
          </w:p>
        </w:tc>
        <w:tc>
          <w:tcPr>
            <w:tcW w:w="993" w:type="dxa"/>
            <w:tcBorders>
              <w:top w:val="single" w:sz="4" w:space="0" w:color="auto"/>
              <w:left w:val="single" w:sz="8" w:space="0" w:color="auto"/>
              <w:bottom w:val="single" w:sz="4" w:space="0" w:color="auto"/>
              <w:right w:val="single" w:sz="4" w:space="0" w:color="auto"/>
            </w:tcBorders>
            <w:shd w:val="clear" w:color="auto" w:fill="auto"/>
            <w:vAlign w:val="center"/>
          </w:tcPr>
          <w:p w:rsidR="00E67099" w:rsidRPr="004C0263" w:rsidRDefault="00E67099" w:rsidP="00E67099">
            <w:pPr>
              <w:tabs>
                <w:tab w:val="left" w:pos="720"/>
              </w:tabs>
              <w:spacing w:after="0" w:line="240" w:lineRule="auto"/>
              <w:jc w:val="center"/>
              <w:rPr>
                <w:rFonts w:asciiTheme="majorHAnsi" w:hAnsiTheme="majorHAnsi" w:cstheme="majorHAnsi"/>
                <w:b/>
                <w:sz w:val="20"/>
                <w:szCs w:val="20"/>
              </w:rPr>
            </w:pPr>
            <w:r w:rsidRPr="004C0263">
              <w:rPr>
                <w:rFonts w:asciiTheme="majorHAnsi" w:hAnsiTheme="majorHAnsi" w:cstheme="majorHAnsi"/>
                <w:b/>
                <w:sz w:val="20"/>
                <w:szCs w:val="20"/>
              </w:rPr>
              <w:t>realizat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7099" w:rsidRPr="004C0263" w:rsidRDefault="00E67099" w:rsidP="00E67099">
            <w:pPr>
              <w:tabs>
                <w:tab w:val="left" w:pos="720"/>
              </w:tabs>
              <w:spacing w:after="0" w:line="240" w:lineRule="auto"/>
              <w:jc w:val="center"/>
              <w:rPr>
                <w:rFonts w:asciiTheme="majorHAnsi" w:hAnsiTheme="majorHAnsi" w:cstheme="majorHAnsi"/>
                <w:b/>
                <w:sz w:val="20"/>
                <w:szCs w:val="20"/>
              </w:rPr>
            </w:pPr>
            <w:r w:rsidRPr="004C0263">
              <w:rPr>
                <w:rFonts w:asciiTheme="majorHAnsi" w:hAnsiTheme="majorHAnsi" w:cstheme="majorHAnsi"/>
                <w:b/>
                <w:sz w:val="20"/>
                <w:szCs w:val="20"/>
              </w:rPr>
              <w:t>parțial realizat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7099" w:rsidRPr="004C0263" w:rsidRDefault="00E67099" w:rsidP="00E67099">
            <w:pPr>
              <w:tabs>
                <w:tab w:val="left" w:pos="720"/>
              </w:tabs>
              <w:spacing w:after="0" w:line="240" w:lineRule="auto"/>
              <w:ind w:left="-145" w:right="-105" w:firstLine="39"/>
              <w:jc w:val="center"/>
              <w:rPr>
                <w:rFonts w:asciiTheme="majorHAnsi" w:hAnsiTheme="majorHAnsi" w:cstheme="majorHAnsi"/>
                <w:b/>
                <w:sz w:val="20"/>
                <w:szCs w:val="20"/>
              </w:rPr>
            </w:pPr>
            <w:r w:rsidRPr="004C0263">
              <w:rPr>
                <w:rFonts w:asciiTheme="majorHAnsi" w:hAnsiTheme="majorHAnsi" w:cstheme="majorHAnsi"/>
                <w:b/>
                <w:sz w:val="20"/>
                <w:szCs w:val="20"/>
              </w:rPr>
              <w:t>nerealizat</w:t>
            </w:r>
          </w:p>
        </w:tc>
      </w:tr>
      <w:tr w:rsidR="00E67099" w:rsidRPr="004C0263" w:rsidTr="00A36731">
        <w:trPr>
          <w:trHeight w:val="57"/>
        </w:trPr>
        <w:tc>
          <w:tcPr>
            <w:tcW w:w="3828" w:type="dxa"/>
            <w:tcBorders>
              <w:top w:val="single" w:sz="8" w:space="0" w:color="auto"/>
              <w:left w:val="single" w:sz="8" w:space="0" w:color="auto"/>
              <w:bottom w:val="single" w:sz="8" w:space="0" w:color="auto"/>
              <w:right w:val="single" w:sz="8" w:space="0" w:color="auto"/>
            </w:tcBorders>
            <w:shd w:val="clear" w:color="auto" w:fill="auto"/>
          </w:tcPr>
          <w:p w:rsidR="00E67099" w:rsidRPr="004C0263" w:rsidRDefault="00E67099" w:rsidP="00E67099">
            <w:pPr>
              <w:spacing w:after="0" w:line="240" w:lineRule="auto"/>
              <w:jc w:val="both"/>
              <w:rPr>
                <w:rFonts w:asciiTheme="majorHAnsi" w:eastAsia="Times New Roman" w:hAnsiTheme="majorHAnsi" w:cstheme="majorHAnsi"/>
                <w:b/>
                <w:bCs/>
                <w:color w:val="000000"/>
                <w:sz w:val="20"/>
                <w:szCs w:val="20"/>
              </w:rPr>
            </w:pPr>
            <w:r w:rsidRPr="004C0263">
              <w:rPr>
                <w:rFonts w:asciiTheme="majorHAnsi" w:hAnsiTheme="majorHAnsi" w:cstheme="majorHAnsi"/>
                <w:b/>
                <w:i/>
                <w:sz w:val="20"/>
                <w:szCs w:val="20"/>
              </w:rPr>
              <w:t xml:space="preserve">Recomandarea nr. </w:t>
            </w:r>
            <w:r w:rsidRPr="004C0263">
              <w:rPr>
                <w:rFonts w:asciiTheme="majorHAnsi" w:eastAsia="Times New Roman" w:hAnsiTheme="majorHAnsi" w:cstheme="majorHAnsi"/>
                <w:b/>
                <w:i/>
                <w:iCs/>
                <w:sz w:val="20"/>
                <w:szCs w:val="20"/>
              </w:rPr>
              <w:t>2.1.1.</w:t>
            </w:r>
            <w:r w:rsidRPr="004C0263">
              <w:rPr>
                <w:rFonts w:asciiTheme="majorHAnsi" w:eastAsia="Times New Roman" w:hAnsiTheme="majorHAnsi" w:cstheme="majorHAnsi"/>
                <w:i/>
                <w:iCs/>
                <w:sz w:val="20"/>
                <w:szCs w:val="20"/>
              </w:rPr>
              <w:t xml:space="preserve"> E</w:t>
            </w:r>
            <w:r w:rsidRPr="004C0263">
              <w:rPr>
                <w:rFonts w:asciiTheme="majorHAnsi" w:hAnsiTheme="majorHAnsi" w:cstheme="majorHAnsi"/>
                <w:sz w:val="20"/>
                <w:szCs w:val="20"/>
              </w:rPr>
              <w:t>xaminarea rezultatelor auditului financiar al Raportului Guvernului privind executarea bugetului de stat pe anul 2018 în cadrul Colegiului ministerial, cu aprobarea unui plan de măsuri de remediere a situațiilor constatate și de implementare a recomandărilor cuprinse în prezenta Hotărâre;</w:t>
            </w:r>
          </w:p>
        </w:tc>
        <w:tc>
          <w:tcPr>
            <w:tcW w:w="6804" w:type="dxa"/>
            <w:tcBorders>
              <w:top w:val="single" w:sz="8" w:space="0" w:color="auto"/>
              <w:left w:val="nil"/>
              <w:bottom w:val="single" w:sz="8" w:space="0" w:color="auto"/>
              <w:right w:val="single" w:sz="8" w:space="0" w:color="auto"/>
            </w:tcBorders>
            <w:shd w:val="clear" w:color="auto" w:fill="auto"/>
          </w:tcPr>
          <w:p w:rsidR="00E67099" w:rsidRPr="004C0263" w:rsidRDefault="00E67099" w:rsidP="00E67099">
            <w:pPr>
              <w:spacing w:after="0" w:line="240" w:lineRule="auto"/>
              <w:jc w:val="both"/>
              <w:rPr>
                <w:rFonts w:asciiTheme="majorHAnsi" w:hAnsiTheme="majorHAnsi" w:cstheme="majorHAnsi"/>
                <w:sz w:val="20"/>
                <w:szCs w:val="20"/>
              </w:rPr>
            </w:pPr>
            <w:r w:rsidRPr="004C0263">
              <w:rPr>
                <w:rFonts w:asciiTheme="majorHAnsi" w:hAnsiTheme="majorHAnsi" w:cstheme="majorHAnsi"/>
                <w:sz w:val="20"/>
                <w:szCs w:val="20"/>
              </w:rPr>
              <w:t>Elaborarea și aprobarea Planului de măsuri privind implementarea recomandărilor Curții de Conturi din Hotărârea nr.44 din 28 mai 2019 „Cu privire la Raportul auditului financiar al Raportului Guvernului privind executarea bugetului de stat pe anul 2018”.</w:t>
            </w:r>
          </w:p>
          <w:p w:rsidR="00E67099" w:rsidRPr="004C0263" w:rsidRDefault="00E67099" w:rsidP="00E67099">
            <w:pPr>
              <w:spacing w:after="0" w:line="240" w:lineRule="auto"/>
              <w:jc w:val="both"/>
              <w:rPr>
                <w:rFonts w:asciiTheme="majorHAnsi" w:hAnsiTheme="majorHAnsi" w:cstheme="majorHAnsi"/>
                <w:sz w:val="20"/>
                <w:szCs w:val="20"/>
              </w:rPr>
            </w:pPr>
            <w:r w:rsidRPr="004C0263">
              <w:rPr>
                <w:rFonts w:asciiTheme="majorHAnsi" w:hAnsiTheme="majorHAnsi" w:cstheme="majorHAnsi"/>
                <w:sz w:val="20"/>
                <w:szCs w:val="20"/>
              </w:rPr>
              <w:t>Planul de măsuri de remediere a situației constatate și de implementare a recomandărilor cuprinse în Hotărârea Curții de Conturi nr.44 din 28 mai 2019 „Cu privire la Raportul auditului financiar al Raportului Guvernului privind executarea bugetului de stat pe anul 2018” a fost aprobat prin Ordinul ministrului finanțelor nr.131 din 07.10.2019.</w:t>
            </w:r>
          </w:p>
        </w:tc>
        <w:tc>
          <w:tcPr>
            <w:tcW w:w="993" w:type="dxa"/>
            <w:tcBorders>
              <w:top w:val="single" w:sz="4" w:space="0" w:color="auto"/>
              <w:left w:val="nil"/>
              <w:bottom w:val="single" w:sz="8" w:space="0" w:color="auto"/>
              <w:right w:val="single" w:sz="8" w:space="0" w:color="auto"/>
            </w:tcBorders>
          </w:tcPr>
          <w:p w:rsidR="00E67099" w:rsidRPr="004C0263" w:rsidRDefault="00E67099" w:rsidP="00E67099">
            <w:pPr>
              <w:spacing w:after="0" w:line="240" w:lineRule="auto"/>
              <w:jc w:val="center"/>
              <w:rPr>
                <w:rFonts w:asciiTheme="majorHAnsi" w:hAnsiTheme="majorHAnsi" w:cstheme="majorHAnsi"/>
                <w:sz w:val="20"/>
                <w:szCs w:val="20"/>
              </w:rPr>
            </w:pPr>
            <w:r w:rsidRPr="004C0263">
              <w:rPr>
                <w:rFonts w:asciiTheme="majorHAnsi" w:hAnsiTheme="majorHAnsi" w:cstheme="majorHAnsi"/>
                <w:sz w:val="20"/>
                <w:szCs w:val="20"/>
              </w:rPr>
              <w:t>v</w:t>
            </w:r>
          </w:p>
        </w:tc>
        <w:tc>
          <w:tcPr>
            <w:tcW w:w="992" w:type="dxa"/>
            <w:tcBorders>
              <w:top w:val="single" w:sz="4" w:space="0" w:color="auto"/>
              <w:left w:val="nil"/>
              <w:bottom w:val="single" w:sz="8" w:space="0" w:color="auto"/>
              <w:right w:val="single" w:sz="8" w:space="0" w:color="auto"/>
            </w:tcBorders>
          </w:tcPr>
          <w:p w:rsidR="00E67099" w:rsidRPr="004C0263" w:rsidRDefault="00E67099" w:rsidP="00E67099">
            <w:pPr>
              <w:spacing w:after="0" w:line="240" w:lineRule="auto"/>
              <w:jc w:val="both"/>
              <w:rPr>
                <w:rFonts w:asciiTheme="majorHAnsi" w:hAnsiTheme="majorHAnsi" w:cstheme="majorHAnsi"/>
                <w:sz w:val="20"/>
                <w:szCs w:val="20"/>
              </w:rPr>
            </w:pPr>
          </w:p>
        </w:tc>
        <w:tc>
          <w:tcPr>
            <w:tcW w:w="992" w:type="dxa"/>
            <w:tcBorders>
              <w:top w:val="single" w:sz="4" w:space="0" w:color="auto"/>
              <w:left w:val="nil"/>
              <w:bottom w:val="single" w:sz="8" w:space="0" w:color="auto"/>
              <w:right w:val="single" w:sz="8" w:space="0" w:color="auto"/>
            </w:tcBorders>
          </w:tcPr>
          <w:p w:rsidR="00E67099" w:rsidRPr="004C0263" w:rsidRDefault="00E67099" w:rsidP="00E67099">
            <w:pPr>
              <w:spacing w:after="0" w:line="240" w:lineRule="auto"/>
              <w:jc w:val="both"/>
              <w:rPr>
                <w:rFonts w:asciiTheme="majorHAnsi" w:hAnsiTheme="majorHAnsi" w:cstheme="majorHAnsi"/>
                <w:sz w:val="20"/>
                <w:szCs w:val="20"/>
              </w:rPr>
            </w:pPr>
          </w:p>
        </w:tc>
      </w:tr>
      <w:tr w:rsidR="00E67099" w:rsidRPr="004C0263" w:rsidTr="00A36731">
        <w:trPr>
          <w:trHeight w:val="57"/>
        </w:trPr>
        <w:tc>
          <w:tcPr>
            <w:tcW w:w="3828" w:type="dxa"/>
            <w:tcBorders>
              <w:top w:val="single" w:sz="8" w:space="0" w:color="auto"/>
              <w:left w:val="single" w:sz="8" w:space="0" w:color="auto"/>
              <w:bottom w:val="single" w:sz="8" w:space="0" w:color="auto"/>
              <w:right w:val="single" w:sz="8" w:space="0" w:color="auto"/>
            </w:tcBorders>
            <w:shd w:val="clear" w:color="auto" w:fill="auto"/>
          </w:tcPr>
          <w:p w:rsidR="00E67099" w:rsidRPr="004C0263" w:rsidRDefault="00E67099" w:rsidP="00E67099">
            <w:pPr>
              <w:spacing w:after="0" w:line="240" w:lineRule="auto"/>
              <w:jc w:val="both"/>
              <w:rPr>
                <w:rFonts w:asciiTheme="majorHAnsi" w:eastAsia="Times New Roman" w:hAnsiTheme="majorHAnsi" w:cstheme="majorHAnsi"/>
                <w:b/>
                <w:bCs/>
                <w:color w:val="000000"/>
                <w:sz w:val="20"/>
                <w:szCs w:val="20"/>
              </w:rPr>
            </w:pPr>
            <w:r w:rsidRPr="004C0263">
              <w:rPr>
                <w:rFonts w:asciiTheme="majorHAnsi" w:hAnsiTheme="majorHAnsi" w:cstheme="majorHAnsi"/>
                <w:b/>
                <w:i/>
                <w:sz w:val="20"/>
                <w:szCs w:val="20"/>
              </w:rPr>
              <w:t xml:space="preserve">Recomandarea nr. 2.1.2. </w:t>
            </w:r>
            <w:r w:rsidRPr="004C0263">
              <w:rPr>
                <w:rFonts w:asciiTheme="majorHAnsi" w:hAnsiTheme="majorHAnsi" w:cstheme="majorHAnsi"/>
                <w:sz w:val="20"/>
                <w:szCs w:val="20"/>
              </w:rPr>
              <w:t>Asigurarea consolidării controlului intern în vederea excluderii riscului de admitere a unor erori la atribuirea încasărilor la unele tipuri de venituri;</w:t>
            </w:r>
          </w:p>
        </w:tc>
        <w:tc>
          <w:tcPr>
            <w:tcW w:w="6804" w:type="dxa"/>
            <w:tcBorders>
              <w:top w:val="single" w:sz="8" w:space="0" w:color="auto"/>
              <w:left w:val="nil"/>
              <w:bottom w:val="single" w:sz="8" w:space="0" w:color="auto"/>
              <w:right w:val="single" w:sz="8" w:space="0" w:color="auto"/>
            </w:tcBorders>
            <w:shd w:val="clear" w:color="auto" w:fill="auto"/>
          </w:tcPr>
          <w:p w:rsidR="00E67099" w:rsidRPr="004C0263" w:rsidRDefault="00E67099" w:rsidP="00E67099">
            <w:pPr>
              <w:spacing w:after="0" w:line="240" w:lineRule="auto"/>
              <w:jc w:val="both"/>
              <w:rPr>
                <w:rFonts w:asciiTheme="majorHAnsi" w:eastAsia="Times New Roman" w:hAnsiTheme="majorHAnsi" w:cstheme="majorHAnsi"/>
                <w:bCs/>
                <w:color w:val="000000"/>
                <w:sz w:val="20"/>
                <w:szCs w:val="20"/>
              </w:rPr>
            </w:pPr>
            <w:r w:rsidRPr="004C0263">
              <w:rPr>
                <w:rFonts w:asciiTheme="majorHAnsi" w:eastAsia="Times New Roman" w:hAnsiTheme="majorHAnsi" w:cstheme="majorHAnsi"/>
                <w:bCs/>
                <w:color w:val="000000"/>
                <w:sz w:val="20"/>
                <w:szCs w:val="20"/>
              </w:rPr>
              <w:t>Pentru recomandarea dată nu au fost elaborate măsuri de remediere a situației constatate, fiind prezentate de către MF următoarele clarificări:</w:t>
            </w:r>
          </w:p>
          <w:p w:rsidR="00E67099" w:rsidRPr="004C0263" w:rsidRDefault="00E67099" w:rsidP="00E67099">
            <w:pPr>
              <w:spacing w:after="0" w:line="240" w:lineRule="auto"/>
              <w:jc w:val="both"/>
              <w:rPr>
                <w:rFonts w:asciiTheme="majorHAnsi" w:hAnsiTheme="majorHAnsi" w:cstheme="majorHAnsi"/>
                <w:color w:val="000000"/>
                <w:spacing w:val="-2"/>
                <w:sz w:val="20"/>
                <w:szCs w:val="20"/>
              </w:rPr>
            </w:pPr>
            <w:r w:rsidRPr="004C0263">
              <w:rPr>
                <w:rFonts w:asciiTheme="majorHAnsi" w:eastAsia="Times New Roman" w:hAnsiTheme="majorHAnsi" w:cstheme="majorHAnsi"/>
                <w:bCs/>
                <w:color w:val="000000"/>
                <w:sz w:val="20"/>
                <w:szCs w:val="20"/>
              </w:rPr>
              <w:t>„</w:t>
            </w:r>
            <w:r w:rsidRPr="004C0263">
              <w:rPr>
                <w:rFonts w:asciiTheme="majorHAnsi" w:hAnsiTheme="majorHAnsi" w:cstheme="majorHAnsi"/>
                <w:color w:val="000000"/>
                <w:spacing w:val="-2"/>
                <w:sz w:val="20"/>
                <w:szCs w:val="20"/>
              </w:rPr>
              <w:t xml:space="preserve">Nu sunt necesare măsuri pentru implementarea recomandării, deoarece </w:t>
            </w:r>
            <w:r w:rsidRPr="004C0263">
              <w:rPr>
                <w:rFonts w:asciiTheme="majorHAnsi" w:hAnsiTheme="majorHAnsi" w:cstheme="majorHAnsi"/>
                <w:sz w:val="20"/>
                <w:szCs w:val="20"/>
              </w:rPr>
              <w:t xml:space="preserve">responsabili de corectitudinea întocmirii documentelor de plată sunt plătitorii\contribuabilii. Evidența încasărilor se asigură în baza codurilor IBAN indicate de către plătitori în documentele de plată.  Nu pot fi calificate erori la atribuirea încasărilor cazurile când contribuabilul la întocmirea documentului de plată a indicat alt cod IBAN. </w:t>
            </w:r>
          </w:p>
          <w:p w:rsidR="00E67099" w:rsidRPr="004C0263" w:rsidRDefault="00E67099" w:rsidP="00E67099">
            <w:pPr>
              <w:spacing w:after="0" w:line="240" w:lineRule="auto"/>
              <w:jc w:val="both"/>
              <w:rPr>
                <w:rFonts w:asciiTheme="majorHAnsi" w:hAnsiTheme="majorHAnsi" w:cstheme="majorHAnsi"/>
                <w:color w:val="000000"/>
                <w:spacing w:val="-2"/>
                <w:sz w:val="20"/>
                <w:szCs w:val="20"/>
              </w:rPr>
            </w:pPr>
            <w:r w:rsidRPr="004C0263">
              <w:rPr>
                <w:rFonts w:asciiTheme="majorHAnsi" w:hAnsiTheme="majorHAnsi" w:cstheme="majorHAnsi"/>
                <w:sz w:val="20"/>
                <w:szCs w:val="20"/>
              </w:rPr>
              <w:t xml:space="preserve">Zilnic, Direcția Trezoreria de Stat și Trezoreriile Regionale perfectează și transmit Serviciului Fiscal de Stat, în format electronic, Registrul veniturilor bugetului de stat, precum și fișierul cu informația la nivel de fiecare document de plată. </w:t>
            </w:r>
          </w:p>
          <w:p w:rsidR="00E67099" w:rsidRPr="004C0263" w:rsidRDefault="00E67099" w:rsidP="00E67099">
            <w:pPr>
              <w:spacing w:after="0" w:line="240" w:lineRule="auto"/>
              <w:rPr>
                <w:rFonts w:asciiTheme="majorHAnsi" w:eastAsia="Times New Roman" w:hAnsiTheme="majorHAnsi" w:cstheme="majorHAnsi"/>
                <w:bCs/>
                <w:color w:val="000000"/>
                <w:sz w:val="20"/>
                <w:szCs w:val="20"/>
              </w:rPr>
            </w:pPr>
            <w:r w:rsidRPr="004C0263">
              <w:rPr>
                <w:rFonts w:asciiTheme="majorHAnsi" w:hAnsiTheme="majorHAnsi" w:cstheme="majorHAnsi"/>
                <w:sz w:val="20"/>
                <w:szCs w:val="20"/>
              </w:rPr>
              <w:t>Responsabil de reflectarea informației în fișele personale ale contribuabililor este Serviciul Fiscal de Stat. Doar plătitorul, verificând informația din fișa de la Serviciul Fiscal de Stat,  poate depista că a achitat incorect o plată la buget. Respectiv, Serviciul Fiscal de Stat întocmește documentele de plată de corectare, pe care le prezintă Direcției Trezoreria de Stat pentru executare.”</w:t>
            </w:r>
          </w:p>
        </w:tc>
        <w:tc>
          <w:tcPr>
            <w:tcW w:w="993" w:type="dxa"/>
            <w:tcBorders>
              <w:top w:val="single" w:sz="8" w:space="0" w:color="auto"/>
              <w:left w:val="nil"/>
              <w:bottom w:val="single" w:sz="8" w:space="0" w:color="auto"/>
              <w:right w:val="single" w:sz="8" w:space="0" w:color="auto"/>
            </w:tcBorders>
          </w:tcPr>
          <w:p w:rsidR="00E67099" w:rsidRPr="004C0263" w:rsidRDefault="00E67099" w:rsidP="00E67099">
            <w:pPr>
              <w:spacing w:after="0" w:line="240" w:lineRule="auto"/>
              <w:jc w:val="center"/>
              <w:rPr>
                <w:rFonts w:asciiTheme="majorHAnsi" w:eastAsia="Times New Roman" w:hAnsiTheme="majorHAnsi" w:cstheme="majorHAnsi"/>
                <w:bCs/>
                <w:color w:val="000000"/>
                <w:sz w:val="20"/>
                <w:szCs w:val="20"/>
              </w:rPr>
            </w:pPr>
            <w:r w:rsidRPr="004C0263">
              <w:rPr>
                <w:rFonts w:asciiTheme="majorHAnsi" w:eastAsia="Times New Roman" w:hAnsiTheme="majorHAnsi" w:cstheme="majorHAnsi"/>
                <w:bCs/>
                <w:color w:val="000000"/>
                <w:sz w:val="20"/>
                <w:szCs w:val="20"/>
              </w:rPr>
              <w:t>v</w:t>
            </w:r>
          </w:p>
        </w:tc>
        <w:tc>
          <w:tcPr>
            <w:tcW w:w="992" w:type="dxa"/>
            <w:tcBorders>
              <w:top w:val="single" w:sz="8" w:space="0" w:color="auto"/>
              <w:left w:val="nil"/>
              <w:bottom w:val="single" w:sz="8" w:space="0" w:color="auto"/>
              <w:right w:val="single" w:sz="8" w:space="0" w:color="auto"/>
            </w:tcBorders>
          </w:tcPr>
          <w:p w:rsidR="00E67099" w:rsidRPr="004C0263" w:rsidRDefault="00E67099" w:rsidP="00E67099">
            <w:pPr>
              <w:spacing w:after="0" w:line="240" w:lineRule="auto"/>
              <w:jc w:val="center"/>
              <w:rPr>
                <w:rFonts w:asciiTheme="majorHAnsi" w:eastAsia="Times New Roman" w:hAnsiTheme="majorHAnsi" w:cstheme="majorHAnsi"/>
                <w:bCs/>
                <w:color w:val="000000"/>
                <w:sz w:val="20"/>
                <w:szCs w:val="20"/>
              </w:rPr>
            </w:pPr>
          </w:p>
        </w:tc>
        <w:tc>
          <w:tcPr>
            <w:tcW w:w="992" w:type="dxa"/>
            <w:tcBorders>
              <w:top w:val="single" w:sz="8" w:space="0" w:color="auto"/>
              <w:left w:val="nil"/>
              <w:bottom w:val="single" w:sz="8" w:space="0" w:color="auto"/>
              <w:right w:val="single" w:sz="8" w:space="0" w:color="auto"/>
            </w:tcBorders>
          </w:tcPr>
          <w:p w:rsidR="00E67099" w:rsidRPr="004C0263" w:rsidRDefault="00E67099" w:rsidP="00E67099">
            <w:pPr>
              <w:spacing w:after="0" w:line="240" w:lineRule="auto"/>
              <w:rPr>
                <w:rFonts w:asciiTheme="majorHAnsi" w:eastAsia="Times New Roman" w:hAnsiTheme="majorHAnsi" w:cstheme="majorHAnsi"/>
                <w:bCs/>
                <w:color w:val="000000"/>
                <w:sz w:val="20"/>
                <w:szCs w:val="20"/>
              </w:rPr>
            </w:pPr>
          </w:p>
        </w:tc>
      </w:tr>
      <w:tr w:rsidR="00E67099" w:rsidRPr="004C0263" w:rsidTr="00A36731">
        <w:trPr>
          <w:trHeight w:val="57"/>
        </w:trPr>
        <w:tc>
          <w:tcPr>
            <w:tcW w:w="3828" w:type="dxa"/>
            <w:tcBorders>
              <w:top w:val="single" w:sz="8" w:space="0" w:color="auto"/>
              <w:left w:val="single" w:sz="8" w:space="0" w:color="auto"/>
              <w:bottom w:val="single" w:sz="8" w:space="0" w:color="auto"/>
              <w:right w:val="single" w:sz="8" w:space="0" w:color="auto"/>
            </w:tcBorders>
            <w:shd w:val="clear" w:color="auto" w:fill="auto"/>
          </w:tcPr>
          <w:p w:rsidR="00E67099" w:rsidRPr="004C0263" w:rsidRDefault="00E67099" w:rsidP="00E67099">
            <w:pPr>
              <w:spacing w:after="0" w:line="240" w:lineRule="auto"/>
              <w:jc w:val="both"/>
              <w:rPr>
                <w:rFonts w:asciiTheme="majorHAnsi" w:eastAsia="Times New Roman" w:hAnsiTheme="majorHAnsi" w:cstheme="majorHAnsi"/>
                <w:b/>
                <w:bCs/>
                <w:color w:val="000000"/>
                <w:sz w:val="20"/>
                <w:szCs w:val="20"/>
              </w:rPr>
            </w:pPr>
            <w:r w:rsidRPr="004C0263">
              <w:rPr>
                <w:rFonts w:asciiTheme="majorHAnsi" w:hAnsiTheme="majorHAnsi" w:cstheme="majorHAnsi"/>
                <w:b/>
                <w:i/>
                <w:sz w:val="20"/>
                <w:szCs w:val="20"/>
              </w:rPr>
              <w:t xml:space="preserve">Recomandarea nr. 2.1.3.  </w:t>
            </w:r>
            <w:r w:rsidRPr="004C0263">
              <w:rPr>
                <w:rFonts w:asciiTheme="majorHAnsi" w:hAnsiTheme="majorHAnsi" w:cstheme="majorHAnsi"/>
                <w:sz w:val="20"/>
                <w:szCs w:val="20"/>
              </w:rPr>
              <w:t>D</w:t>
            </w:r>
            <w:r w:rsidRPr="004C0263">
              <w:rPr>
                <w:rFonts w:asciiTheme="majorHAnsi" w:hAnsiTheme="majorHAnsi" w:cstheme="majorHAnsi"/>
                <w:color w:val="000000"/>
                <w:spacing w:val="-2"/>
                <w:sz w:val="20"/>
                <w:szCs w:val="20"/>
              </w:rPr>
              <w:t>ezvoltarea/completarea cadrului normativ cu reglementări privind executarea și debursarea mijloacelor de finanțare externă provenite exclusiv prin intermediul sistemului trezorerial;</w:t>
            </w:r>
          </w:p>
        </w:tc>
        <w:tc>
          <w:tcPr>
            <w:tcW w:w="6804" w:type="dxa"/>
            <w:tcBorders>
              <w:top w:val="single" w:sz="8" w:space="0" w:color="auto"/>
              <w:left w:val="nil"/>
              <w:bottom w:val="single" w:sz="8" w:space="0" w:color="auto"/>
              <w:right w:val="single" w:sz="8" w:space="0" w:color="auto"/>
            </w:tcBorders>
            <w:shd w:val="clear" w:color="auto" w:fill="auto"/>
          </w:tcPr>
          <w:p w:rsidR="00E67099" w:rsidRPr="004C0263" w:rsidRDefault="00E67099" w:rsidP="00E67099">
            <w:pPr>
              <w:spacing w:after="0" w:line="240" w:lineRule="auto"/>
              <w:jc w:val="both"/>
              <w:rPr>
                <w:rFonts w:asciiTheme="majorHAnsi" w:hAnsiTheme="majorHAnsi" w:cstheme="majorHAnsi"/>
                <w:color w:val="000000"/>
                <w:spacing w:val="-2"/>
                <w:sz w:val="20"/>
                <w:szCs w:val="20"/>
              </w:rPr>
            </w:pPr>
            <w:r w:rsidRPr="004C0263">
              <w:rPr>
                <w:rFonts w:asciiTheme="majorHAnsi" w:eastAsia="Times New Roman" w:hAnsiTheme="majorHAnsi" w:cstheme="majorHAnsi"/>
                <w:bCs/>
                <w:color w:val="000000"/>
                <w:sz w:val="20"/>
                <w:szCs w:val="20"/>
              </w:rPr>
              <w:t>Nu au fost elaborate măsuri de implementare a recomandării.</w:t>
            </w:r>
          </w:p>
          <w:p w:rsidR="00E67099" w:rsidRPr="004C0263" w:rsidRDefault="00E67099" w:rsidP="00E67099">
            <w:pPr>
              <w:spacing w:after="0" w:line="240" w:lineRule="auto"/>
              <w:jc w:val="both"/>
              <w:rPr>
                <w:rFonts w:asciiTheme="majorHAnsi" w:eastAsia="Times New Roman" w:hAnsiTheme="majorHAnsi" w:cstheme="majorHAnsi"/>
                <w:bCs/>
                <w:sz w:val="20"/>
                <w:szCs w:val="20"/>
                <w:lang w:eastAsia="ru-RU"/>
              </w:rPr>
            </w:pPr>
            <w:r w:rsidRPr="004C0263">
              <w:rPr>
                <w:rFonts w:asciiTheme="majorHAnsi" w:eastAsia="Times New Roman" w:hAnsiTheme="majorHAnsi" w:cstheme="majorHAnsi"/>
                <w:bCs/>
                <w:color w:val="000000"/>
                <w:sz w:val="20"/>
                <w:szCs w:val="20"/>
                <w:lang w:val="ro-MD" w:eastAsia="ru-RU"/>
              </w:rPr>
              <w:t>MF a prezentat</w:t>
            </w:r>
            <w:r w:rsidRPr="004C0263">
              <w:rPr>
                <w:rFonts w:asciiTheme="majorHAnsi" w:eastAsia="Times New Roman" w:hAnsiTheme="majorHAnsi" w:cstheme="majorHAnsi"/>
                <w:bCs/>
                <w:color w:val="000000"/>
                <w:sz w:val="20"/>
                <w:szCs w:val="20"/>
                <w:lang w:val="en-US" w:eastAsia="ru-RU"/>
              </w:rPr>
              <w:t xml:space="preserve"> </w:t>
            </w:r>
            <w:r w:rsidRPr="004C0263">
              <w:rPr>
                <w:rFonts w:asciiTheme="majorHAnsi" w:eastAsia="Times New Roman" w:hAnsiTheme="majorHAnsi" w:cstheme="majorHAnsi"/>
                <w:bCs/>
                <w:color w:val="000000"/>
                <w:sz w:val="20"/>
                <w:szCs w:val="20"/>
                <w:lang w:val="ro-MD" w:eastAsia="ru-RU"/>
              </w:rPr>
              <w:t>următoarele motivații</w:t>
            </w:r>
            <w:r w:rsidRPr="004C0263">
              <w:rPr>
                <w:rFonts w:asciiTheme="majorHAnsi" w:eastAsia="Times New Roman" w:hAnsiTheme="majorHAnsi" w:cstheme="majorHAnsi"/>
                <w:bCs/>
                <w:color w:val="000000"/>
                <w:sz w:val="20"/>
                <w:szCs w:val="20"/>
                <w:lang w:val="en-US" w:eastAsia="ru-RU"/>
              </w:rPr>
              <w:t xml:space="preserve"> – </w:t>
            </w:r>
            <w:r w:rsidRPr="004C0263">
              <w:rPr>
                <w:rFonts w:asciiTheme="majorHAnsi" w:eastAsia="Times New Roman" w:hAnsiTheme="majorHAnsi" w:cstheme="majorHAnsi"/>
                <w:color w:val="000000"/>
                <w:spacing w:val="-2"/>
                <w:sz w:val="20"/>
                <w:szCs w:val="20"/>
                <w:lang w:eastAsia="ru-RU"/>
              </w:rPr>
              <w:t xml:space="preserve">„Nu este necesară completarea cadrului normativ, deoarece cadrul normativ actual prevede că operațiunile de casă </w:t>
            </w:r>
            <w:r w:rsidRPr="004C0263">
              <w:rPr>
                <w:rFonts w:asciiTheme="majorHAnsi" w:eastAsia="Times New Roman" w:hAnsiTheme="majorHAnsi" w:cstheme="majorHAnsi"/>
                <w:sz w:val="20"/>
                <w:szCs w:val="20"/>
                <w:lang w:eastAsia="ru-RU"/>
              </w:rPr>
              <w:t xml:space="preserve">efectuate în afara sistemului trezorerial (ambasadele, reprezentanțele, Unitățile de Implementare a Proiectelor finanțate din surse externe, Proiectelor finanțate din surse externe ale autorităților publice locale) se includ în executarea de casă a bugetului respectiv, prin prezentarea lunară a Raportului privind executarea bugetului în afara sistemului trezorerial (Forma FD-040), care este introdus în SIMF (pct. 4.5.3. din </w:t>
            </w:r>
            <w:r w:rsidRPr="004C0263">
              <w:rPr>
                <w:rFonts w:asciiTheme="majorHAnsi" w:eastAsia="Times New Roman" w:hAnsiTheme="majorHAnsi" w:cstheme="majorHAnsi"/>
                <w:bCs/>
                <w:sz w:val="20"/>
                <w:szCs w:val="20"/>
                <w:lang w:eastAsia="ru-RU"/>
              </w:rPr>
              <w:t xml:space="preserve">Normele metodologice privind executarea de casă a bugetelor componente ale bugetului public național şi a mijloacelor extrabugetare prin sistemul trezorerial al Ministerului Finanțelor, aprobate prin Ordinul ministrului finanțelor nr. 215/2015). </w:t>
            </w:r>
          </w:p>
          <w:p w:rsidR="00E67099" w:rsidRPr="004C0263" w:rsidRDefault="00E67099" w:rsidP="00E67099">
            <w:pPr>
              <w:spacing w:after="0" w:line="240" w:lineRule="auto"/>
              <w:jc w:val="both"/>
              <w:rPr>
                <w:rFonts w:asciiTheme="majorHAnsi" w:eastAsia="Times New Roman" w:hAnsiTheme="majorHAnsi" w:cstheme="majorHAnsi"/>
                <w:bCs/>
                <w:sz w:val="20"/>
                <w:szCs w:val="20"/>
                <w:lang w:eastAsia="ru-RU"/>
              </w:rPr>
            </w:pPr>
            <w:r w:rsidRPr="004C0263">
              <w:rPr>
                <w:rFonts w:asciiTheme="majorHAnsi" w:eastAsia="Times New Roman" w:hAnsiTheme="majorHAnsi" w:cstheme="majorHAnsi"/>
                <w:color w:val="000000"/>
                <w:spacing w:val="-2"/>
                <w:sz w:val="20"/>
                <w:szCs w:val="20"/>
                <w:lang w:eastAsia="ru-RU"/>
              </w:rPr>
              <w:t>Condițiile-standard ale unor creditori (de exemplu,  BERD) presupun debursarea mijloacelor financiare direct pe conturile furnizorilor de bunuri/servicii, în baza facturilor și altor documente justificative, și nu pe conturile împrumutatului/recipientului sau a beneficiarului. Acordurile de finanțare respective reprezintă tratate internaționale și prevalează față de legislația națională.</w:t>
            </w:r>
          </w:p>
          <w:p w:rsidR="00E67099" w:rsidRPr="004C0263" w:rsidRDefault="00E67099" w:rsidP="00E67099">
            <w:pPr>
              <w:spacing w:after="0" w:line="240" w:lineRule="auto"/>
              <w:jc w:val="both"/>
              <w:rPr>
                <w:rFonts w:asciiTheme="majorHAnsi" w:hAnsiTheme="majorHAnsi" w:cstheme="majorHAnsi"/>
                <w:sz w:val="20"/>
                <w:szCs w:val="20"/>
              </w:rPr>
            </w:pPr>
            <w:r w:rsidRPr="004C0263">
              <w:rPr>
                <w:rFonts w:asciiTheme="majorHAnsi" w:hAnsiTheme="majorHAnsi" w:cstheme="majorHAnsi"/>
                <w:color w:val="000000"/>
                <w:spacing w:val="-2"/>
                <w:sz w:val="20"/>
                <w:szCs w:val="20"/>
              </w:rPr>
              <w:t>Referitor la tragerile din împrumuturi, creditorii oferă acces reprezentanților împrumutatului/recipientului și/sau beneficiarilor la sistemele electronice, în care sunt încărcate documente confirmative privind fiecare debursare reală. În ce privește granturile, partenerii externi, de regulă, nu oferă astfel de soluții electronice pentru ca beneficiarii să poată vizualiza datele privind</w:t>
            </w:r>
            <w:r w:rsidRPr="004C0263">
              <w:rPr>
                <w:rFonts w:asciiTheme="majorHAnsi" w:hAnsiTheme="majorHAnsi" w:cstheme="majorHAnsi"/>
                <w:sz w:val="20"/>
                <w:szCs w:val="20"/>
              </w:rPr>
              <w:t xml:space="preserve"> debursările.</w:t>
            </w:r>
          </w:p>
          <w:p w:rsidR="00E67099" w:rsidRPr="004C0263" w:rsidRDefault="00E67099" w:rsidP="00E67099">
            <w:pPr>
              <w:spacing w:after="0" w:line="240" w:lineRule="auto"/>
              <w:rPr>
                <w:rFonts w:asciiTheme="majorHAnsi" w:eastAsia="Times New Roman" w:hAnsiTheme="majorHAnsi" w:cstheme="majorHAnsi"/>
                <w:bCs/>
                <w:color w:val="000000"/>
                <w:sz w:val="20"/>
                <w:szCs w:val="20"/>
              </w:rPr>
            </w:pPr>
            <w:r w:rsidRPr="004C0263">
              <w:rPr>
                <w:rFonts w:asciiTheme="majorHAnsi" w:hAnsiTheme="majorHAnsi" w:cstheme="majorHAnsi"/>
                <w:sz w:val="20"/>
                <w:szCs w:val="20"/>
              </w:rPr>
              <w:t>Pentru a evita situațiile când debursările în afara sistemului trezorerial au loc fără aducerea la cunoștința împrumutatului/recipientului, în cursul anului curent, Ministerul Finanțelor a negociat cu BERD un nou Acord de grant, care va conține o prevedere prin care BERD se obligă să notifice, prin scrisoare oficială, împrumutatul despre fiecare debursare efectivă (inclusiv data, suma și valuta). Această clauză va fi utilizată pe viitor în cadrul Acordurilor care urmează a fi negociate.”</w:t>
            </w:r>
          </w:p>
        </w:tc>
        <w:tc>
          <w:tcPr>
            <w:tcW w:w="993" w:type="dxa"/>
            <w:tcBorders>
              <w:top w:val="single" w:sz="8" w:space="0" w:color="auto"/>
              <w:left w:val="nil"/>
              <w:bottom w:val="single" w:sz="8" w:space="0" w:color="auto"/>
              <w:right w:val="single" w:sz="8" w:space="0" w:color="auto"/>
            </w:tcBorders>
          </w:tcPr>
          <w:p w:rsidR="00E67099" w:rsidRPr="004C0263" w:rsidRDefault="00E67099" w:rsidP="00E67099">
            <w:pPr>
              <w:spacing w:after="0" w:line="240" w:lineRule="auto"/>
              <w:jc w:val="both"/>
              <w:rPr>
                <w:rFonts w:asciiTheme="majorHAnsi" w:eastAsia="Times New Roman" w:hAnsiTheme="majorHAnsi" w:cstheme="majorHAnsi"/>
                <w:bCs/>
                <w:color w:val="000000"/>
                <w:sz w:val="20"/>
                <w:szCs w:val="20"/>
              </w:rPr>
            </w:pPr>
          </w:p>
        </w:tc>
        <w:tc>
          <w:tcPr>
            <w:tcW w:w="992" w:type="dxa"/>
            <w:tcBorders>
              <w:top w:val="single" w:sz="8" w:space="0" w:color="auto"/>
              <w:left w:val="nil"/>
              <w:bottom w:val="single" w:sz="8" w:space="0" w:color="auto"/>
              <w:right w:val="single" w:sz="8" w:space="0" w:color="auto"/>
            </w:tcBorders>
          </w:tcPr>
          <w:p w:rsidR="00E67099" w:rsidRPr="004C0263" w:rsidRDefault="00E67099" w:rsidP="00E67099">
            <w:pPr>
              <w:spacing w:after="0" w:line="240" w:lineRule="auto"/>
              <w:jc w:val="center"/>
              <w:rPr>
                <w:rFonts w:asciiTheme="majorHAnsi" w:eastAsia="Times New Roman" w:hAnsiTheme="majorHAnsi" w:cstheme="majorHAnsi"/>
                <w:bCs/>
                <w:color w:val="000000"/>
                <w:sz w:val="20"/>
                <w:szCs w:val="20"/>
              </w:rPr>
            </w:pPr>
            <w:r w:rsidRPr="004C0263">
              <w:rPr>
                <w:rFonts w:asciiTheme="majorHAnsi" w:eastAsia="Times New Roman" w:hAnsiTheme="majorHAnsi" w:cstheme="majorHAnsi"/>
                <w:bCs/>
                <w:color w:val="000000"/>
                <w:sz w:val="20"/>
                <w:szCs w:val="20"/>
              </w:rPr>
              <w:t>v</w:t>
            </w:r>
          </w:p>
        </w:tc>
        <w:tc>
          <w:tcPr>
            <w:tcW w:w="992" w:type="dxa"/>
            <w:tcBorders>
              <w:top w:val="single" w:sz="8" w:space="0" w:color="auto"/>
              <w:left w:val="nil"/>
              <w:bottom w:val="single" w:sz="8" w:space="0" w:color="auto"/>
              <w:right w:val="single" w:sz="8" w:space="0" w:color="auto"/>
            </w:tcBorders>
          </w:tcPr>
          <w:p w:rsidR="00E67099" w:rsidRPr="004C0263" w:rsidRDefault="00E67099" w:rsidP="00E67099">
            <w:pPr>
              <w:spacing w:after="0" w:line="240" w:lineRule="auto"/>
              <w:jc w:val="both"/>
              <w:rPr>
                <w:rFonts w:asciiTheme="majorHAnsi" w:eastAsia="Times New Roman" w:hAnsiTheme="majorHAnsi" w:cstheme="majorHAnsi"/>
                <w:bCs/>
                <w:color w:val="000000"/>
                <w:sz w:val="20"/>
                <w:szCs w:val="20"/>
              </w:rPr>
            </w:pPr>
          </w:p>
        </w:tc>
      </w:tr>
      <w:tr w:rsidR="00E67099" w:rsidRPr="004C0263" w:rsidTr="00A36731">
        <w:trPr>
          <w:trHeight w:val="1870"/>
        </w:trPr>
        <w:tc>
          <w:tcPr>
            <w:tcW w:w="3828" w:type="dxa"/>
            <w:tcBorders>
              <w:top w:val="single" w:sz="8" w:space="0" w:color="auto"/>
              <w:left w:val="single" w:sz="8" w:space="0" w:color="auto"/>
              <w:bottom w:val="single" w:sz="8" w:space="0" w:color="auto"/>
              <w:right w:val="single" w:sz="8" w:space="0" w:color="auto"/>
            </w:tcBorders>
            <w:shd w:val="clear" w:color="auto" w:fill="auto"/>
          </w:tcPr>
          <w:p w:rsidR="00E67099" w:rsidRPr="004C0263" w:rsidRDefault="00E67099" w:rsidP="00E67099">
            <w:pPr>
              <w:spacing w:after="0" w:line="240" w:lineRule="auto"/>
              <w:jc w:val="both"/>
              <w:rPr>
                <w:rFonts w:asciiTheme="majorHAnsi" w:eastAsia="Times New Roman" w:hAnsiTheme="majorHAnsi" w:cstheme="majorHAnsi"/>
                <w:b/>
                <w:bCs/>
                <w:color w:val="000000"/>
                <w:sz w:val="20"/>
                <w:szCs w:val="20"/>
              </w:rPr>
            </w:pPr>
            <w:r w:rsidRPr="004C0263">
              <w:rPr>
                <w:rFonts w:asciiTheme="majorHAnsi" w:hAnsiTheme="majorHAnsi" w:cstheme="majorHAnsi"/>
                <w:b/>
                <w:i/>
                <w:sz w:val="20"/>
                <w:szCs w:val="20"/>
              </w:rPr>
              <w:t xml:space="preserve">Recomandarea nr. 2.1.4.  </w:t>
            </w:r>
            <w:r w:rsidRPr="004C0263">
              <w:rPr>
                <w:rFonts w:asciiTheme="majorHAnsi" w:hAnsiTheme="majorHAnsi" w:cstheme="majorHAnsi"/>
                <w:color w:val="000000"/>
                <w:spacing w:val="-2"/>
                <w:sz w:val="20"/>
                <w:szCs w:val="20"/>
              </w:rPr>
              <w:t>Asigurarea raportării integrale a veniturilor executate de la privatizarea bunurilor proprietate publică;</w:t>
            </w:r>
          </w:p>
        </w:tc>
        <w:tc>
          <w:tcPr>
            <w:tcW w:w="6804" w:type="dxa"/>
            <w:tcBorders>
              <w:top w:val="single" w:sz="8" w:space="0" w:color="auto"/>
              <w:left w:val="nil"/>
              <w:bottom w:val="single" w:sz="8" w:space="0" w:color="auto"/>
              <w:right w:val="single" w:sz="8" w:space="0" w:color="auto"/>
            </w:tcBorders>
            <w:shd w:val="clear" w:color="auto" w:fill="auto"/>
          </w:tcPr>
          <w:p w:rsidR="00E67099" w:rsidRPr="004C0263" w:rsidRDefault="00E67099" w:rsidP="00E67099">
            <w:pPr>
              <w:spacing w:after="0" w:line="240" w:lineRule="auto"/>
              <w:jc w:val="both"/>
              <w:rPr>
                <w:rFonts w:asciiTheme="majorHAnsi" w:eastAsia="Calibri" w:hAnsiTheme="majorHAnsi" w:cstheme="majorHAnsi"/>
                <w:sz w:val="20"/>
                <w:szCs w:val="20"/>
              </w:rPr>
            </w:pPr>
            <w:r w:rsidRPr="004C0263">
              <w:rPr>
                <w:rFonts w:asciiTheme="majorHAnsi" w:eastAsia="Calibri" w:hAnsiTheme="majorHAnsi" w:cstheme="majorHAnsi"/>
                <w:sz w:val="20"/>
                <w:szCs w:val="20"/>
              </w:rPr>
              <w:t>Completarea Clasificației bugetare și a Planului de conturi cu poziții distincte privind rambursarea mijloacelor în cazul rezilierii contractelor de vânzare/ cumpărare.</w:t>
            </w:r>
          </w:p>
          <w:p w:rsidR="00E67099" w:rsidRPr="004C0263" w:rsidRDefault="00E67099" w:rsidP="00E67099">
            <w:pPr>
              <w:spacing w:after="0" w:line="240" w:lineRule="auto"/>
              <w:jc w:val="both"/>
              <w:rPr>
                <w:rFonts w:asciiTheme="majorHAnsi" w:eastAsia="Calibri" w:hAnsiTheme="majorHAnsi" w:cstheme="majorHAnsi"/>
                <w:sz w:val="20"/>
                <w:szCs w:val="20"/>
              </w:rPr>
            </w:pPr>
            <w:r w:rsidRPr="004C0263">
              <w:rPr>
                <w:rFonts w:asciiTheme="majorHAnsi" w:eastAsia="Calibri" w:hAnsiTheme="majorHAnsi" w:cstheme="majorHAnsi"/>
                <w:sz w:val="20"/>
                <w:szCs w:val="20"/>
              </w:rPr>
              <w:t xml:space="preserve">Prin Ordinele ministrului finanțelor nr.119 din 04.09.2019 privind modificarea și completarea Clasificației bugetare </w:t>
            </w:r>
            <w:r w:rsidRPr="004C0263">
              <w:rPr>
                <w:rFonts w:asciiTheme="majorHAnsi" w:eastAsia="Calibri" w:hAnsiTheme="majorHAnsi" w:cstheme="majorHAnsi"/>
                <w:i/>
                <w:sz w:val="20"/>
                <w:szCs w:val="20"/>
              </w:rPr>
              <w:t>(Monitorul Oficial al Republicii Moldova 2019, nr.290-294, art.1537)</w:t>
            </w:r>
            <w:r w:rsidRPr="004C0263">
              <w:rPr>
                <w:rFonts w:asciiTheme="majorHAnsi" w:eastAsia="Calibri" w:hAnsiTheme="majorHAnsi" w:cstheme="majorHAnsi"/>
                <w:sz w:val="20"/>
                <w:szCs w:val="20"/>
              </w:rPr>
              <w:t xml:space="preserve"> și nr.132 din 08.10.2019 privind modificarea și completarea Planului de conturi contabile în sistemul bugetar și a Normelor metodologice privind evidența contabilă și raportarea financiară în sistemul bugetar, aprobat prin Ordinul ministrului finanțelor nr.216 din 08.12.2015</w:t>
            </w:r>
            <w:r w:rsidRPr="004C0263">
              <w:rPr>
                <w:rFonts w:asciiTheme="majorHAnsi" w:eastAsia="Calibri" w:hAnsiTheme="majorHAnsi" w:cstheme="majorHAnsi"/>
                <w:i/>
                <w:sz w:val="20"/>
                <w:szCs w:val="20"/>
              </w:rPr>
              <w:t xml:space="preserve"> (Monitorul Oficial al Republicii Moldova 2019, nr.310-313, art.1736)</w:t>
            </w:r>
          </w:p>
        </w:tc>
        <w:tc>
          <w:tcPr>
            <w:tcW w:w="993" w:type="dxa"/>
            <w:tcBorders>
              <w:top w:val="single" w:sz="8" w:space="0" w:color="auto"/>
              <w:left w:val="nil"/>
              <w:bottom w:val="single" w:sz="8" w:space="0" w:color="auto"/>
              <w:right w:val="single" w:sz="8" w:space="0" w:color="auto"/>
            </w:tcBorders>
          </w:tcPr>
          <w:p w:rsidR="00E67099" w:rsidRPr="004C0263" w:rsidRDefault="00E67099" w:rsidP="00E67099">
            <w:pPr>
              <w:spacing w:after="0" w:line="240" w:lineRule="auto"/>
              <w:jc w:val="center"/>
              <w:rPr>
                <w:rFonts w:asciiTheme="majorHAnsi" w:eastAsia="Calibri" w:hAnsiTheme="majorHAnsi" w:cstheme="majorHAnsi"/>
                <w:sz w:val="20"/>
                <w:szCs w:val="20"/>
              </w:rPr>
            </w:pPr>
            <w:r w:rsidRPr="004C0263">
              <w:rPr>
                <w:rFonts w:asciiTheme="majorHAnsi" w:eastAsia="Calibri" w:hAnsiTheme="majorHAnsi" w:cstheme="majorHAnsi"/>
                <w:sz w:val="20"/>
                <w:szCs w:val="20"/>
              </w:rPr>
              <w:t>v</w:t>
            </w:r>
          </w:p>
        </w:tc>
        <w:tc>
          <w:tcPr>
            <w:tcW w:w="992" w:type="dxa"/>
            <w:tcBorders>
              <w:top w:val="single" w:sz="8" w:space="0" w:color="auto"/>
              <w:left w:val="nil"/>
              <w:bottom w:val="single" w:sz="8" w:space="0" w:color="auto"/>
              <w:right w:val="single" w:sz="8" w:space="0" w:color="auto"/>
            </w:tcBorders>
          </w:tcPr>
          <w:p w:rsidR="00E67099" w:rsidRPr="004C0263" w:rsidRDefault="00E67099" w:rsidP="00E67099">
            <w:pPr>
              <w:spacing w:after="0" w:line="240" w:lineRule="auto"/>
              <w:jc w:val="both"/>
              <w:rPr>
                <w:rFonts w:asciiTheme="majorHAnsi" w:eastAsia="Calibri" w:hAnsiTheme="majorHAnsi" w:cstheme="majorHAnsi"/>
                <w:sz w:val="20"/>
                <w:szCs w:val="20"/>
              </w:rPr>
            </w:pPr>
          </w:p>
        </w:tc>
        <w:tc>
          <w:tcPr>
            <w:tcW w:w="992" w:type="dxa"/>
            <w:tcBorders>
              <w:top w:val="single" w:sz="8" w:space="0" w:color="auto"/>
              <w:left w:val="nil"/>
              <w:bottom w:val="single" w:sz="8" w:space="0" w:color="auto"/>
              <w:right w:val="single" w:sz="8" w:space="0" w:color="auto"/>
            </w:tcBorders>
          </w:tcPr>
          <w:p w:rsidR="00E67099" w:rsidRPr="004C0263" w:rsidRDefault="00E67099" w:rsidP="00E67099">
            <w:pPr>
              <w:spacing w:after="0" w:line="240" w:lineRule="auto"/>
              <w:jc w:val="both"/>
              <w:rPr>
                <w:rFonts w:asciiTheme="majorHAnsi" w:eastAsia="Calibri" w:hAnsiTheme="majorHAnsi" w:cstheme="majorHAnsi"/>
                <w:sz w:val="20"/>
                <w:szCs w:val="20"/>
              </w:rPr>
            </w:pPr>
          </w:p>
        </w:tc>
      </w:tr>
      <w:tr w:rsidR="00E67099" w:rsidRPr="004C0263" w:rsidTr="00A36731">
        <w:trPr>
          <w:trHeight w:val="973"/>
        </w:trPr>
        <w:tc>
          <w:tcPr>
            <w:tcW w:w="3828" w:type="dxa"/>
            <w:tcBorders>
              <w:top w:val="single" w:sz="8" w:space="0" w:color="auto"/>
              <w:left w:val="single" w:sz="8" w:space="0" w:color="auto"/>
              <w:bottom w:val="single" w:sz="8" w:space="0" w:color="auto"/>
              <w:right w:val="single" w:sz="8" w:space="0" w:color="auto"/>
            </w:tcBorders>
            <w:shd w:val="clear" w:color="auto" w:fill="auto"/>
          </w:tcPr>
          <w:p w:rsidR="00E67099" w:rsidRPr="004C0263" w:rsidRDefault="00E67099" w:rsidP="00E67099">
            <w:pPr>
              <w:spacing w:after="0" w:line="240" w:lineRule="auto"/>
              <w:jc w:val="both"/>
              <w:rPr>
                <w:rFonts w:asciiTheme="majorHAnsi" w:hAnsiTheme="majorHAnsi" w:cstheme="majorHAnsi"/>
                <w:color w:val="000000"/>
                <w:spacing w:val="-2"/>
                <w:sz w:val="20"/>
                <w:szCs w:val="20"/>
              </w:rPr>
            </w:pPr>
            <w:r w:rsidRPr="004C0263">
              <w:rPr>
                <w:rFonts w:asciiTheme="majorHAnsi" w:hAnsiTheme="majorHAnsi" w:cstheme="majorHAnsi"/>
                <w:b/>
                <w:i/>
                <w:sz w:val="20"/>
                <w:szCs w:val="20"/>
              </w:rPr>
              <w:t xml:space="preserve">Recomandarea nr. 2.1.5.  </w:t>
            </w:r>
            <w:r w:rsidRPr="004C0263">
              <w:rPr>
                <w:rFonts w:asciiTheme="majorHAnsi" w:hAnsiTheme="majorHAnsi" w:cstheme="majorHAnsi"/>
                <w:sz w:val="20"/>
                <w:szCs w:val="20"/>
              </w:rPr>
              <w:t>Asigurarea respectării actelor normative ce reglementează procesul de includere pentru finanțare din buget a obiectelor de investiții capitale, precum și monitorizarea execuției obiectelor de investiții capitale;</w:t>
            </w:r>
          </w:p>
        </w:tc>
        <w:tc>
          <w:tcPr>
            <w:tcW w:w="6804" w:type="dxa"/>
            <w:tcBorders>
              <w:top w:val="single" w:sz="8" w:space="0" w:color="auto"/>
              <w:left w:val="nil"/>
              <w:bottom w:val="single" w:sz="8" w:space="0" w:color="auto"/>
              <w:right w:val="single" w:sz="8" w:space="0" w:color="auto"/>
            </w:tcBorders>
            <w:shd w:val="clear" w:color="auto" w:fill="auto"/>
          </w:tcPr>
          <w:p w:rsidR="00E67099" w:rsidRPr="004C0263" w:rsidRDefault="00E67099" w:rsidP="00E67099">
            <w:pPr>
              <w:spacing w:after="0" w:line="240" w:lineRule="auto"/>
              <w:jc w:val="both"/>
              <w:rPr>
                <w:rFonts w:asciiTheme="majorHAnsi" w:hAnsiTheme="majorHAnsi" w:cstheme="majorHAnsi"/>
                <w:sz w:val="20"/>
                <w:szCs w:val="20"/>
              </w:rPr>
            </w:pPr>
            <w:r w:rsidRPr="004C0263">
              <w:rPr>
                <w:rFonts w:asciiTheme="majorHAnsi" w:hAnsiTheme="majorHAnsi" w:cstheme="majorHAnsi"/>
                <w:sz w:val="20"/>
                <w:szCs w:val="20"/>
              </w:rPr>
              <w:t>1. Elaborarea proiectului de hotărâre a Guvernului pentru modificarea și completarea Hotărârii Guvernului nr.1029/2013 „Cu privire la investițiile capitale publice”.</w:t>
            </w:r>
          </w:p>
          <w:p w:rsidR="00E67099" w:rsidRPr="004C0263" w:rsidRDefault="00E67099" w:rsidP="00E67099">
            <w:pPr>
              <w:spacing w:after="0" w:line="240" w:lineRule="auto"/>
              <w:jc w:val="both"/>
              <w:rPr>
                <w:rFonts w:asciiTheme="majorHAnsi" w:hAnsiTheme="majorHAnsi" w:cstheme="majorHAnsi"/>
                <w:sz w:val="20"/>
                <w:szCs w:val="20"/>
              </w:rPr>
            </w:pPr>
            <w:r w:rsidRPr="004C0263">
              <w:rPr>
                <w:rFonts w:asciiTheme="majorHAnsi" w:hAnsiTheme="majorHAnsi" w:cstheme="majorHAnsi"/>
                <w:sz w:val="20"/>
                <w:szCs w:val="20"/>
              </w:rPr>
              <w:t>2. Elaborarea proiectului de ordin cu privire la modificarea Instrucțiunii privind managementul proiectelor de investiții capitale, aprobată prin Ordinul ministrului finanțelor nr. 185/2015.</w:t>
            </w:r>
          </w:p>
          <w:p w:rsidR="00E67099" w:rsidRPr="004C0263" w:rsidRDefault="00E67099" w:rsidP="00E67099">
            <w:pPr>
              <w:spacing w:after="0" w:line="240" w:lineRule="auto"/>
              <w:jc w:val="both"/>
              <w:rPr>
                <w:rFonts w:asciiTheme="majorHAnsi" w:hAnsiTheme="majorHAnsi" w:cstheme="majorHAnsi"/>
                <w:sz w:val="20"/>
                <w:szCs w:val="20"/>
              </w:rPr>
            </w:pPr>
            <w:r w:rsidRPr="004C0263">
              <w:rPr>
                <w:rFonts w:asciiTheme="majorHAnsi" w:hAnsiTheme="majorHAnsi" w:cstheme="majorHAnsi"/>
                <w:sz w:val="20"/>
                <w:szCs w:val="20"/>
              </w:rPr>
              <w:t xml:space="preserve">În primăvara anului 2019, în cadrul vizitei oficiale la Washington, conducerea Ministerului Finanțelor a solicitat asistența tehnică în vederea evaluării sistemului de management al tuturor cheltuielilor capitale publice din Republica Moldova, care a fost acceptată de către FMI. Astfel, în luna octombrie 2019, în Republica Moldova s-a aflat un grup de experți ai FMI, care au oferit asistență tehnică în procesul de evaluare a managementului investițiilor publice din Republica Moldova (Public Investment Management Assessment - PIMA). În rezultatul expertizei, a fost elaborat un Raport preliminar,  care trasează părțile slabe și forte, lacunele existente în sistemul de management al cheltuielilor capitale publice din Republica Moldova, precum și recomandările de îmbunătățire, perfecționare a sistemului, inclusiv a cadrului legislativ și normativ în vigoare. </w:t>
            </w:r>
          </w:p>
          <w:p w:rsidR="00E67099" w:rsidRPr="004C0263" w:rsidRDefault="00E67099" w:rsidP="00E67099">
            <w:pPr>
              <w:spacing w:after="0" w:line="240" w:lineRule="auto"/>
              <w:jc w:val="both"/>
              <w:rPr>
                <w:rFonts w:asciiTheme="majorHAnsi" w:hAnsiTheme="majorHAnsi" w:cstheme="majorHAnsi"/>
                <w:sz w:val="20"/>
                <w:szCs w:val="20"/>
              </w:rPr>
            </w:pPr>
            <w:r w:rsidRPr="004C0263">
              <w:rPr>
                <w:rFonts w:asciiTheme="majorHAnsi" w:hAnsiTheme="majorHAnsi" w:cstheme="majorHAnsi"/>
                <w:sz w:val="20"/>
                <w:szCs w:val="20"/>
              </w:rPr>
              <w:t>În luna ianuarie 2020, Ministerul Finanțelor a recepționat Raportul final al echipei de asistență tehnică din partea FMI, care a evaluat managementul investițiilor publice din Republica Moldova (PIMA – Investment Management Assessment). Respectiv, în vederea implementării recomandărilor expuse în Raportul de audit, pentru luna aprilie 2020 a fost preconizată o vizită de lucru a unei echipe tehnice din cadrul acestui proiect pentru acordarea suportului metodologic, dar care, din cauza restricțiilor de călătorie impuse în condițiile pandemiei infecției COVID-19, nu a avut loc.</w:t>
            </w:r>
          </w:p>
          <w:p w:rsidR="00E67099" w:rsidRPr="004C0263" w:rsidRDefault="00E67099" w:rsidP="00E67099">
            <w:pPr>
              <w:spacing w:after="0" w:line="240" w:lineRule="auto"/>
              <w:jc w:val="both"/>
              <w:rPr>
                <w:rFonts w:asciiTheme="majorHAnsi" w:eastAsia="Calibri" w:hAnsiTheme="majorHAnsi" w:cstheme="majorHAnsi"/>
                <w:sz w:val="20"/>
                <w:szCs w:val="20"/>
              </w:rPr>
            </w:pPr>
            <w:r w:rsidRPr="004C0263">
              <w:rPr>
                <w:rFonts w:asciiTheme="majorHAnsi" w:hAnsiTheme="majorHAnsi" w:cstheme="majorHAnsi"/>
                <w:sz w:val="20"/>
                <w:szCs w:val="20"/>
              </w:rPr>
              <w:t>Urmează a fi luată o decizie de către Ministerul Finanțelor, în comun cu experții asistenței tehnice, despre pașii următori și identificarea unor soluții viabile în acordarea suportului metodologic.</w:t>
            </w:r>
          </w:p>
        </w:tc>
        <w:tc>
          <w:tcPr>
            <w:tcW w:w="993" w:type="dxa"/>
            <w:tcBorders>
              <w:top w:val="single" w:sz="8" w:space="0" w:color="auto"/>
              <w:left w:val="nil"/>
              <w:bottom w:val="single" w:sz="8" w:space="0" w:color="auto"/>
              <w:right w:val="single" w:sz="8" w:space="0" w:color="auto"/>
            </w:tcBorders>
          </w:tcPr>
          <w:p w:rsidR="00E67099" w:rsidRPr="004C0263" w:rsidRDefault="00E67099" w:rsidP="00E67099">
            <w:pPr>
              <w:spacing w:after="0" w:line="240" w:lineRule="auto"/>
              <w:jc w:val="both"/>
              <w:rPr>
                <w:rFonts w:asciiTheme="majorHAnsi" w:hAnsiTheme="majorHAnsi" w:cstheme="majorHAnsi"/>
                <w:sz w:val="20"/>
                <w:szCs w:val="20"/>
              </w:rPr>
            </w:pPr>
          </w:p>
        </w:tc>
        <w:tc>
          <w:tcPr>
            <w:tcW w:w="992" w:type="dxa"/>
            <w:tcBorders>
              <w:top w:val="single" w:sz="8" w:space="0" w:color="auto"/>
              <w:left w:val="nil"/>
              <w:bottom w:val="single" w:sz="8" w:space="0" w:color="auto"/>
              <w:right w:val="single" w:sz="8" w:space="0" w:color="auto"/>
            </w:tcBorders>
          </w:tcPr>
          <w:p w:rsidR="00E67099" w:rsidRPr="004C0263" w:rsidRDefault="00E67099" w:rsidP="00E67099">
            <w:pPr>
              <w:spacing w:after="0" w:line="240" w:lineRule="auto"/>
              <w:jc w:val="center"/>
              <w:rPr>
                <w:rFonts w:asciiTheme="majorHAnsi" w:hAnsiTheme="majorHAnsi" w:cstheme="majorHAnsi"/>
                <w:sz w:val="20"/>
                <w:szCs w:val="20"/>
              </w:rPr>
            </w:pPr>
            <w:r w:rsidRPr="004C0263">
              <w:rPr>
                <w:rFonts w:asciiTheme="majorHAnsi" w:hAnsiTheme="majorHAnsi" w:cstheme="majorHAnsi"/>
                <w:sz w:val="20"/>
                <w:szCs w:val="20"/>
              </w:rPr>
              <w:t>v</w:t>
            </w:r>
          </w:p>
        </w:tc>
        <w:tc>
          <w:tcPr>
            <w:tcW w:w="992" w:type="dxa"/>
            <w:tcBorders>
              <w:top w:val="single" w:sz="8" w:space="0" w:color="auto"/>
              <w:left w:val="nil"/>
              <w:bottom w:val="single" w:sz="8" w:space="0" w:color="auto"/>
              <w:right w:val="single" w:sz="8" w:space="0" w:color="auto"/>
            </w:tcBorders>
          </w:tcPr>
          <w:p w:rsidR="00E67099" w:rsidRPr="004C0263" w:rsidRDefault="00E67099" w:rsidP="00E67099">
            <w:pPr>
              <w:spacing w:after="0" w:line="240" w:lineRule="auto"/>
              <w:jc w:val="center"/>
              <w:rPr>
                <w:rFonts w:asciiTheme="majorHAnsi" w:hAnsiTheme="majorHAnsi" w:cstheme="majorHAnsi"/>
                <w:sz w:val="20"/>
                <w:szCs w:val="20"/>
              </w:rPr>
            </w:pPr>
          </w:p>
        </w:tc>
      </w:tr>
      <w:tr w:rsidR="00E67099" w:rsidRPr="004C0263" w:rsidTr="004C0263">
        <w:trPr>
          <w:trHeight w:val="833"/>
        </w:trPr>
        <w:tc>
          <w:tcPr>
            <w:tcW w:w="3828" w:type="dxa"/>
            <w:tcBorders>
              <w:top w:val="single" w:sz="8" w:space="0" w:color="auto"/>
              <w:left w:val="single" w:sz="8" w:space="0" w:color="auto"/>
              <w:bottom w:val="single" w:sz="8" w:space="0" w:color="auto"/>
              <w:right w:val="single" w:sz="8" w:space="0" w:color="auto"/>
            </w:tcBorders>
            <w:shd w:val="clear" w:color="auto" w:fill="auto"/>
          </w:tcPr>
          <w:p w:rsidR="00E67099" w:rsidRPr="004C0263" w:rsidRDefault="00E67099" w:rsidP="00E67099">
            <w:pPr>
              <w:spacing w:after="0" w:line="240" w:lineRule="auto"/>
              <w:jc w:val="both"/>
              <w:rPr>
                <w:rFonts w:asciiTheme="majorHAnsi" w:hAnsiTheme="majorHAnsi" w:cstheme="majorHAnsi"/>
                <w:sz w:val="20"/>
                <w:szCs w:val="20"/>
              </w:rPr>
            </w:pPr>
            <w:r w:rsidRPr="004C0263">
              <w:rPr>
                <w:rFonts w:asciiTheme="majorHAnsi" w:hAnsiTheme="majorHAnsi" w:cstheme="majorHAnsi"/>
                <w:b/>
                <w:i/>
                <w:sz w:val="20"/>
                <w:szCs w:val="20"/>
              </w:rPr>
              <w:t xml:space="preserve">Recomandarea nr. 2.1.6. </w:t>
            </w:r>
            <w:r w:rsidRPr="004C0263">
              <w:rPr>
                <w:rFonts w:asciiTheme="majorHAnsi" w:hAnsiTheme="majorHAnsi" w:cstheme="majorHAnsi"/>
                <w:sz w:val="20"/>
                <w:szCs w:val="20"/>
              </w:rPr>
              <w:t>Monitorizarea neadmiterii imobilizării mijloacelor bugetare de către autoritățile publice centrale în generarea creanțelor, ținând cont de procesul de înregistrare a contractelor de achiziții prin sistemul trezorerial;</w:t>
            </w:r>
          </w:p>
        </w:tc>
        <w:tc>
          <w:tcPr>
            <w:tcW w:w="6804" w:type="dxa"/>
            <w:tcBorders>
              <w:top w:val="single" w:sz="8" w:space="0" w:color="auto"/>
              <w:left w:val="nil"/>
              <w:bottom w:val="single" w:sz="8" w:space="0" w:color="auto"/>
              <w:right w:val="single" w:sz="8" w:space="0" w:color="auto"/>
            </w:tcBorders>
            <w:shd w:val="clear" w:color="auto" w:fill="auto"/>
          </w:tcPr>
          <w:p w:rsidR="00E67099" w:rsidRPr="004C0263" w:rsidRDefault="00E67099" w:rsidP="00E67099">
            <w:pPr>
              <w:spacing w:after="0" w:line="240" w:lineRule="auto"/>
              <w:jc w:val="both"/>
              <w:rPr>
                <w:rFonts w:asciiTheme="majorHAnsi" w:hAnsiTheme="majorHAnsi" w:cstheme="majorHAnsi"/>
                <w:sz w:val="20"/>
                <w:szCs w:val="20"/>
              </w:rPr>
            </w:pPr>
            <w:r w:rsidRPr="004C0263">
              <w:rPr>
                <w:rFonts w:asciiTheme="majorHAnsi" w:hAnsiTheme="majorHAnsi" w:cstheme="majorHAnsi"/>
                <w:sz w:val="20"/>
                <w:szCs w:val="20"/>
              </w:rPr>
              <w:t>1. Informarea Inspecției Financiare privind contractele cu sume considerabile de plăți în avans, pentru efectuarea controalelor.</w:t>
            </w:r>
          </w:p>
          <w:p w:rsidR="00E67099" w:rsidRPr="004C0263" w:rsidRDefault="00E67099" w:rsidP="00E67099">
            <w:pPr>
              <w:spacing w:after="0" w:line="240" w:lineRule="auto"/>
              <w:jc w:val="both"/>
              <w:rPr>
                <w:rFonts w:asciiTheme="majorHAnsi" w:hAnsiTheme="majorHAnsi" w:cstheme="majorHAnsi"/>
                <w:sz w:val="20"/>
                <w:szCs w:val="20"/>
              </w:rPr>
            </w:pPr>
            <w:r w:rsidRPr="004C0263">
              <w:rPr>
                <w:rFonts w:asciiTheme="majorHAnsi" w:hAnsiTheme="majorHAnsi" w:cstheme="majorHAnsi"/>
                <w:sz w:val="20"/>
                <w:szCs w:val="20"/>
              </w:rPr>
              <w:t>2. Efectuarea controalelor de către Inspecția Financiară și prezentarea informației către Ministerul Finanțelor.</w:t>
            </w:r>
          </w:p>
          <w:p w:rsidR="00E67099" w:rsidRPr="004C0263" w:rsidRDefault="00E67099" w:rsidP="00E67099">
            <w:pPr>
              <w:spacing w:after="0" w:line="240" w:lineRule="auto"/>
              <w:jc w:val="both"/>
              <w:rPr>
                <w:rFonts w:asciiTheme="majorHAnsi" w:hAnsiTheme="majorHAnsi" w:cstheme="majorHAnsi"/>
                <w:sz w:val="20"/>
                <w:szCs w:val="20"/>
              </w:rPr>
            </w:pPr>
            <w:r w:rsidRPr="004C0263">
              <w:rPr>
                <w:rFonts w:asciiTheme="majorHAnsi" w:hAnsiTheme="majorHAnsi" w:cstheme="majorHAnsi"/>
                <w:sz w:val="20"/>
                <w:szCs w:val="20"/>
              </w:rPr>
              <w:t>3. Examinarea cauzelor formării creanțelor și expedierea scrisorilor către autoritățile bugetare privind întreprinderea măsurilor de diminuare a acestora.</w:t>
            </w:r>
          </w:p>
          <w:p w:rsidR="00E67099" w:rsidRPr="004C0263" w:rsidRDefault="00E67099" w:rsidP="00E67099">
            <w:pPr>
              <w:spacing w:after="0" w:line="240" w:lineRule="auto"/>
              <w:jc w:val="both"/>
              <w:rPr>
                <w:rFonts w:asciiTheme="majorHAnsi" w:eastAsia="Calibri" w:hAnsiTheme="majorHAnsi" w:cstheme="majorHAnsi"/>
                <w:sz w:val="20"/>
                <w:szCs w:val="20"/>
              </w:rPr>
            </w:pPr>
            <w:r w:rsidRPr="004C0263">
              <w:rPr>
                <w:rFonts w:asciiTheme="majorHAnsi" w:eastAsia="Calibri" w:hAnsiTheme="majorHAnsi" w:cstheme="majorHAnsi"/>
                <w:sz w:val="20"/>
                <w:szCs w:val="20"/>
              </w:rPr>
              <w:t>Pe  parcursul trimestrului III și trimestrului IV, Trezoreriile Regionale au monitorizat contractele de achiziții publice.</w:t>
            </w:r>
          </w:p>
          <w:p w:rsidR="00E67099" w:rsidRPr="004C0263" w:rsidRDefault="00E67099" w:rsidP="00E67099">
            <w:pPr>
              <w:spacing w:after="0" w:line="240" w:lineRule="auto"/>
              <w:jc w:val="both"/>
              <w:rPr>
                <w:rFonts w:asciiTheme="majorHAnsi" w:eastAsia="Calibri" w:hAnsiTheme="majorHAnsi" w:cstheme="majorHAnsi"/>
                <w:sz w:val="20"/>
                <w:szCs w:val="20"/>
              </w:rPr>
            </w:pPr>
            <w:r w:rsidRPr="004C0263">
              <w:rPr>
                <w:rFonts w:asciiTheme="majorHAnsi" w:eastAsia="Calibri" w:hAnsiTheme="majorHAnsi" w:cstheme="majorHAnsi"/>
                <w:sz w:val="20"/>
                <w:szCs w:val="20"/>
              </w:rPr>
              <w:t>Conform prevederilor art. 66 alin. (5) din Legea finanțelor publice și responsabilității bugetar-fiscale nr.181/2014,  contracte de achiziții publice prezentate de către autoritățile/instituțiile bugetare cu plăți în avans nu au fost acceptate, cu excepția celor expuse la literele a) și b) din alineatul respectiv.</w:t>
            </w:r>
          </w:p>
          <w:p w:rsidR="00E67099" w:rsidRPr="004C0263" w:rsidRDefault="00E67099" w:rsidP="00E67099">
            <w:pPr>
              <w:spacing w:after="0" w:line="240" w:lineRule="auto"/>
              <w:jc w:val="both"/>
              <w:rPr>
                <w:rFonts w:asciiTheme="majorHAnsi" w:eastAsia="Calibri" w:hAnsiTheme="majorHAnsi" w:cstheme="majorHAnsi"/>
                <w:sz w:val="20"/>
                <w:szCs w:val="20"/>
              </w:rPr>
            </w:pPr>
            <w:r w:rsidRPr="004C0263">
              <w:rPr>
                <w:rFonts w:asciiTheme="majorHAnsi" w:eastAsia="Calibri" w:hAnsiTheme="majorHAnsi" w:cstheme="majorHAnsi"/>
                <w:sz w:val="20"/>
                <w:szCs w:val="20"/>
              </w:rPr>
              <w:t xml:space="preserve">Direcția Trezoreria de Stat lunar recepționează și generalizează informația  privind creanțele cu termenul expirat ale bugetului de stat și bugetelor locale, după ce aceasta este publicată pe pagina web a ministerului: </w:t>
            </w:r>
            <w:hyperlink r:id="rId20" w:history="1">
              <w:r w:rsidRPr="004C0263">
                <w:rPr>
                  <w:rFonts w:asciiTheme="majorHAnsi" w:eastAsia="Calibri" w:hAnsiTheme="majorHAnsi" w:cstheme="majorHAnsi"/>
                  <w:color w:val="0000FF"/>
                  <w:sz w:val="20"/>
                  <w:szCs w:val="20"/>
                  <w:u w:val="single"/>
                </w:rPr>
                <w:t>http://mf.gov.md/ro/trezorerie/rapoarte-privind-executarea-bugetului/rapoarte-lunare</w:t>
              </w:r>
            </w:hyperlink>
            <w:r w:rsidRPr="004C0263">
              <w:rPr>
                <w:rFonts w:asciiTheme="majorHAnsi" w:eastAsia="Calibri" w:hAnsiTheme="majorHAnsi" w:cstheme="majorHAnsi"/>
                <w:color w:val="0000FF"/>
                <w:sz w:val="20"/>
                <w:szCs w:val="20"/>
                <w:u w:val="single"/>
              </w:rPr>
              <w:t>.</w:t>
            </w:r>
            <w:r w:rsidRPr="004C0263">
              <w:rPr>
                <w:rFonts w:asciiTheme="majorHAnsi" w:eastAsia="Calibri" w:hAnsiTheme="majorHAnsi" w:cstheme="majorHAnsi"/>
                <w:sz w:val="20"/>
                <w:szCs w:val="20"/>
              </w:rPr>
              <w:t xml:space="preserve"> Totodată, informația dată este transmisă atât subdiviziunilor Ministerului Finanțelor, care efectuează o analiză, pentru  întreprinderea măsurilor de reducere a creanțelor cu termenul expirat, cât și Inspecției Financiare. </w:t>
            </w:r>
          </w:p>
          <w:p w:rsidR="00E67099" w:rsidRPr="004C0263" w:rsidRDefault="00E67099" w:rsidP="00E67099">
            <w:pPr>
              <w:spacing w:after="0" w:line="240" w:lineRule="auto"/>
              <w:jc w:val="both"/>
              <w:rPr>
                <w:rFonts w:asciiTheme="majorHAnsi" w:hAnsiTheme="majorHAnsi" w:cstheme="majorHAnsi"/>
                <w:sz w:val="20"/>
                <w:szCs w:val="20"/>
              </w:rPr>
            </w:pPr>
            <w:r w:rsidRPr="004C0263">
              <w:rPr>
                <w:rFonts w:asciiTheme="majorHAnsi" w:eastAsia="Calibri" w:hAnsiTheme="majorHAnsi" w:cstheme="majorHAnsi"/>
                <w:sz w:val="20"/>
                <w:szCs w:val="20"/>
              </w:rPr>
              <w:t>La moment, este în proces de elaborare o circulară în adresa autorităților publice centrale și locale în vederea întreprinderii  măsurilor de diminuare /reducere a creanțelor cu termenul expirat.</w:t>
            </w:r>
          </w:p>
        </w:tc>
        <w:tc>
          <w:tcPr>
            <w:tcW w:w="993" w:type="dxa"/>
            <w:tcBorders>
              <w:top w:val="single" w:sz="8" w:space="0" w:color="auto"/>
              <w:left w:val="nil"/>
              <w:bottom w:val="single" w:sz="8" w:space="0" w:color="auto"/>
              <w:right w:val="single" w:sz="8" w:space="0" w:color="auto"/>
            </w:tcBorders>
          </w:tcPr>
          <w:p w:rsidR="00E67099" w:rsidRPr="004C0263" w:rsidRDefault="00E67099" w:rsidP="00E67099">
            <w:pPr>
              <w:spacing w:after="0" w:line="240" w:lineRule="auto"/>
              <w:jc w:val="both"/>
              <w:rPr>
                <w:rFonts w:asciiTheme="majorHAnsi" w:hAnsiTheme="majorHAnsi" w:cstheme="majorHAnsi"/>
                <w:sz w:val="20"/>
                <w:szCs w:val="20"/>
              </w:rPr>
            </w:pPr>
          </w:p>
        </w:tc>
        <w:tc>
          <w:tcPr>
            <w:tcW w:w="992" w:type="dxa"/>
            <w:tcBorders>
              <w:top w:val="single" w:sz="8" w:space="0" w:color="auto"/>
              <w:left w:val="nil"/>
              <w:bottom w:val="single" w:sz="8" w:space="0" w:color="auto"/>
              <w:right w:val="single" w:sz="8" w:space="0" w:color="auto"/>
            </w:tcBorders>
          </w:tcPr>
          <w:p w:rsidR="00E67099" w:rsidRPr="004C0263" w:rsidRDefault="00E67099" w:rsidP="00E67099">
            <w:pPr>
              <w:spacing w:after="0" w:line="240" w:lineRule="auto"/>
              <w:jc w:val="center"/>
              <w:rPr>
                <w:rFonts w:asciiTheme="majorHAnsi" w:hAnsiTheme="majorHAnsi" w:cstheme="majorHAnsi"/>
                <w:sz w:val="20"/>
                <w:szCs w:val="20"/>
              </w:rPr>
            </w:pPr>
            <w:r w:rsidRPr="004C0263">
              <w:rPr>
                <w:rFonts w:asciiTheme="majorHAnsi" w:hAnsiTheme="majorHAnsi" w:cstheme="majorHAnsi"/>
                <w:sz w:val="20"/>
                <w:szCs w:val="20"/>
              </w:rPr>
              <w:t>v</w:t>
            </w:r>
          </w:p>
        </w:tc>
        <w:tc>
          <w:tcPr>
            <w:tcW w:w="992" w:type="dxa"/>
            <w:tcBorders>
              <w:top w:val="single" w:sz="8" w:space="0" w:color="auto"/>
              <w:left w:val="nil"/>
              <w:bottom w:val="single" w:sz="8" w:space="0" w:color="auto"/>
              <w:right w:val="single" w:sz="8" w:space="0" w:color="auto"/>
            </w:tcBorders>
          </w:tcPr>
          <w:p w:rsidR="00E67099" w:rsidRPr="004C0263" w:rsidRDefault="00E67099" w:rsidP="00E67099">
            <w:pPr>
              <w:spacing w:after="0" w:line="240" w:lineRule="auto"/>
              <w:jc w:val="both"/>
              <w:rPr>
                <w:rFonts w:asciiTheme="majorHAnsi" w:hAnsiTheme="majorHAnsi" w:cstheme="majorHAnsi"/>
                <w:sz w:val="20"/>
                <w:szCs w:val="20"/>
              </w:rPr>
            </w:pPr>
          </w:p>
        </w:tc>
      </w:tr>
      <w:tr w:rsidR="00E67099" w:rsidRPr="004C0263" w:rsidTr="00A36731">
        <w:trPr>
          <w:trHeight w:val="1870"/>
        </w:trPr>
        <w:tc>
          <w:tcPr>
            <w:tcW w:w="3828" w:type="dxa"/>
            <w:tcBorders>
              <w:top w:val="single" w:sz="8" w:space="0" w:color="auto"/>
              <w:left w:val="single" w:sz="8" w:space="0" w:color="auto"/>
              <w:bottom w:val="single" w:sz="8" w:space="0" w:color="auto"/>
              <w:right w:val="single" w:sz="8" w:space="0" w:color="auto"/>
            </w:tcBorders>
            <w:shd w:val="clear" w:color="auto" w:fill="auto"/>
          </w:tcPr>
          <w:p w:rsidR="00E67099" w:rsidRPr="004C0263" w:rsidRDefault="00E67099" w:rsidP="00E67099">
            <w:pPr>
              <w:spacing w:after="0" w:line="240" w:lineRule="auto"/>
              <w:jc w:val="both"/>
              <w:rPr>
                <w:rFonts w:asciiTheme="majorHAnsi" w:hAnsiTheme="majorHAnsi" w:cstheme="majorHAnsi"/>
                <w:b/>
                <w:sz w:val="20"/>
                <w:szCs w:val="20"/>
              </w:rPr>
            </w:pPr>
            <w:r w:rsidRPr="004C0263">
              <w:rPr>
                <w:rFonts w:asciiTheme="majorHAnsi" w:hAnsiTheme="majorHAnsi" w:cstheme="majorHAnsi"/>
                <w:b/>
                <w:i/>
                <w:sz w:val="20"/>
                <w:szCs w:val="20"/>
              </w:rPr>
              <w:t xml:space="preserve">Recomandarea nr. 2.1.7.  </w:t>
            </w:r>
            <w:r w:rsidRPr="004C0263">
              <w:rPr>
                <w:rFonts w:asciiTheme="majorHAnsi" w:hAnsiTheme="majorHAnsi" w:cstheme="majorHAnsi"/>
                <w:sz w:val="20"/>
                <w:szCs w:val="20"/>
              </w:rPr>
              <w:t xml:space="preserve">Asigurarea elaborării, </w:t>
            </w:r>
            <w:r w:rsidRPr="004C0263">
              <w:rPr>
                <w:rFonts w:asciiTheme="majorHAnsi" w:hAnsiTheme="majorHAnsi" w:cstheme="majorHAnsi"/>
                <w:b/>
                <w:sz w:val="20"/>
                <w:szCs w:val="20"/>
              </w:rPr>
              <w:t>în comun cu Ministerul Educației, Culturii și Cercetării</w:t>
            </w:r>
            <w:r w:rsidRPr="004C0263">
              <w:rPr>
                <w:rFonts w:asciiTheme="majorHAnsi" w:hAnsiTheme="majorHAnsi" w:cstheme="majorHAnsi"/>
                <w:sz w:val="20"/>
                <w:szCs w:val="20"/>
              </w:rPr>
              <w:t>, a metodologiilor de calcul pentru transferurile cu destinație specială la finanțarea instituțiilor de învățământ (instituții preșcolare, licee-internat cu profil sportiv, școli de tip internat, centre de educație extrașcolară etc.), precum și completării normelor metodologice cu referire la determinarea transferurilor destinate școlilor primare, gimnaziilor și liceelor etc.</w:t>
            </w:r>
          </w:p>
        </w:tc>
        <w:tc>
          <w:tcPr>
            <w:tcW w:w="6804" w:type="dxa"/>
            <w:tcBorders>
              <w:top w:val="single" w:sz="8" w:space="0" w:color="auto"/>
              <w:left w:val="nil"/>
              <w:bottom w:val="single" w:sz="8" w:space="0" w:color="auto"/>
              <w:right w:val="single" w:sz="8" w:space="0" w:color="auto"/>
            </w:tcBorders>
            <w:shd w:val="clear" w:color="auto" w:fill="auto"/>
          </w:tcPr>
          <w:p w:rsidR="00E67099" w:rsidRPr="004C0263" w:rsidRDefault="00E67099" w:rsidP="00E67099">
            <w:pPr>
              <w:spacing w:after="0" w:line="240" w:lineRule="auto"/>
              <w:jc w:val="both"/>
              <w:rPr>
                <w:rFonts w:asciiTheme="majorHAnsi" w:hAnsiTheme="majorHAnsi" w:cstheme="majorHAnsi"/>
                <w:sz w:val="20"/>
                <w:szCs w:val="20"/>
              </w:rPr>
            </w:pPr>
            <w:r w:rsidRPr="004C0263">
              <w:rPr>
                <w:rFonts w:asciiTheme="majorHAnsi" w:eastAsia="Calibri" w:hAnsiTheme="majorHAnsi" w:cstheme="majorHAnsi"/>
                <w:sz w:val="20"/>
                <w:szCs w:val="20"/>
              </w:rPr>
              <w:t>1. Întreprinderea măsurilor de atenționare, înaintate Ministerului Educației, Culturii și Cercetării - autoritate publică centrală responsabilă de elaborarea proiectelor de acte normative în domeniul educației</w:t>
            </w:r>
            <w:r w:rsidRPr="004C0263">
              <w:rPr>
                <w:rFonts w:asciiTheme="majorHAnsi" w:hAnsiTheme="majorHAnsi" w:cstheme="majorHAnsi"/>
                <w:sz w:val="20"/>
                <w:szCs w:val="20"/>
              </w:rPr>
              <w:t xml:space="preserve">, </w:t>
            </w:r>
            <w:r w:rsidRPr="004C0263">
              <w:rPr>
                <w:rFonts w:asciiTheme="majorHAnsi" w:eastAsia="Calibri" w:hAnsiTheme="majorHAnsi" w:cstheme="majorHAnsi"/>
                <w:sz w:val="20"/>
                <w:szCs w:val="20"/>
              </w:rPr>
              <w:t>privind inițierea elaborării</w:t>
            </w:r>
            <w:r w:rsidRPr="004C0263">
              <w:rPr>
                <w:rFonts w:asciiTheme="majorHAnsi" w:hAnsiTheme="majorHAnsi" w:cstheme="majorHAnsi"/>
                <w:sz w:val="20"/>
                <w:szCs w:val="20"/>
              </w:rPr>
              <w:t xml:space="preserve"> metodologiei de calcul pentru transferurile cu destinație specială la finanțarea instituțiilor de învățământ (instituții preșcolare, licee-internat cu profil sportiv, școli de tip internat, centre de educație extrașcolară etc.);</w:t>
            </w:r>
          </w:p>
          <w:p w:rsidR="00E67099" w:rsidRPr="004C0263" w:rsidRDefault="00E67099" w:rsidP="00E67099">
            <w:pPr>
              <w:spacing w:after="0" w:line="240" w:lineRule="auto"/>
              <w:jc w:val="both"/>
              <w:rPr>
                <w:rFonts w:asciiTheme="majorHAnsi" w:hAnsiTheme="majorHAnsi" w:cstheme="majorHAnsi"/>
                <w:sz w:val="20"/>
                <w:szCs w:val="20"/>
              </w:rPr>
            </w:pPr>
            <w:r w:rsidRPr="004C0263">
              <w:rPr>
                <w:rFonts w:asciiTheme="majorHAnsi" w:hAnsiTheme="majorHAnsi" w:cstheme="majorHAnsi"/>
                <w:sz w:val="20"/>
                <w:szCs w:val="20"/>
              </w:rPr>
              <w:t xml:space="preserve">2. </w:t>
            </w:r>
            <w:r w:rsidRPr="004C0263">
              <w:rPr>
                <w:rFonts w:asciiTheme="majorHAnsi" w:eastAsia="Calibri" w:hAnsiTheme="majorHAnsi" w:cstheme="majorHAnsi"/>
                <w:sz w:val="20"/>
                <w:szCs w:val="20"/>
              </w:rPr>
              <w:t xml:space="preserve"> Întreprinderea măsurilor de atenționare, înaintate Ministerului </w:t>
            </w:r>
            <w:r w:rsidRPr="004C0263">
              <w:rPr>
                <w:rFonts w:asciiTheme="majorHAnsi" w:hAnsiTheme="majorHAnsi" w:cstheme="majorHAnsi"/>
                <w:sz w:val="20"/>
                <w:szCs w:val="20"/>
              </w:rPr>
              <w:t xml:space="preserve">Educației, Culturii și Cercetării - </w:t>
            </w:r>
            <w:r w:rsidRPr="004C0263">
              <w:rPr>
                <w:rFonts w:asciiTheme="majorHAnsi" w:eastAsia="Calibri" w:hAnsiTheme="majorHAnsi" w:cstheme="majorHAnsi"/>
                <w:sz w:val="20"/>
                <w:szCs w:val="20"/>
              </w:rPr>
              <w:t xml:space="preserve"> autoritate publică centrală responsabilă de elaborarea proiectelor de acte normative în domeniul educației</w:t>
            </w:r>
            <w:r w:rsidRPr="004C0263">
              <w:rPr>
                <w:rFonts w:asciiTheme="majorHAnsi" w:hAnsiTheme="majorHAnsi" w:cstheme="majorHAnsi"/>
                <w:sz w:val="20"/>
                <w:szCs w:val="20"/>
              </w:rPr>
              <w:t>, în vederea inițierii  modificării/completării Hotărârii Guvernului nr. 868 din 08 octombrie 2014 ,,Privind finanțarea în bază de cost standard per elev a instituțiilor de învățământ primar și secundar general din subordinea autorităților publice locale de nivelul al doilea”.</w:t>
            </w:r>
          </w:p>
          <w:p w:rsidR="00E67099" w:rsidRPr="004C0263" w:rsidRDefault="00E67099" w:rsidP="00E67099">
            <w:pPr>
              <w:spacing w:after="0" w:line="240" w:lineRule="auto"/>
              <w:jc w:val="both"/>
              <w:rPr>
                <w:rFonts w:asciiTheme="majorHAnsi" w:hAnsiTheme="majorHAnsi" w:cstheme="majorHAnsi"/>
                <w:sz w:val="20"/>
                <w:szCs w:val="20"/>
              </w:rPr>
            </w:pPr>
            <w:r w:rsidRPr="004C0263">
              <w:rPr>
                <w:rFonts w:asciiTheme="majorHAnsi" w:hAnsiTheme="majorHAnsi" w:cstheme="majorHAnsi"/>
                <w:sz w:val="20"/>
                <w:szCs w:val="20"/>
              </w:rPr>
              <w:t>În luna septembrie 2019, Ministerul Educației, Culturii și Cercetării a organizat două ședințe de lucru privind formula de finanțare pentru instituțiile de educație timpurie, la care au participat experții angajați din cadrul UNICEF și Ministerul Finanțelor.</w:t>
            </w:r>
          </w:p>
          <w:p w:rsidR="00E67099" w:rsidRPr="004C0263" w:rsidRDefault="00E67099" w:rsidP="00E67099">
            <w:pPr>
              <w:spacing w:after="0" w:line="240" w:lineRule="auto"/>
              <w:jc w:val="both"/>
              <w:rPr>
                <w:rFonts w:asciiTheme="majorHAnsi" w:hAnsiTheme="majorHAnsi" w:cstheme="majorHAnsi"/>
                <w:sz w:val="20"/>
                <w:szCs w:val="20"/>
              </w:rPr>
            </w:pPr>
            <w:r w:rsidRPr="004C0263">
              <w:rPr>
                <w:rFonts w:asciiTheme="majorHAnsi" w:hAnsiTheme="majorHAnsi" w:cstheme="majorHAnsi"/>
                <w:sz w:val="20"/>
                <w:szCs w:val="20"/>
              </w:rPr>
              <w:t>Totodată, la data de 12 septembrie 2019, Ministerul Educației,  Culturii și Cercetării a desfășurat un atelier de discuții privind formula de finanțare pentru instituțiile de educație timpurie, în cadrul căruia expertul internațional din Canada a prezentat 4 versiuni ale formulei/ schemei de finanțare. La atelierul respectiv au participat reprezentanți ai autorităților publice centrale și locale de nivelul I și nivelul II, directorii de instituții de educație timpurie, CALM, ONG-uri, precum și reprezentanții Băncii Mondiale.</w:t>
            </w:r>
          </w:p>
          <w:p w:rsidR="00E67099" w:rsidRPr="004C0263" w:rsidRDefault="00E67099" w:rsidP="00E67099">
            <w:pPr>
              <w:spacing w:after="0" w:line="240" w:lineRule="auto"/>
              <w:jc w:val="both"/>
              <w:rPr>
                <w:rFonts w:asciiTheme="majorHAnsi" w:hAnsiTheme="majorHAnsi" w:cstheme="majorHAnsi"/>
                <w:sz w:val="20"/>
                <w:szCs w:val="20"/>
              </w:rPr>
            </w:pPr>
            <w:r w:rsidRPr="004C0263">
              <w:rPr>
                <w:rFonts w:asciiTheme="majorHAnsi" w:hAnsiTheme="majorHAnsi" w:cstheme="majorHAnsi"/>
                <w:sz w:val="20"/>
                <w:szCs w:val="20"/>
              </w:rPr>
              <w:t>În urma  ședințelor și atelierului de lucru, în data de 4 noiembrie 2019, experții UNICEF au prezentat adițional trei versiuni ale formulei  noi de calcul, iar MECC urma să examineze care dintre variantele propuse este cea mai optimă pentru rețeaua de instituții de educație timpurie.</w:t>
            </w:r>
          </w:p>
          <w:p w:rsidR="00E67099" w:rsidRPr="004C0263" w:rsidRDefault="00E67099" w:rsidP="00E67099">
            <w:pPr>
              <w:spacing w:after="0" w:line="240" w:lineRule="auto"/>
              <w:jc w:val="both"/>
              <w:rPr>
                <w:rFonts w:asciiTheme="majorHAnsi" w:hAnsiTheme="majorHAnsi" w:cstheme="majorHAnsi"/>
                <w:sz w:val="20"/>
                <w:szCs w:val="20"/>
              </w:rPr>
            </w:pPr>
            <w:r w:rsidRPr="004C0263">
              <w:rPr>
                <w:rFonts w:asciiTheme="majorHAnsi" w:hAnsiTheme="majorHAnsi" w:cstheme="majorHAnsi"/>
                <w:sz w:val="20"/>
                <w:szCs w:val="20"/>
              </w:rPr>
              <w:t>Suplimentar, se menționează că Ministerul Finanțelor, prin scrisoarea nr. 07/1-17/141 din 09.12.2019, a atenționat Ministerul Educației, Culturii și Cercetării asupra necesității asigurării elaborării metodologiilor de calcul pentru transferurile cu destinație specială la finanțarea instituțiilor de învățământ (instituții preșcolare, licee-internat cu profil sportiv, școli de tip internat, centre de educație extrașcolară), în scopul acordării cât mai eficiente a alocațiilor pe autorități publice locale, în baza numărului de copii, dar nu în baza datelor financiare istorice.</w:t>
            </w:r>
          </w:p>
        </w:tc>
        <w:tc>
          <w:tcPr>
            <w:tcW w:w="993" w:type="dxa"/>
            <w:tcBorders>
              <w:top w:val="single" w:sz="8" w:space="0" w:color="auto"/>
              <w:left w:val="nil"/>
              <w:bottom w:val="single" w:sz="8" w:space="0" w:color="auto"/>
              <w:right w:val="single" w:sz="8" w:space="0" w:color="auto"/>
            </w:tcBorders>
          </w:tcPr>
          <w:p w:rsidR="00E67099" w:rsidRPr="004C0263" w:rsidRDefault="00E67099" w:rsidP="00E67099">
            <w:pPr>
              <w:spacing w:after="0" w:line="240" w:lineRule="auto"/>
              <w:jc w:val="both"/>
              <w:rPr>
                <w:rFonts w:asciiTheme="majorHAnsi" w:eastAsia="Calibri" w:hAnsiTheme="majorHAnsi" w:cstheme="majorHAnsi"/>
                <w:sz w:val="20"/>
                <w:szCs w:val="20"/>
              </w:rPr>
            </w:pPr>
          </w:p>
        </w:tc>
        <w:tc>
          <w:tcPr>
            <w:tcW w:w="992" w:type="dxa"/>
            <w:tcBorders>
              <w:top w:val="single" w:sz="8" w:space="0" w:color="auto"/>
              <w:left w:val="nil"/>
              <w:bottom w:val="single" w:sz="8" w:space="0" w:color="auto"/>
              <w:right w:val="single" w:sz="8" w:space="0" w:color="auto"/>
            </w:tcBorders>
          </w:tcPr>
          <w:p w:rsidR="00E67099" w:rsidRPr="004C0263" w:rsidRDefault="00E67099" w:rsidP="00E67099">
            <w:pPr>
              <w:spacing w:after="0" w:line="240" w:lineRule="auto"/>
              <w:jc w:val="center"/>
              <w:rPr>
                <w:rFonts w:asciiTheme="majorHAnsi" w:eastAsia="Calibri" w:hAnsiTheme="majorHAnsi" w:cstheme="majorHAnsi"/>
                <w:sz w:val="20"/>
                <w:szCs w:val="20"/>
              </w:rPr>
            </w:pPr>
            <w:r w:rsidRPr="004C0263">
              <w:rPr>
                <w:rFonts w:asciiTheme="majorHAnsi" w:eastAsia="Calibri" w:hAnsiTheme="majorHAnsi" w:cstheme="majorHAnsi"/>
                <w:sz w:val="20"/>
                <w:szCs w:val="20"/>
              </w:rPr>
              <w:t>v</w:t>
            </w:r>
          </w:p>
        </w:tc>
        <w:tc>
          <w:tcPr>
            <w:tcW w:w="992" w:type="dxa"/>
            <w:tcBorders>
              <w:top w:val="single" w:sz="8" w:space="0" w:color="auto"/>
              <w:left w:val="nil"/>
              <w:bottom w:val="single" w:sz="8" w:space="0" w:color="auto"/>
              <w:right w:val="single" w:sz="8" w:space="0" w:color="auto"/>
            </w:tcBorders>
          </w:tcPr>
          <w:p w:rsidR="00E67099" w:rsidRPr="004C0263" w:rsidRDefault="00E67099" w:rsidP="00E67099">
            <w:pPr>
              <w:spacing w:after="0" w:line="240" w:lineRule="auto"/>
              <w:jc w:val="center"/>
              <w:rPr>
                <w:rFonts w:asciiTheme="majorHAnsi" w:eastAsia="Calibri" w:hAnsiTheme="majorHAnsi" w:cstheme="majorHAnsi"/>
                <w:sz w:val="20"/>
                <w:szCs w:val="20"/>
              </w:rPr>
            </w:pPr>
          </w:p>
        </w:tc>
      </w:tr>
    </w:tbl>
    <w:p w:rsidR="00E67099" w:rsidRPr="00E67099" w:rsidRDefault="00E67099" w:rsidP="00E67099">
      <w:pPr>
        <w:shd w:val="clear" w:color="auto" w:fill="FFFFFF" w:themeFill="background1"/>
        <w:tabs>
          <w:tab w:val="left" w:pos="284"/>
          <w:tab w:val="left" w:pos="567"/>
          <w:tab w:val="left" w:pos="6237"/>
          <w:tab w:val="left" w:pos="6379"/>
        </w:tabs>
        <w:spacing w:after="0" w:line="276" w:lineRule="auto"/>
        <w:contextualSpacing/>
        <w:jc w:val="both"/>
        <w:rPr>
          <w:rFonts w:asciiTheme="majorHAnsi" w:eastAsia="Times New Roman" w:hAnsiTheme="majorHAnsi" w:cstheme="majorHAnsi"/>
          <w:i/>
          <w:sz w:val="20"/>
          <w:szCs w:val="20"/>
        </w:rPr>
      </w:pPr>
    </w:p>
    <w:p w:rsidR="001A24EA" w:rsidRDefault="001A24EA" w:rsidP="00E67099">
      <w:pPr>
        <w:shd w:val="clear" w:color="auto" w:fill="FFFFFF" w:themeFill="background1"/>
        <w:tabs>
          <w:tab w:val="left" w:pos="284"/>
          <w:tab w:val="left" w:pos="567"/>
          <w:tab w:val="left" w:pos="6237"/>
          <w:tab w:val="left" w:pos="6379"/>
        </w:tabs>
        <w:spacing w:after="0" w:line="276" w:lineRule="auto"/>
        <w:contextualSpacing/>
        <w:jc w:val="right"/>
        <w:rPr>
          <w:rFonts w:asciiTheme="majorHAnsi" w:eastAsia="Times New Roman" w:hAnsiTheme="majorHAnsi" w:cstheme="majorHAnsi"/>
          <w:b/>
          <w:i/>
          <w:sz w:val="24"/>
          <w:szCs w:val="24"/>
        </w:rPr>
      </w:pPr>
    </w:p>
    <w:p w:rsidR="00E67099" w:rsidRPr="00E67099" w:rsidRDefault="00E67099" w:rsidP="00E67099">
      <w:pPr>
        <w:shd w:val="clear" w:color="auto" w:fill="FFFFFF" w:themeFill="background1"/>
        <w:tabs>
          <w:tab w:val="left" w:pos="284"/>
          <w:tab w:val="left" w:pos="567"/>
          <w:tab w:val="left" w:pos="6237"/>
          <w:tab w:val="left" w:pos="6379"/>
        </w:tabs>
        <w:spacing w:after="0" w:line="276" w:lineRule="auto"/>
        <w:contextualSpacing/>
        <w:jc w:val="right"/>
        <w:rPr>
          <w:rFonts w:asciiTheme="majorHAnsi" w:eastAsia="Times New Roman" w:hAnsiTheme="majorHAnsi" w:cstheme="majorHAnsi"/>
          <w:b/>
          <w:i/>
          <w:sz w:val="24"/>
          <w:szCs w:val="24"/>
        </w:rPr>
      </w:pPr>
      <w:r w:rsidRPr="00E67099">
        <w:rPr>
          <w:rFonts w:asciiTheme="majorHAnsi" w:eastAsia="Times New Roman" w:hAnsiTheme="majorHAnsi" w:cstheme="majorHAnsi"/>
          <w:b/>
          <w:i/>
          <w:sz w:val="24"/>
          <w:szCs w:val="24"/>
        </w:rPr>
        <w:t>Anexa nr.21</w:t>
      </w:r>
    </w:p>
    <w:p w:rsidR="00E67099" w:rsidRPr="00E67099" w:rsidRDefault="00E67099" w:rsidP="00E67099">
      <w:pPr>
        <w:spacing w:after="0" w:line="240" w:lineRule="auto"/>
        <w:jc w:val="center"/>
        <w:rPr>
          <w:rFonts w:asciiTheme="majorHAnsi" w:eastAsia="Times New Roman" w:hAnsiTheme="majorHAnsi" w:cstheme="majorHAnsi"/>
          <w:b/>
          <w:bCs/>
          <w:sz w:val="24"/>
          <w:szCs w:val="24"/>
          <w:lang w:val="ro-MD"/>
        </w:rPr>
      </w:pPr>
      <w:r w:rsidRPr="00E67099">
        <w:rPr>
          <w:rFonts w:asciiTheme="majorHAnsi" w:eastAsia="Times New Roman" w:hAnsiTheme="majorHAnsi" w:cstheme="majorHAnsi"/>
          <w:b/>
          <w:bCs/>
          <w:sz w:val="24"/>
          <w:szCs w:val="24"/>
          <w:lang w:val="ro-MD"/>
        </w:rPr>
        <w:t>Sinteza executării veniturilor și cheltuielilor sub aspectul indicatorilor (capitol) aprobați/precizați prin Legea bugetului de stat pentru anul 2019</w:t>
      </w:r>
    </w:p>
    <w:p w:rsidR="00E67099" w:rsidRPr="00E67099" w:rsidRDefault="00E67099" w:rsidP="00E67099">
      <w:pPr>
        <w:shd w:val="clear" w:color="auto" w:fill="FFFFFF" w:themeFill="background1"/>
        <w:tabs>
          <w:tab w:val="left" w:pos="284"/>
          <w:tab w:val="left" w:pos="567"/>
          <w:tab w:val="left" w:pos="6237"/>
          <w:tab w:val="left" w:pos="6379"/>
        </w:tabs>
        <w:spacing w:after="0" w:line="276" w:lineRule="auto"/>
        <w:contextualSpacing/>
        <w:jc w:val="right"/>
        <w:rPr>
          <w:rFonts w:asciiTheme="majorHAnsi" w:eastAsia="Times New Roman" w:hAnsiTheme="majorHAnsi" w:cstheme="majorHAnsi"/>
          <w:b/>
          <w:sz w:val="24"/>
          <w:szCs w:val="24"/>
          <w:lang w:val="ro-MD"/>
        </w:rPr>
      </w:pPr>
      <w:r w:rsidRPr="00E67099">
        <w:rPr>
          <w:rFonts w:asciiTheme="majorHAnsi" w:eastAsia="Times New Roman" w:hAnsiTheme="majorHAnsi" w:cstheme="majorHAnsi"/>
          <w:b/>
          <w:sz w:val="24"/>
          <w:szCs w:val="24"/>
          <w:lang w:val="ro-MD"/>
        </w:rPr>
        <w:t>(mii lei)</w:t>
      </w:r>
    </w:p>
    <w:tbl>
      <w:tblPr>
        <w:tblW w:w="13462" w:type="dxa"/>
        <w:tblLook w:val="04A0" w:firstRow="1" w:lastRow="0" w:firstColumn="1" w:lastColumn="0" w:noHBand="0" w:noVBand="1"/>
      </w:tblPr>
      <w:tblGrid>
        <w:gridCol w:w="3256"/>
        <w:gridCol w:w="720"/>
        <w:gridCol w:w="1548"/>
        <w:gridCol w:w="1559"/>
        <w:gridCol w:w="1559"/>
        <w:gridCol w:w="1283"/>
        <w:gridCol w:w="1134"/>
        <w:gridCol w:w="1283"/>
        <w:gridCol w:w="1120"/>
      </w:tblGrid>
      <w:tr w:rsidR="00E67099" w:rsidRPr="00E67099" w:rsidTr="00A36731">
        <w:trPr>
          <w:trHeight w:val="528"/>
        </w:trPr>
        <w:tc>
          <w:tcPr>
            <w:tcW w:w="3256" w:type="dxa"/>
            <w:vMerge w:val="restart"/>
            <w:tcBorders>
              <w:top w:val="single" w:sz="4" w:space="0" w:color="auto"/>
              <w:left w:val="single" w:sz="4" w:space="0" w:color="auto"/>
              <w:right w:val="single" w:sz="4" w:space="0" w:color="auto"/>
            </w:tcBorders>
            <w:shd w:val="clear" w:color="auto" w:fill="auto"/>
            <w:vAlign w:val="center"/>
            <w:hideMark/>
          </w:tcPr>
          <w:p w:rsidR="00E67099" w:rsidRPr="00E67099" w:rsidRDefault="00E67099" w:rsidP="00E67099">
            <w:pPr>
              <w:spacing w:after="0" w:line="240" w:lineRule="auto"/>
              <w:jc w:val="center"/>
              <w:rPr>
                <w:rFonts w:asciiTheme="majorHAnsi" w:eastAsia="Times New Roman" w:hAnsiTheme="majorHAnsi" w:cstheme="majorHAnsi"/>
                <w:b/>
                <w:bCs/>
                <w:sz w:val="20"/>
                <w:szCs w:val="20"/>
                <w:lang w:val="ro-MD"/>
              </w:rPr>
            </w:pPr>
            <w:r w:rsidRPr="00E67099">
              <w:rPr>
                <w:rFonts w:asciiTheme="majorHAnsi" w:eastAsia="Times New Roman" w:hAnsiTheme="majorHAnsi" w:cstheme="majorHAnsi"/>
                <w:b/>
                <w:bCs/>
                <w:sz w:val="20"/>
                <w:szCs w:val="20"/>
                <w:lang w:val="ro-MD"/>
              </w:rPr>
              <w:t>Denumirea</w:t>
            </w:r>
          </w:p>
        </w:tc>
        <w:tc>
          <w:tcPr>
            <w:tcW w:w="720" w:type="dxa"/>
            <w:vMerge w:val="restart"/>
            <w:tcBorders>
              <w:top w:val="single" w:sz="4" w:space="0" w:color="auto"/>
              <w:left w:val="nil"/>
              <w:right w:val="single" w:sz="4" w:space="0" w:color="auto"/>
            </w:tcBorders>
            <w:shd w:val="clear" w:color="auto" w:fill="auto"/>
            <w:vAlign w:val="center"/>
            <w:hideMark/>
          </w:tcPr>
          <w:p w:rsidR="00E67099" w:rsidRPr="00E67099" w:rsidRDefault="00E67099" w:rsidP="00E67099">
            <w:pPr>
              <w:spacing w:after="0" w:line="240" w:lineRule="auto"/>
              <w:jc w:val="center"/>
              <w:rPr>
                <w:rFonts w:asciiTheme="majorHAnsi" w:eastAsia="Times New Roman" w:hAnsiTheme="majorHAnsi" w:cstheme="majorHAnsi"/>
                <w:b/>
                <w:bCs/>
                <w:sz w:val="20"/>
                <w:szCs w:val="20"/>
                <w:lang w:val="ro-MD"/>
              </w:rPr>
            </w:pPr>
            <w:r w:rsidRPr="00E67099">
              <w:rPr>
                <w:rFonts w:asciiTheme="majorHAnsi" w:eastAsia="Times New Roman" w:hAnsiTheme="majorHAnsi" w:cstheme="majorHAnsi"/>
                <w:b/>
                <w:bCs/>
                <w:sz w:val="20"/>
                <w:szCs w:val="20"/>
                <w:lang w:val="ro-MD"/>
              </w:rPr>
              <w:t>Cod</w:t>
            </w:r>
          </w:p>
        </w:tc>
        <w:tc>
          <w:tcPr>
            <w:tcW w:w="1548" w:type="dxa"/>
            <w:vMerge w:val="restart"/>
            <w:tcBorders>
              <w:top w:val="single" w:sz="4" w:space="0" w:color="auto"/>
              <w:left w:val="nil"/>
              <w:right w:val="single" w:sz="4" w:space="0" w:color="auto"/>
            </w:tcBorders>
            <w:shd w:val="clear" w:color="auto" w:fill="auto"/>
            <w:vAlign w:val="center"/>
            <w:hideMark/>
          </w:tcPr>
          <w:p w:rsidR="00E67099" w:rsidRPr="00E67099" w:rsidRDefault="00E67099" w:rsidP="00E67099">
            <w:pPr>
              <w:spacing w:after="0" w:line="240" w:lineRule="auto"/>
              <w:jc w:val="center"/>
              <w:rPr>
                <w:rFonts w:asciiTheme="majorHAnsi" w:eastAsia="Times New Roman" w:hAnsiTheme="majorHAnsi" w:cstheme="majorHAnsi"/>
                <w:b/>
                <w:bCs/>
                <w:sz w:val="20"/>
                <w:szCs w:val="20"/>
                <w:lang w:val="ro-MD"/>
              </w:rPr>
            </w:pPr>
            <w:r w:rsidRPr="00E67099">
              <w:rPr>
                <w:rFonts w:asciiTheme="majorHAnsi" w:eastAsia="Times New Roman" w:hAnsiTheme="majorHAnsi" w:cstheme="majorHAnsi"/>
                <w:b/>
                <w:bCs/>
                <w:sz w:val="20"/>
                <w:szCs w:val="20"/>
                <w:lang w:val="ro-MD"/>
              </w:rPr>
              <w:t>Aprobat</w:t>
            </w:r>
          </w:p>
        </w:tc>
        <w:tc>
          <w:tcPr>
            <w:tcW w:w="1559" w:type="dxa"/>
            <w:vMerge w:val="restart"/>
            <w:tcBorders>
              <w:top w:val="single" w:sz="4" w:space="0" w:color="auto"/>
              <w:left w:val="nil"/>
              <w:right w:val="single" w:sz="4" w:space="0" w:color="auto"/>
            </w:tcBorders>
            <w:shd w:val="clear" w:color="auto" w:fill="auto"/>
            <w:vAlign w:val="center"/>
            <w:hideMark/>
          </w:tcPr>
          <w:p w:rsidR="00E67099" w:rsidRPr="00E67099" w:rsidRDefault="00E67099" w:rsidP="00E67099">
            <w:pPr>
              <w:spacing w:after="0" w:line="240" w:lineRule="auto"/>
              <w:jc w:val="center"/>
              <w:rPr>
                <w:rFonts w:asciiTheme="majorHAnsi" w:eastAsia="Times New Roman" w:hAnsiTheme="majorHAnsi" w:cstheme="majorHAnsi"/>
                <w:b/>
                <w:bCs/>
                <w:sz w:val="20"/>
                <w:szCs w:val="20"/>
                <w:lang w:val="ro-MD"/>
              </w:rPr>
            </w:pPr>
            <w:r w:rsidRPr="00E67099">
              <w:rPr>
                <w:rFonts w:asciiTheme="majorHAnsi" w:eastAsia="Times New Roman" w:hAnsiTheme="majorHAnsi" w:cstheme="majorHAnsi"/>
                <w:b/>
                <w:bCs/>
                <w:sz w:val="20"/>
                <w:szCs w:val="20"/>
                <w:lang w:val="ro-MD"/>
              </w:rPr>
              <w:t>Precizat pe an</w:t>
            </w:r>
          </w:p>
        </w:tc>
        <w:tc>
          <w:tcPr>
            <w:tcW w:w="1559" w:type="dxa"/>
            <w:vMerge w:val="restart"/>
            <w:tcBorders>
              <w:top w:val="single" w:sz="4" w:space="0" w:color="auto"/>
              <w:left w:val="nil"/>
              <w:right w:val="single" w:sz="4" w:space="0" w:color="auto"/>
            </w:tcBorders>
            <w:shd w:val="clear" w:color="auto" w:fill="auto"/>
            <w:vAlign w:val="center"/>
            <w:hideMark/>
          </w:tcPr>
          <w:p w:rsidR="00E67099" w:rsidRPr="00E67099" w:rsidRDefault="00E67099" w:rsidP="00E67099">
            <w:pPr>
              <w:spacing w:after="0" w:line="240" w:lineRule="auto"/>
              <w:jc w:val="center"/>
              <w:rPr>
                <w:rFonts w:asciiTheme="majorHAnsi" w:eastAsia="Times New Roman" w:hAnsiTheme="majorHAnsi" w:cstheme="majorHAnsi"/>
                <w:b/>
                <w:bCs/>
                <w:sz w:val="20"/>
                <w:szCs w:val="20"/>
                <w:lang w:val="ro-MD"/>
              </w:rPr>
            </w:pPr>
            <w:r w:rsidRPr="00E67099">
              <w:rPr>
                <w:rFonts w:asciiTheme="majorHAnsi" w:eastAsia="Times New Roman" w:hAnsiTheme="majorHAnsi" w:cstheme="majorHAnsi"/>
                <w:b/>
                <w:bCs/>
                <w:sz w:val="20"/>
                <w:szCs w:val="20"/>
                <w:lang w:val="ro-MD"/>
              </w:rPr>
              <w:t>Executat anul curent</w:t>
            </w:r>
          </w:p>
        </w:tc>
        <w:tc>
          <w:tcPr>
            <w:tcW w:w="2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b/>
                <w:bCs/>
                <w:sz w:val="20"/>
                <w:szCs w:val="20"/>
                <w:lang w:val="ro-MD"/>
              </w:rPr>
            </w:pPr>
            <w:r w:rsidRPr="00E67099">
              <w:rPr>
                <w:rFonts w:asciiTheme="majorHAnsi" w:eastAsia="Times New Roman" w:hAnsiTheme="majorHAnsi" w:cstheme="majorHAnsi"/>
                <w:b/>
                <w:bCs/>
                <w:sz w:val="20"/>
                <w:szCs w:val="20"/>
                <w:lang w:val="ro-MD"/>
              </w:rPr>
              <w:t>Supraestimat și subevaluat față de precizat</w:t>
            </w:r>
          </w:p>
        </w:tc>
        <w:tc>
          <w:tcPr>
            <w:tcW w:w="2403" w:type="dxa"/>
            <w:gridSpan w:val="2"/>
            <w:tcBorders>
              <w:top w:val="single" w:sz="4" w:space="0" w:color="auto"/>
              <w:left w:val="nil"/>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b/>
                <w:bCs/>
                <w:sz w:val="20"/>
                <w:szCs w:val="20"/>
                <w:lang w:val="ro-MD"/>
              </w:rPr>
            </w:pPr>
            <w:r w:rsidRPr="00E67099">
              <w:rPr>
                <w:rFonts w:asciiTheme="majorHAnsi" w:eastAsia="Times New Roman" w:hAnsiTheme="majorHAnsi" w:cstheme="majorHAnsi"/>
                <w:b/>
                <w:bCs/>
                <w:sz w:val="20"/>
                <w:szCs w:val="20"/>
                <w:lang w:val="ro-MD"/>
              </w:rPr>
              <w:t>Supraestimat și subevaluat față de aprobat inițial</w:t>
            </w:r>
          </w:p>
        </w:tc>
      </w:tr>
      <w:tr w:rsidR="00E67099" w:rsidRPr="00E67099" w:rsidTr="00A36731">
        <w:trPr>
          <w:trHeight w:val="269"/>
        </w:trPr>
        <w:tc>
          <w:tcPr>
            <w:tcW w:w="3256" w:type="dxa"/>
            <w:vMerge/>
            <w:tcBorders>
              <w:left w:val="single" w:sz="4" w:space="0" w:color="auto"/>
              <w:bottom w:val="single" w:sz="4" w:space="0" w:color="auto"/>
              <w:right w:val="single" w:sz="4" w:space="0" w:color="auto"/>
            </w:tcBorders>
            <w:shd w:val="clear" w:color="auto" w:fill="auto"/>
            <w:vAlign w:val="center"/>
          </w:tcPr>
          <w:p w:rsidR="00E67099" w:rsidRPr="00E67099" w:rsidRDefault="00E67099" w:rsidP="00E67099">
            <w:pPr>
              <w:spacing w:after="0" w:line="240" w:lineRule="auto"/>
              <w:jc w:val="center"/>
              <w:rPr>
                <w:rFonts w:asciiTheme="majorHAnsi" w:eastAsia="Times New Roman" w:hAnsiTheme="majorHAnsi" w:cstheme="majorHAnsi"/>
                <w:b/>
                <w:bCs/>
                <w:sz w:val="20"/>
                <w:szCs w:val="20"/>
                <w:lang w:val="ro-MD"/>
              </w:rPr>
            </w:pPr>
          </w:p>
        </w:tc>
        <w:tc>
          <w:tcPr>
            <w:tcW w:w="720" w:type="dxa"/>
            <w:vMerge/>
            <w:tcBorders>
              <w:left w:val="nil"/>
              <w:bottom w:val="single" w:sz="4" w:space="0" w:color="auto"/>
              <w:right w:val="single" w:sz="4" w:space="0" w:color="auto"/>
            </w:tcBorders>
            <w:shd w:val="clear" w:color="auto" w:fill="auto"/>
            <w:vAlign w:val="center"/>
          </w:tcPr>
          <w:p w:rsidR="00E67099" w:rsidRPr="00E67099" w:rsidRDefault="00E67099" w:rsidP="00E67099">
            <w:pPr>
              <w:spacing w:after="0" w:line="240" w:lineRule="auto"/>
              <w:jc w:val="center"/>
              <w:rPr>
                <w:rFonts w:asciiTheme="majorHAnsi" w:eastAsia="Times New Roman" w:hAnsiTheme="majorHAnsi" w:cstheme="majorHAnsi"/>
                <w:b/>
                <w:bCs/>
                <w:sz w:val="20"/>
                <w:szCs w:val="20"/>
                <w:lang w:val="ro-MD"/>
              </w:rPr>
            </w:pPr>
          </w:p>
        </w:tc>
        <w:tc>
          <w:tcPr>
            <w:tcW w:w="1548" w:type="dxa"/>
            <w:vMerge/>
            <w:tcBorders>
              <w:left w:val="nil"/>
              <w:bottom w:val="single" w:sz="4" w:space="0" w:color="auto"/>
              <w:right w:val="single" w:sz="4" w:space="0" w:color="auto"/>
            </w:tcBorders>
            <w:shd w:val="clear" w:color="auto" w:fill="auto"/>
            <w:vAlign w:val="center"/>
          </w:tcPr>
          <w:p w:rsidR="00E67099" w:rsidRPr="00E67099" w:rsidRDefault="00E67099" w:rsidP="00E67099">
            <w:pPr>
              <w:spacing w:after="0" w:line="240" w:lineRule="auto"/>
              <w:jc w:val="center"/>
              <w:rPr>
                <w:rFonts w:asciiTheme="majorHAnsi" w:eastAsia="Times New Roman" w:hAnsiTheme="majorHAnsi" w:cstheme="majorHAnsi"/>
                <w:b/>
                <w:bCs/>
                <w:sz w:val="20"/>
                <w:szCs w:val="20"/>
                <w:lang w:val="ro-MD"/>
              </w:rPr>
            </w:pPr>
          </w:p>
        </w:tc>
        <w:tc>
          <w:tcPr>
            <w:tcW w:w="1559" w:type="dxa"/>
            <w:vMerge/>
            <w:tcBorders>
              <w:left w:val="nil"/>
              <w:bottom w:val="single" w:sz="4" w:space="0" w:color="auto"/>
              <w:right w:val="single" w:sz="4" w:space="0" w:color="auto"/>
            </w:tcBorders>
            <w:shd w:val="clear" w:color="auto" w:fill="auto"/>
            <w:vAlign w:val="center"/>
          </w:tcPr>
          <w:p w:rsidR="00E67099" w:rsidRPr="00E67099" w:rsidRDefault="00E67099" w:rsidP="00E67099">
            <w:pPr>
              <w:spacing w:after="0" w:line="240" w:lineRule="auto"/>
              <w:jc w:val="center"/>
              <w:rPr>
                <w:rFonts w:asciiTheme="majorHAnsi" w:eastAsia="Times New Roman" w:hAnsiTheme="majorHAnsi" w:cstheme="majorHAnsi"/>
                <w:b/>
                <w:bCs/>
                <w:sz w:val="20"/>
                <w:szCs w:val="20"/>
                <w:lang w:val="ro-MD"/>
              </w:rPr>
            </w:pPr>
          </w:p>
        </w:tc>
        <w:tc>
          <w:tcPr>
            <w:tcW w:w="1559" w:type="dxa"/>
            <w:vMerge/>
            <w:tcBorders>
              <w:left w:val="nil"/>
              <w:bottom w:val="single" w:sz="4" w:space="0" w:color="auto"/>
              <w:right w:val="single" w:sz="4" w:space="0" w:color="auto"/>
            </w:tcBorders>
            <w:shd w:val="clear" w:color="auto" w:fill="auto"/>
            <w:vAlign w:val="center"/>
          </w:tcPr>
          <w:p w:rsidR="00E67099" w:rsidRPr="00E67099" w:rsidRDefault="00E67099" w:rsidP="00E67099">
            <w:pPr>
              <w:spacing w:after="0" w:line="240" w:lineRule="auto"/>
              <w:jc w:val="center"/>
              <w:rPr>
                <w:rFonts w:asciiTheme="majorHAnsi" w:eastAsia="Times New Roman" w:hAnsiTheme="majorHAnsi" w:cstheme="majorHAnsi"/>
                <w:b/>
                <w:bCs/>
                <w:sz w:val="20"/>
                <w:szCs w:val="20"/>
                <w:lang w:val="ro-MD"/>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E67099" w:rsidRPr="00E67099" w:rsidRDefault="00E67099" w:rsidP="00E67099">
            <w:pPr>
              <w:spacing w:after="0" w:line="240" w:lineRule="auto"/>
              <w:rPr>
                <w:rFonts w:asciiTheme="majorHAnsi" w:eastAsia="Times New Roman" w:hAnsiTheme="majorHAnsi" w:cstheme="majorHAnsi"/>
                <w:b/>
                <w:bCs/>
                <w:sz w:val="20"/>
                <w:szCs w:val="20"/>
                <w:lang w:val="ro-MD"/>
              </w:rPr>
            </w:pPr>
            <w:r w:rsidRPr="00E67099">
              <w:rPr>
                <w:rFonts w:asciiTheme="majorHAnsi" w:eastAsia="Times New Roman" w:hAnsiTheme="majorHAnsi" w:cstheme="majorHAnsi"/>
                <w:b/>
                <w:bCs/>
                <w:sz w:val="20"/>
                <w:szCs w:val="20"/>
                <w:lang w:val="ro-MD"/>
              </w:rPr>
              <w:t>Supraestimat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67099" w:rsidRPr="00E67099" w:rsidRDefault="00E67099" w:rsidP="00E67099">
            <w:pPr>
              <w:spacing w:after="0" w:line="240" w:lineRule="auto"/>
              <w:rPr>
                <w:rFonts w:asciiTheme="majorHAnsi" w:eastAsia="Times New Roman" w:hAnsiTheme="majorHAnsi" w:cstheme="majorHAnsi"/>
                <w:b/>
                <w:bCs/>
                <w:sz w:val="20"/>
                <w:szCs w:val="20"/>
                <w:lang w:val="ro-MD"/>
              </w:rPr>
            </w:pPr>
            <w:r w:rsidRPr="00E67099">
              <w:rPr>
                <w:rFonts w:asciiTheme="majorHAnsi" w:eastAsia="Times New Roman" w:hAnsiTheme="majorHAnsi" w:cstheme="majorHAnsi"/>
                <w:b/>
                <w:bCs/>
                <w:sz w:val="20"/>
                <w:szCs w:val="20"/>
                <w:lang w:val="ro-MD"/>
              </w:rPr>
              <w:t>Subevaluat</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E67099" w:rsidRPr="00E67099" w:rsidRDefault="00E67099" w:rsidP="00E67099">
            <w:pPr>
              <w:spacing w:after="0" w:line="240" w:lineRule="auto"/>
              <w:rPr>
                <w:rFonts w:asciiTheme="majorHAnsi" w:eastAsia="Times New Roman" w:hAnsiTheme="majorHAnsi" w:cstheme="majorHAnsi"/>
                <w:b/>
                <w:bCs/>
                <w:sz w:val="20"/>
                <w:szCs w:val="20"/>
                <w:lang w:val="ro-MD"/>
              </w:rPr>
            </w:pPr>
            <w:r w:rsidRPr="00E67099">
              <w:rPr>
                <w:rFonts w:asciiTheme="majorHAnsi" w:eastAsia="Times New Roman" w:hAnsiTheme="majorHAnsi" w:cstheme="majorHAnsi"/>
                <w:b/>
                <w:bCs/>
                <w:sz w:val="20"/>
                <w:szCs w:val="20"/>
                <w:lang w:val="ro-MD"/>
              </w:rPr>
              <w:t>Supraestimat</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E67099" w:rsidRPr="00E67099" w:rsidRDefault="00E67099" w:rsidP="00E67099">
            <w:pPr>
              <w:spacing w:after="0" w:line="240" w:lineRule="auto"/>
              <w:rPr>
                <w:rFonts w:asciiTheme="majorHAnsi" w:eastAsia="Times New Roman" w:hAnsiTheme="majorHAnsi" w:cstheme="majorHAnsi"/>
                <w:b/>
                <w:bCs/>
                <w:sz w:val="20"/>
                <w:szCs w:val="20"/>
                <w:lang w:val="ro-MD"/>
              </w:rPr>
            </w:pPr>
            <w:r w:rsidRPr="00E67099">
              <w:rPr>
                <w:rFonts w:asciiTheme="majorHAnsi" w:eastAsia="Times New Roman" w:hAnsiTheme="majorHAnsi" w:cstheme="majorHAnsi"/>
                <w:b/>
                <w:bCs/>
                <w:sz w:val="20"/>
                <w:szCs w:val="20"/>
                <w:lang w:val="ro-MD"/>
              </w:rPr>
              <w:t>Subevaluat</w:t>
            </w:r>
          </w:p>
        </w:tc>
      </w:tr>
      <w:tr w:rsidR="00E67099" w:rsidRPr="00E67099" w:rsidTr="00A36731">
        <w:trPr>
          <w:trHeight w:val="264"/>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Impozit pe venitul persoanelor fizice</w:t>
            </w:r>
          </w:p>
        </w:tc>
        <w:tc>
          <w:tcPr>
            <w:tcW w:w="7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1111</w:t>
            </w:r>
          </w:p>
        </w:tc>
        <w:tc>
          <w:tcPr>
            <w:tcW w:w="1548"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1.472.700,0</w:t>
            </w:r>
          </w:p>
        </w:tc>
        <w:tc>
          <w:tcPr>
            <w:tcW w:w="1559"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1.604.100,0</w:t>
            </w:r>
          </w:p>
        </w:tc>
        <w:tc>
          <w:tcPr>
            <w:tcW w:w="1559"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1.610.955,6</w:t>
            </w:r>
          </w:p>
        </w:tc>
        <w:tc>
          <w:tcPr>
            <w:tcW w:w="1283"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-6.855,6</w:t>
            </w:r>
          </w:p>
        </w:tc>
        <w:tc>
          <w:tcPr>
            <w:tcW w:w="1283"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 </w:t>
            </w:r>
          </w:p>
        </w:tc>
        <w:tc>
          <w:tcPr>
            <w:tcW w:w="11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-138.255,6</w:t>
            </w:r>
          </w:p>
        </w:tc>
      </w:tr>
      <w:tr w:rsidR="00E67099" w:rsidRPr="00E67099" w:rsidTr="00A36731">
        <w:trPr>
          <w:trHeight w:val="264"/>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Impozit pe venitul persoanelor juridice</w:t>
            </w:r>
          </w:p>
        </w:tc>
        <w:tc>
          <w:tcPr>
            <w:tcW w:w="7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1112</w:t>
            </w:r>
          </w:p>
        </w:tc>
        <w:tc>
          <w:tcPr>
            <w:tcW w:w="1548"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5.716.700,0</w:t>
            </w:r>
          </w:p>
        </w:tc>
        <w:tc>
          <w:tcPr>
            <w:tcW w:w="1559"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5.295.100,0</w:t>
            </w:r>
          </w:p>
        </w:tc>
        <w:tc>
          <w:tcPr>
            <w:tcW w:w="1559"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5.249.388,0</w:t>
            </w:r>
          </w:p>
        </w:tc>
        <w:tc>
          <w:tcPr>
            <w:tcW w:w="1283"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45.712,0</w:t>
            </w:r>
          </w:p>
        </w:tc>
        <w:tc>
          <w:tcPr>
            <w:tcW w:w="1134"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 </w:t>
            </w:r>
          </w:p>
        </w:tc>
        <w:tc>
          <w:tcPr>
            <w:tcW w:w="1283"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467.312,0</w:t>
            </w:r>
          </w:p>
        </w:tc>
        <w:tc>
          <w:tcPr>
            <w:tcW w:w="11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 </w:t>
            </w:r>
          </w:p>
        </w:tc>
      </w:tr>
      <w:tr w:rsidR="00E67099" w:rsidRPr="00E67099" w:rsidTr="00A36731">
        <w:trPr>
          <w:trHeight w:val="264"/>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Impozite pe proprietate cu caracter ocazional</w:t>
            </w:r>
          </w:p>
        </w:tc>
        <w:tc>
          <w:tcPr>
            <w:tcW w:w="7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1133</w:t>
            </w:r>
          </w:p>
        </w:tc>
        <w:tc>
          <w:tcPr>
            <w:tcW w:w="1548"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2.000,0</w:t>
            </w:r>
          </w:p>
        </w:tc>
        <w:tc>
          <w:tcPr>
            <w:tcW w:w="1559"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10.000,0</w:t>
            </w:r>
          </w:p>
        </w:tc>
        <w:tc>
          <w:tcPr>
            <w:tcW w:w="1559"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9.730,3</w:t>
            </w:r>
          </w:p>
        </w:tc>
        <w:tc>
          <w:tcPr>
            <w:tcW w:w="1283"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269,7</w:t>
            </w:r>
          </w:p>
        </w:tc>
        <w:tc>
          <w:tcPr>
            <w:tcW w:w="1134"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 </w:t>
            </w:r>
          </w:p>
        </w:tc>
        <w:tc>
          <w:tcPr>
            <w:tcW w:w="1283"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 </w:t>
            </w:r>
          </w:p>
        </w:tc>
        <w:tc>
          <w:tcPr>
            <w:tcW w:w="11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-7.730,3</w:t>
            </w:r>
          </w:p>
        </w:tc>
      </w:tr>
      <w:tr w:rsidR="00E67099" w:rsidRPr="00E67099" w:rsidTr="00A36731">
        <w:trPr>
          <w:trHeight w:val="264"/>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Alte impozite pe proprietate</w:t>
            </w:r>
          </w:p>
        </w:tc>
        <w:tc>
          <w:tcPr>
            <w:tcW w:w="7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1136</w:t>
            </w:r>
          </w:p>
        </w:tc>
        <w:tc>
          <w:tcPr>
            <w:tcW w:w="1548"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53.000,0</w:t>
            </w:r>
          </w:p>
        </w:tc>
        <w:tc>
          <w:tcPr>
            <w:tcW w:w="1559"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42.000,0</w:t>
            </w:r>
          </w:p>
        </w:tc>
        <w:tc>
          <w:tcPr>
            <w:tcW w:w="1559"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41.090,0</w:t>
            </w:r>
          </w:p>
        </w:tc>
        <w:tc>
          <w:tcPr>
            <w:tcW w:w="1283"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910,0</w:t>
            </w:r>
          </w:p>
        </w:tc>
        <w:tc>
          <w:tcPr>
            <w:tcW w:w="1134"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 </w:t>
            </w:r>
          </w:p>
        </w:tc>
        <w:tc>
          <w:tcPr>
            <w:tcW w:w="1283"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11.910,0</w:t>
            </w:r>
          </w:p>
        </w:tc>
        <w:tc>
          <w:tcPr>
            <w:tcW w:w="11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 </w:t>
            </w:r>
          </w:p>
        </w:tc>
      </w:tr>
      <w:tr w:rsidR="00E67099" w:rsidRPr="00E67099" w:rsidTr="00A36731">
        <w:trPr>
          <w:trHeight w:val="264"/>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Taxa pe valoarea adăugată</w:t>
            </w:r>
          </w:p>
        </w:tc>
        <w:tc>
          <w:tcPr>
            <w:tcW w:w="7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1141</w:t>
            </w:r>
          </w:p>
        </w:tc>
        <w:tc>
          <w:tcPr>
            <w:tcW w:w="1548"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20.129.000,0</w:t>
            </w:r>
          </w:p>
        </w:tc>
        <w:tc>
          <w:tcPr>
            <w:tcW w:w="1559"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20.588.600,0</w:t>
            </w:r>
          </w:p>
        </w:tc>
        <w:tc>
          <w:tcPr>
            <w:tcW w:w="1559"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20.096.573,6</w:t>
            </w:r>
          </w:p>
        </w:tc>
        <w:tc>
          <w:tcPr>
            <w:tcW w:w="1283"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492.026,4</w:t>
            </w:r>
          </w:p>
        </w:tc>
        <w:tc>
          <w:tcPr>
            <w:tcW w:w="1134"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 </w:t>
            </w:r>
          </w:p>
        </w:tc>
        <w:tc>
          <w:tcPr>
            <w:tcW w:w="1283"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32.426,4</w:t>
            </w:r>
          </w:p>
        </w:tc>
        <w:tc>
          <w:tcPr>
            <w:tcW w:w="11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 </w:t>
            </w:r>
          </w:p>
        </w:tc>
      </w:tr>
      <w:tr w:rsidR="00E67099" w:rsidRPr="00E67099" w:rsidTr="00A36731">
        <w:trPr>
          <w:trHeight w:val="264"/>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Accize</w:t>
            </w:r>
          </w:p>
        </w:tc>
        <w:tc>
          <w:tcPr>
            <w:tcW w:w="7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1142</w:t>
            </w:r>
          </w:p>
        </w:tc>
        <w:tc>
          <w:tcPr>
            <w:tcW w:w="1548"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6.729.493,0</w:t>
            </w:r>
          </w:p>
        </w:tc>
        <w:tc>
          <w:tcPr>
            <w:tcW w:w="1559"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6.294.319,1</w:t>
            </w:r>
          </w:p>
        </w:tc>
        <w:tc>
          <w:tcPr>
            <w:tcW w:w="1559"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6.220.154,7</w:t>
            </w:r>
          </w:p>
        </w:tc>
        <w:tc>
          <w:tcPr>
            <w:tcW w:w="1283"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74.164,4</w:t>
            </w:r>
          </w:p>
        </w:tc>
        <w:tc>
          <w:tcPr>
            <w:tcW w:w="1134"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 </w:t>
            </w:r>
          </w:p>
        </w:tc>
        <w:tc>
          <w:tcPr>
            <w:tcW w:w="1283"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509.338,3</w:t>
            </w:r>
          </w:p>
        </w:tc>
        <w:tc>
          <w:tcPr>
            <w:tcW w:w="11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 </w:t>
            </w:r>
          </w:p>
        </w:tc>
      </w:tr>
      <w:tr w:rsidR="00E67099" w:rsidRPr="00E67099" w:rsidTr="00A36731">
        <w:trPr>
          <w:trHeight w:val="264"/>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Taxe pentru servicii specifice</w:t>
            </w:r>
          </w:p>
        </w:tc>
        <w:tc>
          <w:tcPr>
            <w:tcW w:w="7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1144</w:t>
            </w:r>
          </w:p>
        </w:tc>
        <w:tc>
          <w:tcPr>
            <w:tcW w:w="1548"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10.900,0</w:t>
            </w:r>
          </w:p>
        </w:tc>
        <w:tc>
          <w:tcPr>
            <w:tcW w:w="1559"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10.750,0</w:t>
            </w:r>
          </w:p>
        </w:tc>
        <w:tc>
          <w:tcPr>
            <w:tcW w:w="1559"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7.827,6</w:t>
            </w:r>
          </w:p>
        </w:tc>
        <w:tc>
          <w:tcPr>
            <w:tcW w:w="1283"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2.922,4</w:t>
            </w:r>
          </w:p>
        </w:tc>
        <w:tc>
          <w:tcPr>
            <w:tcW w:w="1134"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 </w:t>
            </w:r>
          </w:p>
        </w:tc>
        <w:tc>
          <w:tcPr>
            <w:tcW w:w="1283"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3.072,4</w:t>
            </w:r>
          </w:p>
        </w:tc>
        <w:tc>
          <w:tcPr>
            <w:tcW w:w="11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 </w:t>
            </w:r>
          </w:p>
        </w:tc>
      </w:tr>
      <w:tr w:rsidR="00E67099" w:rsidRPr="00E67099" w:rsidTr="00A36731">
        <w:trPr>
          <w:trHeight w:val="528"/>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Taxe și plăți pentru utilizarea mărfurilor și pentru practicarea unor genuri de activitate</w:t>
            </w:r>
          </w:p>
        </w:tc>
        <w:tc>
          <w:tcPr>
            <w:tcW w:w="7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1145</w:t>
            </w:r>
          </w:p>
        </w:tc>
        <w:tc>
          <w:tcPr>
            <w:tcW w:w="1548"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391.400,0</w:t>
            </w:r>
          </w:p>
        </w:tc>
        <w:tc>
          <w:tcPr>
            <w:tcW w:w="1559"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388.035,9</w:t>
            </w:r>
          </w:p>
        </w:tc>
        <w:tc>
          <w:tcPr>
            <w:tcW w:w="1559"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397.812,2</w:t>
            </w:r>
          </w:p>
        </w:tc>
        <w:tc>
          <w:tcPr>
            <w:tcW w:w="1283"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-9.776,3</w:t>
            </w:r>
          </w:p>
        </w:tc>
        <w:tc>
          <w:tcPr>
            <w:tcW w:w="1283"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 </w:t>
            </w:r>
          </w:p>
        </w:tc>
        <w:tc>
          <w:tcPr>
            <w:tcW w:w="11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-6.412,2</w:t>
            </w:r>
          </w:p>
        </w:tc>
      </w:tr>
      <w:tr w:rsidR="00E67099" w:rsidRPr="00E67099" w:rsidTr="00A36731">
        <w:trPr>
          <w:trHeight w:val="264"/>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Alte taxe pentru mărfuri și servicii</w:t>
            </w:r>
          </w:p>
        </w:tc>
        <w:tc>
          <w:tcPr>
            <w:tcW w:w="7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1146</w:t>
            </w:r>
          </w:p>
        </w:tc>
        <w:tc>
          <w:tcPr>
            <w:tcW w:w="1548"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920.480,0</w:t>
            </w:r>
          </w:p>
        </w:tc>
        <w:tc>
          <w:tcPr>
            <w:tcW w:w="1559"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935.495,0</w:t>
            </w:r>
          </w:p>
        </w:tc>
        <w:tc>
          <w:tcPr>
            <w:tcW w:w="1559"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985.291,4</w:t>
            </w:r>
          </w:p>
        </w:tc>
        <w:tc>
          <w:tcPr>
            <w:tcW w:w="1283"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-49.796,4</w:t>
            </w:r>
          </w:p>
        </w:tc>
        <w:tc>
          <w:tcPr>
            <w:tcW w:w="1283"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 </w:t>
            </w:r>
          </w:p>
        </w:tc>
        <w:tc>
          <w:tcPr>
            <w:tcW w:w="11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-64.811,4</w:t>
            </w:r>
          </w:p>
        </w:tc>
      </w:tr>
      <w:tr w:rsidR="00E67099" w:rsidRPr="00E67099" w:rsidTr="00A36731">
        <w:trPr>
          <w:trHeight w:val="264"/>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Taxe vamale și alte taxe de import</w:t>
            </w:r>
          </w:p>
        </w:tc>
        <w:tc>
          <w:tcPr>
            <w:tcW w:w="7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1151</w:t>
            </w:r>
          </w:p>
        </w:tc>
        <w:tc>
          <w:tcPr>
            <w:tcW w:w="1548"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1.282.600,0</w:t>
            </w:r>
          </w:p>
        </w:tc>
        <w:tc>
          <w:tcPr>
            <w:tcW w:w="1559"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1.231.900,0</w:t>
            </w:r>
          </w:p>
        </w:tc>
        <w:tc>
          <w:tcPr>
            <w:tcW w:w="1559"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1.197.136,9</w:t>
            </w:r>
          </w:p>
        </w:tc>
        <w:tc>
          <w:tcPr>
            <w:tcW w:w="1283"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34.763,1</w:t>
            </w:r>
          </w:p>
        </w:tc>
        <w:tc>
          <w:tcPr>
            <w:tcW w:w="1134"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 </w:t>
            </w:r>
          </w:p>
        </w:tc>
        <w:tc>
          <w:tcPr>
            <w:tcW w:w="1283"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85.463,1</w:t>
            </w:r>
          </w:p>
        </w:tc>
        <w:tc>
          <w:tcPr>
            <w:tcW w:w="11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 </w:t>
            </w:r>
          </w:p>
        </w:tc>
      </w:tr>
      <w:tr w:rsidR="00E67099" w:rsidRPr="00E67099" w:rsidTr="00A36731">
        <w:trPr>
          <w:trHeight w:val="264"/>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Alte taxe asupra comerțului exterior și operațiunilor externe</w:t>
            </w:r>
          </w:p>
        </w:tc>
        <w:tc>
          <w:tcPr>
            <w:tcW w:w="7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1156</w:t>
            </w:r>
          </w:p>
        </w:tc>
        <w:tc>
          <w:tcPr>
            <w:tcW w:w="1548"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629.100,0</w:t>
            </w:r>
          </w:p>
        </w:tc>
        <w:tc>
          <w:tcPr>
            <w:tcW w:w="1559"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629.800,0</w:t>
            </w:r>
          </w:p>
        </w:tc>
        <w:tc>
          <w:tcPr>
            <w:tcW w:w="1559"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601.224,3</w:t>
            </w:r>
          </w:p>
        </w:tc>
        <w:tc>
          <w:tcPr>
            <w:tcW w:w="1283"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28.575,7</w:t>
            </w:r>
          </w:p>
        </w:tc>
        <w:tc>
          <w:tcPr>
            <w:tcW w:w="1134"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 </w:t>
            </w:r>
          </w:p>
        </w:tc>
        <w:tc>
          <w:tcPr>
            <w:tcW w:w="1283"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27.875,7</w:t>
            </w:r>
          </w:p>
        </w:tc>
        <w:tc>
          <w:tcPr>
            <w:tcW w:w="11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 </w:t>
            </w:r>
          </w:p>
        </w:tc>
      </w:tr>
      <w:tr w:rsidR="00E67099" w:rsidRPr="00E67099" w:rsidTr="00A36731">
        <w:trPr>
          <w:trHeight w:val="264"/>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Granturi curente primite de la guvernele altor state</w:t>
            </w:r>
          </w:p>
        </w:tc>
        <w:tc>
          <w:tcPr>
            <w:tcW w:w="7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1311</w:t>
            </w:r>
          </w:p>
        </w:tc>
        <w:tc>
          <w:tcPr>
            <w:tcW w:w="1548"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46.333,1</w:t>
            </w:r>
          </w:p>
        </w:tc>
        <w:tc>
          <w:tcPr>
            <w:tcW w:w="1559"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40.067,4</w:t>
            </w:r>
          </w:p>
        </w:tc>
        <w:tc>
          <w:tcPr>
            <w:tcW w:w="1559"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25.670,9</w:t>
            </w:r>
          </w:p>
        </w:tc>
        <w:tc>
          <w:tcPr>
            <w:tcW w:w="1283"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14.396,5</w:t>
            </w:r>
          </w:p>
        </w:tc>
        <w:tc>
          <w:tcPr>
            <w:tcW w:w="1134"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 </w:t>
            </w:r>
          </w:p>
        </w:tc>
        <w:tc>
          <w:tcPr>
            <w:tcW w:w="1283"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20.662,2</w:t>
            </w:r>
          </w:p>
        </w:tc>
        <w:tc>
          <w:tcPr>
            <w:tcW w:w="11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 </w:t>
            </w:r>
          </w:p>
        </w:tc>
      </w:tr>
      <w:tr w:rsidR="00E67099" w:rsidRPr="00E67099" w:rsidTr="00A36731">
        <w:trPr>
          <w:trHeight w:val="264"/>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Granturi curente primite de la organizațiile internaționale</w:t>
            </w:r>
          </w:p>
        </w:tc>
        <w:tc>
          <w:tcPr>
            <w:tcW w:w="7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1321</w:t>
            </w:r>
          </w:p>
        </w:tc>
        <w:tc>
          <w:tcPr>
            <w:tcW w:w="1548"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1.562.732,0</w:t>
            </w:r>
          </w:p>
        </w:tc>
        <w:tc>
          <w:tcPr>
            <w:tcW w:w="1559"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1.616.464,8</w:t>
            </w:r>
          </w:p>
        </w:tc>
        <w:tc>
          <w:tcPr>
            <w:tcW w:w="1559"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1.448.378,3</w:t>
            </w:r>
          </w:p>
        </w:tc>
        <w:tc>
          <w:tcPr>
            <w:tcW w:w="1283"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168.086,5</w:t>
            </w:r>
          </w:p>
        </w:tc>
        <w:tc>
          <w:tcPr>
            <w:tcW w:w="1134"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 </w:t>
            </w:r>
          </w:p>
        </w:tc>
        <w:tc>
          <w:tcPr>
            <w:tcW w:w="1283"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114.353,7</w:t>
            </w:r>
          </w:p>
        </w:tc>
        <w:tc>
          <w:tcPr>
            <w:tcW w:w="11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 </w:t>
            </w:r>
          </w:p>
        </w:tc>
      </w:tr>
      <w:tr w:rsidR="00E67099" w:rsidRPr="00E67099" w:rsidTr="00A36731">
        <w:trPr>
          <w:trHeight w:val="264"/>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Granturi capitale primite de la organizațiile internaționale</w:t>
            </w:r>
          </w:p>
        </w:tc>
        <w:tc>
          <w:tcPr>
            <w:tcW w:w="7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1322</w:t>
            </w:r>
          </w:p>
        </w:tc>
        <w:tc>
          <w:tcPr>
            <w:tcW w:w="1548"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351.194,5</w:t>
            </w:r>
          </w:p>
        </w:tc>
        <w:tc>
          <w:tcPr>
            <w:tcW w:w="1559"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137.329,2</w:t>
            </w:r>
          </w:p>
        </w:tc>
        <w:tc>
          <w:tcPr>
            <w:tcW w:w="1559"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66.445,5</w:t>
            </w:r>
          </w:p>
        </w:tc>
        <w:tc>
          <w:tcPr>
            <w:tcW w:w="1283"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70.883,7</w:t>
            </w:r>
          </w:p>
        </w:tc>
        <w:tc>
          <w:tcPr>
            <w:tcW w:w="1134"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 </w:t>
            </w:r>
          </w:p>
        </w:tc>
        <w:tc>
          <w:tcPr>
            <w:tcW w:w="1283"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284.749,0</w:t>
            </w:r>
          </w:p>
        </w:tc>
        <w:tc>
          <w:tcPr>
            <w:tcW w:w="11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 </w:t>
            </w:r>
          </w:p>
        </w:tc>
      </w:tr>
      <w:tr w:rsidR="00E67099" w:rsidRPr="00E67099" w:rsidTr="00A36731">
        <w:trPr>
          <w:trHeight w:val="264"/>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Dobânzi încasate</w:t>
            </w:r>
          </w:p>
        </w:tc>
        <w:tc>
          <w:tcPr>
            <w:tcW w:w="7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1411</w:t>
            </w:r>
          </w:p>
        </w:tc>
        <w:tc>
          <w:tcPr>
            <w:tcW w:w="1548"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295.702,4</w:t>
            </w:r>
          </w:p>
        </w:tc>
        <w:tc>
          <w:tcPr>
            <w:tcW w:w="1559"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150.550,7</w:t>
            </w:r>
          </w:p>
        </w:tc>
        <w:tc>
          <w:tcPr>
            <w:tcW w:w="1559"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171.802,6</w:t>
            </w:r>
          </w:p>
        </w:tc>
        <w:tc>
          <w:tcPr>
            <w:tcW w:w="1283"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-21.251,9</w:t>
            </w:r>
          </w:p>
        </w:tc>
        <w:tc>
          <w:tcPr>
            <w:tcW w:w="1283"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123.899,8</w:t>
            </w:r>
          </w:p>
        </w:tc>
        <w:tc>
          <w:tcPr>
            <w:tcW w:w="11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 </w:t>
            </w:r>
          </w:p>
        </w:tc>
      </w:tr>
      <w:tr w:rsidR="00E67099" w:rsidRPr="00E67099" w:rsidTr="00A36731">
        <w:trPr>
          <w:trHeight w:val="264"/>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Dividende primite</w:t>
            </w:r>
          </w:p>
        </w:tc>
        <w:tc>
          <w:tcPr>
            <w:tcW w:w="7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1412</w:t>
            </w:r>
          </w:p>
        </w:tc>
        <w:tc>
          <w:tcPr>
            <w:tcW w:w="1548"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89.500,0</w:t>
            </w:r>
          </w:p>
        </w:tc>
        <w:tc>
          <w:tcPr>
            <w:tcW w:w="1559"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131.270,0</w:t>
            </w:r>
          </w:p>
        </w:tc>
        <w:tc>
          <w:tcPr>
            <w:tcW w:w="1559"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137.511,5</w:t>
            </w:r>
          </w:p>
        </w:tc>
        <w:tc>
          <w:tcPr>
            <w:tcW w:w="1283"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-6.241,5</w:t>
            </w:r>
          </w:p>
        </w:tc>
        <w:tc>
          <w:tcPr>
            <w:tcW w:w="1283"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 </w:t>
            </w:r>
          </w:p>
        </w:tc>
        <w:tc>
          <w:tcPr>
            <w:tcW w:w="11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-48.011,5</w:t>
            </w:r>
          </w:p>
        </w:tc>
      </w:tr>
      <w:tr w:rsidR="00E67099" w:rsidRPr="00E67099" w:rsidTr="00A36731">
        <w:trPr>
          <w:trHeight w:val="264"/>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Renta</w:t>
            </w:r>
          </w:p>
        </w:tc>
        <w:tc>
          <w:tcPr>
            <w:tcW w:w="7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1415</w:t>
            </w:r>
          </w:p>
        </w:tc>
        <w:tc>
          <w:tcPr>
            <w:tcW w:w="1548"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2.868,0</w:t>
            </w:r>
          </w:p>
        </w:tc>
        <w:tc>
          <w:tcPr>
            <w:tcW w:w="1559"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3.367,6</w:t>
            </w:r>
          </w:p>
        </w:tc>
        <w:tc>
          <w:tcPr>
            <w:tcW w:w="1559"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2.979,4</w:t>
            </w:r>
          </w:p>
        </w:tc>
        <w:tc>
          <w:tcPr>
            <w:tcW w:w="1283"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388,2</w:t>
            </w:r>
          </w:p>
        </w:tc>
        <w:tc>
          <w:tcPr>
            <w:tcW w:w="1134"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 </w:t>
            </w:r>
          </w:p>
        </w:tc>
        <w:tc>
          <w:tcPr>
            <w:tcW w:w="1283"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 </w:t>
            </w:r>
          </w:p>
        </w:tc>
        <w:tc>
          <w:tcPr>
            <w:tcW w:w="11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-111,4</w:t>
            </w:r>
          </w:p>
        </w:tc>
      </w:tr>
      <w:tr w:rsidR="00E67099" w:rsidRPr="00E67099" w:rsidTr="00A36731">
        <w:trPr>
          <w:trHeight w:val="264"/>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Taxe și plăți administrative</w:t>
            </w:r>
          </w:p>
        </w:tc>
        <w:tc>
          <w:tcPr>
            <w:tcW w:w="7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1422</w:t>
            </w:r>
          </w:p>
        </w:tc>
        <w:tc>
          <w:tcPr>
            <w:tcW w:w="1548"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695.708,9</w:t>
            </w:r>
          </w:p>
        </w:tc>
        <w:tc>
          <w:tcPr>
            <w:tcW w:w="1559"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298.558,9</w:t>
            </w:r>
          </w:p>
        </w:tc>
        <w:tc>
          <w:tcPr>
            <w:tcW w:w="1559"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347.998,7</w:t>
            </w:r>
          </w:p>
        </w:tc>
        <w:tc>
          <w:tcPr>
            <w:tcW w:w="1283"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-49.439,8</w:t>
            </w:r>
          </w:p>
        </w:tc>
        <w:tc>
          <w:tcPr>
            <w:tcW w:w="1283"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347.710,2</w:t>
            </w:r>
          </w:p>
        </w:tc>
        <w:tc>
          <w:tcPr>
            <w:tcW w:w="11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 </w:t>
            </w:r>
          </w:p>
        </w:tc>
      </w:tr>
      <w:tr w:rsidR="00E67099" w:rsidRPr="00E67099" w:rsidTr="00A36731">
        <w:trPr>
          <w:trHeight w:val="528"/>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Comercializarea mărfurilor și serviciilor de către instituțiile bugetare</w:t>
            </w:r>
          </w:p>
        </w:tc>
        <w:tc>
          <w:tcPr>
            <w:tcW w:w="7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1423</w:t>
            </w:r>
          </w:p>
        </w:tc>
        <w:tc>
          <w:tcPr>
            <w:tcW w:w="1548"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1.174.474,0</w:t>
            </w:r>
          </w:p>
        </w:tc>
        <w:tc>
          <w:tcPr>
            <w:tcW w:w="1559"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700.667,7</w:t>
            </w:r>
          </w:p>
        </w:tc>
        <w:tc>
          <w:tcPr>
            <w:tcW w:w="1559"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835.538,0</w:t>
            </w:r>
          </w:p>
        </w:tc>
        <w:tc>
          <w:tcPr>
            <w:tcW w:w="1283"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-134.870,3</w:t>
            </w:r>
          </w:p>
        </w:tc>
        <w:tc>
          <w:tcPr>
            <w:tcW w:w="1283"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338.936,0</w:t>
            </w:r>
          </w:p>
        </w:tc>
        <w:tc>
          <w:tcPr>
            <w:tcW w:w="11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 </w:t>
            </w:r>
          </w:p>
        </w:tc>
      </w:tr>
      <w:tr w:rsidR="00E67099" w:rsidRPr="00E67099" w:rsidTr="00A36731">
        <w:trPr>
          <w:trHeight w:val="264"/>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Amenzi și sancțiuni contravenționale</w:t>
            </w:r>
          </w:p>
        </w:tc>
        <w:tc>
          <w:tcPr>
            <w:tcW w:w="7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1431</w:t>
            </w:r>
          </w:p>
        </w:tc>
        <w:tc>
          <w:tcPr>
            <w:tcW w:w="1548"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42.000,0</w:t>
            </w:r>
          </w:p>
        </w:tc>
        <w:tc>
          <w:tcPr>
            <w:tcW w:w="1559"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76.400,0</w:t>
            </w:r>
          </w:p>
        </w:tc>
        <w:tc>
          <w:tcPr>
            <w:tcW w:w="1559"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80.738,6</w:t>
            </w:r>
          </w:p>
        </w:tc>
        <w:tc>
          <w:tcPr>
            <w:tcW w:w="1283"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-4.338,6</w:t>
            </w:r>
          </w:p>
        </w:tc>
        <w:tc>
          <w:tcPr>
            <w:tcW w:w="1283"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 </w:t>
            </w:r>
          </w:p>
        </w:tc>
        <w:tc>
          <w:tcPr>
            <w:tcW w:w="11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-38.738,6</w:t>
            </w:r>
          </w:p>
        </w:tc>
      </w:tr>
      <w:tr w:rsidR="00E67099" w:rsidRPr="00E67099" w:rsidTr="00A36731">
        <w:trPr>
          <w:trHeight w:val="264"/>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Amenzi pentru încălcarea traficului rutier</w:t>
            </w:r>
          </w:p>
        </w:tc>
        <w:tc>
          <w:tcPr>
            <w:tcW w:w="7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1432</w:t>
            </w:r>
          </w:p>
        </w:tc>
        <w:tc>
          <w:tcPr>
            <w:tcW w:w="1548"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124.650,0</w:t>
            </w:r>
          </w:p>
        </w:tc>
        <w:tc>
          <w:tcPr>
            <w:tcW w:w="1559"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94.600,0</w:t>
            </w:r>
          </w:p>
        </w:tc>
        <w:tc>
          <w:tcPr>
            <w:tcW w:w="1559"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74.840,7</w:t>
            </w:r>
          </w:p>
        </w:tc>
        <w:tc>
          <w:tcPr>
            <w:tcW w:w="1283"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19.759,3</w:t>
            </w:r>
          </w:p>
        </w:tc>
        <w:tc>
          <w:tcPr>
            <w:tcW w:w="1134"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 </w:t>
            </w:r>
          </w:p>
        </w:tc>
        <w:tc>
          <w:tcPr>
            <w:tcW w:w="1283"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49.809,3</w:t>
            </w:r>
          </w:p>
        </w:tc>
        <w:tc>
          <w:tcPr>
            <w:tcW w:w="11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 </w:t>
            </w:r>
          </w:p>
        </w:tc>
      </w:tr>
      <w:tr w:rsidR="00E67099" w:rsidRPr="00E67099" w:rsidTr="00A36731">
        <w:trPr>
          <w:trHeight w:val="264"/>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Amenzi aplicate de organele de control</w:t>
            </w:r>
          </w:p>
        </w:tc>
        <w:tc>
          <w:tcPr>
            <w:tcW w:w="7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1433</w:t>
            </w:r>
          </w:p>
        </w:tc>
        <w:tc>
          <w:tcPr>
            <w:tcW w:w="1548"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235.264,3</w:t>
            </w:r>
          </w:p>
        </w:tc>
        <w:tc>
          <w:tcPr>
            <w:tcW w:w="1559"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151.028,3</w:t>
            </w:r>
          </w:p>
        </w:tc>
        <w:tc>
          <w:tcPr>
            <w:tcW w:w="1559"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144.124,7</w:t>
            </w:r>
          </w:p>
        </w:tc>
        <w:tc>
          <w:tcPr>
            <w:tcW w:w="1283"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6.903,6</w:t>
            </w:r>
          </w:p>
        </w:tc>
        <w:tc>
          <w:tcPr>
            <w:tcW w:w="1134"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 </w:t>
            </w:r>
          </w:p>
        </w:tc>
        <w:tc>
          <w:tcPr>
            <w:tcW w:w="1283"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91.139,6</w:t>
            </w:r>
          </w:p>
        </w:tc>
        <w:tc>
          <w:tcPr>
            <w:tcW w:w="11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 </w:t>
            </w:r>
          </w:p>
        </w:tc>
      </w:tr>
      <w:tr w:rsidR="00E67099" w:rsidRPr="00E67099" w:rsidTr="00A36731">
        <w:trPr>
          <w:trHeight w:val="264"/>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Amenzi aplicate de alte organe de stat</w:t>
            </w:r>
          </w:p>
        </w:tc>
        <w:tc>
          <w:tcPr>
            <w:tcW w:w="7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1434</w:t>
            </w:r>
          </w:p>
        </w:tc>
        <w:tc>
          <w:tcPr>
            <w:tcW w:w="1548"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61.850,0</w:t>
            </w:r>
          </w:p>
        </w:tc>
        <w:tc>
          <w:tcPr>
            <w:tcW w:w="1559"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64.520,0</w:t>
            </w:r>
          </w:p>
        </w:tc>
        <w:tc>
          <w:tcPr>
            <w:tcW w:w="1559"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65.635,4</w:t>
            </w:r>
          </w:p>
        </w:tc>
        <w:tc>
          <w:tcPr>
            <w:tcW w:w="1283"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-1.115,4</w:t>
            </w:r>
          </w:p>
        </w:tc>
        <w:tc>
          <w:tcPr>
            <w:tcW w:w="1283"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 </w:t>
            </w:r>
          </w:p>
        </w:tc>
        <w:tc>
          <w:tcPr>
            <w:tcW w:w="11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-3.785,4</w:t>
            </w:r>
          </w:p>
        </w:tc>
      </w:tr>
      <w:tr w:rsidR="00E67099" w:rsidRPr="00E67099" w:rsidTr="00A36731">
        <w:trPr>
          <w:trHeight w:val="264"/>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Donații voluntare pentru cheltuieli curente</w:t>
            </w:r>
          </w:p>
        </w:tc>
        <w:tc>
          <w:tcPr>
            <w:tcW w:w="7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1441</w:t>
            </w:r>
          </w:p>
        </w:tc>
        <w:tc>
          <w:tcPr>
            <w:tcW w:w="1548"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11.343,9</w:t>
            </w:r>
          </w:p>
        </w:tc>
        <w:tc>
          <w:tcPr>
            <w:tcW w:w="1559"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24.223,0</w:t>
            </w:r>
          </w:p>
        </w:tc>
        <w:tc>
          <w:tcPr>
            <w:tcW w:w="1559"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22.251,2</w:t>
            </w:r>
          </w:p>
        </w:tc>
        <w:tc>
          <w:tcPr>
            <w:tcW w:w="1283"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1.971,8</w:t>
            </w:r>
          </w:p>
        </w:tc>
        <w:tc>
          <w:tcPr>
            <w:tcW w:w="1134"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 </w:t>
            </w:r>
          </w:p>
        </w:tc>
        <w:tc>
          <w:tcPr>
            <w:tcW w:w="1283"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 </w:t>
            </w:r>
          </w:p>
        </w:tc>
        <w:tc>
          <w:tcPr>
            <w:tcW w:w="11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-10.907,3</w:t>
            </w:r>
          </w:p>
        </w:tc>
      </w:tr>
      <w:tr w:rsidR="00E67099" w:rsidRPr="00E67099" w:rsidTr="00A36731">
        <w:trPr>
          <w:trHeight w:val="264"/>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Alte venituri</w:t>
            </w:r>
          </w:p>
        </w:tc>
        <w:tc>
          <w:tcPr>
            <w:tcW w:w="7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1451</w:t>
            </w:r>
          </w:p>
        </w:tc>
        <w:tc>
          <w:tcPr>
            <w:tcW w:w="1548"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71.553,7</w:t>
            </w:r>
          </w:p>
        </w:tc>
        <w:tc>
          <w:tcPr>
            <w:tcW w:w="1559"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89.081,2</w:t>
            </w:r>
          </w:p>
        </w:tc>
        <w:tc>
          <w:tcPr>
            <w:tcW w:w="1559"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103.350,2</w:t>
            </w:r>
          </w:p>
        </w:tc>
        <w:tc>
          <w:tcPr>
            <w:tcW w:w="1283"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-14.269,0</w:t>
            </w:r>
          </w:p>
        </w:tc>
        <w:tc>
          <w:tcPr>
            <w:tcW w:w="1283"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 </w:t>
            </w:r>
          </w:p>
        </w:tc>
        <w:tc>
          <w:tcPr>
            <w:tcW w:w="11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-31.796,5</w:t>
            </w:r>
          </w:p>
        </w:tc>
      </w:tr>
      <w:tr w:rsidR="00E67099" w:rsidRPr="00E67099" w:rsidTr="00A36731">
        <w:trPr>
          <w:trHeight w:val="528"/>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Transferuri primite între instituțiile bugetului de stat și instituțiile bugetelor locale de nivelul II</w:t>
            </w:r>
          </w:p>
        </w:tc>
        <w:tc>
          <w:tcPr>
            <w:tcW w:w="7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1913</w:t>
            </w:r>
          </w:p>
        </w:tc>
        <w:tc>
          <w:tcPr>
            <w:tcW w:w="1548"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4.000,0</w:t>
            </w:r>
          </w:p>
        </w:tc>
        <w:tc>
          <w:tcPr>
            <w:tcW w:w="1559"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22.311,8</w:t>
            </w:r>
          </w:p>
        </w:tc>
        <w:tc>
          <w:tcPr>
            <w:tcW w:w="1559"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15.113,5</w:t>
            </w:r>
          </w:p>
        </w:tc>
        <w:tc>
          <w:tcPr>
            <w:tcW w:w="1283"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7.198,3</w:t>
            </w:r>
          </w:p>
        </w:tc>
        <w:tc>
          <w:tcPr>
            <w:tcW w:w="1134"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 </w:t>
            </w:r>
          </w:p>
        </w:tc>
        <w:tc>
          <w:tcPr>
            <w:tcW w:w="1283"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 </w:t>
            </w:r>
          </w:p>
        </w:tc>
        <w:tc>
          <w:tcPr>
            <w:tcW w:w="11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-11.113,5</w:t>
            </w:r>
          </w:p>
        </w:tc>
      </w:tr>
      <w:tr w:rsidR="00E67099" w:rsidRPr="00E67099" w:rsidTr="00A36731">
        <w:trPr>
          <w:trHeight w:val="528"/>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Transferuri primite între instituțiile bugetului de stat și instituțiile bugetelor locale de nivelul I</w:t>
            </w:r>
          </w:p>
        </w:tc>
        <w:tc>
          <w:tcPr>
            <w:tcW w:w="7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1914</w:t>
            </w:r>
          </w:p>
        </w:tc>
        <w:tc>
          <w:tcPr>
            <w:tcW w:w="1548"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18.952,2</w:t>
            </w:r>
          </w:p>
        </w:tc>
        <w:tc>
          <w:tcPr>
            <w:tcW w:w="1559"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12.385,9</w:t>
            </w:r>
          </w:p>
        </w:tc>
        <w:tc>
          <w:tcPr>
            <w:tcW w:w="1559"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8.390,2</w:t>
            </w:r>
          </w:p>
        </w:tc>
        <w:tc>
          <w:tcPr>
            <w:tcW w:w="1283"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3.995,7</w:t>
            </w:r>
          </w:p>
        </w:tc>
        <w:tc>
          <w:tcPr>
            <w:tcW w:w="1134"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 </w:t>
            </w:r>
          </w:p>
        </w:tc>
        <w:tc>
          <w:tcPr>
            <w:tcW w:w="1283"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10.562,0</w:t>
            </w:r>
          </w:p>
        </w:tc>
        <w:tc>
          <w:tcPr>
            <w:tcW w:w="11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 </w:t>
            </w:r>
          </w:p>
        </w:tc>
      </w:tr>
      <w:tr w:rsidR="00E67099" w:rsidRPr="00E67099" w:rsidTr="00A36731">
        <w:trPr>
          <w:trHeight w:val="264"/>
        </w:trPr>
        <w:tc>
          <w:tcPr>
            <w:tcW w:w="3256" w:type="dxa"/>
            <w:tcBorders>
              <w:top w:val="nil"/>
              <w:left w:val="single" w:sz="4" w:space="0" w:color="auto"/>
              <w:bottom w:val="single" w:sz="4" w:space="0" w:color="auto"/>
              <w:right w:val="single" w:sz="4" w:space="0" w:color="auto"/>
            </w:tcBorders>
            <w:shd w:val="clear" w:color="000000" w:fill="F2F2F2"/>
            <w:vAlign w:val="bottom"/>
            <w:hideMark/>
          </w:tcPr>
          <w:p w:rsidR="00E67099" w:rsidRPr="00E67099" w:rsidRDefault="00E67099" w:rsidP="00E67099">
            <w:pPr>
              <w:spacing w:after="0" w:line="240" w:lineRule="auto"/>
              <w:rPr>
                <w:rFonts w:asciiTheme="majorHAnsi" w:eastAsia="Times New Roman" w:hAnsiTheme="majorHAnsi" w:cstheme="majorHAnsi"/>
                <w:b/>
                <w:bCs/>
                <w:sz w:val="20"/>
                <w:szCs w:val="20"/>
                <w:lang w:val="ro-MD"/>
              </w:rPr>
            </w:pPr>
            <w:r w:rsidRPr="00E67099">
              <w:rPr>
                <w:rFonts w:asciiTheme="majorHAnsi" w:eastAsia="Times New Roman" w:hAnsiTheme="majorHAnsi" w:cstheme="majorHAnsi"/>
                <w:b/>
                <w:bCs/>
                <w:sz w:val="20"/>
                <w:szCs w:val="20"/>
                <w:lang w:val="ro-MD"/>
              </w:rPr>
              <w:t xml:space="preserve">Total </w:t>
            </w:r>
          </w:p>
        </w:tc>
        <w:tc>
          <w:tcPr>
            <w:tcW w:w="720" w:type="dxa"/>
            <w:tcBorders>
              <w:top w:val="nil"/>
              <w:left w:val="nil"/>
              <w:bottom w:val="single" w:sz="4" w:space="0" w:color="auto"/>
              <w:right w:val="single" w:sz="4" w:space="0" w:color="auto"/>
            </w:tcBorders>
            <w:shd w:val="clear" w:color="000000" w:fill="F2F2F2"/>
            <w:noWrap/>
            <w:vAlign w:val="bottom"/>
            <w:hideMark/>
          </w:tcPr>
          <w:p w:rsidR="00E67099" w:rsidRPr="00E67099" w:rsidRDefault="00E67099" w:rsidP="00E67099">
            <w:pPr>
              <w:spacing w:after="0" w:line="240" w:lineRule="auto"/>
              <w:rPr>
                <w:rFonts w:asciiTheme="majorHAnsi" w:eastAsia="Times New Roman" w:hAnsiTheme="majorHAnsi" w:cstheme="majorHAnsi"/>
                <w:b/>
                <w:bCs/>
                <w:sz w:val="20"/>
                <w:szCs w:val="20"/>
                <w:lang w:val="ro-MD"/>
              </w:rPr>
            </w:pPr>
            <w:r w:rsidRPr="00E67099">
              <w:rPr>
                <w:rFonts w:asciiTheme="majorHAnsi" w:eastAsia="Times New Roman" w:hAnsiTheme="majorHAnsi" w:cstheme="majorHAnsi"/>
                <w:b/>
                <w:bCs/>
                <w:sz w:val="20"/>
                <w:szCs w:val="20"/>
                <w:lang w:val="ro-MD"/>
              </w:rPr>
              <w:t> </w:t>
            </w:r>
          </w:p>
        </w:tc>
        <w:tc>
          <w:tcPr>
            <w:tcW w:w="1548" w:type="dxa"/>
            <w:tcBorders>
              <w:top w:val="nil"/>
              <w:left w:val="nil"/>
              <w:bottom w:val="single" w:sz="4" w:space="0" w:color="auto"/>
              <w:right w:val="single" w:sz="4" w:space="0" w:color="auto"/>
            </w:tcBorders>
            <w:shd w:val="clear" w:color="000000" w:fill="F2F2F2"/>
            <w:noWrap/>
            <w:vAlign w:val="bottom"/>
            <w:hideMark/>
          </w:tcPr>
          <w:p w:rsidR="00E67099" w:rsidRPr="00E67099" w:rsidRDefault="00E67099" w:rsidP="00E67099">
            <w:pPr>
              <w:spacing w:after="0" w:line="240" w:lineRule="auto"/>
              <w:jc w:val="right"/>
              <w:rPr>
                <w:rFonts w:asciiTheme="majorHAnsi" w:eastAsia="Times New Roman" w:hAnsiTheme="majorHAnsi" w:cstheme="majorHAnsi"/>
                <w:b/>
                <w:bCs/>
                <w:sz w:val="20"/>
                <w:szCs w:val="20"/>
                <w:lang w:val="ro-MD"/>
              </w:rPr>
            </w:pPr>
            <w:r w:rsidRPr="00E67099">
              <w:rPr>
                <w:rFonts w:asciiTheme="majorHAnsi" w:eastAsia="Times New Roman" w:hAnsiTheme="majorHAnsi" w:cstheme="majorHAnsi"/>
                <w:b/>
                <w:bCs/>
                <w:sz w:val="20"/>
                <w:szCs w:val="20"/>
                <w:lang w:val="ro-MD"/>
              </w:rPr>
              <w:t>42.125.500,0</w:t>
            </w:r>
          </w:p>
        </w:tc>
        <w:tc>
          <w:tcPr>
            <w:tcW w:w="1559" w:type="dxa"/>
            <w:tcBorders>
              <w:top w:val="nil"/>
              <w:left w:val="nil"/>
              <w:bottom w:val="single" w:sz="4" w:space="0" w:color="auto"/>
              <w:right w:val="single" w:sz="4" w:space="0" w:color="auto"/>
            </w:tcBorders>
            <w:shd w:val="clear" w:color="000000" w:fill="F2F2F2"/>
            <w:noWrap/>
            <w:vAlign w:val="bottom"/>
            <w:hideMark/>
          </w:tcPr>
          <w:p w:rsidR="00E67099" w:rsidRPr="00E67099" w:rsidRDefault="00E67099" w:rsidP="00E67099">
            <w:pPr>
              <w:spacing w:after="0" w:line="240" w:lineRule="auto"/>
              <w:jc w:val="right"/>
              <w:rPr>
                <w:rFonts w:asciiTheme="majorHAnsi" w:eastAsia="Times New Roman" w:hAnsiTheme="majorHAnsi" w:cstheme="majorHAnsi"/>
                <w:b/>
                <w:bCs/>
                <w:sz w:val="20"/>
                <w:szCs w:val="20"/>
                <w:lang w:val="ro-MD"/>
              </w:rPr>
            </w:pPr>
            <w:r w:rsidRPr="00E67099">
              <w:rPr>
                <w:rFonts w:asciiTheme="majorHAnsi" w:eastAsia="Times New Roman" w:hAnsiTheme="majorHAnsi" w:cstheme="majorHAnsi"/>
                <w:b/>
                <w:bCs/>
                <w:sz w:val="20"/>
                <w:szCs w:val="20"/>
                <w:lang w:val="ro-MD"/>
              </w:rPr>
              <w:t>40.642.926,5</w:t>
            </w:r>
          </w:p>
        </w:tc>
        <w:tc>
          <w:tcPr>
            <w:tcW w:w="1559" w:type="dxa"/>
            <w:tcBorders>
              <w:top w:val="nil"/>
              <w:left w:val="nil"/>
              <w:bottom w:val="single" w:sz="4" w:space="0" w:color="auto"/>
              <w:right w:val="single" w:sz="4" w:space="0" w:color="auto"/>
            </w:tcBorders>
            <w:shd w:val="clear" w:color="000000" w:fill="F2F2F2"/>
            <w:noWrap/>
            <w:vAlign w:val="bottom"/>
            <w:hideMark/>
          </w:tcPr>
          <w:p w:rsidR="00E67099" w:rsidRPr="00E67099" w:rsidRDefault="00E67099" w:rsidP="00E67099">
            <w:pPr>
              <w:spacing w:after="0" w:line="240" w:lineRule="auto"/>
              <w:jc w:val="right"/>
              <w:rPr>
                <w:rFonts w:asciiTheme="majorHAnsi" w:eastAsia="Times New Roman" w:hAnsiTheme="majorHAnsi" w:cstheme="majorHAnsi"/>
                <w:b/>
                <w:bCs/>
                <w:sz w:val="20"/>
                <w:szCs w:val="20"/>
                <w:lang w:val="ro-MD"/>
              </w:rPr>
            </w:pPr>
            <w:r w:rsidRPr="00E67099">
              <w:rPr>
                <w:rFonts w:asciiTheme="majorHAnsi" w:eastAsia="Times New Roman" w:hAnsiTheme="majorHAnsi" w:cstheme="majorHAnsi"/>
                <w:b/>
                <w:bCs/>
                <w:sz w:val="20"/>
                <w:szCs w:val="20"/>
                <w:lang w:val="ro-MD"/>
              </w:rPr>
              <w:t>39.967.954,1</w:t>
            </w:r>
          </w:p>
        </w:tc>
        <w:tc>
          <w:tcPr>
            <w:tcW w:w="1283" w:type="dxa"/>
            <w:tcBorders>
              <w:top w:val="nil"/>
              <w:left w:val="nil"/>
              <w:bottom w:val="single" w:sz="4" w:space="0" w:color="auto"/>
              <w:right w:val="single" w:sz="4" w:space="0" w:color="auto"/>
            </w:tcBorders>
            <w:shd w:val="clear" w:color="000000" w:fill="F2F2F2"/>
            <w:noWrap/>
            <w:vAlign w:val="bottom"/>
            <w:hideMark/>
          </w:tcPr>
          <w:p w:rsidR="00E67099" w:rsidRPr="00E67099" w:rsidRDefault="00E67099" w:rsidP="00E67099">
            <w:pPr>
              <w:spacing w:after="0" w:line="240" w:lineRule="auto"/>
              <w:jc w:val="right"/>
              <w:rPr>
                <w:rFonts w:asciiTheme="majorHAnsi" w:eastAsia="Times New Roman" w:hAnsiTheme="majorHAnsi" w:cstheme="majorHAnsi"/>
                <w:b/>
                <w:bCs/>
                <w:sz w:val="20"/>
                <w:szCs w:val="20"/>
                <w:lang w:val="ro-MD"/>
              </w:rPr>
            </w:pPr>
            <w:r w:rsidRPr="00E67099">
              <w:rPr>
                <w:rFonts w:asciiTheme="majorHAnsi" w:eastAsia="Times New Roman" w:hAnsiTheme="majorHAnsi" w:cstheme="majorHAnsi"/>
                <w:b/>
                <w:bCs/>
                <w:sz w:val="20"/>
                <w:szCs w:val="20"/>
                <w:lang w:val="ro-MD"/>
              </w:rPr>
              <w:t>972.927,2</w:t>
            </w:r>
          </w:p>
        </w:tc>
        <w:tc>
          <w:tcPr>
            <w:tcW w:w="1134" w:type="dxa"/>
            <w:tcBorders>
              <w:top w:val="nil"/>
              <w:left w:val="nil"/>
              <w:bottom w:val="single" w:sz="4" w:space="0" w:color="auto"/>
              <w:right w:val="single" w:sz="4" w:space="0" w:color="auto"/>
            </w:tcBorders>
            <w:shd w:val="clear" w:color="000000" w:fill="F2F2F2"/>
            <w:noWrap/>
            <w:vAlign w:val="bottom"/>
            <w:hideMark/>
          </w:tcPr>
          <w:p w:rsidR="00E67099" w:rsidRPr="00E67099" w:rsidRDefault="00E67099" w:rsidP="00E67099">
            <w:pPr>
              <w:spacing w:after="0" w:line="240" w:lineRule="auto"/>
              <w:jc w:val="right"/>
              <w:rPr>
                <w:rFonts w:asciiTheme="majorHAnsi" w:eastAsia="Times New Roman" w:hAnsiTheme="majorHAnsi" w:cstheme="majorHAnsi"/>
                <w:b/>
                <w:bCs/>
                <w:sz w:val="20"/>
                <w:szCs w:val="20"/>
                <w:lang w:val="ro-MD"/>
              </w:rPr>
            </w:pPr>
            <w:r w:rsidRPr="00E67099">
              <w:rPr>
                <w:rFonts w:asciiTheme="majorHAnsi" w:eastAsia="Times New Roman" w:hAnsiTheme="majorHAnsi" w:cstheme="majorHAnsi"/>
                <w:b/>
                <w:bCs/>
                <w:sz w:val="20"/>
                <w:szCs w:val="20"/>
                <w:lang w:val="ro-MD"/>
              </w:rPr>
              <w:t>-297.954,8</w:t>
            </w:r>
          </w:p>
        </w:tc>
        <w:tc>
          <w:tcPr>
            <w:tcW w:w="1283" w:type="dxa"/>
            <w:tcBorders>
              <w:top w:val="nil"/>
              <w:left w:val="nil"/>
              <w:bottom w:val="single" w:sz="4" w:space="0" w:color="auto"/>
              <w:right w:val="single" w:sz="4" w:space="0" w:color="auto"/>
            </w:tcBorders>
            <w:shd w:val="clear" w:color="000000" w:fill="F2F2F2"/>
            <w:noWrap/>
            <w:vAlign w:val="bottom"/>
            <w:hideMark/>
          </w:tcPr>
          <w:p w:rsidR="00E67099" w:rsidRPr="00E67099" w:rsidRDefault="00E67099" w:rsidP="00E67099">
            <w:pPr>
              <w:spacing w:after="0" w:line="240" w:lineRule="auto"/>
              <w:jc w:val="right"/>
              <w:rPr>
                <w:rFonts w:asciiTheme="majorHAnsi" w:eastAsia="Times New Roman" w:hAnsiTheme="majorHAnsi" w:cstheme="majorHAnsi"/>
                <w:b/>
                <w:bCs/>
                <w:sz w:val="20"/>
                <w:szCs w:val="20"/>
                <w:lang w:val="ro-MD"/>
              </w:rPr>
            </w:pPr>
            <w:r w:rsidRPr="00E67099">
              <w:rPr>
                <w:rFonts w:asciiTheme="majorHAnsi" w:eastAsia="Times New Roman" w:hAnsiTheme="majorHAnsi" w:cstheme="majorHAnsi"/>
                <w:b/>
                <w:bCs/>
                <w:sz w:val="20"/>
                <w:szCs w:val="20"/>
                <w:lang w:val="ro-MD"/>
              </w:rPr>
              <w:t>2.519.219,6</w:t>
            </w:r>
          </w:p>
        </w:tc>
        <w:tc>
          <w:tcPr>
            <w:tcW w:w="1120" w:type="dxa"/>
            <w:tcBorders>
              <w:top w:val="nil"/>
              <w:left w:val="nil"/>
              <w:bottom w:val="single" w:sz="4" w:space="0" w:color="auto"/>
              <w:right w:val="single" w:sz="4" w:space="0" w:color="auto"/>
            </w:tcBorders>
            <w:shd w:val="clear" w:color="000000" w:fill="F2F2F2"/>
            <w:noWrap/>
            <w:vAlign w:val="bottom"/>
            <w:hideMark/>
          </w:tcPr>
          <w:p w:rsidR="00E67099" w:rsidRPr="00E67099" w:rsidRDefault="00E67099" w:rsidP="00E67099">
            <w:pPr>
              <w:spacing w:after="0" w:line="240" w:lineRule="auto"/>
              <w:jc w:val="right"/>
              <w:rPr>
                <w:rFonts w:asciiTheme="majorHAnsi" w:eastAsia="Times New Roman" w:hAnsiTheme="majorHAnsi" w:cstheme="majorHAnsi"/>
                <w:b/>
                <w:bCs/>
                <w:sz w:val="20"/>
                <w:szCs w:val="20"/>
                <w:lang w:val="ro-MD"/>
              </w:rPr>
            </w:pPr>
            <w:r w:rsidRPr="00E67099">
              <w:rPr>
                <w:rFonts w:asciiTheme="majorHAnsi" w:eastAsia="Times New Roman" w:hAnsiTheme="majorHAnsi" w:cstheme="majorHAnsi"/>
                <w:b/>
                <w:bCs/>
                <w:sz w:val="20"/>
                <w:szCs w:val="20"/>
                <w:lang w:val="ro-MD"/>
              </w:rPr>
              <w:t>-361.673,7</w:t>
            </w:r>
          </w:p>
        </w:tc>
      </w:tr>
      <w:tr w:rsidR="00E67099" w:rsidRPr="00E67099" w:rsidTr="00A36731">
        <w:trPr>
          <w:trHeight w:val="264"/>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Cheltuieli de personal</w:t>
            </w:r>
          </w:p>
        </w:tc>
        <w:tc>
          <w:tcPr>
            <w:tcW w:w="7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21</w:t>
            </w:r>
          </w:p>
        </w:tc>
        <w:tc>
          <w:tcPr>
            <w:tcW w:w="1548"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7.226.722,8</w:t>
            </w:r>
          </w:p>
        </w:tc>
        <w:tc>
          <w:tcPr>
            <w:tcW w:w="1559"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6.781.412,5</w:t>
            </w:r>
          </w:p>
        </w:tc>
        <w:tc>
          <w:tcPr>
            <w:tcW w:w="1559"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6.465.290,6</w:t>
            </w:r>
          </w:p>
        </w:tc>
        <w:tc>
          <w:tcPr>
            <w:tcW w:w="1283"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316.121,9</w:t>
            </w:r>
          </w:p>
        </w:tc>
        <w:tc>
          <w:tcPr>
            <w:tcW w:w="1134"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 </w:t>
            </w:r>
          </w:p>
        </w:tc>
        <w:tc>
          <w:tcPr>
            <w:tcW w:w="1283"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761.432,3</w:t>
            </w:r>
          </w:p>
        </w:tc>
        <w:tc>
          <w:tcPr>
            <w:tcW w:w="11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 </w:t>
            </w:r>
          </w:p>
        </w:tc>
      </w:tr>
      <w:tr w:rsidR="00E67099" w:rsidRPr="00E67099" w:rsidTr="00A36731">
        <w:trPr>
          <w:trHeight w:val="264"/>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Bunuri și servicii</w:t>
            </w:r>
          </w:p>
        </w:tc>
        <w:tc>
          <w:tcPr>
            <w:tcW w:w="7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22</w:t>
            </w:r>
          </w:p>
        </w:tc>
        <w:tc>
          <w:tcPr>
            <w:tcW w:w="1548"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2.542.419,5</w:t>
            </w:r>
          </w:p>
        </w:tc>
        <w:tc>
          <w:tcPr>
            <w:tcW w:w="1559"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2.159.988,2</w:t>
            </w:r>
          </w:p>
        </w:tc>
        <w:tc>
          <w:tcPr>
            <w:tcW w:w="1559"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1.725.155,3</w:t>
            </w:r>
          </w:p>
        </w:tc>
        <w:tc>
          <w:tcPr>
            <w:tcW w:w="1283"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434.832,9</w:t>
            </w:r>
          </w:p>
        </w:tc>
        <w:tc>
          <w:tcPr>
            <w:tcW w:w="1134"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 </w:t>
            </w:r>
          </w:p>
        </w:tc>
        <w:tc>
          <w:tcPr>
            <w:tcW w:w="1283"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817.264,2</w:t>
            </w:r>
          </w:p>
        </w:tc>
        <w:tc>
          <w:tcPr>
            <w:tcW w:w="11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 </w:t>
            </w:r>
          </w:p>
        </w:tc>
      </w:tr>
      <w:tr w:rsidR="00E67099" w:rsidRPr="00E67099" w:rsidTr="00A36731">
        <w:trPr>
          <w:trHeight w:val="264"/>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Dobânzi</w:t>
            </w:r>
          </w:p>
        </w:tc>
        <w:tc>
          <w:tcPr>
            <w:tcW w:w="7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24</w:t>
            </w:r>
          </w:p>
        </w:tc>
        <w:tc>
          <w:tcPr>
            <w:tcW w:w="1548"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1.944.592,4</w:t>
            </w:r>
          </w:p>
        </w:tc>
        <w:tc>
          <w:tcPr>
            <w:tcW w:w="1559"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1.669.092,4</w:t>
            </w:r>
          </w:p>
        </w:tc>
        <w:tc>
          <w:tcPr>
            <w:tcW w:w="1559"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1.619.563,5</w:t>
            </w:r>
          </w:p>
        </w:tc>
        <w:tc>
          <w:tcPr>
            <w:tcW w:w="1283"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49.528,9</w:t>
            </w:r>
          </w:p>
        </w:tc>
        <w:tc>
          <w:tcPr>
            <w:tcW w:w="1134"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 </w:t>
            </w:r>
          </w:p>
        </w:tc>
        <w:tc>
          <w:tcPr>
            <w:tcW w:w="1283"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325.029,0</w:t>
            </w:r>
          </w:p>
        </w:tc>
        <w:tc>
          <w:tcPr>
            <w:tcW w:w="11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 </w:t>
            </w:r>
          </w:p>
        </w:tc>
      </w:tr>
      <w:tr w:rsidR="00E67099" w:rsidRPr="00E67099" w:rsidTr="00A36731">
        <w:trPr>
          <w:trHeight w:val="264"/>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Subsidii</w:t>
            </w:r>
          </w:p>
        </w:tc>
        <w:tc>
          <w:tcPr>
            <w:tcW w:w="7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25</w:t>
            </w:r>
          </w:p>
        </w:tc>
        <w:tc>
          <w:tcPr>
            <w:tcW w:w="1548"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4.082.359,7</w:t>
            </w:r>
          </w:p>
        </w:tc>
        <w:tc>
          <w:tcPr>
            <w:tcW w:w="1559"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4.057.142,1</w:t>
            </w:r>
          </w:p>
        </w:tc>
        <w:tc>
          <w:tcPr>
            <w:tcW w:w="1559"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3.894.950,4</w:t>
            </w:r>
          </w:p>
        </w:tc>
        <w:tc>
          <w:tcPr>
            <w:tcW w:w="1283"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162.191,7</w:t>
            </w:r>
          </w:p>
        </w:tc>
        <w:tc>
          <w:tcPr>
            <w:tcW w:w="1134"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 </w:t>
            </w:r>
          </w:p>
        </w:tc>
        <w:tc>
          <w:tcPr>
            <w:tcW w:w="1283"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187.409,3</w:t>
            </w:r>
          </w:p>
        </w:tc>
        <w:tc>
          <w:tcPr>
            <w:tcW w:w="11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 </w:t>
            </w:r>
          </w:p>
        </w:tc>
      </w:tr>
      <w:tr w:rsidR="00E67099" w:rsidRPr="00E67099" w:rsidTr="00A36731">
        <w:trPr>
          <w:trHeight w:val="264"/>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Granturi acordate</w:t>
            </w:r>
          </w:p>
        </w:tc>
        <w:tc>
          <w:tcPr>
            <w:tcW w:w="7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26</w:t>
            </w:r>
          </w:p>
        </w:tc>
        <w:tc>
          <w:tcPr>
            <w:tcW w:w="1548"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25.371,6</w:t>
            </w:r>
          </w:p>
        </w:tc>
        <w:tc>
          <w:tcPr>
            <w:tcW w:w="1559"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52.958,1</w:t>
            </w:r>
          </w:p>
        </w:tc>
        <w:tc>
          <w:tcPr>
            <w:tcW w:w="1559"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32.904,3</w:t>
            </w:r>
          </w:p>
        </w:tc>
        <w:tc>
          <w:tcPr>
            <w:tcW w:w="1283"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20.053,8</w:t>
            </w:r>
          </w:p>
        </w:tc>
        <w:tc>
          <w:tcPr>
            <w:tcW w:w="1134"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 </w:t>
            </w:r>
          </w:p>
        </w:tc>
        <w:tc>
          <w:tcPr>
            <w:tcW w:w="1283"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 </w:t>
            </w:r>
          </w:p>
        </w:tc>
        <w:tc>
          <w:tcPr>
            <w:tcW w:w="11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-7.532,7</w:t>
            </w:r>
          </w:p>
        </w:tc>
      </w:tr>
      <w:tr w:rsidR="00E67099" w:rsidRPr="00E67099" w:rsidTr="00A36731">
        <w:trPr>
          <w:trHeight w:val="264"/>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Prestații sociale</w:t>
            </w:r>
          </w:p>
        </w:tc>
        <w:tc>
          <w:tcPr>
            <w:tcW w:w="7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27</w:t>
            </w:r>
          </w:p>
        </w:tc>
        <w:tc>
          <w:tcPr>
            <w:tcW w:w="1548"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474.492,6</w:t>
            </w:r>
          </w:p>
        </w:tc>
        <w:tc>
          <w:tcPr>
            <w:tcW w:w="1559"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482.126,5</w:t>
            </w:r>
          </w:p>
        </w:tc>
        <w:tc>
          <w:tcPr>
            <w:tcW w:w="1559"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399.335,8</w:t>
            </w:r>
          </w:p>
        </w:tc>
        <w:tc>
          <w:tcPr>
            <w:tcW w:w="1283"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82.790,7</w:t>
            </w:r>
          </w:p>
        </w:tc>
        <w:tc>
          <w:tcPr>
            <w:tcW w:w="1134"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 </w:t>
            </w:r>
          </w:p>
        </w:tc>
        <w:tc>
          <w:tcPr>
            <w:tcW w:w="1283"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75.156,9</w:t>
            </w:r>
          </w:p>
        </w:tc>
        <w:tc>
          <w:tcPr>
            <w:tcW w:w="11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 </w:t>
            </w:r>
          </w:p>
        </w:tc>
      </w:tr>
      <w:tr w:rsidR="00E67099" w:rsidRPr="00E67099" w:rsidTr="00A36731">
        <w:trPr>
          <w:trHeight w:val="264"/>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Alte cheltuieli</w:t>
            </w:r>
          </w:p>
        </w:tc>
        <w:tc>
          <w:tcPr>
            <w:tcW w:w="7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28</w:t>
            </w:r>
          </w:p>
        </w:tc>
        <w:tc>
          <w:tcPr>
            <w:tcW w:w="1548"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3.994.003,6</w:t>
            </w:r>
          </w:p>
        </w:tc>
        <w:tc>
          <w:tcPr>
            <w:tcW w:w="1559"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3.444.743,5</w:t>
            </w:r>
          </w:p>
        </w:tc>
        <w:tc>
          <w:tcPr>
            <w:tcW w:w="1559"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2.824.196,3</w:t>
            </w:r>
          </w:p>
        </w:tc>
        <w:tc>
          <w:tcPr>
            <w:tcW w:w="1283"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620.547,2</w:t>
            </w:r>
          </w:p>
        </w:tc>
        <w:tc>
          <w:tcPr>
            <w:tcW w:w="1134"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 </w:t>
            </w:r>
          </w:p>
        </w:tc>
        <w:tc>
          <w:tcPr>
            <w:tcW w:w="1283"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1.169.807,3</w:t>
            </w:r>
          </w:p>
        </w:tc>
        <w:tc>
          <w:tcPr>
            <w:tcW w:w="11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 </w:t>
            </w:r>
          </w:p>
        </w:tc>
      </w:tr>
      <w:tr w:rsidR="00E67099" w:rsidRPr="00E67099" w:rsidTr="00A36731">
        <w:trPr>
          <w:trHeight w:val="264"/>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Transferuri acordate în cadrul bugetului public național</w:t>
            </w:r>
          </w:p>
        </w:tc>
        <w:tc>
          <w:tcPr>
            <w:tcW w:w="7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29</w:t>
            </w:r>
          </w:p>
        </w:tc>
        <w:tc>
          <w:tcPr>
            <w:tcW w:w="1548"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22.555.412,5</w:t>
            </w:r>
          </w:p>
        </w:tc>
        <w:tc>
          <w:tcPr>
            <w:tcW w:w="1559"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23.729.974,7</w:t>
            </w:r>
          </w:p>
        </w:tc>
        <w:tc>
          <w:tcPr>
            <w:tcW w:w="1559"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23.098.817,1</w:t>
            </w:r>
          </w:p>
        </w:tc>
        <w:tc>
          <w:tcPr>
            <w:tcW w:w="1283"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631.157,6</w:t>
            </w:r>
          </w:p>
        </w:tc>
        <w:tc>
          <w:tcPr>
            <w:tcW w:w="1134"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 </w:t>
            </w:r>
          </w:p>
        </w:tc>
        <w:tc>
          <w:tcPr>
            <w:tcW w:w="1283"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 </w:t>
            </w:r>
          </w:p>
        </w:tc>
        <w:tc>
          <w:tcPr>
            <w:tcW w:w="1120" w:type="dxa"/>
            <w:tcBorders>
              <w:top w:val="nil"/>
              <w:left w:val="nil"/>
              <w:bottom w:val="single" w:sz="4" w:space="0" w:color="auto"/>
              <w:right w:val="single" w:sz="4" w:space="0" w:color="auto"/>
            </w:tcBorders>
            <w:shd w:val="clear" w:color="auto" w:fill="auto"/>
            <w:noWrap/>
            <w:vAlign w:val="bottom"/>
            <w:hideMark/>
          </w:tcPr>
          <w:p w:rsidR="00E67099" w:rsidRPr="00E67099" w:rsidRDefault="00E67099" w:rsidP="00E67099">
            <w:pPr>
              <w:spacing w:after="0" w:line="240" w:lineRule="auto"/>
              <w:jc w:val="right"/>
              <w:rPr>
                <w:rFonts w:asciiTheme="majorHAnsi" w:eastAsia="Times New Roman" w:hAnsiTheme="majorHAnsi" w:cstheme="majorHAnsi"/>
                <w:sz w:val="20"/>
                <w:szCs w:val="20"/>
                <w:lang w:val="ro-MD"/>
              </w:rPr>
            </w:pPr>
            <w:r w:rsidRPr="00E67099">
              <w:rPr>
                <w:rFonts w:asciiTheme="majorHAnsi" w:eastAsia="Times New Roman" w:hAnsiTheme="majorHAnsi" w:cstheme="majorHAnsi"/>
                <w:sz w:val="20"/>
                <w:szCs w:val="20"/>
                <w:lang w:val="ro-MD"/>
              </w:rPr>
              <w:t>-543.404,6</w:t>
            </w:r>
          </w:p>
        </w:tc>
      </w:tr>
      <w:tr w:rsidR="00E67099" w:rsidRPr="00E67099" w:rsidTr="00A36731">
        <w:trPr>
          <w:trHeight w:val="264"/>
        </w:trPr>
        <w:tc>
          <w:tcPr>
            <w:tcW w:w="3256" w:type="dxa"/>
            <w:tcBorders>
              <w:top w:val="nil"/>
              <w:left w:val="single" w:sz="4" w:space="0" w:color="auto"/>
              <w:bottom w:val="single" w:sz="4" w:space="0" w:color="auto"/>
              <w:right w:val="single" w:sz="4" w:space="0" w:color="auto"/>
            </w:tcBorders>
            <w:shd w:val="clear" w:color="000000" w:fill="F2F2F2"/>
            <w:vAlign w:val="bottom"/>
            <w:hideMark/>
          </w:tcPr>
          <w:p w:rsidR="00E67099" w:rsidRPr="00E67099" w:rsidRDefault="00E67099" w:rsidP="00E67099">
            <w:pPr>
              <w:spacing w:after="0" w:line="240" w:lineRule="auto"/>
              <w:rPr>
                <w:rFonts w:asciiTheme="majorHAnsi" w:eastAsia="Times New Roman" w:hAnsiTheme="majorHAnsi" w:cstheme="majorHAnsi"/>
                <w:b/>
                <w:bCs/>
                <w:sz w:val="20"/>
                <w:szCs w:val="20"/>
                <w:lang w:val="ro-MD"/>
              </w:rPr>
            </w:pPr>
            <w:r w:rsidRPr="00E67099">
              <w:rPr>
                <w:rFonts w:asciiTheme="majorHAnsi" w:eastAsia="Times New Roman" w:hAnsiTheme="majorHAnsi" w:cstheme="majorHAnsi"/>
                <w:b/>
                <w:bCs/>
                <w:sz w:val="20"/>
                <w:szCs w:val="20"/>
                <w:lang w:val="ro-MD"/>
              </w:rPr>
              <w:t xml:space="preserve">Total </w:t>
            </w:r>
          </w:p>
        </w:tc>
        <w:tc>
          <w:tcPr>
            <w:tcW w:w="720" w:type="dxa"/>
            <w:tcBorders>
              <w:top w:val="nil"/>
              <w:left w:val="nil"/>
              <w:bottom w:val="single" w:sz="4" w:space="0" w:color="auto"/>
              <w:right w:val="single" w:sz="4" w:space="0" w:color="auto"/>
            </w:tcBorders>
            <w:shd w:val="clear" w:color="000000" w:fill="F2F2F2"/>
            <w:noWrap/>
            <w:vAlign w:val="bottom"/>
            <w:hideMark/>
          </w:tcPr>
          <w:p w:rsidR="00E67099" w:rsidRPr="00E67099" w:rsidRDefault="00E67099" w:rsidP="00E67099">
            <w:pPr>
              <w:spacing w:after="0" w:line="240" w:lineRule="auto"/>
              <w:rPr>
                <w:rFonts w:asciiTheme="majorHAnsi" w:eastAsia="Times New Roman" w:hAnsiTheme="majorHAnsi" w:cstheme="majorHAnsi"/>
                <w:b/>
                <w:bCs/>
                <w:sz w:val="20"/>
                <w:szCs w:val="20"/>
                <w:lang w:val="ro-MD"/>
              </w:rPr>
            </w:pPr>
            <w:r w:rsidRPr="00E67099">
              <w:rPr>
                <w:rFonts w:asciiTheme="majorHAnsi" w:eastAsia="Times New Roman" w:hAnsiTheme="majorHAnsi" w:cstheme="majorHAnsi"/>
                <w:b/>
                <w:bCs/>
                <w:sz w:val="20"/>
                <w:szCs w:val="20"/>
                <w:lang w:val="ro-MD"/>
              </w:rPr>
              <w:t> </w:t>
            </w:r>
          </w:p>
        </w:tc>
        <w:tc>
          <w:tcPr>
            <w:tcW w:w="1548" w:type="dxa"/>
            <w:tcBorders>
              <w:top w:val="nil"/>
              <w:left w:val="nil"/>
              <w:bottom w:val="single" w:sz="4" w:space="0" w:color="auto"/>
              <w:right w:val="single" w:sz="4" w:space="0" w:color="auto"/>
            </w:tcBorders>
            <w:shd w:val="clear" w:color="000000" w:fill="F2F2F2"/>
            <w:noWrap/>
            <w:vAlign w:val="bottom"/>
            <w:hideMark/>
          </w:tcPr>
          <w:p w:rsidR="00E67099" w:rsidRPr="00E67099" w:rsidRDefault="00E67099" w:rsidP="00E67099">
            <w:pPr>
              <w:spacing w:after="0" w:line="240" w:lineRule="auto"/>
              <w:jc w:val="right"/>
              <w:rPr>
                <w:rFonts w:asciiTheme="majorHAnsi" w:eastAsia="Times New Roman" w:hAnsiTheme="majorHAnsi" w:cstheme="majorHAnsi"/>
                <w:b/>
                <w:bCs/>
                <w:sz w:val="20"/>
                <w:szCs w:val="20"/>
                <w:lang w:val="ro-MD"/>
              </w:rPr>
            </w:pPr>
            <w:r w:rsidRPr="00E67099">
              <w:rPr>
                <w:rFonts w:asciiTheme="majorHAnsi" w:eastAsia="Times New Roman" w:hAnsiTheme="majorHAnsi" w:cstheme="majorHAnsi"/>
                <w:b/>
                <w:bCs/>
                <w:sz w:val="20"/>
                <w:szCs w:val="20"/>
                <w:lang w:val="ro-MD"/>
              </w:rPr>
              <w:t>42.845.374,8</w:t>
            </w:r>
          </w:p>
        </w:tc>
        <w:tc>
          <w:tcPr>
            <w:tcW w:w="1559" w:type="dxa"/>
            <w:tcBorders>
              <w:top w:val="nil"/>
              <w:left w:val="nil"/>
              <w:bottom w:val="single" w:sz="4" w:space="0" w:color="auto"/>
              <w:right w:val="single" w:sz="4" w:space="0" w:color="auto"/>
            </w:tcBorders>
            <w:shd w:val="clear" w:color="000000" w:fill="F2F2F2"/>
            <w:noWrap/>
            <w:vAlign w:val="bottom"/>
            <w:hideMark/>
          </w:tcPr>
          <w:p w:rsidR="00E67099" w:rsidRPr="00E67099" w:rsidRDefault="00E67099" w:rsidP="00E67099">
            <w:pPr>
              <w:spacing w:after="0" w:line="240" w:lineRule="auto"/>
              <w:jc w:val="right"/>
              <w:rPr>
                <w:rFonts w:asciiTheme="majorHAnsi" w:eastAsia="Times New Roman" w:hAnsiTheme="majorHAnsi" w:cstheme="majorHAnsi"/>
                <w:b/>
                <w:bCs/>
                <w:sz w:val="20"/>
                <w:szCs w:val="20"/>
                <w:lang w:val="ro-MD"/>
              </w:rPr>
            </w:pPr>
            <w:r w:rsidRPr="00E67099">
              <w:rPr>
                <w:rFonts w:asciiTheme="majorHAnsi" w:eastAsia="Times New Roman" w:hAnsiTheme="majorHAnsi" w:cstheme="majorHAnsi"/>
                <w:b/>
                <w:bCs/>
                <w:sz w:val="20"/>
                <w:szCs w:val="20"/>
                <w:lang w:val="ro-MD"/>
              </w:rPr>
              <w:t>42.377.438,0</w:t>
            </w:r>
          </w:p>
        </w:tc>
        <w:tc>
          <w:tcPr>
            <w:tcW w:w="1559" w:type="dxa"/>
            <w:tcBorders>
              <w:top w:val="nil"/>
              <w:left w:val="nil"/>
              <w:bottom w:val="single" w:sz="4" w:space="0" w:color="auto"/>
              <w:right w:val="single" w:sz="4" w:space="0" w:color="auto"/>
            </w:tcBorders>
            <w:shd w:val="clear" w:color="000000" w:fill="F2F2F2"/>
            <w:noWrap/>
            <w:vAlign w:val="bottom"/>
            <w:hideMark/>
          </w:tcPr>
          <w:p w:rsidR="00E67099" w:rsidRPr="00E67099" w:rsidRDefault="00E67099" w:rsidP="00E67099">
            <w:pPr>
              <w:spacing w:after="0" w:line="240" w:lineRule="auto"/>
              <w:jc w:val="right"/>
              <w:rPr>
                <w:rFonts w:asciiTheme="majorHAnsi" w:eastAsia="Times New Roman" w:hAnsiTheme="majorHAnsi" w:cstheme="majorHAnsi"/>
                <w:b/>
                <w:bCs/>
                <w:sz w:val="20"/>
                <w:szCs w:val="20"/>
                <w:lang w:val="ro-MD"/>
              </w:rPr>
            </w:pPr>
            <w:r w:rsidRPr="00E67099">
              <w:rPr>
                <w:rFonts w:asciiTheme="majorHAnsi" w:eastAsia="Times New Roman" w:hAnsiTheme="majorHAnsi" w:cstheme="majorHAnsi"/>
                <w:b/>
                <w:bCs/>
                <w:sz w:val="20"/>
                <w:szCs w:val="20"/>
                <w:lang w:val="ro-MD"/>
              </w:rPr>
              <w:t>40.060.213,2</w:t>
            </w:r>
          </w:p>
        </w:tc>
        <w:tc>
          <w:tcPr>
            <w:tcW w:w="1283" w:type="dxa"/>
            <w:tcBorders>
              <w:top w:val="nil"/>
              <w:left w:val="nil"/>
              <w:bottom w:val="single" w:sz="4" w:space="0" w:color="auto"/>
              <w:right w:val="single" w:sz="4" w:space="0" w:color="auto"/>
            </w:tcBorders>
            <w:shd w:val="clear" w:color="000000" w:fill="F2F2F2"/>
            <w:noWrap/>
            <w:vAlign w:val="bottom"/>
            <w:hideMark/>
          </w:tcPr>
          <w:p w:rsidR="00E67099" w:rsidRPr="00E67099" w:rsidRDefault="00E67099" w:rsidP="00E67099">
            <w:pPr>
              <w:spacing w:after="0" w:line="240" w:lineRule="auto"/>
              <w:jc w:val="right"/>
              <w:rPr>
                <w:rFonts w:asciiTheme="majorHAnsi" w:eastAsia="Times New Roman" w:hAnsiTheme="majorHAnsi" w:cstheme="majorHAnsi"/>
                <w:b/>
                <w:bCs/>
                <w:sz w:val="20"/>
                <w:szCs w:val="20"/>
                <w:lang w:val="ro-MD"/>
              </w:rPr>
            </w:pPr>
            <w:r w:rsidRPr="00E67099">
              <w:rPr>
                <w:rFonts w:asciiTheme="majorHAnsi" w:eastAsia="Times New Roman" w:hAnsiTheme="majorHAnsi" w:cstheme="majorHAnsi"/>
                <w:b/>
                <w:bCs/>
                <w:sz w:val="20"/>
                <w:szCs w:val="20"/>
                <w:lang w:val="ro-MD"/>
              </w:rPr>
              <w:t>2.317.224,8</w:t>
            </w:r>
          </w:p>
        </w:tc>
        <w:tc>
          <w:tcPr>
            <w:tcW w:w="1134" w:type="dxa"/>
            <w:tcBorders>
              <w:top w:val="nil"/>
              <w:left w:val="nil"/>
              <w:bottom w:val="single" w:sz="4" w:space="0" w:color="auto"/>
              <w:right w:val="single" w:sz="4" w:space="0" w:color="auto"/>
            </w:tcBorders>
            <w:shd w:val="clear" w:color="000000" w:fill="F2F2F2"/>
            <w:noWrap/>
            <w:vAlign w:val="bottom"/>
            <w:hideMark/>
          </w:tcPr>
          <w:p w:rsidR="00E67099" w:rsidRPr="00E67099" w:rsidRDefault="00E67099" w:rsidP="00E67099">
            <w:pPr>
              <w:spacing w:after="0" w:line="240" w:lineRule="auto"/>
              <w:rPr>
                <w:rFonts w:asciiTheme="majorHAnsi" w:eastAsia="Times New Roman" w:hAnsiTheme="majorHAnsi" w:cstheme="majorHAnsi"/>
                <w:b/>
                <w:bCs/>
                <w:sz w:val="20"/>
                <w:szCs w:val="20"/>
                <w:lang w:val="ro-MD"/>
              </w:rPr>
            </w:pPr>
            <w:r w:rsidRPr="00E67099">
              <w:rPr>
                <w:rFonts w:asciiTheme="majorHAnsi" w:eastAsia="Times New Roman" w:hAnsiTheme="majorHAnsi" w:cstheme="majorHAnsi"/>
                <w:b/>
                <w:bCs/>
                <w:sz w:val="20"/>
                <w:szCs w:val="20"/>
                <w:lang w:val="ro-MD"/>
              </w:rPr>
              <w:t> </w:t>
            </w:r>
          </w:p>
        </w:tc>
        <w:tc>
          <w:tcPr>
            <w:tcW w:w="1283" w:type="dxa"/>
            <w:tcBorders>
              <w:top w:val="nil"/>
              <w:left w:val="nil"/>
              <w:bottom w:val="single" w:sz="4" w:space="0" w:color="auto"/>
              <w:right w:val="single" w:sz="4" w:space="0" w:color="auto"/>
            </w:tcBorders>
            <w:shd w:val="clear" w:color="000000" w:fill="F2F2F2"/>
            <w:noWrap/>
            <w:vAlign w:val="bottom"/>
            <w:hideMark/>
          </w:tcPr>
          <w:p w:rsidR="00E67099" w:rsidRPr="00E67099" w:rsidRDefault="00E67099" w:rsidP="00E67099">
            <w:pPr>
              <w:spacing w:after="0" w:line="240" w:lineRule="auto"/>
              <w:jc w:val="right"/>
              <w:rPr>
                <w:rFonts w:asciiTheme="majorHAnsi" w:eastAsia="Times New Roman" w:hAnsiTheme="majorHAnsi" w:cstheme="majorHAnsi"/>
                <w:b/>
                <w:bCs/>
                <w:sz w:val="20"/>
                <w:szCs w:val="20"/>
                <w:lang w:val="ro-MD"/>
              </w:rPr>
            </w:pPr>
            <w:r w:rsidRPr="00E67099">
              <w:rPr>
                <w:rFonts w:asciiTheme="majorHAnsi" w:eastAsia="Times New Roman" w:hAnsiTheme="majorHAnsi" w:cstheme="majorHAnsi"/>
                <w:b/>
                <w:bCs/>
                <w:sz w:val="20"/>
                <w:szCs w:val="20"/>
                <w:lang w:val="ro-MD"/>
              </w:rPr>
              <w:t>3.336.098,9</w:t>
            </w:r>
          </w:p>
        </w:tc>
        <w:tc>
          <w:tcPr>
            <w:tcW w:w="1120" w:type="dxa"/>
            <w:tcBorders>
              <w:top w:val="nil"/>
              <w:left w:val="nil"/>
              <w:bottom w:val="single" w:sz="4" w:space="0" w:color="auto"/>
              <w:right w:val="single" w:sz="4" w:space="0" w:color="auto"/>
            </w:tcBorders>
            <w:shd w:val="clear" w:color="000000" w:fill="F2F2F2"/>
            <w:noWrap/>
            <w:vAlign w:val="bottom"/>
            <w:hideMark/>
          </w:tcPr>
          <w:p w:rsidR="00E67099" w:rsidRPr="00E67099" w:rsidRDefault="00E67099" w:rsidP="00E67099">
            <w:pPr>
              <w:spacing w:after="0" w:line="240" w:lineRule="auto"/>
              <w:jc w:val="right"/>
              <w:rPr>
                <w:rFonts w:asciiTheme="majorHAnsi" w:eastAsia="Times New Roman" w:hAnsiTheme="majorHAnsi" w:cstheme="majorHAnsi"/>
                <w:b/>
                <w:bCs/>
                <w:sz w:val="20"/>
                <w:szCs w:val="20"/>
                <w:lang w:val="ro-MD"/>
              </w:rPr>
            </w:pPr>
            <w:r w:rsidRPr="00E67099">
              <w:rPr>
                <w:rFonts w:asciiTheme="majorHAnsi" w:eastAsia="Times New Roman" w:hAnsiTheme="majorHAnsi" w:cstheme="majorHAnsi"/>
                <w:b/>
                <w:bCs/>
                <w:sz w:val="20"/>
                <w:szCs w:val="20"/>
                <w:lang w:val="ro-MD"/>
              </w:rPr>
              <w:t>-550.937,3</w:t>
            </w:r>
          </w:p>
        </w:tc>
      </w:tr>
    </w:tbl>
    <w:p w:rsidR="00E67099" w:rsidRPr="00E67099" w:rsidRDefault="00E67099" w:rsidP="00E67099">
      <w:pPr>
        <w:shd w:val="clear" w:color="auto" w:fill="FFFFFF" w:themeFill="background1"/>
        <w:tabs>
          <w:tab w:val="left" w:pos="284"/>
          <w:tab w:val="left" w:pos="567"/>
          <w:tab w:val="left" w:pos="6237"/>
          <w:tab w:val="left" w:pos="6379"/>
        </w:tabs>
        <w:spacing w:after="0" w:line="276" w:lineRule="auto"/>
        <w:contextualSpacing/>
        <w:rPr>
          <w:rFonts w:asciiTheme="majorHAnsi" w:eastAsia="Times New Roman" w:hAnsiTheme="majorHAnsi" w:cstheme="majorHAnsi"/>
          <w:b/>
          <w:sz w:val="24"/>
          <w:szCs w:val="24"/>
        </w:rPr>
      </w:pPr>
      <w:r w:rsidRPr="00E67099">
        <w:rPr>
          <w:rFonts w:asciiTheme="majorHAnsi" w:eastAsia="Times New Roman" w:hAnsiTheme="majorHAnsi" w:cstheme="majorHAnsi"/>
          <w:b/>
          <w:i/>
          <w:iCs/>
          <w:color w:val="000000"/>
          <w:sz w:val="20"/>
          <w:szCs w:val="20"/>
          <w:lang w:val="ro-MD"/>
        </w:rPr>
        <w:t>Sursă:</w:t>
      </w:r>
      <w:r w:rsidRPr="00E67099">
        <w:rPr>
          <w:rFonts w:asciiTheme="majorHAnsi" w:eastAsia="Times New Roman" w:hAnsiTheme="majorHAnsi" w:cstheme="majorHAnsi"/>
          <w:i/>
          <w:iCs/>
          <w:color w:val="000000"/>
          <w:sz w:val="20"/>
          <w:szCs w:val="20"/>
          <w:lang w:val="ro-MD"/>
        </w:rPr>
        <w:t xml:space="preserve"> Raportul privind executarea bugetului de stat conform clasificației economice la situația din 31.12.2019.</w:t>
      </w:r>
    </w:p>
    <w:p w:rsidR="00E67099" w:rsidRPr="00E67099" w:rsidRDefault="00E67099" w:rsidP="00E67099">
      <w:pPr>
        <w:shd w:val="clear" w:color="auto" w:fill="FFFFFF" w:themeFill="background1"/>
        <w:tabs>
          <w:tab w:val="left" w:pos="284"/>
          <w:tab w:val="left" w:pos="567"/>
          <w:tab w:val="left" w:pos="6237"/>
          <w:tab w:val="left" w:pos="6379"/>
        </w:tabs>
        <w:spacing w:after="0" w:line="276" w:lineRule="auto"/>
        <w:contextualSpacing/>
        <w:jc w:val="right"/>
        <w:rPr>
          <w:rFonts w:asciiTheme="majorHAnsi" w:eastAsia="Times New Roman" w:hAnsiTheme="majorHAnsi" w:cstheme="majorHAnsi"/>
          <w:b/>
          <w:i/>
          <w:sz w:val="24"/>
          <w:szCs w:val="24"/>
        </w:rPr>
      </w:pPr>
    </w:p>
    <w:p w:rsidR="00E67099" w:rsidRPr="00E67099" w:rsidRDefault="00E67099" w:rsidP="00E67099">
      <w:pPr>
        <w:shd w:val="clear" w:color="auto" w:fill="FFFFFF" w:themeFill="background1"/>
        <w:tabs>
          <w:tab w:val="left" w:pos="284"/>
          <w:tab w:val="left" w:pos="567"/>
          <w:tab w:val="left" w:pos="6237"/>
          <w:tab w:val="left" w:pos="6379"/>
        </w:tabs>
        <w:spacing w:after="0" w:line="276" w:lineRule="auto"/>
        <w:contextualSpacing/>
        <w:jc w:val="right"/>
        <w:rPr>
          <w:rFonts w:asciiTheme="majorHAnsi" w:eastAsia="Times New Roman" w:hAnsiTheme="majorHAnsi" w:cstheme="majorHAnsi"/>
          <w:b/>
          <w:i/>
          <w:sz w:val="24"/>
          <w:szCs w:val="24"/>
        </w:rPr>
      </w:pPr>
      <w:r w:rsidRPr="00E67099">
        <w:rPr>
          <w:rFonts w:asciiTheme="majorHAnsi" w:eastAsia="Times New Roman" w:hAnsiTheme="majorHAnsi" w:cstheme="majorHAnsi"/>
          <w:b/>
          <w:i/>
          <w:sz w:val="24"/>
          <w:szCs w:val="24"/>
        </w:rPr>
        <w:t>Anexa nr.22</w:t>
      </w:r>
    </w:p>
    <w:p w:rsidR="00E67099" w:rsidRPr="00E67099" w:rsidRDefault="00E67099" w:rsidP="00E67099">
      <w:pPr>
        <w:spacing w:after="0" w:line="276" w:lineRule="auto"/>
        <w:jc w:val="center"/>
        <w:rPr>
          <w:rFonts w:asciiTheme="majorHAnsi" w:hAnsiTheme="majorHAnsi" w:cs="Times New Roman"/>
          <w:b/>
          <w:sz w:val="24"/>
          <w:szCs w:val="24"/>
        </w:rPr>
      </w:pPr>
      <w:r w:rsidRPr="00E67099">
        <w:rPr>
          <w:rFonts w:asciiTheme="majorHAnsi" w:hAnsiTheme="majorHAnsi" w:cs="Times New Roman"/>
          <w:b/>
          <w:sz w:val="24"/>
          <w:szCs w:val="24"/>
        </w:rPr>
        <w:t xml:space="preserve">Informație privind soldurile restante la BS administrate de Serviciul Fiscal de Stat și Serviciul Vamal </w:t>
      </w:r>
    </w:p>
    <w:p w:rsidR="00E67099" w:rsidRPr="00E67099" w:rsidRDefault="00E67099" w:rsidP="00E67099">
      <w:pPr>
        <w:spacing w:after="0" w:line="276" w:lineRule="auto"/>
        <w:jc w:val="center"/>
        <w:rPr>
          <w:rFonts w:asciiTheme="majorHAnsi" w:hAnsiTheme="majorHAnsi" w:cs="Times New Roman"/>
          <w:b/>
          <w:sz w:val="24"/>
          <w:szCs w:val="24"/>
        </w:rPr>
      </w:pPr>
      <w:r w:rsidRPr="00E67099">
        <w:rPr>
          <w:rFonts w:asciiTheme="majorHAnsi" w:hAnsiTheme="majorHAnsi" w:cs="Times New Roman"/>
          <w:b/>
          <w:sz w:val="24"/>
          <w:szCs w:val="24"/>
        </w:rPr>
        <w:t>pentru anii 2016-2018 (mil. lei)</w:t>
      </w:r>
    </w:p>
    <w:p w:rsidR="00E67099" w:rsidRPr="00E67099" w:rsidRDefault="00E67099" w:rsidP="00E67099">
      <w:pPr>
        <w:spacing w:after="0" w:line="240" w:lineRule="auto"/>
        <w:rPr>
          <w:rFonts w:asciiTheme="majorHAnsi" w:hAnsiTheme="majorHAnsi" w:cs="Times New Roman"/>
          <w:b/>
          <w:i/>
          <w:sz w:val="20"/>
          <w:szCs w:val="20"/>
        </w:rPr>
      </w:pPr>
    </w:p>
    <w:tbl>
      <w:tblPr>
        <w:tblW w:w="12032" w:type="dxa"/>
        <w:jc w:val="center"/>
        <w:tblLayout w:type="fixed"/>
        <w:tblLook w:val="04A0" w:firstRow="1" w:lastRow="0" w:firstColumn="1" w:lastColumn="0" w:noHBand="0" w:noVBand="1"/>
      </w:tblPr>
      <w:tblGrid>
        <w:gridCol w:w="2542"/>
        <w:gridCol w:w="1065"/>
        <w:gridCol w:w="1153"/>
        <w:gridCol w:w="1174"/>
        <w:gridCol w:w="1254"/>
        <w:gridCol w:w="1134"/>
        <w:gridCol w:w="1150"/>
        <w:gridCol w:w="1278"/>
        <w:gridCol w:w="1282"/>
      </w:tblGrid>
      <w:tr w:rsidR="00E67099" w:rsidRPr="00E67099" w:rsidTr="00A36731">
        <w:trPr>
          <w:trHeight w:val="300"/>
          <w:jc w:val="center"/>
        </w:trPr>
        <w:tc>
          <w:tcPr>
            <w:tcW w:w="2542" w:type="dxa"/>
            <w:vMerge w:val="restart"/>
            <w:tcBorders>
              <w:top w:val="single" w:sz="8" w:space="0" w:color="999999"/>
              <w:left w:val="single" w:sz="8" w:space="0" w:color="999999"/>
              <w:bottom w:val="single" w:sz="8" w:space="0" w:color="999999"/>
              <w:right w:val="single" w:sz="8" w:space="0" w:color="999999"/>
            </w:tcBorders>
            <w:shd w:val="clear" w:color="auto" w:fill="auto"/>
            <w:vAlign w:val="center"/>
            <w:hideMark/>
          </w:tcPr>
          <w:p w:rsidR="00E67099" w:rsidRPr="00E67099" w:rsidRDefault="00E67099" w:rsidP="00E67099">
            <w:pPr>
              <w:spacing w:after="0" w:line="240" w:lineRule="auto"/>
              <w:rPr>
                <w:rFonts w:ascii="Calibri Light" w:eastAsia="Times New Roman" w:hAnsi="Calibri Light" w:cs="Calibri Light"/>
                <w:b/>
                <w:bCs/>
                <w:color w:val="000000"/>
                <w:sz w:val="24"/>
                <w:szCs w:val="24"/>
                <w:lang w:val="en-US"/>
              </w:rPr>
            </w:pPr>
            <w:r w:rsidRPr="00E67099">
              <w:rPr>
                <w:rFonts w:ascii="Calibri Light" w:eastAsia="Times New Roman" w:hAnsi="Calibri Light" w:cs="Calibri Light"/>
                <w:b/>
                <w:bCs/>
                <w:color w:val="000000"/>
                <w:sz w:val="24"/>
                <w:szCs w:val="24"/>
                <w:lang w:val="ro-MD"/>
              </w:rPr>
              <w:t>Sumele restante la:</w:t>
            </w:r>
          </w:p>
        </w:tc>
        <w:tc>
          <w:tcPr>
            <w:tcW w:w="2218" w:type="dxa"/>
            <w:gridSpan w:val="2"/>
            <w:tcBorders>
              <w:top w:val="single" w:sz="8" w:space="0" w:color="999999"/>
              <w:left w:val="single" w:sz="12" w:space="0" w:color="auto"/>
              <w:bottom w:val="single" w:sz="12" w:space="0" w:color="666666"/>
              <w:right w:val="single" w:sz="12" w:space="0" w:color="000000"/>
            </w:tcBorders>
            <w:shd w:val="clear" w:color="auto" w:fill="auto"/>
            <w:noWrap/>
            <w:vAlign w:val="center"/>
            <w:hideMark/>
          </w:tcPr>
          <w:p w:rsidR="00E67099" w:rsidRPr="00E67099" w:rsidRDefault="00E67099" w:rsidP="00E67099">
            <w:pPr>
              <w:spacing w:after="0" w:line="240" w:lineRule="auto"/>
              <w:jc w:val="center"/>
              <w:rPr>
                <w:rFonts w:ascii="Calibri Light" w:eastAsia="Times New Roman" w:hAnsi="Calibri Light" w:cs="Calibri Light"/>
                <w:b/>
                <w:bCs/>
                <w:color w:val="000000"/>
                <w:sz w:val="24"/>
                <w:szCs w:val="24"/>
                <w:lang w:val="en-US"/>
              </w:rPr>
            </w:pPr>
            <w:r w:rsidRPr="00E67099">
              <w:rPr>
                <w:rFonts w:ascii="Calibri Light" w:eastAsia="Times New Roman" w:hAnsi="Calibri Light" w:cs="Calibri Light"/>
                <w:b/>
                <w:bCs/>
                <w:color w:val="000000"/>
                <w:sz w:val="24"/>
                <w:szCs w:val="24"/>
                <w:lang w:val="ro-MD"/>
              </w:rPr>
              <w:t>Anul 2017</w:t>
            </w:r>
          </w:p>
        </w:tc>
        <w:tc>
          <w:tcPr>
            <w:tcW w:w="2428" w:type="dxa"/>
            <w:gridSpan w:val="2"/>
            <w:tcBorders>
              <w:top w:val="single" w:sz="8" w:space="0" w:color="999999"/>
              <w:left w:val="nil"/>
              <w:bottom w:val="single" w:sz="12" w:space="0" w:color="666666"/>
              <w:right w:val="single" w:sz="12" w:space="0" w:color="000000"/>
            </w:tcBorders>
            <w:shd w:val="clear" w:color="auto" w:fill="auto"/>
            <w:vAlign w:val="center"/>
            <w:hideMark/>
          </w:tcPr>
          <w:p w:rsidR="00E67099" w:rsidRPr="00E67099" w:rsidRDefault="00E67099" w:rsidP="00E67099">
            <w:pPr>
              <w:spacing w:after="0" w:line="240" w:lineRule="auto"/>
              <w:jc w:val="center"/>
              <w:rPr>
                <w:rFonts w:ascii="Calibri Light" w:eastAsia="Times New Roman" w:hAnsi="Calibri Light" w:cs="Calibri Light"/>
                <w:b/>
                <w:bCs/>
                <w:color w:val="000000"/>
                <w:sz w:val="24"/>
                <w:szCs w:val="24"/>
                <w:lang w:val="en-US"/>
              </w:rPr>
            </w:pPr>
            <w:r w:rsidRPr="00E67099">
              <w:rPr>
                <w:rFonts w:ascii="Calibri Light" w:eastAsia="Times New Roman" w:hAnsi="Calibri Light" w:cs="Calibri Light"/>
                <w:b/>
                <w:bCs/>
                <w:color w:val="000000"/>
                <w:sz w:val="24"/>
                <w:szCs w:val="24"/>
                <w:lang w:val="ro-MD"/>
              </w:rPr>
              <w:t>Anul 2018</w:t>
            </w:r>
          </w:p>
        </w:tc>
        <w:tc>
          <w:tcPr>
            <w:tcW w:w="2284" w:type="dxa"/>
            <w:gridSpan w:val="2"/>
            <w:tcBorders>
              <w:top w:val="single" w:sz="8" w:space="0" w:color="999999"/>
              <w:left w:val="nil"/>
              <w:bottom w:val="single" w:sz="12" w:space="0" w:color="666666"/>
              <w:right w:val="single" w:sz="4" w:space="0" w:color="auto"/>
            </w:tcBorders>
            <w:shd w:val="clear" w:color="auto" w:fill="auto"/>
            <w:vAlign w:val="center"/>
            <w:hideMark/>
          </w:tcPr>
          <w:p w:rsidR="00E67099" w:rsidRPr="00E67099" w:rsidRDefault="00E67099" w:rsidP="00E67099">
            <w:pPr>
              <w:spacing w:after="0" w:line="240" w:lineRule="auto"/>
              <w:jc w:val="center"/>
              <w:rPr>
                <w:rFonts w:ascii="Calibri Light" w:eastAsia="Times New Roman" w:hAnsi="Calibri Light" w:cs="Calibri Light"/>
                <w:b/>
                <w:bCs/>
                <w:color w:val="000000"/>
                <w:sz w:val="24"/>
                <w:szCs w:val="24"/>
                <w:lang w:val="en-US"/>
              </w:rPr>
            </w:pPr>
            <w:r w:rsidRPr="00E67099">
              <w:rPr>
                <w:rFonts w:ascii="Calibri Light" w:eastAsia="Times New Roman" w:hAnsi="Calibri Light" w:cs="Calibri Light"/>
                <w:b/>
                <w:bCs/>
                <w:color w:val="000000"/>
                <w:sz w:val="24"/>
                <w:szCs w:val="24"/>
                <w:lang w:val="ro-MD"/>
              </w:rPr>
              <w:t>Anul 2019</w:t>
            </w:r>
          </w:p>
        </w:tc>
        <w:tc>
          <w:tcPr>
            <w:tcW w:w="25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7099" w:rsidRPr="00E67099" w:rsidRDefault="00E67099" w:rsidP="00E67099">
            <w:pPr>
              <w:spacing w:after="0" w:line="240" w:lineRule="auto"/>
              <w:jc w:val="center"/>
              <w:rPr>
                <w:rFonts w:ascii="Calibri Light" w:eastAsia="Times New Roman" w:hAnsi="Calibri Light" w:cs="Calibri Light"/>
                <w:b/>
                <w:bCs/>
                <w:color w:val="000000"/>
                <w:sz w:val="24"/>
                <w:szCs w:val="24"/>
                <w:lang w:val="en-US"/>
              </w:rPr>
            </w:pPr>
            <w:r w:rsidRPr="00E67099">
              <w:rPr>
                <w:rFonts w:ascii="Calibri Light" w:eastAsia="Times New Roman" w:hAnsi="Calibri Light" w:cs="Calibri Light"/>
                <w:b/>
                <w:bCs/>
                <w:color w:val="000000"/>
                <w:sz w:val="24"/>
                <w:szCs w:val="24"/>
                <w:lang w:val="ro-MD"/>
              </w:rPr>
              <w:t>Devieri (+/-)</w:t>
            </w:r>
          </w:p>
        </w:tc>
      </w:tr>
      <w:tr w:rsidR="00E67099" w:rsidRPr="00E67099" w:rsidTr="00A36731">
        <w:trPr>
          <w:trHeight w:val="230"/>
          <w:jc w:val="center"/>
        </w:trPr>
        <w:tc>
          <w:tcPr>
            <w:tcW w:w="2542" w:type="dxa"/>
            <w:vMerge/>
            <w:tcBorders>
              <w:top w:val="single" w:sz="8" w:space="0" w:color="999999"/>
              <w:left w:val="single" w:sz="8" w:space="0" w:color="999999"/>
              <w:bottom w:val="single" w:sz="8" w:space="0" w:color="999999"/>
              <w:right w:val="single" w:sz="8" w:space="0" w:color="999999"/>
            </w:tcBorders>
            <w:vAlign w:val="center"/>
            <w:hideMark/>
          </w:tcPr>
          <w:p w:rsidR="00E67099" w:rsidRPr="00E67099" w:rsidRDefault="00E67099" w:rsidP="00E67099">
            <w:pPr>
              <w:spacing w:after="0" w:line="240" w:lineRule="auto"/>
              <w:rPr>
                <w:rFonts w:ascii="Calibri Light" w:eastAsia="Times New Roman" w:hAnsi="Calibri Light" w:cs="Calibri Light"/>
                <w:b/>
                <w:bCs/>
                <w:color w:val="000000"/>
                <w:sz w:val="24"/>
                <w:szCs w:val="24"/>
                <w:lang w:val="en-US"/>
              </w:rPr>
            </w:pPr>
          </w:p>
        </w:tc>
        <w:tc>
          <w:tcPr>
            <w:tcW w:w="1065" w:type="dxa"/>
            <w:tcBorders>
              <w:top w:val="nil"/>
              <w:left w:val="nil"/>
              <w:bottom w:val="single" w:sz="8" w:space="0" w:color="999999"/>
              <w:right w:val="single" w:sz="8" w:space="0" w:color="999999"/>
            </w:tcBorders>
            <w:shd w:val="clear" w:color="auto" w:fill="auto"/>
            <w:noWrap/>
            <w:vAlign w:val="center"/>
            <w:hideMark/>
          </w:tcPr>
          <w:p w:rsidR="00E67099" w:rsidRPr="00E67099" w:rsidRDefault="00E67099" w:rsidP="00E67099">
            <w:pPr>
              <w:spacing w:after="0" w:line="240" w:lineRule="auto"/>
              <w:jc w:val="center"/>
              <w:rPr>
                <w:rFonts w:ascii="Calibri Light" w:eastAsia="Times New Roman" w:hAnsi="Calibri Light" w:cs="Calibri Light"/>
                <w:b/>
                <w:bCs/>
                <w:color w:val="000000"/>
                <w:sz w:val="24"/>
                <w:szCs w:val="24"/>
                <w:lang w:val="en-US"/>
              </w:rPr>
            </w:pPr>
            <w:r w:rsidRPr="00E67099">
              <w:rPr>
                <w:rFonts w:ascii="Calibri Light" w:eastAsia="Times New Roman" w:hAnsi="Calibri Light" w:cs="Calibri Light"/>
                <w:b/>
                <w:bCs/>
                <w:color w:val="000000"/>
                <w:sz w:val="24"/>
                <w:szCs w:val="24"/>
                <w:lang w:val="ro-MD"/>
              </w:rPr>
              <w:t>BS</w:t>
            </w:r>
          </w:p>
        </w:tc>
        <w:tc>
          <w:tcPr>
            <w:tcW w:w="1153" w:type="dxa"/>
            <w:tcBorders>
              <w:top w:val="nil"/>
              <w:left w:val="nil"/>
              <w:bottom w:val="single" w:sz="8" w:space="0" w:color="999999"/>
              <w:right w:val="single" w:sz="12" w:space="0" w:color="auto"/>
            </w:tcBorders>
            <w:shd w:val="clear" w:color="auto" w:fill="auto"/>
            <w:vAlign w:val="center"/>
            <w:hideMark/>
          </w:tcPr>
          <w:p w:rsidR="00E67099" w:rsidRPr="00E67099" w:rsidRDefault="00E67099" w:rsidP="00E67099">
            <w:pPr>
              <w:spacing w:after="0" w:line="240" w:lineRule="auto"/>
              <w:jc w:val="center"/>
              <w:rPr>
                <w:rFonts w:ascii="Calibri Light" w:eastAsia="Times New Roman" w:hAnsi="Calibri Light" w:cs="Calibri Light"/>
                <w:b/>
                <w:bCs/>
                <w:color w:val="000000"/>
                <w:sz w:val="24"/>
                <w:szCs w:val="24"/>
                <w:lang w:val="en-US"/>
              </w:rPr>
            </w:pPr>
            <w:r w:rsidRPr="00E67099">
              <w:rPr>
                <w:rFonts w:ascii="Calibri Light" w:eastAsia="Times New Roman" w:hAnsi="Calibri Light" w:cs="Calibri Light"/>
                <w:b/>
                <w:bCs/>
                <w:color w:val="000000"/>
                <w:sz w:val="24"/>
                <w:szCs w:val="24"/>
                <w:lang w:val="ro-MD"/>
              </w:rPr>
              <w:t>Ponderea</w:t>
            </w:r>
          </w:p>
        </w:tc>
        <w:tc>
          <w:tcPr>
            <w:tcW w:w="1174" w:type="dxa"/>
            <w:tcBorders>
              <w:top w:val="nil"/>
              <w:left w:val="nil"/>
              <w:bottom w:val="single" w:sz="8" w:space="0" w:color="999999"/>
              <w:right w:val="single" w:sz="8" w:space="0" w:color="999999"/>
            </w:tcBorders>
            <w:shd w:val="clear" w:color="auto" w:fill="auto"/>
            <w:vAlign w:val="center"/>
            <w:hideMark/>
          </w:tcPr>
          <w:p w:rsidR="00E67099" w:rsidRPr="00E67099" w:rsidRDefault="00E67099" w:rsidP="00E67099">
            <w:pPr>
              <w:spacing w:after="0" w:line="240" w:lineRule="auto"/>
              <w:jc w:val="center"/>
              <w:rPr>
                <w:rFonts w:ascii="Calibri Light" w:eastAsia="Times New Roman" w:hAnsi="Calibri Light" w:cs="Calibri Light"/>
                <w:b/>
                <w:bCs/>
                <w:color w:val="000000"/>
                <w:sz w:val="24"/>
                <w:szCs w:val="24"/>
                <w:lang w:val="en-US"/>
              </w:rPr>
            </w:pPr>
            <w:r w:rsidRPr="00E67099">
              <w:rPr>
                <w:rFonts w:ascii="Calibri Light" w:eastAsia="Times New Roman" w:hAnsi="Calibri Light" w:cs="Calibri Light"/>
                <w:b/>
                <w:bCs/>
                <w:color w:val="000000"/>
                <w:sz w:val="24"/>
                <w:szCs w:val="24"/>
                <w:lang w:val="ro-MD"/>
              </w:rPr>
              <w:t>BS</w:t>
            </w:r>
          </w:p>
        </w:tc>
        <w:tc>
          <w:tcPr>
            <w:tcW w:w="1254" w:type="dxa"/>
            <w:tcBorders>
              <w:top w:val="nil"/>
              <w:left w:val="nil"/>
              <w:bottom w:val="single" w:sz="8" w:space="0" w:color="999999"/>
              <w:right w:val="single" w:sz="12" w:space="0" w:color="auto"/>
            </w:tcBorders>
            <w:shd w:val="clear" w:color="auto" w:fill="auto"/>
            <w:vAlign w:val="center"/>
            <w:hideMark/>
          </w:tcPr>
          <w:p w:rsidR="00E67099" w:rsidRPr="00E67099" w:rsidRDefault="00E67099" w:rsidP="00E67099">
            <w:pPr>
              <w:spacing w:after="0" w:line="240" w:lineRule="auto"/>
              <w:jc w:val="center"/>
              <w:rPr>
                <w:rFonts w:ascii="Calibri Light" w:eastAsia="Times New Roman" w:hAnsi="Calibri Light" w:cs="Calibri Light"/>
                <w:b/>
                <w:bCs/>
                <w:color w:val="000000"/>
                <w:sz w:val="24"/>
                <w:szCs w:val="24"/>
                <w:lang w:val="en-US"/>
              </w:rPr>
            </w:pPr>
            <w:r w:rsidRPr="00E67099">
              <w:rPr>
                <w:rFonts w:ascii="Calibri Light" w:eastAsia="Times New Roman" w:hAnsi="Calibri Light" w:cs="Calibri Light"/>
                <w:b/>
                <w:bCs/>
                <w:color w:val="000000"/>
                <w:sz w:val="24"/>
                <w:szCs w:val="24"/>
                <w:lang w:val="ro-MD"/>
              </w:rPr>
              <w:t>Ponderea</w:t>
            </w:r>
          </w:p>
        </w:tc>
        <w:tc>
          <w:tcPr>
            <w:tcW w:w="1134" w:type="dxa"/>
            <w:tcBorders>
              <w:top w:val="nil"/>
              <w:left w:val="nil"/>
              <w:bottom w:val="single" w:sz="8" w:space="0" w:color="999999"/>
              <w:right w:val="single" w:sz="2" w:space="0" w:color="auto"/>
            </w:tcBorders>
            <w:shd w:val="clear" w:color="auto" w:fill="auto"/>
            <w:vAlign w:val="center"/>
            <w:hideMark/>
          </w:tcPr>
          <w:p w:rsidR="00E67099" w:rsidRPr="00E67099" w:rsidRDefault="00E67099" w:rsidP="00E67099">
            <w:pPr>
              <w:spacing w:after="0" w:line="240" w:lineRule="auto"/>
              <w:jc w:val="center"/>
              <w:rPr>
                <w:rFonts w:ascii="Calibri Light" w:eastAsia="Times New Roman" w:hAnsi="Calibri Light" w:cs="Calibri Light"/>
                <w:b/>
                <w:bCs/>
                <w:color w:val="000000"/>
                <w:sz w:val="24"/>
                <w:szCs w:val="24"/>
                <w:lang w:val="en-US"/>
              </w:rPr>
            </w:pPr>
            <w:r w:rsidRPr="00E67099">
              <w:rPr>
                <w:rFonts w:ascii="Calibri Light" w:eastAsia="Times New Roman" w:hAnsi="Calibri Light" w:cs="Calibri Light"/>
                <w:b/>
                <w:bCs/>
                <w:color w:val="000000"/>
                <w:sz w:val="24"/>
                <w:szCs w:val="24"/>
                <w:lang w:val="ro-MD"/>
              </w:rPr>
              <w:t>BS</w:t>
            </w:r>
          </w:p>
        </w:tc>
        <w:tc>
          <w:tcPr>
            <w:tcW w:w="1150" w:type="dxa"/>
            <w:tcBorders>
              <w:top w:val="nil"/>
              <w:left w:val="single" w:sz="2" w:space="0" w:color="auto"/>
              <w:bottom w:val="single" w:sz="8" w:space="0" w:color="999999"/>
              <w:right w:val="single" w:sz="4" w:space="0" w:color="auto"/>
            </w:tcBorders>
            <w:shd w:val="clear" w:color="auto" w:fill="auto"/>
            <w:vAlign w:val="center"/>
            <w:hideMark/>
          </w:tcPr>
          <w:p w:rsidR="00E67099" w:rsidRPr="00E67099" w:rsidRDefault="00E67099" w:rsidP="00E67099">
            <w:pPr>
              <w:spacing w:after="0" w:line="240" w:lineRule="auto"/>
              <w:jc w:val="center"/>
              <w:rPr>
                <w:rFonts w:ascii="Calibri Light" w:eastAsia="Times New Roman" w:hAnsi="Calibri Light" w:cs="Calibri Light"/>
                <w:b/>
                <w:bCs/>
                <w:color w:val="000000"/>
                <w:sz w:val="24"/>
                <w:szCs w:val="24"/>
                <w:lang w:val="en-US"/>
              </w:rPr>
            </w:pPr>
            <w:r w:rsidRPr="00E67099">
              <w:rPr>
                <w:rFonts w:ascii="Calibri Light" w:eastAsia="Times New Roman" w:hAnsi="Calibri Light" w:cs="Calibri Light"/>
                <w:b/>
                <w:bCs/>
                <w:color w:val="000000"/>
                <w:sz w:val="24"/>
                <w:szCs w:val="24"/>
                <w:lang w:val="ro-MD"/>
              </w:rPr>
              <w:t>Ponderea</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7099" w:rsidRPr="00E67099" w:rsidRDefault="00E67099" w:rsidP="00E67099">
            <w:pPr>
              <w:spacing w:after="0" w:line="240" w:lineRule="auto"/>
              <w:jc w:val="center"/>
              <w:rPr>
                <w:rFonts w:ascii="Calibri Light" w:eastAsia="Times New Roman" w:hAnsi="Calibri Light" w:cs="Calibri Light"/>
                <w:b/>
                <w:bCs/>
                <w:color w:val="000000"/>
                <w:sz w:val="24"/>
                <w:szCs w:val="24"/>
                <w:lang w:val="en-US"/>
              </w:rPr>
            </w:pPr>
            <w:r w:rsidRPr="00E67099">
              <w:rPr>
                <w:rFonts w:ascii="Calibri Light" w:eastAsia="Times New Roman" w:hAnsi="Calibri Light" w:cs="Calibri Light"/>
                <w:b/>
                <w:bCs/>
                <w:color w:val="000000"/>
                <w:sz w:val="24"/>
                <w:szCs w:val="24"/>
                <w:lang w:val="ro-MD"/>
              </w:rPr>
              <w:t>2019/2018</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7099" w:rsidRPr="00E67099" w:rsidRDefault="00E67099" w:rsidP="00E67099">
            <w:pPr>
              <w:spacing w:after="0" w:line="240" w:lineRule="auto"/>
              <w:jc w:val="center"/>
              <w:rPr>
                <w:rFonts w:ascii="Calibri Light" w:eastAsia="Times New Roman" w:hAnsi="Calibri Light" w:cs="Calibri Light"/>
                <w:b/>
                <w:bCs/>
                <w:color w:val="000000"/>
                <w:sz w:val="24"/>
                <w:szCs w:val="24"/>
                <w:lang w:val="en-US"/>
              </w:rPr>
            </w:pPr>
            <w:r w:rsidRPr="00E67099">
              <w:rPr>
                <w:rFonts w:ascii="Calibri Light" w:eastAsia="Times New Roman" w:hAnsi="Calibri Light" w:cs="Calibri Light"/>
                <w:b/>
                <w:bCs/>
                <w:color w:val="000000"/>
                <w:sz w:val="24"/>
                <w:szCs w:val="24"/>
                <w:lang w:val="ro-MD"/>
              </w:rPr>
              <w:t>2019/2017</w:t>
            </w:r>
          </w:p>
        </w:tc>
      </w:tr>
      <w:tr w:rsidR="00E67099" w:rsidRPr="00E67099" w:rsidTr="00A36731">
        <w:trPr>
          <w:trHeight w:val="50"/>
          <w:jc w:val="center"/>
        </w:trPr>
        <w:tc>
          <w:tcPr>
            <w:tcW w:w="2542" w:type="dxa"/>
            <w:tcBorders>
              <w:top w:val="nil"/>
              <w:left w:val="single" w:sz="8" w:space="0" w:color="999999"/>
              <w:bottom w:val="single" w:sz="8" w:space="0" w:color="999999"/>
              <w:right w:val="single" w:sz="8" w:space="0" w:color="999999"/>
            </w:tcBorders>
            <w:shd w:val="clear" w:color="auto" w:fill="auto"/>
            <w:vAlign w:val="center"/>
            <w:hideMark/>
          </w:tcPr>
          <w:p w:rsidR="00E67099" w:rsidRPr="00E67099" w:rsidRDefault="00E67099" w:rsidP="00E67099">
            <w:pPr>
              <w:spacing w:after="0" w:line="240" w:lineRule="auto"/>
              <w:jc w:val="center"/>
              <w:rPr>
                <w:rFonts w:ascii="Calibri Light" w:eastAsia="Times New Roman" w:hAnsi="Calibri Light" w:cs="Calibri Light"/>
                <w:i/>
                <w:iCs/>
                <w:color w:val="000000"/>
                <w:sz w:val="18"/>
                <w:szCs w:val="18"/>
                <w:lang w:val="en-US"/>
              </w:rPr>
            </w:pPr>
            <w:r w:rsidRPr="00E67099">
              <w:rPr>
                <w:rFonts w:ascii="Calibri Light" w:eastAsia="Times New Roman" w:hAnsi="Calibri Light" w:cs="Calibri Light"/>
                <w:i/>
                <w:iCs/>
                <w:color w:val="000000"/>
                <w:sz w:val="18"/>
                <w:szCs w:val="18"/>
                <w:lang w:val="en-US"/>
              </w:rPr>
              <w:t>1</w:t>
            </w:r>
          </w:p>
        </w:tc>
        <w:tc>
          <w:tcPr>
            <w:tcW w:w="1065" w:type="dxa"/>
            <w:tcBorders>
              <w:top w:val="nil"/>
              <w:left w:val="nil"/>
              <w:bottom w:val="single" w:sz="8" w:space="0" w:color="999999"/>
              <w:right w:val="single" w:sz="8" w:space="0" w:color="999999"/>
            </w:tcBorders>
            <w:shd w:val="clear" w:color="auto" w:fill="auto"/>
            <w:noWrap/>
            <w:vAlign w:val="center"/>
            <w:hideMark/>
          </w:tcPr>
          <w:p w:rsidR="00E67099" w:rsidRPr="00E67099" w:rsidRDefault="00E67099" w:rsidP="00E67099">
            <w:pPr>
              <w:spacing w:after="0" w:line="240" w:lineRule="auto"/>
              <w:jc w:val="center"/>
              <w:rPr>
                <w:rFonts w:ascii="Calibri Light" w:eastAsia="Times New Roman" w:hAnsi="Calibri Light" w:cs="Calibri Light"/>
                <w:i/>
                <w:iCs/>
                <w:color w:val="000000"/>
                <w:sz w:val="18"/>
                <w:szCs w:val="18"/>
                <w:lang w:val="en-US"/>
              </w:rPr>
            </w:pPr>
            <w:r w:rsidRPr="00E67099">
              <w:rPr>
                <w:rFonts w:ascii="Calibri Light" w:eastAsia="Times New Roman" w:hAnsi="Calibri Light" w:cs="Calibri Light"/>
                <w:i/>
                <w:iCs/>
                <w:color w:val="000000"/>
                <w:sz w:val="18"/>
                <w:szCs w:val="18"/>
                <w:lang w:val="en-US"/>
              </w:rPr>
              <w:t>2</w:t>
            </w:r>
          </w:p>
        </w:tc>
        <w:tc>
          <w:tcPr>
            <w:tcW w:w="1153" w:type="dxa"/>
            <w:tcBorders>
              <w:top w:val="nil"/>
              <w:left w:val="nil"/>
              <w:bottom w:val="single" w:sz="8" w:space="0" w:color="999999"/>
              <w:right w:val="single" w:sz="12" w:space="0" w:color="auto"/>
            </w:tcBorders>
            <w:shd w:val="clear" w:color="auto" w:fill="auto"/>
            <w:vAlign w:val="center"/>
            <w:hideMark/>
          </w:tcPr>
          <w:p w:rsidR="00E67099" w:rsidRPr="00E67099" w:rsidRDefault="00E67099" w:rsidP="00E67099">
            <w:pPr>
              <w:spacing w:after="0" w:line="240" w:lineRule="auto"/>
              <w:jc w:val="center"/>
              <w:rPr>
                <w:rFonts w:ascii="Calibri Light" w:eastAsia="Times New Roman" w:hAnsi="Calibri Light" w:cs="Calibri Light"/>
                <w:i/>
                <w:iCs/>
                <w:color w:val="000000"/>
                <w:sz w:val="18"/>
                <w:szCs w:val="18"/>
                <w:lang w:val="en-US"/>
              </w:rPr>
            </w:pPr>
            <w:r w:rsidRPr="00E67099">
              <w:rPr>
                <w:rFonts w:ascii="Calibri Light" w:eastAsia="Times New Roman" w:hAnsi="Calibri Light" w:cs="Calibri Light"/>
                <w:i/>
                <w:iCs/>
                <w:color w:val="000000"/>
                <w:sz w:val="18"/>
                <w:szCs w:val="18"/>
                <w:lang w:val="en-US"/>
              </w:rPr>
              <w:t>3</w:t>
            </w:r>
          </w:p>
        </w:tc>
        <w:tc>
          <w:tcPr>
            <w:tcW w:w="1174" w:type="dxa"/>
            <w:tcBorders>
              <w:top w:val="nil"/>
              <w:left w:val="single" w:sz="8" w:space="0" w:color="999999"/>
              <w:bottom w:val="single" w:sz="8" w:space="0" w:color="999999"/>
              <w:right w:val="single" w:sz="8" w:space="0" w:color="999999"/>
            </w:tcBorders>
            <w:shd w:val="clear" w:color="auto" w:fill="auto"/>
            <w:vAlign w:val="center"/>
            <w:hideMark/>
          </w:tcPr>
          <w:p w:rsidR="00E67099" w:rsidRPr="00E67099" w:rsidRDefault="00E67099" w:rsidP="00E67099">
            <w:pPr>
              <w:spacing w:after="0" w:line="240" w:lineRule="auto"/>
              <w:jc w:val="center"/>
              <w:rPr>
                <w:rFonts w:ascii="Calibri Light" w:eastAsia="Times New Roman" w:hAnsi="Calibri Light" w:cs="Calibri Light"/>
                <w:i/>
                <w:iCs/>
                <w:color w:val="000000"/>
                <w:sz w:val="18"/>
                <w:szCs w:val="18"/>
                <w:lang w:val="en-US"/>
              </w:rPr>
            </w:pPr>
            <w:r w:rsidRPr="00E67099">
              <w:rPr>
                <w:rFonts w:ascii="Calibri Light" w:eastAsia="Times New Roman" w:hAnsi="Calibri Light" w:cs="Calibri Light"/>
                <w:i/>
                <w:iCs/>
                <w:color w:val="000000"/>
                <w:sz w:val="18"/>
                <w:szCs w:val="18"/>
                <w:lang w:val="en-US"/>
              </w:rPr>
              <w:t>4</w:t>
            </w:r>
          </w:p>
        </w:tc>
        <w:tc>
          <w:tcPr>
            <w:tcW w:w="1254" w:type="dxa"/>
            <w:tcBorders>
              <w:top w:val="nil"/>
              <w:left w:val="nil"/>
              <w:bottom w:val="single" w:sz="8" w:space="0" w:color="999999"/>
              <w:right w:val="single" w:sz="12" w:space="0" w:color="auto"/>
            </w:tcBorders>
            <w:shd w:val="clear" w:color="auto" w:fill="auto"/>
            <w:noWrap/>
            <w:vAlign w:val="center"/>
            <w:hideMark/>
          </w:tcPr>
          <w:p w:rsidR="00E67099" w:rsidRPr="00E67099" w:rsidRDefault="00E67099" w:rsidP="00E67099">
            <w:pPr>
              <w:spacing w:after="0" w:line="240" w:lineRule="auto"/>
              <w:jc w:val="center"/>
              <w:rPr>
                <w:rFonts w:ascii="Calibri Light" w:eastAsia="Times New Roman" w:hAnsi="Calibri Light" w:cs="Calibri Light"/>
                <w:i/>
                <w:iCs/>
                <w:color w:val="000000"/>
                <w:sz w:val="18"/>
                <w:szCs w:val="18"/>
                <w:lang w:val="en-US"/>
              </w:rPr>
            </w:pPr>
            <w:r w:rsidRPr="00E67099">
              <w:rPr>
                <w:rFonts w:ascii="Calibri Light" w:eastAsia="Times New Roman" w:hAnsi="Calibri Light" w:cs="Calibri Light"/>
                <w:i/>
                <w:iCs/>
                <w:color w:val="000000"/>
                <w:sz w:val="18"/>
                <w:szCs w:val="18"/>
                <w:lang w:val="en-US"/>
              </w:rPr>
              <w:t>5</w:t>
            </w:r>
          </w:p>
        </w:tc>
        <w:tc>
          <w:tcPr>
            <w:tcW w:w="1134" w:type="dxa"/>
            <w:tcBorders>
              <w:top w:val="nil"/>
              <w:left w:val="single" w:sz="12" w:space="0" w:color="auto"/>
              <w:bottom w:val="single" w:sz="8" w:space="0" w:color="999999"/>
              <w:right w:val="single" w:sz="2" w:space="0" w:color="auto"/>
            </w:tcBorders>
            <w:shd w:val="clear" w:color="auto" w:fill="auto"/>
            <w:vAlign w:val="center"/>
            <w:hideMark/>
          </w:tcPr>
          <w:p w:rsidR="00E67099" w:rsidRPr="00E67099" w:rsidRDefault="00E67099" w:rsidP="00E67099">
            <w:pPr>
              <w:spacing w:after="0" w:line="240" w:lineRule="auto"/>
              <w:jc w:val="center"/>
              <w:rPr>
                <w:rFonts w:ascii="Calibri Light" w:eastAsia="Times New Roman" w:hAnsi="Calibri Light" w:cs="Calibri Light"/>
                <w:i/>
                <w:iCs/>
                <w:color w:val="000000"/>
                <w:sz w:val="18"/>
                <w:szCs w:val="18"/>
                <w:lang w:val="en-US"/>
              </w:rPr>
            </w:pPr>
            <w:r w:rsidRPr="00E67099">
              <w:rPr>
                <w:rFonts w:ascii="Calibri Light" w:eastAsia="Times New Roman" w:hAnsi="Calibri Light" w:cs="Calibri Light"/>
                <w:i/>
                <w:iCs/>
                <w:color w:val="000000"/>
                <w:sz w:val="18"/>
                <w:szCs w:val="18"/>
                <w:lang w:val="en-US"/>
              </w:rPr>
              <w:t>6</w:t>
            </w:r>
          </w:p>
        </w:tc>
        <w:tc>
          <w:tcPr>
            <w:tcW w:w="1150" w:type="dxa"/>
            <w:tcBorders>
              <w:top w:val="nil"/>
              <w:left w:val="single" w:sz="2" w:space="0" w:color="auto"/>
              <w:bottom w:val="single" w:sz="8" w:space="0" w:color="999999"/>
              <w:right w:val="single" w:sz="4" w:space="0" w:color="auto"/>
            </w:tcBorders>
            <w:shd w:val="clear" w:color="auto" w:fill="auto"/>
            <w:vAlign w:val="center"/>
            <w:hideMark/>
          </w:tcPr>
          <w:p w:rsidR="00E67099" w:rsidRPr="00E67099" w:rsidRDefault="00E67099" w:rsidP="00E67099">
            <w:pPr>
              <w:spacing w:after="0" w:line="240" w:lineRule="auto"/>
              <w:jc w:val="center"/>
              <w:rPr>
                <w:rFonts w:ascii="Calibri Light" w:eastAsia="Times New Roman" w:hAnsi="Calibri Light" w:cs="Calibri Light"/>
                <w:i/>
                <w:iCs/>
                <w:color w:val="000000"/>
                <w:sz w:val="18"/>
                <w:szCs w:val="18"/>
                <w:lang w:val="en-US"/>
              </w:rPr>
            </w:pPr>
            <w:r w:rsidRPr="00E67099">
              <w:rPr>
                <w:rFonts w:ascii="Calibri Light" w:eastAsia="Times New Roman" w:hAnsi="Calibri Light" w:cs="Calibri Light"/>
                <w:i/>
                <w:iCs/>
                <w:color w:val="000000"/>
                <w:sz w:val="18"/>
                <w:szCs w:val="18"/>
                <w:lang w:val="en-US"/>
              </w:rPr>
              <w:t>7</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Calibri Light" w:eastAsia="Times New Roman" w:hAnsi="Calibri Light" w:cs="Calibri Light"/>
                <w:i/>
                <w:iCs/>
                <w:color w:val="000000"/>
                <w:sz w:val="18"/>
                <w:szCs w:val="18"/>
                <w:lang w:val="en-US"/>
              </w:rPr>
            </w:pPr>
            <w:r w:rsidRPr="00E67099">
              <w:rPr>
                <w:rFonts w:ascii="Calibri Light" w:eastAsia="Times New Roman" w:hAnsi="Calibri Light" w:cs="Calibri Light"/>
                <w:i/>
                <w:iCs/>
                <w:color w:val="000000"/>
                <w:sz w:val="18"/>
                <w:szCs w:val="18"/>
                <w:lang w:val="en-US"/>
              </w:rPr>
              <w:t>8=6-4</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7099" w:rsidRPr="00E67099" w:rsidRDefault="00E67099" w:rsidP="00E67099">
            <w:pPr>
              <w:spacing w:after="0" w:line="240" w:lineRule="auto"/>
              <w:jc w:val="center"/>
              <w:rPr>
                <w:rFonts w:ascii="Calibri Light" w:eastAsia="Times New Roman" w:hAnsi="Calibri Light" w:cs="Calibri Light"/>
                <w:i/>
                <w:iCs/>
                <w:color w:val="000000"/>
                <w:sz w:val="18"/>
                <w:szCs w:val="18"/>
                <w:lang w:val="en-US"/>
              </w:rPr>
            </w:pPr>
            <w:r w:rsidRPr="00E67099">
              <w:rPr>
                <w:rFonts w:ascii="Calibri Light" w:eastAsia="Times New Roman" w:hAnsi="Calibri Light" w:cs="Calibri Light"/>
                <w:i/>
                <w:iCs/>
                <w:color w:val="000000"/>
                <w:sz w:val="18"/>
                <w:szCs w:val="18"/>
                <w:lang w:val="en-US"/>
              </w:rPr>
              <w:t>9=6-2</w:t>
            </w:r>
          </w:p>
        </w:tc>
      </w:tr>
      <w:tr w:rsidR="00E67099" w:rsidRPr="00E67099" w:rsidTr="00A36731">
        <w:trPr>
          <w:trHeight w:val="300"/>
          <w:jc w:val="center"/>
        </w:trPr>
        <w:tc>
          <w:tcPr>
            <w:tcW w:w="12032" w:type="dxa"/>
            <w:gridSpan w:val="9"/>
            <w:tcBorders>
              <w:top w:val="single" w:sz="4" w:space="0" w:color="auto"/>
              <w:left w:val="single" w:sz="4" w:space="0" w:color="auto"/>
              <w:bottom w:val="single" w:sz="4" w:space="0" w:color="auto"/>
              <w:right w:val="single" w:sz="4" w:space="0" w:color="auto"/>
            </w:tcBorders>
            <w:shd w:val="clear" w:color="000000" w:fill="D5DCE4"/>
            <w:vAlign w:val="center"/>
            <w:hideMark/>
          </w:tcPr>
          <w:p w:rsidR="00E67099" w:rsidRPr="00E67099" w:rsidRDefault="00E67099" w:rsidP="00E67099">
            <w:pPr>
              <w:spacing w:after="0" w:line="240" w:lineRule="auto"/>
              <w:jc w:val="center"/>
              <w:rPr>
                <w:rFonts w:ascii="Calibri Light" w:eastAsia="Times New Roman" w:hAnsi="Calibri Light" w:cs="Calibri Light"/>
                <w:b/>
                <w:bCs/>
                <w:color w:val="000000"/>
                <w:sz w:val="24"/>
                <w:szCs w:val="24"/>
                <w:lang w:val="en-US"/>
              </w:rPr>
            </w:pPr>
            <w:r w:rsidRPr="00E67099">
              <w:rPr>
                <w:rFonts w:ascii="Calibri Light" w:eastAsia="Times New Roman" w:hAnsi="Calibri Light" w:cs="Calibri Light"/>
                <w:b/>
                <w:bCs/>
                <w:color w:val="000000"/>
                <w:sz w:val="24"/>
                <w:szCs w:val="24"/>
                <w:lang w:val="ro-MD"/>
              </w:rPr>
              <w:t>SERVICIUL FISCAL DE STAT</w:t>
            </w:r>
          </w:p>
        </w:tc>
      </w:tr>
      <w:tr w:rsidR="00E67099" w:rsidRPr="00E67099" w:rsidTr="00A36731">
        <w:trPr>
          <w:trHeight w:val="300"/>
          <w:jc w:val="center"/>
        </w:trPr>
        <w:tc>
          <w:tcPr>
            <w:tcW w:w="2542" w:type="dxa"/>
            <w:tcBorders>
              <w:top w:val="nil"/>
              <w:left w:val="single" w:sz="8" w:space="0" w:color="999999"/>
              <w:bottom w:val="single" w:sz="8" w:space="0" w:color="999999"/>
              <w:right w:val="single" w:sz="8" w:space="0" w:color="999999"/>
            </w:tcBorders>
            <w:shd w:val="clear" w:color="auto" w:fill="auto"/>
            <w:noWrap/>
            <w:vAlign w:val="center"/>
            <w:hideMark/>
          </w:tcPr>
          <w:p w:rsidR="00E67099" w:rsidRPr="00E67099" w:rsidRDefault="00E67099" w:rsidP="00E67099">
            <w:pPr>
              <w:spacing w:after="0" w:line="240" w:lineRule="auto"/>
              <w:rPr>
                <w:rFonts w:ascii="Calibri Light" w:eastAsia="Times New Roman" w:hAnsi="Calibri Light" w:cs="Calibri Light"/>
                <w:b/>
                <w:bCs/>
                <w:color w:val="000000"/>
                <w:sz w:val="24"/>
                <w:szCs w:val="24"/>
                <w:lang w:val="en-US"/>
              </w:rPr>
            </w:pPr>
            <w:r w:rsidRPr="00E67099">
              <w:rPr>
                <w:rFonts w:ascii="Calibri Light" w:eastAsia="Times New Roman" w:hAnsi="Calibri Light" w:cs="Calibri Light"/>
                <w:b/>
                <w:bCs/>
                <w:color w:val="000000"/>
                <w:sz w:val="24"/>
                <w:szCs w:val="24"/>
                <w:lang w:val="ro-MD"/>
              </w:rPr>
              <w:t>Plăți de bază</w:t>
            </w:r>
          </w:p>
        </w:tc>
        <w:tc>
          <w:tcPr>
            <w:tcW w:w="1065" w:type="dxa"/>
            <w:tcBorders>
              <w:top w:val="nil"/>
              <w:left w:val="nil"/>
              <w:bottom w:val="single" w:sz="8" w:space="0" w:color="999999"/>
              <w:right w:val="single" w:sz="8" w:space="0" w:color="999999"/>
            </w:tcBorders>
            <w:shd w:val="clear" w:color="auto" w:fill="auto"/>
            <w:noWrap/>
            <w:vAlign w:val="center"/>
            <w:hideMark/>
          </w:tcPr>
          <w:p w:rsidR="00E67099" w:rsidRPr="00E67099" w:rsidRDefault="00E67099" w:rsidP="00E67099">
            <w:pPr>
              <w:spacing w:after="0" w:line="240" w:lineRule="auto"/>
              <w:jc w:val="right"/>
              <w:rPr>
                <w:rFonts w:ascii="Calibri Light" w:eastAsia="Times New Roman" w:hAnsi="Calibri Light" w:cs="Calibri Light"/>
                <w:color w:val="000000"/>
                <w:sz w:val="24"/>
                <w:szCs w:val="24"/>
                <w:lang w:val="en-US"/>
              </w:rPr>
            </w:pPr>
            <w:r w:rsidRPr="00E67099">
              <w:rPr>
                <w:rFonts w:ascii="Calibri Light" w:eastAsia="Times New Roman" w:hAnsi="Calibri Light" w:cs="Calibri Light"/>
                <w:color w:val="000000"/>
                <w:sz w:val="24"/>
                <w:szCs w:val="24"/>
                <w:lang w:val="ro-MD"/>
              </w:rPr>
              <w:t>727,40</w:t>
            </w:r>
          </w:p>
        </w:tc>
        <w:tc>
          <w:tcPr>
            <w:tcW w:w="1153" w:type="dxa"/>
            <w:tcBorders>
              <w:top w:val="nil"/>
              <w:left w:val="nil"/>
              <w:bottom w:val="single" w:sz="8" w:space="0" w:color="999999"/>
              <w:right w:val="single" w:sz="12" w:space="0" w:color="auto"/>
            </w:tcBorders>
            <w:shd w:val="clear" w:color="auto" w:fill="auto"/>
            <w:vAlign w:val="center"/>
            <w:hideMark/>
          </w:tcPr>
          <w:p w:rsidR="00E67099" w:rsidRPr="00E67099" w:rsidRDefault="00E67099" w:rsidP="00E67099">
            <w:pPr>
              <w:spacing w:after="0" w:line="240" w:lineRule="auto"/>
              <w:jc w:val="right"/>
              <w:rPr>
                <w:rFonts w:ascii="Calibri Light" w:eastAsia="Times New Roman" w:hAnsi="Calibri Light" w:cs="Calibri Light"/>
                <w:i/>
                <w:iCs/>
                <w:color w:val="000000"/>
                <w:sz w:val="24"/>
                <w:szCs w:val="24"/>
                <w:lang w:val="en-US"/>
              </w:rPr>
            </w:pPr>
            <w:r w:rsidRPr="00E67099">
              <w:rPr>
                <w:rFonts w:ascii="Calibri Light" w:eastAsia="Times New Roman" w:hAnsi="Calibri Light" w:cs="Calibri Light"/>
                <w:i/>
                <w:iCs/>
                <w:color w:val="000000"/>
                <w:sz w:val="24"/>
                <w:szCs w:val="24"/>
                <w:lang w:val="ro-MD"/>
              </w:rPr>
              <w:t>0,50</w:t>
            </w:r>
          </w:p>
        </w:tc>
        <w:tc>
          <w:tcPr>
            <w:tcW w:w="1174" w:type="dxa"/>
            <w:tcBorders>
              <w:top w:val="nil"/>
              <w:left w:val="nil"/>
              <w:bottom w:val="single" w:sz="8" w:space="0" w:color="999999"/>
              <w:right w:val="single" w:sz="8" w:space="0" w:color="999999"/>
            </w:tcBorders>
            <w:shd w:val="clear" w:color="auto" w:fill="auto"/>
            <w:vAlign w:val="center"/>
            <w:hideMark/>
          </w:tcPr>
          <w:p w:rsidR="00E67099" w:rsidRPr="00E67099" w:rsidRDefault="00E67099" w:rsidP="00E67099">
            <w:pPr>
              <w:spacing w:after="0" w:line="240" w:lineRule="auto"/>
              <w:jc w:val="right"/>
              <w:rPr>
                <w:rFonts w:ascii="Calibri Light" w:eastAsia="Times New Roman" w:hAnsi="Calibri Light" w:cs="Calibri Light"/>
                <w:color w:val="000000"/>
                <w:sz w:val="24"/>
                <w:szCs w:val="24"/>
                <w:lang w:val="en-US"/>
              </w:rPr>
            </w:pPr>
            <w:r w:rsidRPr="00E67099">
              <w:rPr>
                <w:rFonts w:ascii="Calibri Light" w:eastAsia="Times New Roman" w:hAnsi="Calibri Light" w:cs="Calibri Light"/>
                <w:color w:val="000000"/>
                <w:sz w:val="24"/>
                <w:szCs w:val="24"/>
                <w:lang w:val="ro-MD"/>
              </w:rPr>
              <w:t>631,60</w:t>
            </w:r>
          </w:p>
        </w:tc>
        <w:tc>
          <w:tcPr>
            <w:tcW w:w="1254" w:type="dxa"/>
            <w:tcBorders>
              <w:top w:val="nil"/>
              <w:left w:val="nil"/>
              <w:bottom w:val="single" w:sz="8" w:space="0" w:color="999999"/>
              <w:right w:val="single" w:sz="12" w:space="0" w:color="auto"/>
            </w:tcBorders>
            <w:shd w:val="clear" w:color="auto" w:fill="auto"/>
            <w:vAlign w:val="center"/>
            <w:hideMark/>
          </w:tcPr>
          <w:p w:rsidR="00E67099" w:rsidRPr="00E67099" w:rsidRDefault="00E67099" w:rsidP="00E67099">
            <w:pPr>
              <w:spacing w:after="0" w:line="240" w:lineRule="auto"/>
              <w:jc w:val="right"/>
              <w:rPr>
                <w:rFonts w:ascii="Calibri Light" w:eastAsia="Times New Roman" w:hAnsi="Calibri Light" w:cs="Calibri Light"/>
                <w:i/>
                <w:iCs/>
                <w:color w:val="000000"/>
                <w:sz w:val="24"/>
                <w:szCs w:val="24"/>
                <w:lang w:val="en-US"/>
              </w:rPr>
            </w:pPr>
            <w:r w:rsidRPr="00E67099">
              <w:rPr>
                <w:rFonts w:ascii="Calibri Light" w:eastAsia="Times New Roman" w:hAnsi="Calibri Light" w:cs="Calibri Light"/>
                <w:i/>
                <w:iCs/>
                <w:color w:val="000000"/>
                <w:sz w:val="24"/>
                <w:szCs w:val="24"/>
                <w:lang w:val="ro-MD"/>
              </w:rPr>
              <w:t>0,55</w:t>
            </w:r>
          </w:p>
        </w:tc>
        <w:tc>
          <w:tcPr>
            <w:tcW w:w="1134" w:type="dxa"/>
            <w:tcBorders>
              <w:top w:val="nil"/>
              <w:left w:val="nil"/>
              <w:bottom w:val="single" w:sz="8" w:space="0" w:color="999999"/>
              <w:right w:val="single" w:sz="2" w:space="0" w:color="auto"/>
            </w:tcBorders>
            <w:shd w:val="clear" w:color="auto" w:fill="auto"/>
            <w:vAlign w:val="center"/>
            <w:hideMark/>
          </w:tcPr>
          <w:p w:rsidR="00E67099" w:rsidRPr="00E67099" w:rsidRDefault="00E67099" w:rsidP="00E67099">
            <w:pPr>
              <w:spacing w:after="0" w:line="240" w:lineRule="auto"/>
              <w:jc w:val="right"/>
              <w:rPr>
                <w:rFonts w:ascii="Calibri Light" w:eastAsia="Times New Roman" w:hAnsi="Calibri Light" w:cs="Calibri Light"/>
                <w:i/>
                <w:iCs/>
                <w:color w:val="000000"/>
                <w:sz w:val="24"/>
                <w:szCs w:val="24"/>
                <w:lang w:val="en-US"/>
              </w:rPr>
            </w:pPr>
            <w:r w:rsidRPr="00E67099">
              <w:rPr>
                <w:rFonts w:ascii="Calibri Light" w:eastAsia="Times New Roman" w:hAnsi="Calibri Light" w:cs="Calibri Light"/>
                <w:i/>
                <w:iCs/>
                <w:color w:val="000000"/>
                <w:sz w:val="24"/>
                <w:szCs w:val="24"/>
                <w:lang w:val="ro-MD"/>
              </w:rPr>
              <w:t>425,70</w:t>
            </w:r>
          </w:p>
        </w:tc>
        <w:tc>
          <w:tcPr>
            <w:tcW w:w="1150" w:type="dxa"/>
            <w:tcBorders>
              <w:top w:val="nil"/>
              <w:left w:val="single" w:sz="2" w:space="0" w:color="auto"/>
              <w:bottom w:val="single" w:sz="8" w:space="0" w:color="999999"/>
              <w:right w:val="single" w:sz="4" w:space="0" w:color="auto"/>
            </w:tcBorders>
            <w:shd w:val="clear" w:color="auto" w:fill="auto"/>
            <w:vAlign w:val="center"/>
            <w:hideMark/>
          </w:tcPr>
          <w:p w:rsidR="00E67099" w:rsidRPr="00E67099" w:rsidRDefault="00E67099" w:rsidP="00E67099">
            <w:pPr>
              <w:spacing w:after="0" w:line="240" w:lineRule="auto"/>
              <w:jc w:val="right"/>
              <w:rPr>
                <w:rFonts w:ascii="Calibri Light" w:eastAsia="Times New Roman" w:hAnsi="Calibri Light" w:cs="Calibri Light"/>
                <w:i/>
                <w:iCs/>
                <w:color w:val="000000"/>
                <w:sz w:val="24"/>
                <w:szCs w:val="24"/>
                <w:lang w:val="en-US"/>
              </w:rPr>
            </w:pPr>
            <w:r w:rsidRPr="00E67099">
              <w:rPr>
                <w:rFonts w:ascii="Calibri Light" w:eastAsia="Times New Roman" w:hAnsi="Calibri Light" w:cs="Calibri Light"/>
                <w:i/>
                <w:iCs/>
                <w:color w:val="000000"/>
                <w:sz w:val="24"/>
                <w:szCs w:val="24"/>
                <w:lang w:val="ro-MD"/>
              </w:rPr>
              <w:t>53,07</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7099" w:rsidRPr="00E67099" w:rsidRDefault="00E67099" w:rsidP="00E67099">
            <w:pPr>
              <w:spacing w:after="0" w:line="240" w:lineRule="auto"/>
              <w:jc w:val="right"/>
              <w:rPr>
                <w:rFonts w:ascii="Calibri Light" w:eastAsia="Times New Roman" w:hAnsi="Calibri Light" w:cs="Calibri Light"/>
                <w:i/>
                <w:iCs/>
                <w:color w:val="000000"/>
                <w:sz w:val="24"/>
                <w:szCs w:val="24"/>
                <w:lang w:val="en-US"/>
              </w:rPr>
            </w:pPr>
            <w:r w:rsidRPr="00E67099">
              <w:rPr>
                <w:rFonts w:ascii="Calibri Light" w:eastAsia="Times New Roman" w:hAnsi="Calibri Light" w:cs="Calibri Light"/>
                <w:i/>
                <w:iCs/>
                <w:color w:val="000000"/>
                <w:sz w:val="24"/>
                <w:szCs w:val="24"/>
                <w:lang w:val="ro-MD"/>
              </w:rPr>
              <w:t>-205,90</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7099" w:rsidRPr="00E67099" w:rsidRDefault="00E67099" w:rsidP="00E67099">
            <w:pPr>
              <w:spacing w:after="0" w:line="240" w:lineRule="auto"/>
              <w:jc w:val="right"/>
              <w:rPr>
                <w:rFonts w:ascii="Calibri Light" w:eastAsia="Times New Roman" w:hAnsi="Calibri Light" w:cs="Calibri Light"/>
                <w:i/>
                <w:iCs/>
                <w:color w:val="000000"/>
                <w:sz w:val="24"/>
                <w:szCs w:val="24"/>
                <w:lang w:val="en-US"/>
              </w:rPr>
            </w:pPr>
            <w:r w:rsidRPr="00E67099">
              <w:rPr>
                <w:rFonts w:ascii="Calibri Light" w:eastAsia="Times New Roman" w:hAnsi="Calibri Light" w:cs="Calibri Light"/>
                <w:i/>
                <w:iCs/>
                <w:color w:val="000000"/>
                <w:sz w:val="24"/>
                <w:szCs w:val="24"/>
                <w:lang w:val="ro-MD"/>
              </w:rPr>
              <w:t>-301,70</w:t>
            </w:r>
          </w:p>
        </w:tc>
      </w:tr>
      <w:tr w:rsidR="00E67099" w:rsidRPr="00E67099" w:rsidTr="00A36731">
        <w:trPr>
          <w:trHeight w:val="311"/>
          <w:jc w:val="center"/>
        </w:trPr>
        <w:tc>
          <w:tcPr>
            <w:tcW w:w="2542" w:type="dxa"/>
            <w:tcBorders>
              <w:top w:val="nil"/>
              <w:left w:val="single" w:sz="8" w:space="0" w:color="999999"/>
              <w:bottom w:val="single" w:sz="8" w:space="0" w:color="999999"/>
              <w:right w:val="single" w:sz="8" w:space="0" w:color="999999"/>
            </w:tcBorders>
            <w:shd w:val="clear" w:color="auto" w:fill="auto"/>
            <w:vAlign w:val="center"/>
            <w:hideMark/>
          </w:tcPr>
          <w:p w:rsidR="00E67099" w:rsidRPr="00E67099" w:rsidRDefault="00E67099" w:rsidP="00E67099">
            <w:pPr>
              <w:spacing w:after="0" w:line="240" w:lineRule="auto"/>
              <w:rPr>
                <w:rFonts w:ascii="Calibri Light" w:eastAsia="Times New Roman" w:hAnsi="Calibri Light" w:cs="Calibri Light"/>
                <w:b/>
                <w:bCs/>
                <w:color w:val="000000"/>
                <w:sz w:val="24"/>
                <w:szCs w:val="24"/>
                <w:lang w:val="en-US"/>
              </w:rPr>
            </w:pPr>
            <w:r w:rsidRPr="00E67099">
              <w:rPr>
                <w:rFonts w:ascii="Calibri Light" w:eastAsia="Times New Roman" w:hAnsi="Calibri Light" w:cs="Calibri Light"/>
                <w:b/>
                <w:bCs/>
                <w:color w:val="000000"/>
                <w:sz w:val="24"/>
                <w:szCs w:val="24"/>
                <w:lang w:val="ro-MD"/>
              </w:rPr>
              <w:t>Majorare de întârziere</w:t>
            </w:r>
          </w:p>
        </w:tc>
        <w:tc>
          <w:tcPr>
            <w:tcW w:w="1065" w:type="dxa"/>
            <w:tcBorders>
              <w:top w:val="nil"/>
              <w:left w:val="nil"/>
              <w:bottom w:val="single" w:sz="8" w:space="0" w:color="999999"/>
              <w:right w:val="single" w:sz="8" w:space="0" w:color="999999"/>
            </w:tcBorders>
            <w:shd w:val="clear" w:color="auto" w:fill="auto"/>
            <w:noWrap/>
            <w:vAlign w:val="center"/>
            <w:hideMark/>
          </w:tcPr>
          <w:p w:rsidR="00E67099" w:rsidRPr="00E67099" w:rsidRDefault="00E67099" w:rsidP="00E67099">
            <w:pPr>
              <w:spacing w:after="0" w:line="240" w:lineRule="auto"/>
              <w:jc w:val="right"/>
              <w:rPr>
                <w:rFonts w:ascii="Calibri Light" w:eastAsia="Times New Roman" w:hAnsi="Calibri Light" w:cs="Calibri Light"/>
                <w:color w:val="000000"/>
                <w:sz w:val="24"/>
                <w:szCs w:val="24"/>
                <w:lang w:val="en-US"/>
              </w:rPr>
            </w:pPr>
            <w:r w:rsidRPr="00E67099">
              <w:rPr>
                <w:rFonts w:ascii="Calibri Light" w:eastAsia="Times New Roman" w:hAnsi="Calibri Light" w:cs="Calibri Light"/>
                <w:color w:val="000000"/>
                <w:sz w:val="24"/>
                <w:szCs w:val="24"/>
                <w:lang w:val="ro-MD"/>
              </w:rPr>
              <w:t>340,50</w:t>
            </w:r>
          </w:p>
        </w:tc>
        <w:tc>
          <w:tcPr>
            <w:tcW w:w="1153" w:type="dxa"/>
            <w:tcBorders>
              <w:top w:val="nil"/>
              <w:left w:val="nil"/>
              <w:bottom w:val="single" w:sz="8" w:space="0" w:color="999999"/>
              <w:right w:val="single" w:sz="12" w:space="0" w:color="auto"/>
            </w:tcBorders>
            <w:shd w:val="clear" w:color="auto" w:fill="auto"/>
            <w:vAlign w:val="center"/>
            <w:hideMark/>
          </w:tcPr>
          <w:p w:rsidR="00E67099" w:rsidRPr="00E67099" w:rsidRDefault="00E67099" w:rsidP="00E67099">
            <w:pPr>
              <w:spacing w:after="0" w:line="240" w:lineRule="auto"/>
              <w:jc w:val="right"/>
              <w:rPr>
                <w:rFonts w:ascii="Calibri Light" w:eastAsia="Times New Roman" w:hAnsi="Calibri Light" w:cs="Calibri Light"/>
                <w:i/>
                <w:iCs/>
                <w:color w:val="000000"/>
                <w:sz w:val="24"/>
                <w:szCs w:val="24"/>
                <w:lang w:val="en-US"/>
              </w:rPr>
            </w:pPr>
            <w:r w:rsidRPr="00E67099">
              <w:rPr>
                <w:rFonts w:ascii="Calibri Light" w:eastAsia="Times New Roman" w:hAnsi="Calibri Light" w:cs="Calibri Light"/>
                <w:i/>
                <w:iCs/>
                <w:color w:val="000000"/>
                <w:sz w:val="24"/>
                <w:szCs w:val="24"/>
                <w:lang w:val="ro-MD"/>
              </w:rPr>
              <w:t>0,23</w:t>
            </w:r>
          </w:p>
        </w:tc>
        <w:tc>
          <w:tcPr>
            <w:tcW w:w="1174" w:type="dxa"/>
            <w:tcBorders>
              <w:top w:val="nil"/>
              <w:left w:val="nil"/>
              <w:bottom w:val="single" w:sz="8" w:space="0" w:color="999999"/>
              <w:right w:val="single" w:sz="8" w:space="0" w:color="999999"/>
            </w:tcBorders>
            <w:shd w:val="clear" w:color="auto" w:fill="auto"/>
            <w:vAlign w:val="center"/>
            <w:hideMark/>
          </w:tcPr>
          <w:p w:rsidR="00E67099" w:rsidRPr="00E67099" w:rsidRDefault="00E67099" w:rsidP="00E67099">
            <w:pPr>
              <w:spacing w:after="0" w:line="240" w:lineRule="auto"/>
              <w:jc w:val="right"/>
              <w:rPr>
                <w:rFonts w:ascii="Calibri Light" w:eastAsia="Times New Roman" w:hAnsi="Calibri Light" w:cs="Calibri Light"/>
                <w:color w:val="000000"/>
                <w:sz w:val="24"/>
                <w:szCs w:val="24"/>
                <w:lang w:val="en-US"/>
              </w:rPr>
            </w:pPr>
            <w:r w:rsidRPr="00E67099">
              <w:rPr>
                <w:rFonts w:ascii="Calibri Light" w:eastAsia="Times New Roman" w:hAnsi="Calibri Light" w:cs="Calibri Light"/>
                <w:color w:val="000000"/>
                <w:sz w:val="24"/>
                <w:szCs w:val="24"/>
                <w:lang w:val="ro-MD"/>
              </w:rPr>
              <w:t>283,40</w:t>
            </w:r>
          </w:p>
        </w:tc>
        <w:tc>
          <w:tcPr>
            <w:tcW w:w="1254" w:type="dxa"/>
            <w:tcBorders>
              <w:top w:val="nil"/>
              <w:left w:val="nil"/>
              <w:bottom w:val="single" w:sz="8" w:space="0" w:color="999999"/>
              <w:right w:val="single" w:sz="12" w:space="0" w:color="auto"/>
            </w:tcBorders>
            <w:shd w:val="clear" w:color="auto" w:fill="auto"/>
            <w:vAlign w:val="center"/>
            <w:hideMark/>
          </w:tcPr>
          <w:p w:rsidR="00E67099" w:rsidRPr="00E67099" w:rsidRDefault="00E67099" w:rsidP="00E67099">
            <w:pPr>
              <w:spacing w:after="0" w:line="240" w:lineRule="auto"/>
              <w:jc w:val="right"/>
              <w:rPr>
                <w:rFonts w:ascii="Calibri Light" w:eastAsia="Times New Roman" w:hAnsi="Calibri Light" w:cs="Calibri Light"/>
                <w:i/>
                <w:iCs/>
                <w:color w:val="000000"/>
                <w:sz w:val="24"/>
                <w:szCs w:val="24"/>
                <w:lang w:val="en-US"/>
              </w:rPr>
            </w:pPr>
            <w:r w:rsidRPr="00E67099">
              <w:rPr>
                <w:rFonts w:ascii="Calibri Light" w:eastAsia="Times New Roman" w:hAnsi="Calibri Light" w:cs="Calibri Light"/>
                <w:i/>
                <w:iCs/>
                <w:color w:val="000000"/>
                <w:sz w:val="24"/>
                <w:szCs w:val="24"/>
                <w:lang w:val="ro-MD"/>
              </w:rPr>
              <w:t>0,25</w:t>
            </w:r>
          </w:p>
        </w:tc>
        <w:tc>
          <w:tcPr>
            <w:tcW w:w="1134" w:type="dxa"/>
            <w:tcBorders>
              <w:top w:val="nil"/>
              <w:left w:val="nil"/>
              <w:bottom w:val="single" w:sz="8" w:space="0" w:color="999999"/>
              <w:right w:val="single" w:sz="2" w:space="0" w:color="auto"/>
            </w:tcBorders>
            <w:shd w:val="clear" w:color="auto" w:fill="auto"/>
            <w:vAlign w:val="center"/>
            <w:hideMark/>
          </w:tcPr>
          <w:p w:rsidR="00E67099" w:rsidRPr="00E67099" w:rsidRDefault="00E67099" w:rsidP="00E67099">
            <w:pPr>
              <w:spacing w:after="0" w:line="240" w:lineRule="auto"/>
              <w:jc w:val="right"/>
              <w:rPr>
                <w:rFonts w:ascii="Calibri Light" w:eastAsia="Times New Roman" w:hAnsi="Calibri Light" w:cs="Calibri Light"/>
                <w:i/>
                <w:iCs/>
                <w:color w:val="000000"/>
                <w:sz w:val="24"/>
                <w:szCs w:val="24"/>
                <w:lang w:val="en-US"/>
              </w:rPr>
            </w:pPr>
            <w:r w:rsidRPr="00E67099">
              <w:rPr>
                <w:rFonts w:ascii="Calibri Light" w:eastAsia="Times New Roman" w:hAnsi="Calibri Light" w:cs="Calibri Light"/>
                <w:i/>
                <w:iCs/>
                <w:color w:val="000000"/>
                <w:sz w:val="24"/>
                <w:szCs w:val="24"/>
                <w:lang w:val="ro-MD"/>
              </w:rPr>
              <w:t>212,90</w:t>
            </w:r>
          </w:p>
        </w:tc>
        <w:tc>
          <w:tcPr>
            <w:tcW w:w="1150" w:type="dxa"/>
            <w:tcBorders>
              <w:top w:val="nil"/>
              <w:left w:val="single" w:sz="2" w:space="0" w:color="auto"/>
              <w:bottom w:val="single" w:sz="8" w:space="0" w:color="999999"/>
              <w:right w:val="single" w:sz="4" w:space="0" w:color="auto"/>
            </w:tcBorders>
            <w:shd w:val="clear" w:color="auto" w:fill="auto"/>
            <w:vAlign w:val="center"/>
            <w:hideMark/>
          </w:tcPr>
          <w:p w:rsidR="00E67099" w:rsidRPr="00E67099" w:rsidRDefault="00E67099" w:rsidP="00E67099">
            <w:pPr>
              <w:spacing w:after="0" w:line="240" w:lineRule="auto"/>
              <w:jc w:val="right"/>
              <w:rPr>
                <w:rFonts w:ascii="Calibri Light" w:eastAsia="Times New Roman" w:hAnsi="Calibri Light" w:cs="Calibri Light"/>
                <w:i/>
                <w:iCs/>
                <w:color w:val="000000"/>
                <w:sz w:val="24"/>
                <w:szCs w:val="24"/>
                <w:lang w:val="en-US"/>
              </w:rPr>
            </w:pPr>
            <w:r w:rsidRPr="00E67099">
              <w:rPr>
                <w:rFonts w:ascii="Calibri Light" w:eastAsia="Times New Roman" w:hAnsi="Calibri Light" w:cs="Calibri Light"/>
                <w:i/>
                <w:iCs/>
                <w:color w:val="000000"/>
                <w:sz w:val="24"/>
                <w:szCs w:val="24"/>
                <w:lang w:val="ro-MD"/>
              </w:rPr>
              <w:t>26,54</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7099" w:rsidRPr="00E67099" w:rsidRDefault="00E67099" w:rsidP="00E67099">
            <w:pPr>
              <w:spacing w:after="0" w:line="240" w:lineRule="auto"/>
              <w:jc w:val="right"/>
              <w:rPr>
                <w:rFonts w:ascii="Calibri Light" w:eastAsia="Times New Roman" w:hAnsi="Calibri Light" w:cs="Calibri Light"/>
                <w:i/>
                <w:iCs/>
                <w:color w:val="000000"/>
                <w:sz w:val="24"/>
                <w:szCs w:val="24"/>
                <w:lang w:val="en-US"/>
              </w:rPr>
            </w:pPr>
            <w:r w:rsidRPr="00E67099">
              <w:rPr>
                <w:rFonts w:ascii="Calibri Light" w:eastAsia="Times New Roman" w:hAnsi="Calibri Light" w:cs="Calibri Light"/>
                <w:i/>
                <w:iCs/>
                <w:color w:val="000000"/>
                <w:sz w:val="24"/>
                <w:szCs w:val="24"/>
                <w:lang w:val="ro-MD"/>
              </w:rPr>
              <w:t>-70,50</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7099" w:rsidRPr="00E67099" w:rsidRDefault="00E67099" w:rsidP="00E67099">
            <w:pPr>
              <w:spacing w:after="0" w:line="240" w:lineRule="auto"/>
              <w:jc w:val="right"/>
              <w:rPr>
                <w:rFonts w:ascii="Calibri Light" w:eastAsia="Times New Roman" w:hAnsi="Calibri Light" w:cs="Calibri Light"/>
                <w:i/>
                <w:iCs/>
                <w:color w:val="000000"/>
                <w:sz w:val="24"/>
                <w:szCs w:val="24"/>
                <w:lang w:val="en-US"/>
              </w:rPr>
            </w:pPr>
            <w:r w:rsidRPr="00E67099">
              <w:rPr>
                <w:rFonts w:ascii="Calibri Light" w:eastAsia="Times New Roman" w:hAnsi="Calibri Light" w:cs="Calibri Light"/>
                <w:i/>
                <w:iCs/>
                <w:color w:val="000000"/>
                <w:sz w:val="24"/>
                <w:szCs w:val="24"/>
                <w:lang w:val="ro-MD"/>
              </w:rPr>
              <w:t>-127,60</w:t>
            </w:r>
          </w:p>
        </w:tc>
      </w:tr>
      <w:tr w:rsidR="00E67099" w:rsidRPr="00E67099" w:rsidTr="00A36731">
        <w:trPr>
          <w:trHeight w:val="300"/>
          <w:jc w:val="center"/>
        </w:trPr>
        <w:tc>
          <w:tcPr>
            <w:tcW w:w="2542" w:type="dxa"/>
            <w:tcBorders>
              <w:top w:val="nil"/>
              <w:left w:val="single" w:sz="8" w:space="0" w:color="999999"/>
              <w:bottom w:val="single" w:sz="8" w:space="0" w:color="999999"/>
              <w:right w:val="single" w:sz="8" w:space="0" w:color="999999"/>
            </w:tcBorders>
            <w:shd w:val="clear" w:color="auto" w:fill="auto"/>
            <w:noWrap/>
            <w:vAlign w:val="center"/>
            <w:hideMark/>
          </w:tcPr>
          <w:p w:rsidR="00E67099" w:rsidRPr="00E67099" w:rsidRDefault="00E67099" w:rsidP="00E67099">
            <w:pPr>
              <w:spacing w:after="0" w:line="240" w:lineRule="auto"/>
              <w:rPr>
                <w:rFonts w:ascii="Calibri Light" w:eastAsia="Times New Roman" w:hAnsi="Calibri Light" w:cs="Calibri Light"/>
                <w:b/>
                <w:bCs/>
                <w:color w:val="000000"/>
                <w:sz w:val="24"/>
                <w:szCs w:val="24"/>
                <w:lang w:val="en-US"/>
              </w:rPr>
            </w:pPr>
            <w:r w:rsidRPr="00E67099">
              <w:rPr>
                <w:rFonts w:ascii="Calibri Light" w:eastAsia="Times New Roman" w:hAnsi="Calibri Light" w:cs="Calibri Light"/>
                <w:b/>
                <w:bCs/>
                <w:color w:val="000000"/>
                <w:sz w:val="24"/>
                <w:szCs w:val="24"/>
                <w:lang w:val="ro-MD"/>
              </w:rPr>
              <w:t>Amenzi</w:t>
            </w:r>
          </w:p>
        </w:tc>
        <w:tc>
          <w:tcPr>
            <w:tcW w:w="1065" w:type="dxa"/>
            <w:tcBorders>
              <w:top w:val="nil"/>
              <w:left w:val="nil"/>
              <w:bottom w:val="single" w:sz="8" w:space="0" w:color="999999"/>
              <w:right w:val="single" w:sz="8" w:space="0" w:color="999999"/>
            </w:tcBorders>
            <w:shd w:val="clear" w:color="auto" w:fill="auto"/>
            <w:noWrap/>
            <w:vAlign w:val="center"/>
            <w:hideMark/>
          </w:tcPr>
          <w:p w:rsidR="00E67099" w:rsidRPr="00E67099" w:rsidRDefault="00E67099" w:rsidP="00E67099">
            <w:pPr>
              <w:spacing w:after="0" w:line="240" w:lineRule="auto"/>
              <w:jc w:val="right"/>
              <w:rPr>
                <w:rFonts w:ascii="Calibri Light" w:eastAsia="Times New Roman" w:hAnsi="Calibri Light" w:cs="Calibri Light"/>
                <w:color w:val="000000"/>
                <w:sz w:val="24"/>
                <w:szCs w:val="24"/>
                <w:lang w:val="en-US"/>
              </w:rPr>
            </w:pPr>
            <w:r w:rsidRPr="00E67099">
              <w:rPr>
                <w:rFonts w:ascii="Calibri Light" w:eastAsia="Times New Roman" w:hAnsi="Calibri Light" w:cs="Calibri Light"/>
                <w:color w:val="000000"/>
                <w:sz w:val="24"/>
                <w:szCs w:val="24"/>
                <w:lang w:val="ro-MD"/>
              </w:rPr>
              <w:t>399,10</w:t>
            </w:r>
          </w:p>
        </w:tc>
        <w:tc>
          <w:tcPr>
            <w:tcW w:w="1153" w:type="dxa"/>
            <w:tcBorders>
              <w:top w:val="nil"/>
              <w:left w:val="nil"/>
              <w:bottom w:val="single" w:sz="8" w:space="0" w:color="999999"/>
              <w:right w:val="single" w:sz="12" w:space="0" w:color="auto"/>
            </w:tcBorders>
            <w:shd w:val="clear" w:color="auto" w:fill="auto"/>
            <w:vAlign w:val="center"/>
            <w:hideMark/>
          </w:tcPr>
          <w:p w:rsidR="00E67099" w:rsidRPr="00E67099" w:rsidRDefault="00E67099" w:rsidP="00E67099">
            <w:pPr>
              <w:spacing w:after="0" w:line="240" w:lineRule="auto"/>
              <w:jc w:val="right"/>
              <w:rPr>
                <w:rFonts w:ascii="Calibri Light" w:eastAsia="Times New Roman" w:hAnsi="Calibri Light" w:cs="Calibri Light"/>
                <w:i/>
                <w:iCs/>
                <w:color w:val="000000"/>
                <w:sz w:val="24"/>
                <w:szCs w:val="24"/>
                <w:lang w:val="en-US"/>
              </w:rPr>
            </w:pPr>
            <w:r w:rsidRPr="00E67099">
              <w:rPr>
                <w:rFonts w:ascii="Calibri Light" w:eastAsia="Times New Roman" w:hAnsi="Calibri Light" w:cs="Calibri Light"/>
                <w:i/>
                <w:iCs/>
                <w:color w:val="000000"/>
                <w:sz w:val="24"/>
                <w:szCs w:val="24"/>
                <w:lang w:val="ro-MD"/>
              </w:rPr>
              <w:t>0,27</w:t>
            </w:r>
          </w:p>
        </w:tc>
        <w:tc>
          <w:tcPr>
            <w:tcW w:w="1174" w:type="dxa"/>
            <w:tcBorders>
              <w:top w:val="nil"/>
              <w:left w:val="nil"/>
              <w:bottom w:val="single" w:sz="8" w:space="0" w:color="999999"/>
              <w:right w:val="single" w:sz="8" w:space="0" w:color="999999"/>
            </w:tcBorders>
            <w:shd w:val="clear" w:color="auto" w:fill="auto"/>
            <w:vAlign w:val="center"/>
            <w:hideMark/>
          </w:tcPr>
          <w:p w:rsidR="00E67099" w:rsidRPr="00E67099" w:rsidRDefault="00E67099" w:rsidP="00E67099">
            <w:pPr>
              <w:spacing w:after="0" w:line="240" w:lineRule="auto"/>
              <w:jc w:val="right"/>
              <w:rPr>
                <w:rFonts w:ascii="Calibri Light" w:eastAsia="Times New Roman" w:hAnsi="Calibri Light" w:cs="Calibri Light"/>
                <w:color w:val="000000"/>
                <w:sz w:val="24"/>
                <w:szCs w:val="24"/>
                <w:lang w:val="en-US"/>
              </w:rPr>
            </w:pPr>
            <w:r w:rsidRPr="00E67099">
              <w:rPr>
                <w:rFonts w:ascii="Calibri Light" w:eastAsia="Times New Roman" w:hAnsi="Calibri Light" w:cs="Calibri Light"/>
                <w:color w:val="000000"/>
                <w:sz w:val="24"/>
                <w:szCs w:val="24"/>
                <w:lang w:val="ro-MD"/>
              </w:rPr>
              <w:t>228,30</w:t>
            </w:r>
          </w:p>
        </w:tc>
        <w:tc>
          <w:tcPr>
            <w:tcW w:w="1254" w:type="dxa"/>
            <w:tcBorders>
              <w:top w:val="nil"/>
              <w:left w:val="nil"/>
              <w:bottom w:val="single" w:sz="8" w:space="0" w:color="999999"/>
              <w:right w:val="single" w:sz="12" w:space="0" w:color="auto"/>
            </w:tcBorders>
            <w:shd w:val="clear" w:color="auto" w:fill="auto"/>
            <w:vAlign w:val="center"/>
            <w:hideMark/>
          </w:tcPr>
          <w:p w:rsidR="00E67099" w:rsidRPr="00E67099" w:rsidRDefault="00E67099" w:rsidP="00E67099">
            <w:pPr>
              <w:spacing w:after="0" w:line="240" w:lineRule="auto"/>
              <w:jc w:val="right"/>
              <w:rPr>
                <w:rFonts w:ascii="Calibri Light" w:eastAsia="Times New Roman" w:hAnsi="Calibri Light" w:cs="Calibri Light"/>
                <w:i/>
                <w:iCs/>
                <w:color w:val="000000"/>
                <w:sz w:val="24"/>
                <w:szCs w:val="24"/>
                <w:lang w:val="en-US"/>
              </w:rPr>
            </w:pPr>
            <w:r w:rsidRPr="00E67099">
              <w:rPr>
                <w:rFonts w:ascii="Calibri Light" w:eastAsia="Times New Roman" w:hAnsi="Calibri Light" w:cs="Calibri Light"/>
                <w:i/>
                <w:iCs/>
                <w:color w:val="000000"/>
                <w:sz w:val="24"/>
                <w:szCs w:val="24"/>
                <w:lang w:val="ro-MD"/>
              </w:rPr>
              <w:t>0,20</w:t>
            </w:r>
          </w:p>
        </w:tc>
        <w:tc>
          <w:tcPr>
            <w:tcW w:w="1134" w:type="dxa"/>
            <w:tcBorders>
              <w:top w:val="nil"/>
              <w:left w:val="nil"/>
              <w:bottom w:val="single" w:sz="8" w:space="0" w:color="999999"/>
              <w:right w:val="single" w:sz="2" w:space="0" w:color="auto"/>
            </w:tcBorders>
            <w:shd w:val="clear" w:color="auto" w:fill="auto"/>
            <w:vAlign w:val="center"/>
            <w:hideMark/>
          </w:tcPr>
          <w:p w:rsidR="00E67099" w:rsidRPr="00E67099" w:rsidRDefault="00E67099" w:rsidP="00E67099">
            <w:pPr>
              <w:spacing w:after="0" w:line="240" w:lineRule="auto"/>
              <w:jc w:val="right"/>
              <w:rPr>
                <w:rFonts w:ascii="Calibri Light" w:eastAsia="Times New Roman" w:hAnsi="Calibri Light" w:cs="Calibri Light"/>
                <w:i/>
                <w:iCs/>
                <w:color w:val="000000"/>
                <w:sz w:val="24"/>
                <w:szCs w:val="24"/>
                <w:lang w:val="en-US"/>
              </w:rPr>
            </w:pPr>
            <w:r w:rsidRPr="00E67099">
              <w:rPr>
                <w:rFonts w:ascii="Calibri Light" w:eastAsia="Times New Roman" w:hAnsi="Calibri Light" w:cs="Calibri Light"/>
                <w:i/>
                <w:iCs/>
                <w:color w:val="000000"/>
                <w:sz w:val="24"/>
                <w:szCs w:val="24"/>
                <w:lang w:val="ro-MD"/>
              </w:rPr>
              <w:t>163,50</w:t>
            </w:r>
          </w:p>
        </w:tc>
        <w:tc>
          <w:tcPr>
            <w:tcW w:w="1150" w:type="dxa"/>
            <w:tcBorders>
              <w:top w:val="nil"/>
              <w:left w:val="single" w:sz="2" w:space="0" w:color="auto"/>
              <w:bottom w:val="single" w:sz="8" w:space="0" w:color="999999"/>
              <w:right w:val="single" w:sz="4" w:space="0" w:color="auto"/>
            </w:tcBorders>
            <w:shd w:val="clear" w:color="auto" w:fill="auto"/>
            <w:vAlign w:val="center"/>
            <w:hideMark/>
          </w:tcPr>
          <w:p w:rsidR="00E67099" w:rsidRPr="00E67099" w:rsidRDefault="00E67099" w:rsidP="00E67099">
            <w:pPr>
              <w:spacing w:after="0" w:line="240" w:lineRule="auto"/>
              <w:jc w:val="right"/>
              <w:rPr>
                <w:rFonts w:ascii="Calibri Light" w:eastAsia="Times New Roman" w:hAnsi="Calibri Light" w:cs="Calibri Light"/>
                <w:i/>
                <w:iCs/>
                <w:color w:val="000000"/>
                <w:sz w:val="24"/>
                <w:szCs w:val="24"/>
                <w:lang w:val="en-US"/>
              </w:rPr>
            </w:pPr>
            <w:r w:rsidRPr="00E67099">
              <w:rPr>
                <w:rFonts w:ascii="Calibri Light" w:eastAsia="Times New Roman" w:hAnsi="Calibri Light" w:cs="Calibri Light"/>
                <w:i/>
                <w:iCs/>
                <w:color w:val="000000"/>
                <w:sz w:val="24"/>
                <w:szCs w:val="24"/>
                <w:lang w:val="ro-MD"/>
              </w:rPr>
              <w:t>20,38</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7099" w:rsidRPr="00E67099" w:rsidRDefault="00E67099" w:rsidP="00E67099">
            <w:pPr>
              <w:spacing w:after="0" w:line="240" w:lineRule="auto"/>
              <w:jc w:val="right"/>
              <w:rPr>
                <w:rFonts w:ascii="Calibri Light" w:eastAsia="Times New Roman" w:hAnsi="Calibri Light" w:cs="Calibri Light"/>
                <w:i/>
                <w:iCs/>
                <w:color w:val="000000"/>
                <w:sz w:val="24"/>
                <w:szCs w:val="24"/>
                <w:lang w:val="en-US"/>
              </w:rPr>
            </w:pPr>
            <w:r w:rsidRPr="00E67099">
              <w:rPr>
                <w:rFonts w:ascii="Calibri Light" w:eastAsia="Times New Roman" w:hAnsi="Calibri Light" w:cs="Calibri Light"/>
                <w:i/>
                <w:iCs/>
                <w:color w:val="000000"/>
                <w:sz w:val="24"/>
                <w:szCs w:val="24"/>
                <w:lang w:val="ro-MD"/>
              </w:rPr>
              <w:t>-64,80</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7099" w:rsidRPr="00E67099" w:rsidRDefault="00E67099" w:rsidP="00E67099">
            <w:pPr>
              <w:spacing w:after="0" w:line="240" w:lineRule="auto"/>
              <w:jc w:val="right"/>
              <w:rPr>
                <w:rFonts w:ascii="Calibri Light" w:eastAsia="Times New Roman" w:hAnsi="Calibri Light" w:cs="Calibri Light"/>
                <w:i/>
                <w:iCs/>
                <w:color w:val="000000"/>
                <w:sz w:val="24"/>
                <w:szCs w:val="24"/>
                <w:lang w:val="en-US"/>
              </w:rPr>
            </w:pPr>
            <w:r w:rsidRPr="00E67099">
              <w:rPr>
                <w:rFonts w:ascii="Calibri Light" w:eastAsia="Times New Roman" w:hAnsi="Calibri Light" w:cs="Calibri Light"/>
                <w:i/>
                <w:iCs/>
                <w:color w:val="000000"/>
                <w:sz w:val="24"/>
                <w:szCs w:val="24"/>
                <w:lang w:val="ro-MD"/>
              </w:rPr>
              <w:t>-235,60</w:t>
            </w:r>
          </w:p>
        </w:tc>
      </w:tr>
      <w:tr w:rsidR="00E67099" w:rsidRPr="00E67099" w:rsidTr="00A36731">
        <w:trPr>
          <w:trHeight w:val="300"/>
          <w:jc w:val="center"/>
        </w:trPr>
        <w:tc>
          <w:tcPr>
            <w:tcW w:w="2542" w:type="dxa"/>
            <w:tcBorders>
              <w:top w:val="nil"/>
              <w:left w:val="single" w:sz="8" w:space="0" w:color="999999"/>
              <w:bottom w:val="single" w:sz="8" w:space="0" w:color="999999"/>
              <w:right w:val="single" w:sz="8" w:space="0" w:color="999999"/>
            </w:tcBorders>
            <w:shd w:val="clear" w:color="000000" w:fill="D9D9D9"/>
            <w:noWrap/>
            <w:vAlign w:val="center"/>
            <w:hideMark/>
          </w:tcPr>
          <w:p w:rsidR="00E67099" w:rsidRPr="00E67099" w:rsidRDefault="00E67099" w:rsidP="00E67099">
            <w:pPr>
              <w:spacing w:after="0" w:line="240" w:lineRule="auto"/>
              <w:rPr>
                <w:rFonts w:ascii="Calibri Light" w:eastAsia="Times New Roman" w:hAnsi="Calibri Light" w:cs="Calibri Light"/>
                <w:b/>
                <w:bCs/>
                <w:color w:val="000000"/>
                <w:sz w:val="24"/>
                <w:szCs w:val="24"/>
                <w:lang w:val="en-US"/>
              </w:rPr>
            </w:pPr>
            <w:r w:rsidRPr="00E67099">
              <w:rPr>
                <w:rFonts w:ascii="Calibri Light" w:eastAsia="Times New Roman" w:hAnsi="Calibri Light" w:cs="Calibri Light"/>
                <w:b/>
                <w:bCs/>
                <w:color w:val="000000"/>
                <w:sz w:val="24"/>
                <w:szCs w:val="24"/>
                <w:lang w:val="ro-MD"/>
              </w:rPr>
              <w:t>Total restanțe</w:t>
            </w:r>
          </w:p>
        </w:tc>
        <w:tc>
          <w:tcPr>
            <w:tcW w:w="1065" w:type="dxa"/>
            <w:tcBorders>
              <w:top w:val="nil"/>
              <w:left w:val="nil"/>
              <w:bottom w:val="single" w:sz="8" w:space="0" w:color="999999"/>
              <w:right w:val="single" w:sz="8" w:space="0" w:color="999999"/>
            </w:tcBorders>
            <w:shd w:val="clear" w:color="000000" w:fill="D9D9D9"/>
            <w:noWrap/>
            <w:vAlign w:val="center"/>
            <w:hideMark/>
          </w:tcPr>
          <w:p w:rsidR="00E67099" w:rsidRPr="00E67099" w:rsidRDefault="00E67099" w:rsidP="00E67099">
            <w:pPr>
              <w:spacing w:after="0" w:line="240" w:lineRule="auto"/>
              <w:jc w:val="right"/>
              <w:rPr>
                <w:rFonts w:ascii="Calibri Light" w:eastAsia="Times New Roman" w:hAnsi="Calibri Light" w:cs="Calibri Light"/>
                <w:b/>
                <w:bCs/>
                <w:color w:val="000000"/>
                <w:sz w:val="24"/>
                <w:szCs w:val="24"/>
                <w:lang w:val="en-US"/>
              </w:rPr>
            </w:pPr>
            <w:r w:rsidRPr="00E67099">
              <w:rPr>
                <w:rFonts w:ascii="Calibri Light" w:eastAsia="Times New Roman" w:hAnsi="Calibri Light" w:cs="Calibri Light"/>
                <w:b/>
                <w:bCs/>
                <w:color w:val="000000"/>
                <w:sz w:val="24"/>
                <w:szCs w:val="24"/>
                <w:lang w:val="ro-MD"/>
              </w:rPr>
              <w:t>1.466,90</w:t>
            </w:r>
          </w:p>
        </w:tc>
        <w:tc>
          <w:tcPr>
            <w:tcW w:w="1153" w:type="dxa"/>
            <w:tcBorders>
              <w:top w:val="nil"/>
              <w:left w:val="nil"/>
              <w:bottom w:val="single" w:sz="8" w:space="0" w:color="999999"/>
              <w:right w:val="single" w:sz="12" w:space="0" w:color="auto"/>
            </w:tcBorders>
            <w:shd w:val="clear" w:color="000000" w:fill="F2F2F2"/>
            <w:vAlign w:val="center"/>
            <w:hideMark/>
          </w:tcPr>
          <w:p w:rsidR="00E67099" w:rsidRPr="00E67099" w:rsidRDefault="00E67099" w:rsidP="00E67099">
            <w:pPr>
              <w:spacing w:after="0" w:line="240" w:lineRule="auto"/>
              <w:jc w:val="right"/>
              <w:rPr>
                <w:rFonts w:ascii="Calibri Light" w:eastAsia="Times New Roman" w:hAnsi="Calibri Light" w:cs="Calibri Light"/>
                <w:b/>
                <w:bCs/>
                <w:i/>
                <w:iCs/>
                <w:color w:val="000000"/>
                <w:sz w:val="24"/>
                <w:szCs w:val="24"/>
                <w:lang w:val="en-US"/>
              </w:rPr>
            </w:pPr>
            <w:r w:rsidRPr="00E67099">
              <w:rPr>
                <w:rFonts w:ascii="Calibri Light" w:eastAsia="Times New Roman" w:hAnsi="Calibri Light" w:cs="Calibri Light"/>
                <w:b/>
                <w:bCs/>
                <w:i/>
                <w:iCs/>
                <w:color w:val="000000"/>
                <w:sz w:val="24"/>
                <w:szCs w:val="24"/>
                <w:lang w:val="ro-MD"/>
              </w:rPr>
              <w:t>1,00</w:t>
            </w:r>
          </w:p>
        </w:tc>
        <w:tc>
          <w:tcPr>
            <w:tcW w:w="1174" w:type="dxa"/>
            <w:tcBorders>
              <w:top w:val="nil"/>
              <w:left w:val="nil"/>
              <w:bottom w:val="single" w:sz="8" w:space="0" w:color="999999"/>
              <w:right w:val="single" w:sz="8" w:space="0" w:color="999999"/>
            </w:tcBorders>
            <w:shd w:val="clear" w:color="000000" w:fill="D9D9D9"/>
            <w:vAlign w:val="center"/>
            <w:hideMark/>
          </w:tcPr>
          <w:p w:rsidR="00E67099" w:rsidRPr="00E67099" w:rsidRDefault="00E67099" w:rsidP="00E67099">
            <w:pPr>
              <w:spacing w:after="0" w:line="240" w:lineRule="auto"/>
              <w:jc w:val="right"/>
              <w:rPr>
                <w:rFonts w:ascii="Calibri Light" w:eastAsia="Times New Roman" w:hAnsi="Calibri Light" w:cs="Calibri Light"/>
                <w:b/>
                <w:bCs/>
                <w:color w:val="000000"/>
                <w:sz w:val="24"/>
                <w:szCs w:val="24"/>
                <w:lang w:val="en-US"/>
              </w:rPr>
            </w:pPr>
            <w:r w:rsidRPr="00E67099">
              <w:rPr>
                <w:rFonts w:ascii="Calibri Light" w:eastAsia="Times New Roman" w:hAnsi="Calibri Light" w:cs="Calibri Light"/>
                <w:b/>
                <w:bCs/>
                <w:color w:val="000000"/>
                <w:sz w:val="24"/>
                <w:szCs w:val="24"/>
                <w:lang w:val="ro-MD"/>
              </w:rPr>
              <w:t>1.143,30</w:t>
            </w:r>
          </w:p>
        </w:tc>
        <w:tc>
          <w:tcPr>
            <w:tcW w:w="1254" w:type="dxa"/>
            <w:tcBorders>
              <w:top w:val="nil"/>
              <w:left w:val="nil"/>
              <w:bottom w:val="single" w:sz="8" w:space="0" w:color="999999"/>
              <w:right w:val="single" w:sz="12" w:space="0" w:color="auto"/>
            </w:tcBorders>
            <w:shd w:val="clear" w:color="000000" w:fill="F2F2F2"/>
            <w:vAlign w:val="center"/>
            <w:hideMark/>
          </w:tcPr>
          <w:p w:rsidR="00E67099" w:rsidRPr="00E67099" w:rsidRDefault="00E67099" w:rsidP="00E67099">
            <w:pPr>
              <w:spacing w:after="0" w:line="240" w:lineRule="auto"/>
              <w:jc w:val="right"/>
              <w:rPr>
                <w:rFonts w:ascii="Calibri Light" w:eastAsia="Times New Roman" w:hAnsi="Calibri Light" w:cs="Calibri Light"/>
                <w:b/>
                <w:bCs/>
                <w:i/>
                <w:iCs/>
                <w:color w:val="000000"/>
                <w:sz w:val="24"/>
                <w:szCs w:val="24"/>
                <w:lang w:val="en-US"/>
              </w:rPr>
            </w:pPr>
            <w:r w:rsidRPr="00E67099">
              <w:rPr>
                <w:rFonts w:ascii="Calibri Light" w:eastAsia="Times New Roman" w:hAnsi="Calibri Light" w:cs="Calibri Light"/>
                <w:b/>
                <w:bCs/>
                <w:i/>
                <w:iCs/>
                <w:color w:val="000000"/>
                <w:sz w:val="24"/>
                <w:szCs w:val="24"/>
                <w:lang w:val="ro-MD"/>
              </w:rPr>
              <w:t>1,00</w:t>
            </w:r>
          </w:p>
        </w:tc>
        <w:tc>
          <w:tcPr>
            <w:tcW w:w="1134" w:type="dxa"/>
            <w:tcBorders>
              <w:top w:val="nil"/>
              <w:left w:val="nil"/>
              <w:bottom w:val="single" w:sz="8" w:space="0" w:color="999999"/>
              <w:right w:val="single" w:sz="2" w:space="0" w:color="auto"/>
            </w:tcBorders>
            <w:shd w:val="clear" w:color="auto" w:fill="D9D9D9" w:themeFill="background1" w:themeFillShade="D9"/>
            <w:vAlign w:val="center"/>
            <w:hideMark/>
          </w:tcPr>
          <w:p w:rsidR="00E67099" w:rsidRPr="00E67099" w:rsidRDefault="00E67099" w:rsidP="00E67099">
            <w:pPr>
              <w:spacing w:after="0" w:line="240" w:lineRule="auto"/>
              <w:jc w:val="right"/>
              <w:rPr>
                <w:rFonts w:ascii="Calibri Light" w:eastAsia="Times New Roman" w:hAnsi="Calibri Light" w:cs="Calibri Light"/>
                <w:b/>
                <w:bCs/>
                <w:i/>
                <w:iCs/>
                <w:color w:val="000000"/>
                <w:sz w:val="24"/>
                <w:szCs w:val="24"/>
                <w:lang w:val="en-US"/>
              </w:rPr>
            </w:pPr>
            <w:r w:rsidRPr="00E67099">
              <w:rPr>
                <w:rFonts w:ascii="Calibri Light" w:eastAsia="Times New Roman" w:hAnsi="Calibri Light" w:cs="Calibri Light"/>
                <w:b/>
                <w:bCs/>
                <w:i/>
                <w:iCs/>
                <w:color w:val="000000"/>
                <w:sz w:val="24"/>
                <w:szCs w:val="24"/>
                <w:lang w:val="ro-MD"/>
              </w:rPr>
              <w:t>802,20</w:t>
            </w:r>
          </w:p>
        </w:tc>
        <w:tc>
          <w:tcPr>
            <w:tcW w:w="1150" w:type="dxa"/>
            <w:tcBorders>
              <w:top w:val="nil"/>
              <w:left w:val="single" w:sz="2" w:space="0" w:color="auto"/>
              <w:bottom w:val="single" w:sz="8" w:space="0" w:color="999999"/>
              <w:right w:val="single" w:sz="4" w:space="0" w:color="auto"/>
            </w:tcBorders>
            <w:shd w:val="clear" w:color="000000" w:fill="F2F2F2"/>
            <w:vAlign w:val="center"/>
            <w:hideMark/>
          </w:tcPr>
          <w:p w:rsidR="00E67099" w:rsidRPr="00E67099" w:rsidRDefault="00E67099" w:rsidP="00E67099">
            <w:pPr>
              <w:spacing w:after="0" w:line="240" w:lineRule="auto"/>
              <w:jc w:val="right"/>
              <w:rPr>
                <w:rFonts w:ascii="Calibri Light" w:eastAsia="Times New Roman" w:hAnsi="Calibri Light" w:cs="Calibri Light"/>
                <w:b/>
                <w:bCs/>
                <w:i/>
                <w:iCs/>
                <w:color w:val="000000"/>
                <w:sz w:val="24"/>
                <w:szCs w:val="24"/>
                <w:lang w:val="en-US"/>
              </w:rPr>
            </w:pPr>
            <w:r w:rsidRPr="00E67099">
              <w:rPr>
                <w:rFonts w:ascii="Calibri Light" w:eastAsia="Times New Roman" w:hAnsi="Calibri Light" w:cs="Calibri Light"/>
                <w:b/>
                <w:bCs/>
                <w:i/>
                <w:iCs/>
                <w:color w:val="000000"/>
                <w:sz w:val="24"/>
                <w:szCs w:val="24"/>
                <w:lang w:val="ro-MD"/>
              </w:rPr>
              <w:t>100,00</w:t>
            </w:r>
          </w:p>
        </w:tc>
        <w:tc>
          <w:tcPr>
            <w:tcW w:w="12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67099" w:rsidRPr="00E67099" w:rsidRDefault="00E67099" w:rsidP="00E67099">
            <w:pPr>
              <w:spacing w:after="0" w:line="240" w:lineRule="auto"/>
              <w:jc w:val="right"/>
              <w:rPr>
                <w:rFonts w:ascii="Calibri Light" w:eastAsia="Times New Roman" w:hAnsi="Calibri Light" w:cs="Calibri Light"/>
                <w:i/>
                <w:iCs/>
                <w:color w:val="000000"/>
                <w:sz w:val="24"/>
                <w:szCs w:val="24"/>
                <w:lang w:val="en-US"/>
              </w:rPr>
            </w:pPr>
            <w:r w:rsidRPr="00E67099">
              <w:rPr>
                <w:rFonts w:ascii="Calibri Light" w:eastAsia="Times New Roman" w:hAnsi="Calibri Light" w:cs="Calibri Light"/>
                <w:i/>
                <w:iCs/>
                <w:color w:val="000000"/>
                <w:sz w:val="24"/>
                <w:szCs w:val="24"/>
                <w:lang w:val="ro-MD"/>
              </w:rPr>
              <w:t>-341,10</w:t>
            </w:r>
          </w:p>
        </w:tc>
        <w:tc>
          <w:tcPr>
            <w:tcW w:w="12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67099" w:rsidRPr="00E67099" w:rsidRDefault="00E67099" w:rsidP="00E67099">
            <w:pPr>
              <w:spacing w:after="0" w:line="240" w:lineRule="auto"/>
              <w:jc w:val="right"/>
              <w:rPr>
                <w:rFonts w:ascii="Calibri Light" w:eastAsia="Times New Roman" w:hAnsi="Calibri Light" w:cs="Calibri Light"/>
                <w:i/>
                <w:iCs/>
                <w:color w:val="000000"/>
                <w:sz w:val="24"/>
                <w:szCs w:val="24"/>
                <w:lang w:val="en-US"/>
              </w:rPr>
            </w:pPr>
            <w:r w:rsidRPr="00E67099">
              <w:rPr>
                <w:rFonts w:ascii="Calibri Light" w:eastAsia="Times New Roman" w:hAnsi="Calibri Light" w:cs="Calibri Light"/>
                <w:i/>
                <w:iCs/>
                <w:color w:val="000000"/>
                <w:sz w:val="24"/>
                <w:szCs w:val="24"/>
                <w:lang w:val="ro-MD"/>
              </w:rPr>
              <w:t>-664,70</w:t>
            </w:r>
          </w:p>
        </w:tc>
      </w:tr>
      <w:tr w:rsidR="00E67099" w:rsidRPr="00E67099" w:rsidTr="00A36731">
        <w:trPr>
          <w:trHeight w:val="300"/>
          <w:jc w:val="center"/>
        </w:trPr>
        <w:tc>
          <w:tcPr>
            <w:tcW w:w="12032" w:type="dxa"/>
            <w:gridSpan w:val="9"/>
            <w:tcBorders>
              <w:top w:val="single" w:sz="4" w:space="0" w:color="auto"/>
              <w:left w:val="single" w:sz="4" w:space="0" w:color="auto"/>
              <w:bottom w:val="single" w:sz="4" w:space="0" w:color="auto"/>
              <w:right w:val="single" w:sz="4" w:space="0" w:color="auto"/>
            </w:tcBorders>
            <w:shd w:val="clear" w:color="000000" w:fill="D5DCE4"/>
            <w:vAlign w:val="center"/>
            <w:hideMark/>
          </w:tcPr>
          <w:p w:rsidR="00E67099" w:rsidRPr="00E67099" w:rsidRDefault="00E67099" w:rsidP="00E67099">
            <w:pPr>
              <w:spacing w:after="0" w:line="240" w:lineRule="auto"/>
              <w:jc w:val="center"/>
              <w:rPr>
                <w:rFonts w:ascii="Calibri Light" w:eastAsia="Times New Roman" w:hAnsi="Calibri Light" w:cs="Calibri Light"/>
                <w:b/>
                <w:bCs/>
                <w:color w:val="000000"/>
                <w:sz w:val="24"/>
                <w:szCs w:val="24"/>
                <w:lang w:val="en-US"/>
              </w:rPr>
            </w:pPr>
            <w:r w:rsidRPr="00E67099">
              <w:rPr>
                <w:rFonts w:ascii="Calibri Light" w:eastAsia="Times New Roman" w:hAnsi="Calibri Light" w:cs="Calibri Light"/>
                <w:b/>
                <w:bCs/>
                <w:color w:val="000000"/>
                <w:sz w:val="24"/>
                <w:szCs w:val="24"/>
                <w:lang w:val="ro-MD"/>
              </w:rPr>
              <w:t>SERVICIUL VAMAL</w:t>
            </w:r>
          </w:p>
        </w:tc>
      </w:tr>
      <w:tr w:rsidR="00E67099" w:rsidRPr="00E67099" w:rsidTr="00A36731">
        <w:trPr>
          <w:trHeight w:val="300"/>
          <w:jc w:val="center"/>
        </w:trPr>
        <w:tc>
          <w:tcPr>
            <w:tcW w:w="2542" w:type="dxa"/>
            <w:tcBorders>
              <w:top w:val="nil"/>
              <w:left w:val="single" w:sz="8" w:space="0" w:color="999999"/>
              <w:bottom w:val="single" w:sz="8" w:space="0" w:color="999999"/>
              <w:right w:val="single" w:sz="8" w:space="0" w:color="999999"/>
            </w:tcBorders>
            <w:shd w:val="clear" w:color="000000" w:fill="FFFFFF"/>
            <w:noWrap/>
            <w:vAlign w:val="center"/>
            <w:hideMark/>
          </w:tcPr>
          <w:p w:rsidR="00E67099" w:rsidRPr="00E67099" w:rsidRDefault="00E67099" w:rsidP="00E67099">
            <w:pPr>
              <w:spacing w:after="0" w:line="240" w:lineRule="auto"/>
              <w:rPr>
                <w:rFonts w:ascii="Calibri Light" w:eastAsia="Times New Roman" w:hAnsi="Calibri Light" w:cs="Calibri Light"/>
                <w:b/>
                <w:bCs/>
                <w:color w:val="000000"/>
                <w:sz w:val="24"/>
                <w:szCs w:val="24"/>
                <w:lang w:val="en-US"/>
              </w:rPr>
            </w:pPr>
            <w:r w:rsidRPr="00E67099">
              <w:rPr>
                <w:rFonts w:ascii="Calibri Light" w:eastAsia="Times New Roman" w:hAnsi="Calibri Light" w:cs="Calibri Light"/>
                <w:b/>
                <w:bCs/>
                <w:color w:val="000000"/>
                <w:sz w:val="24"/>
                <w:szCs w:val="24"/>
                <w:lang w:val="ro-MD"/>
              </w:rPr>
              <w:t>Plăți de bază</w:t>
            </w:r>
          </w:p>
        </w:tc>
        <w:tc>
          <w:tcPr>
            <w:tcW w:w="1065" w:type="dxa"/>
            <w:tcBorders>
              <w:top w:val="nil"/>
              <w:left w:val="nil"/>
              <w:bottom w:val="single" w:sz="8" w:space="0" w:color="999999"/>
              <w:right w:val="single" w:sz="8" w:space="0" w:color="999999"/>
            </w:tcBorders>
            <w:shd w:val="clear" w:color="000000" w:fill="FFFFFF"/>
            <w:noWrap/>
            <w:vAlign w:val="center"/>
            <w:hideMark/>
          </w:tcPr>
          <w:p w:rsidR="00E67099" w:rsidRPr="00E67099" w:rsidRDefault="00E67099" w:rsidP="00E67099">
            <w:pPr>
              <w:spacing w:after="0" w:line="240" w:lineRule="auto"/>
              <w:jc w:val="right"/>
              <w:rPr>
                <w:rFonts w:ascii="Calibri Light" w:eastAsia="Times New Roman" w:hAnsi="Calibri Light" w:cs="Calibri Light"/>
                <w:color w:val="000000"/>
                <w:sz w:val="24"/>
                <w:szCs w:val="24"/>
                <w:lang w:val="en-US"/>
              </w:rPr>
            </w:pPr>
            <w:r w:rsidRPr="00E67099">
              <w:rPr>
                <w:rFonts w:ascii="Calibri Light" w:eastAsia="Times New Roman" w:hAnsi="Calibri Light" w:cs="Calibri Light"/>
                <w:color w:val="000000"/>
                <w:sz w:val="24"/>
                <w:szCs w:val="24"/>
                <w:lang w:val="ro-MD"/>
              </w:rPr>
              <w:t>228,30</w:t>
            </w:r>
          </w:p>
        </w:tc>
        <w:tc>
          <w:tcPr>
            <w:tcW w:w="1153" w:type="dxa"/>
            <w:tcBorders>
              <w:top w:val="nil"/>
              <w:left w:val="nil"/>
              <w:bottom w:val="single" w:sz="8" w:space="0" w:color="999999"/>
              <w:right w:val="single" w:sz="12" w:space="0" w:color="auto"/>
            </w:tcBorders>
            <w:shd w:val="clear" w:color="000000" w:fill="FFFFFF"/>
            <w:vAlign w:val="center"/>
            <w:hideMark/>
          </w:tcPr>
          <w:p w:rsidR="00E67099" w:rsidRPr="00E67099" w:rsidRDefault="00E67099" w:rsidP="00E67099">
            <w:pPr>
              <w:spacing w:after="0" w:line="240" w:lineRule="auto"/>
              <w:jc w:val="right"/>
              <w:rPr>
                <w:rFonts w:ascii="Calibri Light" w:eastAsia="Times New Roman" w:hAnsi="Calibri Light" w:cs="Calibri Light"/>
                <w:i/>
                <w:iCs/>
                <w:color w:val="000000"/>
                <w:sz w:val="24"/>
                <w:szCs w:val="24"/>
                <w:lang w:val="en-US"/>
              </w:rPr>
            </w:pPr>
            <w:r w:rsidRPr="00E67099">
              <w:rPr>
                <w:rFonts w:ascii="Calibri Light" w:eastAsia="Times New Roman" w:hAnsi="Calibri Light" w:cs="Calibri Light"/>
                <w:i/>
                <w:iCs/>
                <w:color w:val="000000"/>
                <w:sz w:val="24"/>
                <w:szCs w:val="24"/>
                <w:lang w:val="ro-MD"/>
              </w:rPr>
              <w:t>0,59</w:t>
            </w:r>
          </w:p>
        </w:tc>
        <w:tc>
          <w:tcPr>
            <w:tcW w:w="1174" w:type="dxa"/>
            <w:tcBorders>
              <w:top w:val="nil"/>
              <w:left w:val="nil"/>
              <w:bottom w:val="single" w:sz="8" w:space="0" w:color="999999"/>
              <w:right w:val="single" w:sz="8" w:space="0" w:color="999999"/>
            </w:tcBorders>
            <w:shd w:val="clear" w:color="000000" w:fill="FFFFFF"/>
            <w:vAlign w:val="center"/>
            <w:hideMark/>
          </w:tcPr>
          <w:p w:rsidR="00E67099" w:rsidRPr="00E67099" w:rsidRDefault="00E67099" w:rsidP="00E67099">
            <w:pPr>
              <w:spacing w:after="0" w:line="240" w:lineRule="auto"/>
              <w:jc w:val="right"/>
              <w:rPr>
                <w:rFonts w:ascii="Calibri Light" w:eastAsia="Times New Roman" w:hAnsi="Calibri Light" w:cs="Calibri Light"/>
                <w:color w:val="000000"/>
                <w:sz w:val="24"/>
                <w:szCs w:val="24"/>
                <w:lang w:val="en-US"/>
              </w:rPr>
            </w:pPr>
            <w:r w:rsidRPr="00E67099">
              <w:rPr>
                <w:rFonts w:ascii="Calibri Light" w:eastAsia="Times New Roman" w:hAnsi="Calibri Light" w:cs="Calibri Light"/>
                <w:color w:val="000000"/>
                <w:sz w:val="24"/>
                <w:szCs w:val="24"/>
                <w:lang w:val="ro-MD"/>
              </w:rPr>
              <w:t>259,60</w:t>
            </w:r>
          </w:p>
        </w:tc>
        <w:tc>
          <w:tcPr>
            <w:tcW w:w="1254" w:type="dxa"/>
            <w:tcBorders>
              <w:top w:val="nil"/>
              <w:left w:val="nil"/>
              <w:bottom w:val="single" w:sz="8" w:space="0" w:color="999999"/>
              <w:right w:val="single" w:sz="12" w:space="0" w:color="auto"/>
            </w:tcBorders>
            <w:shd w:val="clear" w:color="000000" w:fill="FFFFFF"/>
            <w:vAlign w:val="center"/>
            <w:hideMark/>
          </w:tcPr>
          <w:p w:rsidR="00E67099" w:rsidRPr="00E67099" w:rsidRDefault="00E67099" w:rsidP="00E67099">
            <w:pPr>
              <w:spacing w:after="0" w:line="240" w:lineRule="auto"/>
              <w:jc w:val="right"/>
              <w:rPr>
                <w:rFonts w:ascii="Calibri Light" w:eastAsia="Times New Roman" w:hAnsi="Calibri Light" w:cs="Calibri Light"/>
                <w:i/>
                <w:iCs/>
                <w:color w:val="000000"/>
                <w:sz w:val="24"/>
                <w:szCs w:val="24"/>
                <w:lang w:val="en-US"/>
              </w:rPr>
            </w:pPr>
            <w:r w:rsidRPr="00E67099">
              <w:rPr>
                <w:rFonts w:ascii="Calibri Light" w:eastAsia="Times New Roman" w:hAnsi="Calibri Light" w:cs="Calibri Light"/>
                <w:i/>
                <w:iCs/>
                <w:color w:val="000000"/>
                <w:sz w:val="24"/>
                <w:szCs w:val="24"/>
                <w:lang w:val="ro-MD"/>
              </w:rPr>
              <w:t>0,54</w:t>
            </w:r>
          </w:p>
        </w:tc>
        <w:tc>
          <w:tcPr>
            <w:tcW w:w="1134" w:type="dxa"/>
            <w:tcBorders>
              <w:top w:val="nil"/>
              <w:left w:val="nil"/>
              <w:bottom w:val="single" w:sz="8" w:space="0" w:color="999999"/>
              <w:right w:val="single" w:sz="2" w:space="0" w:color="auto"/>
            </w:tcBorders>
            <w:shd w:val="clear" w:color="000000" w:fill="FFFFFF"/>
            <w:vAlign w:val="center"/>
            <w:hideMark/>
          </w:tcPr>
          <w:p w:rsidR="00E67099" w:rsidRPr="00E67099" w:rsidRDefault="00E67099" w:rsidP="00E67099">
            <w:pPr>
              <w:spacing w:after="0" w:line="240" w:lineRule="auto"/>
              <w:jc w:val="right"/>
              <w:rPr>
                <w:rFonts w:ascii="Calibri Light" w:eastAsia="Times New Roman" w:hAnsi="Calibri Light" w:cs="Calibri Light"/>
                <w:i/>
                <w:iCs/>
                <w:color w:val="000000"/>
                <w:sz w:val="24"/>
                <w:szCs w:val="24"/>
                <w:lang w:val="en-US"/>
              </w:rPr>
            </w:pPr>
            <w:r w:rsidRPr="00E67099">
              <w:rPr>
                <w:rFonts w:ascii="Calibri Light" w:eastAsia="Times New Roman" w:hAnsi="Calibri Light" w:cs="Calibri Light"/>
                <w:i/>
                <w:iCs/>
                <w:color w:val="000000"/>
                <w:sz w:val="24"/>
                <w:szCs w:val="24"/>
                <w:lang w:val="ro-MD"/>
              </w:rPr>
              <w:t>265,10</w:t>
            </w:r>
          </w:p>
        </w:tc>
        <w:tc>
          <w:tcPr>
            <w:tcW w:w="1150" w:type="dxa"/>
            <w:tcBorders>
              <w:top w:val="nil"/>
              <w:left w:val="single" w:sz="2" w:space="0" w:color="auto"/>
              <w:bottom w:val="single" w:sz="8" w:space="0" w:color="999999"/>
              <w:right w:val="single" w:sz="4" w:space="0" w:color="auto"/>
            </w:tcBorders>
            <w:shd w:val="clear" w:color="000000" w:fill="FFFFFF"/>
            <w:vAlign w:val="center"/>
            <w:hideMark/>
          </w:tcPr>
          <w:p w:rsidR="00E67099" w:rsidRPr="00E67099" w:rsidRDefault="00E67099" w:rsidP="00E67099">
            <w:pPr>
              <w:spacing w:after="0" w:line="240" w:lineRule="auto"/>
              <w:jc w:val="right"/>
              <w:rPr>
                <w:rFonts w:ascii="Calibri Light" w:eastAsia="Times New Roman" w:hAnsi="Calibri Light" w:cs="Calibri Light"/>
                <w:i/>
                <w:iCs/>
                <w:color w:val="000000"/>
                <w:sz w:val="24"/>
                <w:szCs w:val="24"/>
                <w:lang w:val="en-US"/>
              </w:rPr>
            </w:pPr>
            <w:r w:rsidRPr="00E67099">
              <w:rPr>
                <w:rFonts w:ascii="Calibri Light" w:eastAsia="Times New Roman" w:hAnsi="Calibri Light" w:cs="Calibri Light"/>
                <w:i/>
                <w:iCs/>
                <w:color w:val="000000"/>
                <w:sz w:val="24"/>
                <w:szCs w:val="24"/>
                <w:lang w:val="ro-MD"/>
              </w:rPr>
              <w:t>58,00</w:t>
            </w:r>
          </w:p>
        </w:tc>
        <w:tc>
          <w:tcPr>
            <w:tcW w:w="12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7099" w:rsidRPr="00E67099" w:rsidRDefault="00E67099" w:rsidP="00E67099">
            <w:pPr>
              <w:spacing w:after="0" w:line="240" w:lineRule="auto"/>
              <w:jc w:val="right"/>
              <w:rPr>
                <w:rFonts w:ascii="Calibri Light" w:eastAsia="Times New Roman" w:hAnsi="Calibri Light" w:cs="Calibri Light"/>
                <w:i/>
                <w:iCs/>
                <w:color w:val="000000"/>
                <w:sz w:val="24"/>
                <w:szCs w:val="24"/>
                <w:lang w:val="en-US"/>
              </w:rPr>
            </w:pPr>
            <w:r w:rsidRPr="00E67099">
              <w:rPr>
                <w:rFonts w:ascii="Calibri Light" w:eastAsia="Times New Roman" w:hAnsi="Calibri Light" w:cs="Calibri Light"/>
                <w:i/>
                <w:iCs/>
                <w:color w:val="000000"/>
                <w:sz w:val="24"/>
                <w:szCs w:val="24"/>
                <w:lang w:val="ro-MD"/>
              </w:rPr>
              <w:t>5,50</w:t>
            </w:r>
          </w:p>
        </w:tc>
        <w:tc>
          <w:tcPr>
            <w:tcW w:w="12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7099" w:rsidRPr="00E67099" w:rsidRDefault="00E67099" w:rsidP="00E67099">
            <w:pPr>
              <w:spacing w:after="0" w:line="240" w:lineRule="auto"/>
              <w:jc w:val="right"/>
              <w:rPr>
                <w:rFonts w:ascii="Calibri Light" w:eastAsia="Times New Roman" w:hAnsi="Calibri Light" w:cs="Calibri Light"/>
                <w:i/>
                <w:iCs/>
                <w:color w:val="000000"/>
                <w:sz w:val="24"/>
                <w:szCs w:val="24"/>
                <w:lang w:val="en-US"/>
              </w:rPr>
            </w:pPr>
            <w:r w:rsidRPr="00E67099">
              <w:rPr>
                <w:rFonts w:ascii="Calibri Light" w:eastAsia="Times New Roman" w:hAnsi="Calibri Light" w:cs="Calibri Light"/>
                <w:i/>
                <w:iCs/>
                <w:color w:val="000000"/>
                <w:sz w:val="24"/>
                <w:szCs w:val="24"/>
                <w:lang w:val="ro-MD"/>
              </w:rPr>
              <w:t>36,80</w:t>
            </w:r>
          </w:p>
        </w:tc>
      </w:tr>
      <w:tr w:rsidR="00E67099" w:rsidRPr="00E67099" w:rsidTr="00A36731">
        <w:trPr>
          <w:trHeight w:val="300"/>
          <w:jc w:val="center"/>
        </w:trPr>
        <w:tc>
          <w:tcPr>
            <w:tcW w:w="2542" w:type="dxa"/>
            <w:tcBorders>
              <w:top w:val="nil"/>
              <w:left w:val="single" w:sz="8" w:space="0" w:color="999999"/>
              <w:bottom w:val="single" w:sz="8" w:space="0" w:color="999999"/>
              <w:right w:val="single" w:sz="8" w:space="0" w:color="999999"/>
            </w:tcBorders>
            <w:shd w:val="clear" w:color="000000" w:fill="FFFFFF"/>
            <w:noWrap/>
            <w:vAlign w:val="center"/>
            <w:hideMark/>
          </w:tcPr>
          <w:p w:rsidR="00E67099" w:rsidRPr="00E67099" w:rsidRDefault="00E67099" w:rsidP="00E67099">
            <w:pPr>
              <w:spacing w:after="0" w:line="240" w:lineRule="auto"/>
              <w:rPr>
                <w:rFonts w:ascii="Calibri Light" w:eastAsia="Times New Roman" w:hAnsi="Calibri Light" w:cs="Calibri Light"/>
                <w:b/>
                <w:bCs/>
                <w:color w:val="000000"/>
                <w:sz w:val="24"/>
                <w:szCs w:val="24"/>
                <w:lang w:val="en-US"/>
              </w:rPr>
            </w:pPr>
            <w:r w:rsidRPr="00E67099">
              <w:rPr>
                <w:rFonts w:ascii="Calibri Light" w:eastAsia="Times New Roman" w:hAnsi="Calibri Light" w:cs="Calibri Light"/>
                <w:b/>
                <w:bCs/>
                <w:color w:val="000000"/>
                <w:sz w:val="24"/>
                <w:szCs w:val="24"/>
                <w:lang w:val="ro-MD"/>
              </w:rPr>
              <w:t>Majorare de întârziere</w:t>
            </w:r>
          </w:p>
        </w:tc>
        <w:tc>
          <w:tcPr>
            <w:tcW w:w="1065" w:type="dxa"/>
            <w:tcBorders>
              <w:top w:val="nil"/>
              <w:left w:val="nil"/>
              <w:bottom w:val="single" w:sz="8" w:space="0" w:color="999999"/>
              <w:right w:val="single" w:sz="8" w:space="0" w:color="999999"/>
            </w:tcBorders>
            <w:shd w:val="clear" w:color="000000" w:fill="FFFFFF"/>
            <w:noWrap/>
            <w:vAlign w:val="center"/>
            <w:hideMark/>
          </w:tcPr>
          <w:p w:rsidR="00E67099" w:rsidRPr="00E67099" w:rsidRDefault="00E67099" w:rsidP="00E67099">
            <w:pPr>
              <w:spacing w:after="0" w:line="240" w:lineRule="auto"/>
              <w:jc w:val="right"/>
              <w:rPr>
                <w:rFonts w:ascii="Calibri Light" w:eastAsia="Times New Roman" w:hAnsi="Calibri Light" w:cs="Calibri Light"/>
                <w:color w:val="000000"/>
                <w:sz w:val="24"/>
                <w:szCs w:val="24"/>
                <w:lang w:val="en-US"/>
              </w:rPr>
            </w:pPr>
            <w:r w:rsidRPr="00E67099">
              <w:rPr>
                <w:rFonts w:ascii="Calibri Light" w:eastAsia="Times New Roman" w:hAnsi="Calibri Light" w:cs="Calibri Light"/>
                <w:color w:val="000000"/>
                <w:sz w:val="24"/>
                <w:szCs w:val="24"/>
                <w:lang w:val="ro-MD"/>
              </w:rPr>
              <w:t>108,50</w:t>
            </w:r>
          </w:p>
        </w:tc>
        <w:tc>
          <w:tcPr>
            <w:tcW w:w="1153" w:type="dxa"/>
            <w:tcBorders>
              <w:top w:val="nil"/>
              <w:left w:val="nil"/>
              <w:bottom w:val="single" w:sz="8" w:space="0" w:color="999999"/>
              <w:right w:val="single" w:sz="12" w:space="0" w:color="auto"/>
            </w:tcBorders>
            <w:shd w:val="clear" w:color="000000" w:fill="FFFFFF"/>
            <w:vAlign w:val="center"/>
            <w:hideMark/>
          </w:tcPr>
          <w:p w:rsidR="00E67099" w:rsidRPr="00E67099" w:rsidRDefault="00E67099" w:rsidP="00E67099">
            <w:pPr>
              <w:spacing w:after="0" w:line="240" w:lineRule="auto"/>
              <w:jc w:val="right"/>
              <w:rPr>
                <w:rFonts w:ascii="Calibri Light" w:eastAsia="Times New Roman" w:hAnsi="Calibri Light" w:cs="Calibri Light"/>
                <w:i/>
                <w:iCs/>
                <w:color w:val="000000"/>
                <w:sz w:val="24"/>
                <w:szCs w:val="24"/>
                <w:lang w:val="en-US"/>
              </w:rPr>
            </w:pPr>
            <w:r w:rsidRPr="00E67099">
              <w:rPr>
                <w:rFonts w:ascii="Calibri Light" w:eastAsia="Times New Roman" w:hAnsi="Calibri Light" w:cs="Calibri Light"/>
                <w:i/>
                <w:iCs/>
                <w:color w:val="000000"/>
                <w:sz w:val="24"/>
                <w:szCs w:val="24"/>
                <w:lang w:val="ro-MD"/>
              </w:rPr>
              <w:t>0,28</w:t>
            </w:r>
          </w:p>
        </w:tc>
        <w:tc>
          <w:tcPr>
            <w:tcW w:w="1174" w:type="dxa"/>
            <w:tcBorders>
              <w:top w:val="nil"/>
              <w:left w:val="nil"/>
              <w:bottom w:val="single" w:sz="8" w:space="0" w:color="999999"/>
              <w:right w:val="single" w:sz="8" w:space="0" w:color="999999"/>
            </w:tcBorders>
            <w:shd w:val="clear" w:color="000000" w:fill="FFFFFF"/>
            <w:vAlign w:val="center"/>
            <w:hideMark/>
          </w:tcPr>
          <w:p w:rsidR="00E67099" w:rsidRPr="00E67099" w:rsidRDefault="00E67099" w:rsidP="00E67099">
            <w:pPr>
              <w:spacing w:after="0" w:line="240" w:lineRule="auto"/>
              <w:jc w:val="right"/>
              <w:rPr>
                <w:rFonts w:ascii="Calibri Light" w:eastAsia="Times New Roman" w:hAnsi="Calibri Light" w:cs="Calibri Light"/>
                <w:color w:val="000000"/>
                <w:sz w:val="24"/>
                <w:szCs w:val="24"/>
                <w:lang w:val="en-US"/>
              </w:rPr>
            </w:pPr>
            <w:r w:rsidRPr="00E67099">
              <w:rPr>
                <w:rFonts w:ascii="Calibri Light" w:eastAsia="Times New Roman" w:hAnsi="Calibri Light" w:cs="Calibri Light"/>
                <w:color w:val="000000"/>
                <w:sz w:val="24"/>
                <w:szCs w:val="24"/>
                <w:lang w:val="ro-MD"/>
              </w:rPr>
              <w:t>143,90</w:t>
            </w:r>
          </w:p>
        </w:tc>
        <w:tc>
          <w:tcPr>
            <w:tcW w:w="1254" w:type="dxa"/>
            <w:tcBorders>
              <w:top w:val="nil"/>
              <w:left w:val="nil"/>
              <w:bottom w:val="single" w:sz="8" w:space="0" w:color="999999"/>
              <w:right w:val="single" w:sz="12" w:space="0" w:color="auto"/>
            </w:tcBorders>
            <w:shd w:val="clear" w:color="000000" w:fill="FFFFFF"/>
            <w:vAlign w:val="center"/>
            <w:hideMark/>
          </w:tcPr>
          <w:p w:rsidR="00E67099" w:rsidRPr="00E67099" w:rsidRDefault="00E67099" w:rsidP="00E67099">
            <w:pPr>
              <w:spacing w:after="0" w:line="240" w:lineRule="auto"/>
              <w:jc w:val="right"/>
              <w:rPr>
                <w:rFonts w:ascii="Calibri Light" w:eastAsia="Times New Roman" w:hAnsi="Calibri Light" w:cs="Calibri Light"/>
                <w:i/>
                <w:iCs/>
                <w:color w:val="000000"/>
                <w:sz w:val="24"/>
                <w:szCs w:val="24"/>
                <w:lang w:val="en-US"/>
              </w:rPr>
            </w:pPr>
            <w:r w:rsidRPr="00E67099">
              <w:rPr>
                <w:rFonts w:ascii="Calibri Light" w:eastAsia="Times New Roman" w:hAnsi="Calibri Light" w:cs="Calibri Light"/>
                <w:i/>
                <w:iCs/>
                <w:color w:val="000000"/>
                <w:sz w:val="24"/>
                <w:szCs w:val="24"/>
                <w:lang w:val="ro-MD"/>
              </w:rPr>
              <w:t>0,30</w:t>
            </w:r>
          </w:p>
        </w:tc>
        <w:tc>
          <w:tcPr>
            <w:tcW w:w="1134" w:type="dxa"/>
            <w:tcBorders>
              <w:top w:val="nil"/>
              <w:left w:val="nil"/>
              <w:bottom w:val="single" w:sz="8" w:space="0" w:color="999999"/>
              <w:right w:val="single" w:sz="2" w:space="0" w:color="auto"/>
            </w:tcBorders>
            <w:shd w:val="clear" w:color="000000" w:fill="FFFFFF"/>
            <w:vAlign w:val="center"/>
            <w:hideMark/>
          </w:tcPr>
          <w:p w:rsidR="00E67099" w:rsidRPr="00E67099" w:rsidRDefault="00E67099" w:rsidP="00E67099">
            <w:pPr>
              <w:spacing w:after="0" w:line="240" w:lineRule="auto"/>
              <w:jc w:val="right"/>
              <w:rPr>
                <w:rFonts w:ascii="Calibri Light" w:eastAsia="Times New Roman" w:hAnsi="Calibri Light" w:cs="Calibri Light"/>
                <w:i/>
                <w:iCs/>
                <w:color w:val="000000"/>
                <w:sz w:val="24"/>
                <w:szCs w:val="24"/>
                <w:lang w:val="en-US"/>
              </w:rPr>
            </w:pPr>
            <w:r w:rsidRPr="00E67099">
              <w:rPr>
                <w:rFonts w:ascii="Calibri Light" w:eastAsia="Times New Roman" w:hAnsi="Calibri Light" w:cs="Calibri Light"/>
                <w:i/>
                <w:iCs/>
                <w:color w:val="000000"/>
                <w:sz w:val="24"/>
                <w:szCs w:val="24"/>
                <w:lang w:val="ro-MD"/>
              </w:rPr>
              <w:t>134,60</w:t>
            </w:r>
          </w:p>
        </w:tc>
        <w:tc>
          <w:tcPr>
            <w:tcW w:w="1150" w:type="dxa"/>
            <w:tcBorders>
              <w:top w:val="nil"/>
              <w:left w:val="single" w:sz="2" w:space="0" w:color="auto"/>
              <w:bottom w:val="single" w:sz="8" w:space="0" w:color="999999"/>
              <w:right w:val="single" w:sz="4" w:space="0" w:color="auto"/>
            </w:tcBorders>
            <w:shd w:val="clear" w:color="000000" w:fill="FFFFFF"/>
            <w:vAlign w:val="center"/>
            <w:hideMark/>
          </w:tcPr>
          <w:p w:rsidR="00E67099" w:rsidRPr="00E67099" w:rsidRDefault="00E67099" w:rsidP="00E67099">
            <w:pPr>
              <w:spacing w:after="0" w:line="240" w:lineRule="auto"/>
              <w:jc w:val="right"/>
              <w:rPr>
                <w:rFonts w:ascii="Calibri Light" w:eastAsia="Times New Roman" w:hAnsi="Calibri Light" w:cs="Calibri Light"/>
                <w:i/>
                <w:iCs/>
                <w:color w:val="000000"/>
                <w:sz w:val="24"/>
                <w:szCs w:val="24"/>
                <w:lang w:val="en-US"/>
              </w:rPr>
            </w:pPr>
            <w:r w:rsidRPr="00E67099">
              <w:rPr>
                <w:rFonts w:ascii="Calibri Light" w:eastAsia="Times New Roman" w:hAnsi="Calibri Light" w:cs="Calibri Light"/>
                <w:i/>
                <w:iCs/>
                <w:color w:val="000000"/>
                <w:sz w:val="24"/>
                <w:szCs w:val="24"/>
                <w:lang w:val="ro-MD"/>
              </w:rPr>
              <w:t>29,45</w:t>
            </w:r>
          </w:p>
        </w:tc>
        <w:tc>
          <w:tcPr>
            <w:tcW w:w="12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7099" w:rsidRPr="00E67099" w:rsidRDefault="00E67099" w:rsidP="00E67099">
            <w:pPr>
              <w:spacing w:after="0" w:line="240" w:lineRule="auto"/>
              <w:jc w:val="right"/>
              <w:rPr>
                <w:rFonts w:ascii="Calibri Light" w:eastAsia="Times New Roman" w:hAnsi="Calibri Light" w:cs="Calibri Light"/>
                <w:i/>
                <w:iCs/>
                <w:color w:val="000000"/>
                <w:sz w:val="24"/>
                <w:szCs w:val="24"/>
                <w:lang w:val="en-US"/>
              </w:rPr>
            </w:pPr>
            <w:r w:rsidRPr="00E67099">
              <w:rPr>
                <w:rFonts w:ascii="Calibri Light" w:eastAsia="Times New Roman" w:hAnsi="Calibri Light" w:cs="Calibri Light"/>
                <w:i/>
                <w:iCs/>
                <w:color w:val="000000"/>
                <w:sz w:val="24"/>
                <w:szCs w:val="24"/>
                <w:lang w:val="ro-MD"/>
              </w:rPr>
              <w:t>-9,30</w:t>
            </w:r>
          </w:p>
        </w:tc>
        <w:tc>
          <w:tcPr>
            <w:tcW w:w="12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7099" w:rsidRPr="00E67099" w:rsidRDefault="00E67099" w:rsidP="00E67099">
            <w:pPr>
              <w:spacing w:after="0" w:line="240" w:lineRule="auto"/>
              <w:jc w:val="right"/>
              <w:rPr>
                <w:rFonts w:ascii="Calibri Light" w:eastAsia="Times New Roman" w:hAnsi="Calibri Light" w:cs="Calibri Light"/>
                <w:i/>
                <w:iCs/>
                <w:color w:val="000000"/>
                <w:sz w:val="24"/>
                <w:szCs w:val="24"/>
                <w:lang w:val="en-US"/>
              </w:rPr>
            </w:pPr>
            <w:r w:rsidRPr="00E67099">
              <w:rPr>
                <w:rFonts w:ascii="Calibri Light" w:eastAsia="Times New Roman" w:hAnsi="Calibri Light" w:cs="Calibri Light"/>
                <w:i/>
                <w:iCs/>
                <w:color w:val="000000"/>
                <w:sz w:val="24"/>
                <w:szCs w:val="24"/>
                <w:lang w:val="ro-MD"/>
              </w:rPr>
              <w:t>26,10</w:t>
            </w:r>
          </w:p>
        </w:tc>
      </w:tr>
      <w:tr w:rsidR="00E67099" w:rsidRPr="00E67099" w:rsidTr="00A36731">
        <w:trPr>
          <w:trHeight w:val="300"/>
          <w:jc w:val="center"/>
        </w:trPr>
        <w:tc>
          <w:tcPr>
            <w:tcW w:w="2542" w:type="dxa"/>
            <w:tcBorders>
              <w:top w:val="nil"/>
              <w:left w:val="single" w:sz="8" w:space="0" w:color="999999"/>
              <w:bottom w:val="single" w:sz="8" w:space="0" w:color="999999"/>
              <w:right w:val="single" w:sz="8" w:space="0" w:color="999999"/>
            </w:tcBorders>
            <w:shd w:val="clear" w:color="000000" w:fill="FFFFFF"/>
            <w:noWrap/>
            <w:vAlign w:val="center"/>
            <w:hideMark/>
          </w:tcPr>
          <w:p w:rsidR="00E67099" w:rsidRPr="00E67099" w:rsidRDefault="00E67099" w:rsidP="00E67099">
            <w:pPr>
              <w:spacing w:after="0" w:line="240" w:lineRule="auto"/>
              <w:rPr>
                <w:rFonts w:ascii="Calibri Light" w:eastAsia="Times New Roman" w:hAnsi="Calibri Light" w:cs="Calibri Light"/>
                <w:b/>
                <w:bCs/>
                <w:color w:val="000000"/>
                <w:sz w:val="24"/>
                <w:szCs w:val="24"/>
                <w:lang w:val="en-US"/>
              </w:rPr>
            </w:pPr>
            <w:r w:rsidRPr="00E67099">
              <w:rPr>
                <w:rFonts w:ascii="Calibri Light" w:eastAsia="Times New Roman" w:hAnsi="Calibri Light" w:cs="Calibri Light"/>
                <w:b/>
                <w:bCs/>
                <w:color w:val="000000"/>
                <w:sz w:val="24"/>
                <w:szCs w:val="24"/>
                <w:lang w:val="ro-MD"/>
              </w:rPr>
              <w:t>Amenzi</w:t>
            </w:r>
          </w:p>
        </w:tc>
        <w:tc>
          <w:tcPr>
            <w:tcW w:w="1065" w:type="dxa"/>
            <w:tcBorders>
              <w:top w:val="nil"/>
              <w:left w:val="nil"/>
              <w:bottom w:val="single" w:sz="8" w:space="0" w:color="999999"/>
              <w:right w:val="single" w:sz="8" w:space="0" w:color="999999"/>
            </w:tcBorders>
            <w:shd w:val="clear" w:color="000000" w:fill="FFFFFF"/>
            <w:noWrap/>
            <w:vAlign w:val="center"/>
            <w:hideMark/>
          </w:tcPr>
          <w:p w:rsidR="00E67099" w:rsidRPr="00E67099" w:rsidRDefault="00E67099" w:rsidP="00E67099">
            <w:pPr>
              <w:spacing w:after="0" w:line="240" w:lineRule="auto"/>
              <w:jc w:val="right"/>
              <w:rPr>
                <w:rFonts w:ascii="Calibri Light" w:eastAsia="Times New Roman" w:hAnsi="Calibri Light" w:cs="Calibri Light"/>
                <w:color w:val="000000"/>
                <w:sz w:val="24"/>
                <w:szCs w:val="24"/>
                <w:lang w:val="en-US"/>
              </w:rPr>
            </w:pPr>
            <w:r w:rsidRPr="00E67099">
              <w:rPr>
                <w:rFonts w:ascii="Calibri Light" w:eastAsia="Times New Roman" w:hAnsi="Calibri Light" w:cs="Calibri Light"/>
                <w:color w:val="000000"/>
                <w:sz w:val="24"/>
                <w:szCs w:val="24"/>
                <w:lang w:val="ro-MD"/>
              </w:rPr>
              <w:t>49,00</w:t>
            </w:r>
          </w:p>
        </w:tc>
        <w:tc>
          <w:tcPr>
            <w:tcW w:w="1153" w:type="dxa"/>
            <w:tcBorders>
              <w:top w:val="nil"/>
              <w:left w:val="nil"/>
              <w:bottom w:val="single" w:sz="8" w:space="0" w:color="999999"/>
              <w:right w:val="single" w:sz="12" w:space="0" w:color="auto"/>
            </w:tcBorders>
            <w:shd w:val="clear" w:color="000000" w:fill="FFFFFF"/>
            <w:vAlign w:val="center"/>
            <w:hideMark/>
          </w:tcPr>
          <w:p w:rsidR="00E67099" w:rsidRPr="00E67099" w:rsidRDefault="00E67099" w:rsidP="00E67099">
            <w:pPr>
              <w:spacing w:after="0" w:line="240" w:lineRule="auto"/>
              <w:jc w:val="right"/>
              <w:rPr>
                <w:rFonts w:ascii="Calibri Light" w:eastAsia="Times New Roman" w:hAnsi="Calibri Light" w:cs="Calibri Light"/>
                <w:i/>
                <w:iCs/>
                <w:color w:val="000000"/>
                <w:sz w:val="24"/>
                <w:szCs w:val="24"/>
                <w:lang w:val="en-US"/>
              </w:rPr>
            </w:pPr>
            <w:r w:rsidRPr="00E67099">
              <w:rPr>
                <w:rFonts w:ascii="Calibri Light" w:eastAsia="Times New Roman" w:hAnsi="Calibri Light" w:cs="Calibri Light"/>
                <w:i/>
                <w:iCs/>
                <w:color w:val="000000"/>
                <w:sz w:val="24"/>
                <w:szCs w:val="24"/>
                <w:lang w:val="ro-MD"/>
              </w:rPr>
              <w:t>0,13</w:t>
            </w:r>
          </w:p>
        </w:tc>
        <w:tc>
          <w:tcPr>
            <w:tcW w:w="1174" w:type="dxa"/>
            <w:tcBorders>
              <w:top w:val="nil"/>
              <w:left w:val="nil"/>
              <w:bottom w:val="single" w:sz="8" w:space="0" w:color="999999"/>
              <w:right w:val="single" w:sz="8" w:space="0" w:color="999999"/>
            </w:tcBorders>
            <w:shd w:val="clear" w:color="000000" w:fill="FFFFFF"/>
            <w:vAlign w:val="center"/>
            <w:hideMark/>
          </w:tcPr>
          <w:p w:rsidR="00E67099" w:rsidRPr="00E67099" w:rsidRDefault="00E67099" w:rsidP="00E67099">
            <w:pPr>
              <w:spacing w:after="0" w:line="240" w:lineRule="auto"/>
              <w:jc w:val="right"/>
              <w:rPr>
                <w:rFonts w:ascii="Calibri Light" w:eastAsia="Times New Roman" w:hAnsi="Calibri Light" w:cs="Calibri Light"/>
                <w:color w:val="000000"/>
                <w:sz w:val="24"/>
                <w:szCs w:val="24"/>
                <w:lang w:val="en-US"/>
              </w:rPr>
            </w:pPr>
            <w:r w:rsidRPr="00E67099">
              <w:rPr>
                <w:rFonts w:ascii="Calibri Light" w:eastAsia="Times New Roman" w:hAnsi="Calibri Light" w:cs="Calibri Light"/>
                <w:color w:val="000000"/>
                <w:sz w:val="24"/>
                <w:szCs w:val="24"/>
                <w:lang w:val="ro-MD"/>
              </w:rPr>
              <w:t>74,70</w:t>
            </w:r>
          </w:p>
        </w:tc>
        <w:tc>
          <w:tcPr>
            <w:tcW w:w="1254" w:type="dxa"/>
            <w:tcBorders>
              <w:top w:val="nil"/>
              <w:left w:val="nil"/>
              <w:bottom w:val="single" w:sz="8" w:space="0" w:color="999999"/>
              <w:right w:val="single" w:sz="12" w:space="0" w:color="auto"/>
            </w:tcBorders>
            <w:shd w:val="clear" w:color="000000" w:fill="FFFFFF"/>
            <w:vAlign w:val="center"/>
            <w:hideMark/>
          </w:tcPr>
          <w:p w:rsidR="00E67099" w:rsidRPr="00E67099" w:rsidRDefault="00E67099" w:rsidP="00E67099">
            <w:pPr>
              <w:spacing w:after="0" w:line="240" w:lineRule="auto"/>
              <w:jc w:val="right"/>
              <w:rPr>
                <w:rFonts w:ascii="Calibri Light" w:eastAsia="Times New Roman" w:hAnsi="Calibri Light" w:cs="Calibri Light"/>
                <w:i/>
                <w:iCs/>
                <w:color w:val="000000"/>
                <w:sz w:val="24"/>
                <w:szCs w:val="24"/>
                <w:lang w:val="en-US"/>
              </w:rPr>
            </w:pPr>
            <w:r w:rsidRPr="00E67099">
              <w:rPr>
                <w:rFonts w:ascii="Calibri Light" w:eastAsia="Times New Roman" w:hAnsi="Calibri Light" w:cs="Calibri Light"/>
                <w:i/>
                <w:iCs/>
                <w:color w:val="000000"/>
                <w:sz w:val="24"/>
                <w:szCs w:val="24"/>
                <w:lang w:val="ro-MD"/>
              </w:rPr>
              <w:t>0,16</w:t>
            </w:r>
          </w:p>
        </w:tc>
        <w:tc>
          <w:tcPr>
            <w:tcW w:w="1134" w:type="dxa"/>
            <w:tcBorders>
              <w:top w:val="nil"/>
              <w:left w:val="nil"/>
              <w:bottom w:val="single" w:sz="8" w:space="0" w:color="999999"/>
              <w:right w:val="single" w:sz="2" w:space="0" w:color="auto"/>
            </w:tcBorders>
            <w:shd w:val="clear" w:color="000000" w:fill="FFFFFF"/>
            <w:vAlign w:val="center"/>
            <w:hideMark/>
          </w:tcPr>
          <w:p w:rsidR="00E67099" w:rsidRPr="00E67099" w:rsidRDefault="00E67099" w:rsidP="00E67099">
            <w:pPr>
              <w:spacing w:after="0" w:line="240" w:lineRule="auto"/>
              <w:jc w:val="right"/>
              <w:rPr>
                <w:rFonts w:ascii="Calibri Light" w:eastAsia="Times New Roman" w:hAnsi="Calibri Light" w:cs="Calibri Light"/>
                <w:i/>
                <w:iCs/>
                <w:color w:val="000000"/>
                <w:sz w:val="24"/>
                <w:szCs w:val="24"/>
                <w:lang w:val="en-US"/>
              </w:rPr>
            </w:pPr>
            <w:r w:rsidRPr="00E67099">
              <w:rPr>
                <w:rFonts w:ascii="Calibri Light" w:eastAsia="Times New Roman" w:hAnsi="Calibri Light" w:cs="Calibri Light"/>
                <w:i/>
                <w:iCs/>
                <w:color w:val="000000"/>
                <w:sz w:val="24"/>
                <w:szCs w:val="24"/>
                <w:lang w:val="ro-MD"/>
              </w:rPr>
              <w:t>57,30</w:t>
            </w:r>
          </w:p>
        </w:tc>
        <w:tc>
          <w:tcPr>
            <w:tcW w:w="1150" w:type="dxa"/>
            <w:tcBorders>
              <w:top w:val="nil"/>
              <w:left w:val="single" w:sz="2" w:space="0" w:color="auto"/>
              <w:bottom w:val="single" w:sz="8" w:space="0" w:color="999999"/>
              <w:right w:val="single" w:sz="4" w:space="0" w:color="auto"/>
            </w:tcBorders>
            <w:shd w:val="clear" w:color="000000" w:fill="FFFFFF"/>
            <w:vAlign w:val="center"/>
            <w:hideMark/>
          </w:tcPr>
          <w:p w:rsidR="00E67099" w:rsidRPr="00E67099" w:rsidRDefault="00E67099" w:rsidP="00E67099">
            <w:pPr>
              <w:spacing w:after="0" w:line="240" w:lineRule="auto"/>
              <w:jc w:val="right"/>
              <w:rPr>
                <w:rFonts w:ascii="Calibri Light" w:eastAsia="Times New Roman" w:hAnsi="Calibri Light" w:cs="Calibri Light"/>
                <w:i/>
                <w:iCs/>
                <w:color w:val="000000"/>
                <w:sz w:val="24"/>
                <w:szCs w:val="24"/>
                <w:lang w:val="en-US"/>
              </w:rPr>
            </w:pPr>
            <w:r w:rsidRPr="00E67099">
              <w:rPr>
                <w:rFonts w:ascii="Calibri Light" w:eastAsia="Times New Roman" w:hAnsi="Calibri Light" w:cs="Calibri Light"/>
                <w:i/>
                <w:iCs/>
                <w:color w:val="000000"/>
                <w:sz w:val="24"/>
                <w:szCs w:val="24"/>
                <w:lang w:val="ro-MD"/>
              </w:rPr>
              <w:t>12,54</w:t>
            </w:r>
          </w:p>
        </w:tc>
        <w:tc>
          <w:tcPr>
            <w:tcW w:w="12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7099" w:rsidRPr="00E67099" w:rsidRDefault="00E67099" w:rsidP="00E67099">
            <w:pPr>
              <w:spacing w:after="0" w:line="240" w:lineRule="auto"/>
              <w:jc w:val="right"/>
              <w:rPr>
                <w:rFonts w:ascii="Calibri Light" w:eastAsia="Times New Roman" w:hAnsi="Calibri Light" w:cs="Calibri Light"/>
                <w:i/>
                <w:iCs/>
                <w:color w:val="000000"/>
                <w:sz w:val="24"/>
                <w:szCs w:val="24"/>
                <w:lang w:val="en-US"/>
              </w:rPr>
            </w:pPr>
            <w:r w:rsidRPr="00E67099">
              <w:rPr>
                <w:rFonts w:ascii="Calibri Light" w:eastAsia="Times New Roman" w:hAnsi="Calibri Light" w:cs="Calibri Light"/>
                <w:i/>
                <w:iCs/>
                <w:color w:val="000000"/>
                <w:sz w:val="24"/>
                <w:szCs w:val="24"/>
                <w:lang w:val="ro-MD"/>
              </w:rPr>
              <w:t>-17,40</w:t>
            </w:r>
          </w:p>
        </w:tc>
        <w:tc>
          <w:tcPr>
            <w:tcW w:w="12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7099" w:rsidRPr="00E67099" w:rsidRDefault="00E67099" w:rsidP="00E67099">
            <w:pPr>
              <w:spacing w:after="0" w:line="240" w:lineRule="auto"/>
              <w:jc w:val="right"/>
              <w:rPr>
                <w:rFonts w:ascii="Calibri Light" w:eastAsia="Times New Roman" w:hAnsi="Calibri Light" w:cs="Calibri Light"/>
                <w:i/>
                <w:iCs/>
                <w:color w:val="000000"/>
                <w:sz w:val="24"/>
                <w:szCs w:val="24"/>
                <w:lang w:val="en-US"/>
              </w:rPr>
            </w:pPr>
            <w:r w:rsidRPr="00E67099">
              <w:rPr>
                <w:rFonts w:ascii="Calibri Light" w:eastAsia="Times New Roman" w:hAnsi="Calibri Light" w:cs="Calibri Light"/>
                <w:i/>
                <w:iCs/>
                <w:color w:val="000000"/>
                <w:sz w:val="24"/>
                <w:szCs w:val="24"/>
                <w:lang w:val="ro-MD"/>
              </w:rPr>
              <w:t>8,30</w:t>
            </w:r>
          </w:p>
        </w:tc>
      </w:tr>
      <w:tr w:rsidR="00E67099" w:rsidRPr="00E67099" w:rsidTr="00A36731">
        <w:trPr>
          <w:trHeight w:val="300"/>
          <w:jc w:val="center"/>
        </w:trPr>
        <w:tc>
          <w:tcPr>
            <w:tcW w:w="2542" w:type="dxa"/>
            <w:tcBorders>
              <w:top w:val="nil"/>
              <w:left w:val="single" w:sz="8" w:space="0" w:color="999999"/>
              <w:bottom w:val="single" w:sz="8" w:space="0" w:color="999999"/>
              <w:right w:val="single" w:sz="8" w:space="0" w:color="999999"/>
            </w:tcBorders>
            <w:shd w:val="clear" w:color="000000" w:fill="D9D9D9"/>
            <w:noWrap/>
            <w:vAlign w:val="center"/>
            <w:hideMark/>
          </w:tcPr>
          <w:p w:rsidR="00E67099" w:rsidRPr="00E67099" w:rsidRDefault="00E67099" w:rsidP="00E67099">
            <w:pPr>
              <w:spacing w:after="0" w:line="240" w:lineRule="auto"/>
              <w:rPr>
                <w:rFonts w:ascii="Calibri Light" w:eastAsia="Times New Roman" w:hAnsi="Calibri Light" w:cs="Calibri Light"/>
                <w:b/>
                <w:bCs/>
                <w:color w:val="000000"/>
                <w:sz w:val="24"/>
                <w:szCs w:val="24"/>
                <w:lang w:val="en-US"/>
              </w:rPr>
            </w:pPr>
            <w:r w:rsidRPr="00E67099">
              <w:rPr>
                <w:rFonts w:ascii="Calibri Light" w:eastAsia="Times New Roman" w:hAnsi="Calibri Light" w:cs="Calibri Light"/>
                <w:b/>
                <w:bCs/>
                <w:color w:val="000000"/>
                <w:sz w:val="24"/>
                <w:szCs w:val="24"/>
                <w:lang w:val="ro-MD"/>
              </w:rPr>
              <w:t>Total restanțe</w:t>
            </w:r>
          </w:p>
        </w:tc>
        <w:tc>
          <w:tcPr>
            <w:tcW w:w="1065" w:type="dxa"/>
            <w:tcBorders>
              <w:top w:val="nil"/>
              <w:left w:val="nil"/>
              <w:bottom w:val="single" w:sz="8" w:space="0" w:color="999999"/>
              <w:right w:val="single" w:sz="8" w:space="0" w:color="999999"/>
            </w:tcBorders>
            <w:shd w:val="clear" w:color="000000" w:fill="D9D9D9"/>
            <w:noWrap/>
            <w:vAlign w:val="center"/>
            <w:hideMark/>
          </w:tcPr>
          <w:p w:rsidR="00E67099" w:rsidRPr="00E67099" w:rsidRDefault="00E67099" w:rsidP="00E67099">
            <w:pPr>
              <w:spacing w:after="0" w:line="240" w:lineRule="auto"/>
              <w:jc w:val="right"/>
              <w:rPr>
                <w:rFonts w:ascii="Calibri Light" w:eastAsia="Times New Roman" w:hAnsi="Calibri Light" w:cs="Calibri Light"/>
                <w:b/>
                <w:bCs/>
                <w:color w:val="000000"/>
                <w:sz w:val="24"/>
                <w:szCs w:val="24"/>
                <w:lang w:val="en-US"/>
              </w:rPr>
            </w:pPr>
            <w:r w:rsidRPr="00E67099">
              <w:rPr>
                <w:rFonts w:ascii="Calibri Light" w:eastAsia="Times New Roman" w:hAnsi="Calibri Light" w:cs="Calibri Light"/>
                <w:b/>
                <w:bCs/>
                <w:color w:val="000000"/>
                <w:sz w:val="24"/>
                <w:szCs w:val="24"/>
                <w:lang w:val="ro-MD"/>
              </w:rPr>
              <w:t>385,80</w:t>
            </w:r>
          </w:p>
        </w:tc>
        <w:tc>
          <w:tcPr>
            <w:tcW w:w="1153" w:type="dxa"/>
            <w:tcBorders>
              <w:top w:val="nil"/>
              <w:left w:val="nil"/>
              <w:bottom w:val="single" w:sz="8" w:space="0" w:color="999999"/>
              <w:right w:val="single" w:sz="12" w:space="0" w:color="auto"/>
            </w:tcBorders>
            <w:shd w:val="clear" w:color="000000" w:fill="F2F2F2"/>
            <w:vAlign w:val="center"/>
            <w:hideMark/>
          </w:tcPr>
          <w:p w:rsidR="00E67099" w:rsidRPr="00E67099" w:rsidRDefault="00E67099" w:rsidP="00E67099">
            <w:pPr>
              <w:spacing w:after="0" w:line="240" w:lineRule="auto"/>
              <w:jc w:val="right"/>
              <w:rPr>
                <w:rFonts w:ascii="Calibri Light" w:eastAsia="Times New Roman" w:hAnsi="Calibri Light" w:cs="Calibri Light"/>
                <w:b/>
                <w:bCs/>
                <w:i/>
                <w:iCs/>
                <w:color w:val="000000"/>
                <w:sz w:val="24"/>
                <w:szCs w:val="24"/>
                <w:lang w:val="en-US"/>
              </w:rPr>
            </w:pPr>
            <w:r w:rsidRPr="00E67099">
              <w:rPr>
                <w:rFonts w:ascii="Calibri Light" w:eastAsia="Times New Roman" w:hAnsi="Calibri Light" w:cs="Calibri Light"/>
                <w:b/>
                <w:bCs/>
                <w:i/>
                <w:iCs/>
                <w:color w:val="000000"/>
                <w:sz w:val="24"/>
                <w:szCs w:val="24"/>
                <w:lang w:val="ro-MD"/>
              </w:rPr>
              <w:t>1,00</w:t>
            </w:r>
          </w:p>
        </w:tc>
        <w:tc>
          <w:tcPr>
            <w:tcW w:w="1174" w:type="dxa"/>
            <w:tcBorders>
              <w:top w:val="nil"/>
              <w:left w:val="nil"/>
              <w:bottom w:val="single" w:sz="8" w:space="0" w:color="999999"/>
              <w:right w:val="single" w:sz="8" w:space="0" w:color="999999"/>
            </w:tcBorders>
            <w:shd w:val="clear" w:color="000000" w:fill="D9D9D9"/>
            <w:vAlign w:val="center"/>
            <w:hideMark/>
          </w:tcPr>
          <w:p w:rsidR="00E67099" w:rsidRPr="00E67099" w:rsidRDefault="00E67099" w:rsidP="00E67099">
            <w:pPr>
              <w:spacing w:after="0" w:line="240" w:lineRule="auto"/>
              <w:jc w:val="right"/>
              <w:rPr>
                <w:rFonts w:ascii="Calibri Light" w:eastAsia="Times New Roman" w:hAnsi="Calibri Light" w:cs="Calibri Light"/>
                <w:b/>
                <w:bCs/>
                <w:color w:val="000000"/>
                <w:sz w:val="24"/>
                <w:szCs w:val="24"/>
                <w:lang w:val="en-US"/>
              </w:rPr>
            </w:pPr>
            <w:r w:rsidRPr="00E67099">
              <w:rPr>
                <w:rFonts w:ascii="Calibri Light" w:eastAsia="Times New Roman" w:hAnsi="Calibri Light" w:cs="Calibri Light"/>
                <w:b/>
                <w:bCs/>
                <w:color w:val="000000"/>
                <w:sz w:val="24"/>
                <w:szCs w:val="24"/>
                <w:lang w:val="ro-MD"/>
              </w:rPr>
              <w:t>478,20</w:t>
            </w:r>
          </w:p>
        </w:tc>
        <w:tc>
          <w:tcPr>
            <w:tcW w:w="1254" w:type="dxa"/>
            <w:tcBorders>
              <w:top w:val="nil"/>
              <w:left w:val="nil"/>
              <w:bottom w:val="single" w:sz="8" w:space="0" w:color="999999"/>
              <w:right w:val="single" w:sz="12" w:space="0" w:color="auto"/>
            </w:tcBorders>
            <w:shd w:val="clear" w:color="000000" w:fill="F2F2F2"/>
            <w:vAlign w:val="center"/>
            <w:hideMark/>
          </w:tcPr>
          <w:p w:rsidR="00E67099" w:rsidRPr="00E67099" w:rsidRDefault="00E67099" w:rsidP="00E67099">
            <w:pPr>
              <w:spacing w:after="0" w:line="240" w:lineRule="auto"/>
              <w:jc w:val="right"/>
              <w:rPr>
                <w:rFonts w:ascii="Calibri Light" w:eastAsia="Times New Roman" w:hAnsi="Calibri Light" w:cs="Calibri Light"/>
                <w:b/>
                <w:bCs/>
                <w:i/>
                <w:iCs/>
                <w:color w:val="000000"/>
                <w:sz w:val="24"/>
                <w:szCs w:val="24"/>
                <w:lang w:val="en-US"/>
              </w:rPr>
            </w:pPr>
            <w:r w:rsidRPr="00E67099">
              <w:rPr>
                <w:rFonts w:ascii="Calibri Light" w:eastAsia="Times New Roman" w:hAnsi="Calibri Light" w:cs="Calibri Light"/>
                <w:b/>
                <w:bCs/>
                <w:i/>
                <w:iCs/>
                <w:color w:val="000000"/>
                <w:sz w:val="24"/>
                <w:szCs w:val="24"/>
                <w:lang w:val="ro-MD"/>
              </w:rPr>
              <w:t>1,00</w:t>
            </w:r>
          </w:p>
        </w:tc>
        <w:tc>
          <w:tcPr>
            <w:tcW w:w="1134" w:type="dxa"/>
            <w:tcBorders>
              <w:top w:val="nil"/>
              <w:left w:val="nil"/>
              <w:bottom w:val="single" w:sz="8" w:space="0" w:color="999999"/>
              <w:right w:val="single" w:sz="2" w:space="0" w:color="auto"/>
            </w:tcBorders>
            <w:shd w:val="clear" w:color="auto" w:fill="D9D9D9" w:themeFill="background1" w:themeFillShade="D9"/>
            <w:vAlign w:val="center"/>
            <w:hideMark/>
          </w:tcPr>
          <w:p w:rsidR="00E67099" w:rsidRPr="00E67099" w:rsidRDefault="00E67099" w:rsidP="00E67099">
            <w:pPr>
              <w:spacing w:after="0" w:line="240" w:lineRule="auto"/>
              <w:jc w:val="right"/>
              <w:rPr>
                <w:rFonts w:ascii="Calibri Light" w:eastAsia="Times New Roman" w:hAnsi="Calibri Light" w:cs="Calibri Light"/>
                <w:b/>
                <w:bCs/>
                <w:i/>
                <w:iCs/>
                <w:color w:val="000000"/>
                <w:sz w:val="24"/>
                <w:szCs w:val="24"/>
                <w:lang w:val="en-US"/>
              </w:rPr>
            </w:pPr>
            <w:r w:rsidRPr="00E67099">
              <w:rPr>
                <w:rFonts w:ascii="Calibri Light" w:eastAsia="Times New Roman" w:hAnsi="Calibri Light" w:cs="Calibri Light"/>
                <w:b/>
                <w:bCs/>
                <w:i/>
                <w:iCs/>
                <w:color w:val="000000"/>
                <w:sz w:val="24"/>
                <w:szCs w:val="24"/>
                <w:lang w:val="ro-MD"/>
              </w:rPr>
              <w:t>457,10</w:t>
            </w:r>
          </w:p>
        </w:tc>
        <w:tc>
          <w:tcPr>
            <w:tcW w:w="1150" w:type="dxa"/>
            <w:tcBorders>
              <w:top w:val="nil"/>
              <w:left w:val="single" w:sz="2" w:space="0" w:color="auto"/>
              <w:bottom w:val="single" w:sz="8" w:space="0" w:color="999999"/>
              <w:right w:val="single" w:sz="4" w:space="0" w:color="auto"/>
            </w:tcBorders>
            <w:shd w:val="clear" w:color="000000" w:fill="F2F2F2"/>
            <w:vAlign w:val="center"/>
            <w:hideMark/>
          </w:tcPr>
          <w:p w:rsidR="00E67099" w:rsidRPr="00E67099" w:rsidRDefault="00E67099" w:rsidP="00E67099">
            <w:pPr>
              <w:spacing w:after="0" w:line="240" w:lineRule="auto"/>
              <w:jc w:val="right"/>
              <w:rPr>
                <w:rFonts w:ascii="Calibri Light" w:eastAsia="Times New Roman" w:hAnsi="Calibri Light" w:cs="Calibri Light"/>
                <w:b/>
                <w:bCs/>
                <w:i/>
                <w:iCs/>
                <w:color w:val="000000"/>
                <w:sz w:val="24"/>
                <w:szCs w:val="24"/>
                <w:lang w:val="en-US"/>
              </w:rPr>
            </w:pPr>
            <w:r w:rsidRPr="00E67099">
              <w:rPr>
                <w:rFonts w:ascii="Calibri Light" w:eastAsia="Times New Roman" w:hAnsi="Calibri Light" w:cs="Calibri Light"/>
                <w:b/>
                <w:bCs/>
                <w:i/>
                <w:iCs/>
                <w:color w:val="000000"/>
                <w:sz w:val="24"/>
                <w:szCs w:val="24"/>
                <w:lang w:val="ro-MD"/>
              </w:rPr>
              <w:t>100,00</w:t>
            </w:r>
          </w:p>
        </w:tc>
        <w:tc>
          <w:tcPr>
            <w:tcW w:w="12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67099" w:rsidRPr="00E67099" w:rsidRDefault="00E67099" w:rsidP="00E67099">
            <w:pPr>
              <w:spacing w:after="0" w:line="240" w:lineRule="auto"/>
              <w:jc w:val="right"/>
              <w:rPr>
                <w:rFonts w:ascii="Calibri Light" w:eastAsia="Times New Roman" w:hAnsi="Calibri Light" w:cs="Calibri Light"/>
                <w:i/>
                <w:iCs/>
                <w:color w:val="000000"/>
                <w:sz w:val="24"/>
                <w:szCs w:val="24"/>
                <w:lang w:val="en-US"/>
              </w:rPr>
            </w:pPr>
            <w:r w:rsidRPr="00E67099">
              <w:rPr>
                <w:rFonts w:ascii="Calibri Light" w:eastAsia="Times New Roman" w:hAnsi="Calibri Light" w:cs="Calibri Light"/>
                <w:i/>
                <w:iCs/>
                <w:color w:val="000000"/>
                <w:sz w:val="24"/>
                <w:szCs w:val="24"/>
                <w:lang w:val="ro-MD"/>
              </w:rPr>
              <w:t>-21,10</w:t>
            </w:r>
          </w:p>
        </w:tc>
        <w:tc>
          <w:tcPr>
            <w:tcW w:w="12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67099" w:rsidRPr="00E67099" w:rsidRDefault="00E67099" w:rsidP="00E67099">
            <w:pPr>
              <w:spacing w:after="0" w:line="240" w:lineRule="auto"/>
              <w:jc w:val="right"/>
              <w:rPr>
                <w:rFonts w:ascii="Calibri Light" w:eastAsia="Times New Roman" w:hAnsi="Calibri Light" w:cs="Calibri Light"/>
                <w:i/>
                <w:iCs/>
                <w:color w:val="000000"/>
                <w:sz w:val="24"/>
                <w:szCs w:val="24"/>
                <w:lang w:val="en-US"/>
              </w:rPr>
            </w:pPr>
            <w:r w:rsidRPr="00E67099">
              <w:rPr>
                <w:rFonts w:ascii="Calibri Light" w:eastAsia="Times New Roman" w:hAnsi="Calibri Light" w:cs="Calibri Light"/>
                <w:i/>
                <w:iCs/>
                <w:color w:val="000000"/>
                <w:sz w:val="24"/>
                <w:szCs w:val="24"/>
                <w:lang w:val="ro-MD"/>
              </w:rPr>
              <w:t>71,30</w:t>
            </w:r>
          </w:p>
        </w:tc>
      </w:tr>
      <w:tr w:rsidR="00E67099" w:rsidRPr="00E67099" w:rsidTr="00A36731">
        <w:trPr>
          <w:trHeight w:val="300"/>
          <w:jc w:val="center"/>
        </w:trPr>
        <w:tc>
          <w:tcPr>
            <w:tcW w:w="2542" w:type="dxa"/>
            <w:tcBorders>
              <w:top w:val="nil"/>
              <w:left w:val="single" w:sz="8" w:space="0" w:color="999999"/>
              <w:bottom w:val="single" w:sz="8" w:space="0" w:color="999999"/>
              <w:right w:val="single" w:sz="8" w:space="0" w:color="999999"/>
            </w:tcBorders>
            <w:shd w:val="clear" w:color="000000" w:fill="D5DCE4"/>
            <w:noWrap/>
            <w:vAlign w:val="center"/>
            <w:hideMark/>
          </w:tcPr>
          <w:p w:rsidR="00E67099" w:rsidRPr="00E67099" w:rsidRDefault="00E67099" w:rsidP="00E67099">
            <w:pPr>
              <w:spacing w:after="0" w:line="240" w:lineRule="auto"/>
              <w:rPr>
                <w:rFonts w:ascii="Calibri Light" w:eastAsia="Times New Roman" w:hAnsi="Calibri Light" w:cs="Calibri Light"/>
                <w:b/>
                <w:bCs/>
                <w:color w:val="000000"/>
                <w:sz w:val="24"/>
                <w:szCs w:val="24"/>
                <w:lang w:val="en-US"/>
              </w:rPr>
            </w:pPr>
            <w:r w:rsidRPr="00E67099">
              <w:rPr>
                <w:rFonts w:ascii="Calibri Light" w:eastAsia="Times New Roman" w:hAnsi="Calibri Light" w:cs="Calibri Light"/>
                <w:b/>
                <w:bCs/>
                <w:color w:val="000000"/>
                <w:sz w:val="24"/>
                <w:szCs w:val="24"/>
                <w:lang w:val="ro-MD"/>
              </w:rPr>
              <w:t>TOTAL (SFS+SV)</w:t>
            </w:r>
          </w:p>
        </w:tc>
        <w:tc>
          <w:tcPr>
            <w:tcW w:w="1065" w:type="dxa"/>
            <w:tcBorders>
              <w:top w:val="nil"/>
              <w:left w:val="nil"/>
              <w:bottom w:val="single" w:sz="8" w:space="0" w:color="999999"/>
              <w:right w:val="single" w:sz="8" w:space="0" w:color="999999"/>
            </w:tcBorders>
            <w:shd w:val="clear" w:color="000000" w:fill="D5DCE4"/>
            <w:noWrap/>
            <w:vAlign w:val="center"/>
            <w:hideMark/>
          </w:tcPr>
          <w:p w:rsidR="00E67099" w:rsidRPr="00E67099" w:rsidRDefault="00E67099" w:rsidP="00E67099">
            <w:pPr>
              <w:spacing w:after="0" w:line="240" w:lineRule="auto"/>
              <w:jc w:val="right"/>
              <w:rPr>
                <w:rFonts w:ascii="Calibri Light" w:eastAsia="Times New Roman" w:hAnsi="Calibri Light" w:cs="Calibri Light"/>
                <w:b/>
                <w:bCs/>
                <w:color w:val="000000"/>
                <w:sz w:val="24"/>
                <w:szCs w:val="24"/>
                <w:lang w:val="en-US"/>
              </w:rPr>
            </w:pPr>
            <w:r w:rsidRPr="00E67099">
              <w:rPr>
                <w:rFonts w:ascii="Calibri Light" w:eastAsia="Times New Roman" w:hAnsi="Calibri Light" w:cs="Calibri Light"/>
                <w:b/>
                <w:bCs/>
                <w:color w:val="000000"/>
                <w:sz w:val="24"/>
                <w:szCs w:val="24"/>
                <w:lang w:val="ro-MD"/>
              </w:rPr>
              <w:t>1.852,70</w:t>
            </w:r>
          </w:p>
        </w:tc>
        <w:tc>
          <w:tcPr>
            <w:tcW w:w="1153" w:type="dxa"/>
            <w:tcBorders>
              <w:top w:val="nil"/>
              <w:left w:val="nil"/>
              <w:bottom w:val="single" w:sz="8" w:space="0" w:color="999999"/>
              <w:right w:val="single" w:sz="12" w:space="0" w:color="auto"/>
            </w:tcBorders>
            <w:shd w:val="clear" w:color="000000" w:fill="D5DCE4"/>
            <w:vAlign w:val="center"/>
            <w:hideMark/>
          </w:tcPr>
          <w:p w:rsidR="00E67099" w:rsidRPr="00E67099" w:rsidRDefault="00E67099" w:rsidP="00E67099">
            <w:pPr>
              <w:spacing w:after="0" w:line="240" w:lineRule="auto"/>
              <w:jc w:val="right"/>
              <w:rPr>
                <w:rFonts w:ascii="Calibri Light" w:eastAsia="Times New Roman" w:hAnsi="Calibri Light" w:cs="Calibri Light"/>
                <w:b/>
                <w:bCs/>
                <w:i/>
                <w:iCs/>
                <w:color w:val="000000"/>
                <w:sz w:val="24"/>
                <w:szCs w:val="24"/>
                <w:lang w:val="en-US"/>
              </w:rPr>
            </w:pPr>
            <w:r w:rsidRPr="00E67099">
              <w:rPr>
                <w:rFonts w:ascii="Calibri Light" w:eastAsia="Times New Roman" w:hAnsi="Calibri Light" w:cs="Calibri Light"/>
                <w:b/>
                <w:bCs/>
                <w:i/>
                <w:iCs/>
                <w:color w:val="000000"/>
                <w:sz w:val="24"/>
                <w:szCs w:val="24"/>
                <w:lang w:val="ro-MD"/>
              </w:rPr>
              <w:t>x</w:t>
            </w:r>
          </w:p>
        </w:tc>
        <w:tc>
          <w:tcPr>
            <w:tcW w:w="1174" w:type="dxa"/>
            <w:tcBorders>
              <w:top w:val="nil"/>
              <w:left w:val="nil"/>
              <w:bottom w:val="single" w:sz="8" w:space="0" w:color="999999"/>
              <w:right w:val="single" w:sz="8" w:space="0" w:color="999999"/>
            </w:tcBorders>
            <w:shd w:val="clear" w:color="000000" w:fill="D5DCE4"/>
            <w:vAlign w:val="center"/>
            <w:hideMark/>
          </w:tcPr>
          <w:p w:rsidR="00E67099" w:rsidRPr="00E67099" w:rsidRDefault="00E67099" w:rsidP="00E67099">
            <w:pPr>
              <w:spacing w:after="0" w:line="240" w:lineRule="auto"/>
              <w:jc w:val="right"/>
              <w:rPr>
                <w:rFonts w:ascii="Calibri Light" w:eastAsia="Times New Roman" w:hAnsi="Calibri Light" w:cs="Calibri Light"/>
                <w:b/>
                <w:bCs/>
                <w:color w:val="000000"/>
                <w:sz w:val="24"/>
                <w:szCs w:val="24"/>
                <w:lang w:val="en-US"/>
              </w:rPr>
            </w:pPr>
            <w:r w:rsidRPr="00E67099">
              <w:rPr>
                <w:rFonts w:ascii="Calibri Light" w:eastAsia="Times New Roman" w:hAnsi="Calibri Light" w:cs="Calibri Light"/>
                <w:b/>
                <w:bCs/>
                <w:color w:val="000000"/>
                <w:sz w:val="24"/>
                <w:szCs w:val="24"/>
                <w:lang w:val="ro-MD"/>
              </w:rPr>
              <w:t>1.621,50</w:t>
            </w:r>
          </w:p>
        </w:tc>
        <w:tc>
          <w:tcPr>
            <w:tcW w:w="1254" w:type="dxa"/>
            <w:tcBorders>
              <w:top w:val="nil"/>
              <w:left w:val="nil"/>
              <w:bottom w:val="single" w:sz="8" w:space="0" w:color="999999"/>
              <w:right w:val="single" w:sz="12" w:space="0" w:color="auto"/>
            </w:tcBorders>
            <w:shd w:val="clear" w:color="000000" w:fill="D5DCE4"/>
            <w:vAlign w:val="center"/>
            <w:hideMark/>
          </w:tcPr>
          <w:p w:rsidR="00E67099" w:rsidRPr="00E67099" w:rsidRDefault="00E67099" w:rsidP="00E67099">
            <w:pPr>
              <w:spacing w:after="0" w:line="240" w:lineRule="auto"/>
              <w:jc w:val="right"/>
              <w:rPr>
                <w:rFonts w:ascii="Calibri Light" w:eastAsia="Times New Roman" w:hAnsi="Calibri Light" w:cs="Calibri Light"/>
                <w:b/>
                <w:bCs/>
                <w:i/>
                <w:iCs/>
                <w:color w:val="000000"/>
                <w:sz w:val="24"/>
                <w:szCs w:val="24"/>
                <w:lang w:val="en-US"/>
              </w:rPr>
            </w:pPr>
            <w:r w:rsidRPr="00E67099">
              <w:rPr>
                <w:rFonts w:ascii="Calibri Light" w:eastAsia="Times New Roman" w:hAnsi="Calibri Light" w:cs="Calibri Light"/>
                <w:b/>
                <w:bCs/>
                <w:i/>
                <w:iCs/>
                <w:color w:val="000000"/>
                <w:sz w:val="24"/>
                <w:szCs w:val="24"/>
                <w:lang w:val="ro-MD"/>
              </w:rPr>
              <w:t>x</w:t>
            </w:r>
          </w:p>
        </w:tc>
        <w:tc>
          <w:tcPr>
            <w:tcW w:w="1134" w:type="dxa"/>
            <w:tcBorders>
              <w:top w:val="nil"/>
              <w:left w:val="nil"/>
              <w:bottom w:val="single" w:sz="8" w:space="0" w:color="999999"/>
              <w:right w:val="single" w:sz="2" w:space="0" w:color="auto"/>
            </w:tcBorders>
            <w:shd w:val="clear" w:color="000000" w:fill="D5DCE4"/>
            <w:vAlign w:val="center"/>
            <w:hideMark/>
          </w:tcPr>
          <w:p w:rsidR="00E67099" w:rsidRPr="00E67099" w:rsidRDefault="00E67099" w:rsidP="00E67099">
            <w:pPr>
              <w:spacing w:after="0" w:line="240" w:lineRule="auto"/>
              <w:jc w:val="right"/>
              <w:rPr>
                <w:rFonts w:ascii="Calibri Light" w:eastAsia="Times New Roman" w:hAnsi="Calibri Light" w:cs="Calibri Light"/>
                <w:b/>
                <w:bCs/>
                <w:i/>
                <w:iCs/>
                <w:color w:val="000000"/>
                <w:sz w:val="24"/>
                <w:szCs w:val="24"/>
                <w:lang w:val="en-US"/>
              </w:rPr>
            </w:pPr>
            <w:r w:rsidRPr="00E67099">
              <w:rPr>
                <w:rFonts w:ascii="Calibri Light" w:eastAsia="Times New Roman" w:hAnsi="Calibri Light" w:cs="Calibri Light"/>
                <w:b/>
                <w:bCs/>
                <w:i/>
                <w:iCs/>
                <w:color w:val="000000"/>
                <w:sz w:val="24"/>
                <w:szCs w:val="24"/>
                <w:lang w:val="ro-MD"/>
              </w:rPr>
              <w:t>1.259,30</w:t>
            </w:r>
          </w:p>
        </w:tc>
        <w:tc>
          <w:tcPr>
            <w:tcW w:w="1150" w:type="dxa"/>
            <w:tcBorders>
              <w:top w:val="nil"/>
              <w:left w:val="single" w:sz="2" w:space="0" w:color="auto"/>
              <w:bottom w:val="single" w:sz="8" w:space="0" w:color="999999"/>
              <w:right w:val="single" w:sz="4" w:space="0" w:color="auto"/>
            </w:tcBorders>
            <w:shd w:val="clear" w:color="000000" w:fill="D5DCE4"/>
            <w:vAlign w:val="center"/>
            <w:hideMark/>
          </w:tcPr>
          <w:p w:rsidR="00E67099" w:rsidRPr="00E67099" w:rsidRDefault="00E67099" w:rsidP="00E67099">
            <w:pPr>
              <w:spacing w:after="0" w:line="240" w:lineRule="auto"/>
              <w:jc w:val="right"/>
              <w:rPr>
                <w:rFonts w:ascii="Calibri Light" w:eastAsia="Times New Roman" w:hAnsi="Calibri Light" w:cs="Calibri Light"/>
                <w:b/>
                <w:bCs/>
                <w:i/>
                <w:iCs/>
                <w:color w:val="000000"/>
                <w:sz w:val="24"/>
                <w:szCs w:val="24"/>
                <w:lang w:val="en-US"/>
              </w:rPr>
            </w:pPr>
            <w:r w:rsidRPr="00E67099">
              <w:rPr>
                <w:rFonts w:ascii="Calibri Light" w:eastAsia="Times New Roman" w:hAnsi="Calibri Light" w:cs="Calibri Light"/>
                <w:b/>
                <w:bCs/>
                <w:i/>
                <w:iCs/>
                <w:color w:val="000000"/>
                <w:sz w:val="24"/>
                <w:szCs w:val="24"/>
                <w:lang w:val="ro-MD"/>
              </w:rPr>
              <w:t>x</w:t>
            </w:r>
          </w:p>
        </w:tc>
        <w:tc>
          <w:tcPr>
            <w:tcW w:w="127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67099" w:rsidRPr="00E67099" w:rsidRDefault="00E67099" w:rsidP="00E67099">
            <w:pPr>
              <w:spacing w:after="0" w:line="240" w:lineRule="auto"/>
              <w:jc w:val="right"/>
              <w:rPr>
                <w:rFonts w:ascii="Calibri Light" w:eastAsia="Times New Roman" w:hAnsi="Calibri Light" w:cs="Calibri Light"/>
                <w:i/>
                <w:iCs/>
                <w:color w:val="000000"/>
                <w:sz w:val="24"/>
                <w:szCs w:val="24"/>
                <w:lang w:val="en-US"/>
              </w:rPr>
            </w:pPr>
            <w:r w:rsidRPr="00E67099">
              <w:rPr>
                <w:rFonts w:ascii="Calibri Light" w:eastAsia="Times New Roman" w:hAnsi="Calibri Light" w:cs="Calibri Light"/>
                <w:i/>
                <w:iCs/>
                <w:color w:val="000000"/>
                <w:sz w:val="24"/>
                <w:szCs w:val="24"/>
                <w:lang w:val="ro-MD"/>
              </w:rPr>
              <w:t>-362,20</w:t>
            </w:r>
          </w:p>
        </w:tc>
        <w:tc>
          <w:tcPr>
            <w:tcW w:w="127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67099" w:rsidRPr="00E67099" w:rsidRDefault="00E67099" w:rsidP="00E67099">
            <w:pPr>
              <w:spacing w:after="0" w:line="240" w:lineRule="auto"/>
              <w:jc w:val="right"/>
              <w:rPr>
                <w:rFonts w:ascii="Calibri Light" w:eastAsia="Times New Roman" w:hAnsi="Calibri Light" w:cs="Calibri Light"/>
                <w:i/>
                <w:iCs/>
                <w:color w:val="000000"/>
                <w:sz w:val="24"/>
                <w:szCs w:val="24"/>
                <w:lang w:val="en-US"/>
              </w:rPr>
            </w:pPr>
            <w:r w:rsidRPr="00E67099">
              <w:rPr>
                <w:rFonts w:ascii="Calibri Light" w:eastAsia="Times New Roman" w:hAnsi="Calibri Light" w:cs="Calibri Light"/>
                <w:i/>
                <w:iCs/>
                <w:color w:val="000000"/>
                <w:sz w:val="24"/>
                <w:szCs w:val="24"/>
                <w:lang w:val="ro-MD"/>
              </w:rPr>
              <w:t>-593,40</w:t>
            </w:r>
          </w:p>
        </w:tc>
      </w:tr>
    </w:tbl>
    <w:p w:rsidR="00E67099" w:rsidRPr="00E67099" w:rsidRDefault="00E67099" w:rsidP="00E67099">
      <w:pPr>
        <w:spacing w:after="0" w:line="240" w:lineRule="auto"/>
        <w:ind w:firstLine="567"/>
        <w:rPr>
          <w:rFonts w:asciiTheme="majorHAnsi" w:hAnsiTheme="majorHAnsi" w:cs="Times New Roman"/>
          <w:i/>
          <w:sz w:val="20"/>
          <w:szCs w:val="20"/>
        </w:rPr>
      </w:pPr>
      <w:r w:rsidRPr="00E67099">
        <w:rPr>
          <w:rFonts w:asciiTheme="majorHAnsi" w:hAnsiTheme="majorHAnsi" w:cs="Times New Roman"/>
          <w:b/>
          <w:i/>
          <w:sz w:val="20"/>
          <w:szCs w:val="20"/>
        </w:rPr>
        <w:t>Sursă:</w:t>
      </w:r>
      <w:r w:rsidRPr="00E67099">
        <w:rPr>
          <w:rFonts w:asciiTheme="majorHAnsi" w:hAnsiTheme="majorHAnsi" w:cs="Times New Roman"/>
          <w:i/>
          <w:sz w:val="20"/>
          <w:szCs w:val="20"/>
        </w:rPr>
        <w:t xml:space="preserve"> Darea de seamă privind restanțele la BPN administrate de SFS și SV.</w:t>
      </w:r>
    </w:p>
    <w:p w:rsidR="00422E79" w:rsidRDefault="00422E79" w:rsidP="004C0263">
      <w:pPr>
        <w:tabs>
          <w:tab w:val="left" w:pos="8931"/>
        </w:tabs>
        <w:spacing w:after="0" w:line="240" w:lineRule="auto"/>
        <w:rPr>
          <w:rFonts w:asciiTheme="majorHAnsi" w:hAnsiTheme="majorHAnsi" w:cstheme="majorHAnsi"/>
          <w:b/>
          <w:bCs/>
          <w:sz w:val="24"/>
          <w:szCs w:val="24"/>
        </w:rPr>
      </w:pPr>
    </w:p>
    <w:p w:rsidR="00E67099" w:rsidRPr="00E67099" w:rsidRDefault="00E67099" w:rsidP="00E67099">
      <w:pPr>
        <w:tabs>
          <w:tab w:val="left" w:pos="8931"/>
        </w:tabs>
        <w:spacing w:after="0" w:line="240" w:lineRule="auto"/>
        <w:jc w:val="center"/>
        <w:rPr>
          <w:rFonts w:asciiTheme="majorHAnsi" w:hAnsiTheme="majorHAnsi" w:cstheme="majorHAnsi"/>
          <w:b/>
          <w:bCs/>
          <w:sz w:val="24"/>
          <w:szCs w:val="24"/>
        </w:rPr>
      </w:pPr>
      <w:r w:rsidRPr="00E67099">
        <w:rPr>
          <w:rFonts w:asciiTheme="majorHAnsi" w:hAnsiTheme="majorHAnsi" w:cstheme="majorHAnsi"/>
          <w:b/>
          <w:bCs/>
          <w:sz w:val="24"/>
          <w:szCs w:val="24"/>
        </w:rPr>
        <w:t>Dinamica restanțelor față de BS administrate de SFS și SV în anii 2017-2019</w:t>
      </w:r>
    </w:p>
    <w:p w:rsidR="00E67099" w:rsidRPr="00E67099" w:rsidRDefault="00E67099" w:rsidP="00E67099">
      <w:pPr>
        <w:tabs>
          <w:tab w:val="left" w:pos="8931"/>
        </w:tabs>
        <w:spacing w:after="0" w:line="240" w:lineRule="auto"/>
        <w:ind w:right="2373"/>
        <w:jc w:val="right"/>
        <w:rPr>
          <w:rFonts w:asciiTheme="majorHAnsi" w:hAnsiTheme="majorHAnsi" w:cstheme="majorHAnsi"/>
          <w:b/>
          <w:bCs/>
          <w:sz w:val="24"/>
          <w:szCs w:val="24"/>
        </w:rPr>
      </w:pPr>
      <w:r w:rsidRPr="00E67099">
        <w:rPr>
          <w:rFonts w:asciiTheme="majorHAnsi" w:hAnsiTheme="majorHAnsi" w:cstheme="majorHAnsi"/>
          <w:b/>
          <w:bCs/>
          <w:sz w:val="24"/>
          <w:szCs w:val="24"/>
        </w:rPr>
        <w:t>(mil. lei)</w:t>
      </w:r>
    </w:p>
    <w:p w:rsidR="00E67099" w:rsidRPr="00E67099" w:rsidRDefault="00E67099" w:rsidP="00E67099">
      <w:pPr>
        <w:tabs>
          <w:tab w:val="left" w:pos="8931"/>
        </w:tabs>
        <w:spacing w:after="0" w:line="276" w:lineRule="auto"/>
        <w:ind w:right="49"/>
        <w:jc w:val="center"/>
        <w:rPr>
          <w:rFonts w:ascii="Times New Roman" w:hAnsi="Times New Roman" w:cs="Times New Roman"/>
          <w:bCs/>
          <w:sz w:val="24"/>
        </w:rPr>
      </w:pPr>
      <w:r w:rsidRPr="00E67099">
        <w:rPr>
          <w:noProof/>
          <w:lang w:val="ru-RU" w:eastAsia="ru-RU"/>
        </w:rPr>
        <w:drawing>
          <wp:inline distT="0" distB="0" distL="0" distR="0" wp14:anchorId="50E8A79C" wp14:editId="0872E43E">
            <wp:extent cx="5619750" cy="2019300"/>
            <wp:effectExtent l="57150" t="57150" r="38100" b="38100"/>
            <wp:docPr id="9" name="Диаграмма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67099" w:rsidRPr="00E67099" w:rsidRDefault="00E67099" w:rsidP="00E67099">
      <w:pPr>
        <w:tabs>
          <w:tab w:val="left" w:pos="8931"/>
        </w:tabs>
        <w:spacing w:after="0" w:line="276" w:lineRule="auto"/>
        <w:ind w:right="2231"/>
        <w:jc w:val="right"/>
        <w:rPr>
          <w:rFonts w:asciiTheme="majorHAnsi" w:hAnsiTheme="majorHAnsi" w:cstheme="majorHAnsi"/>
          <w:i/>
          <w:sz w:val="20"/>
          <w:szCs w:val="20"/>
        </w:rPr>
      </w:pPr>
      <w:r w:rsidRPr="00E67099">
        <w:rPr>
          <w:rFonts w:asciiTheme="majorHAnsi" w:hAnsiTheme="majorHAnsi" w:cstheme="majorHAnsi"/>
          <w:b/>
          <w:i/>
          <w:sz w:val="20"/>
          <w:szCs w:val="20"/>
        </w:rPr>
        <w:t xml:space="preserve">Sursă: </w:t>
      </w:r>
      <w:r w:rsidRPr="00E67099">
        <w:rPr>
          <w:rFonts w:asciiTheme="majorHAnsi" w:hAnsiTheme="majorHAnsi" w:cstheme="majorHAnsi"/>
          <w:i/>
          <w:color w:val="000000"/>
          <w:spacing w:val="-1"/>
          <w:sz w:val="20"/>
          <w:szCs w:val="20"/>
        </w:rPr>
        <w:t>Informații generalizate de echipa de audit potrivit datelor prezentate de</w:t>
      </w:r>
      <w:r w:rsidRPr="00E67099">
        <w:rPr>
          <w:rFonts w:asciiTheme="majorHAnsi" w:hAnsiTheme="majorHAnsi" w:cstheme="majorHAnsi"/>
          <w:color w:val="000000"/>
          <w:spacing w:val="-1"/>
          <w:sz w:val="20"/>
          <w:szCs w:val="20"/>
        </w:rPr>
        <w:t xml:space="preserve"> </w:t>
      </w:r>
      <w:r w:rsidRPr="00E67099">
        <w:rPr>
          <w:rFonts w:asciiTheme="majorHAnsi" w:hAnsiTheme="majorHAnsi" w:cstheme="majorHAnsi"/>
          <w:i/>
          <w:sz w:val="20"/>
          <w:szCs w:val="20"/>
        </w:rPr>
        <w:t>SFS și SV pentru anii 2017-2019.</w:t>
      </w:r>
    </w:p>
    <w:p w:rsidR="00E67099" w:rsidRPr="00E67099" w:rsidRDefault="00E67099" w:rsidP="00E67099">
      <w:pPr>
        <w:shd w:val="clear" w:color="auto" w:fill="FFFFFF" w:themeFill="background1"/>
        <w:tabs>
          <w:tab w:val="left" w:pos="284"/>
          <w:tab w:val="left" w:pos="567"/>
          <w:tab w:val="left" w:pos="6237"/>
          <w:tab w:val="left" w:pos="6379"/>
        </w:tabs>
        <w:spacing w:after="0" w:line="276" w:lineRule="auto"/>
        <w:contextualSpacing/>
        <w:rPr>
          <w:rFonts w:asciiTheme="majorHAnsi" w:eastAsia="Times New Roman" w:hAnsiTheme="majorHAnsi" w:cstheme="majorHAnsi"/>
          <w:b/>
          <w:i/>
          <w:sz w:val="24"/>
          <w:szCs w:val="24"/>
        </w:rPr>
      </w:pPr>
    </w:p>
    <w:p w:rsidR="00E67099" w:rsidRPr="00E67099" w:rsidRDefault="00E67099" w:rsidP="00E67099">
      <w:pPr>
        <w:shd w:val="clear" w:color="auto" w:fill="FFFFFF" w:themeFill="background1"/>
        <w:tabs>
          <w:tab w:val="left" w:pos="284"/>
          <w:tab w:val="left" w:pos="567"/>
          <w:tab w:val="left" w:pos="6237"/>
          <w:tab w:val="left" w:pos="6379"/>
        </w:tabs>
        <w:spacing w:after="0" w:line="276" w:lineRule="auto"/>
        <w:contextualSpacing/>
        <w:rPr>
          <w:rFonts w:asciiTheme="majorHAnsi" w:eastAsia="Times New Roman" w:hAnsiTheme="majorHAnsi" w:cstheme="majorHAnsi"/>
          <w:b/>
          <w:i/>
          <w:sz w:val="24"/>
          <w:szCs w:val="24"/>
        </w:rPr>
      </w:pPr>
    </w:p>
    <w:p w:rsidR="00F71B6E" w:rsidRDefault="00F71B6E" w:rsidP="00E67099">
      <w:pPr>
        <w:spacing w:after="0" w:line="240" w:lineRule="auto"/>
        <w:jc w:val="right"/>
        <w:rPr>
          <w:rFonts w:asciiTheme="majorHAnsi" w:eastAsia="Times New Roman" w:hAnsiTheme="majorHAnsi" w:cstheme="majorHAnsi"/>
          <w:b/>
          <w:i/>
          <w:sz w:val="24"/>
          <w:szCs w:val="24"/>
          <w:lang w:val="ro-MD"/>
        </w:rPr>
      </w:pPr>
    </w:p>
    <w:p w:rsidR="00F71B6E" w:rsidRDefault="00F71B6E" w:rsidP="00E67099">
      <w:pPr>
        <w:spacing w:after="0" w:line="240" w:lineRule="auto"/>
        <w:jc w:val="right"/>
        <w:rPr>
          <w:rFonts w:asciiTheme="majorHAnsi" w:eastAsia="Times New Roman" w:hAnsiTheme="majorHAnsi" w:cstheme="majorHAnsi"/>
          <w:b/>
          <w:i/>
          <w:sz w:val="24"/>
          <w:szCs w:val="24"/>
          <w:lang w:val="ro-MD"/>
        </w:rPr>
      </w:pPr>
    </w:p>
    <w:p w:rsidR="00F71B6E" w:rsidRDefault="00F71B6E" w:rsidP="00E67099">
      <w:pPr>
        <w:spacing w:after="0" w:line="240" w:lineRule="auto"/>
        <w:jc w:val="right"/>
        <w:rPr>
          <w:rFonts w:asciiTheme="majorHAnsi" w:eastAsia="Times New Roman" w:hAnsiTheme="majorHAnsi" w:cstheme="majorHAnsi"/>
          <w:b/>
          <w:i/>
          <w:sz w:val="24"/>
          <w:szCs w:val="24"/>
          <w:lang w:val="ro-MD"/>
        </w:rPr>
      </w:pPr>
    </w:p>
    <w:p w:rsidR="00F71B6E" w:rsidRDefault="00F71B6E" w:rsidP="00E67099">
      <w:pPr>
        <w:spacing w:after="0" w:line="240" w:lineRule="auto"/>
        <w:jc w:val="right"/>
        <w:rPr>
          <w:rFonts w:asciiTheme="majorHAnsi" w:eastAsia="Times New Roman" w:hAnsiTheme="majorHAnsi" w:cstheme="majorHAnsi"/>
          <w:b/>
          <w:i/>
          <w:sz w:val="24"/>
          <w:szCs w:val="24"/>
          <w:lang w:val="ro-MD"/>
        </w:rPr>
      </w:pPr>
    </w:p>
    <w:p w:rsidR="00F71B6E" w:rsidRDefault="00F71B6E" w:rsidP="00E67099">
      <w:pPr>
        <w:spacing w:after="0" w:line="240" w:lineRule="auto"/>
        <w:jc w:val="right"/>
        <w:rPr>
          <w:rFonts w:asciiTheme="majorHAnsi" w:eastAsia="Times New Roman" w:hAnsiTheme="majorHAnsi" w:cstheme="majorHAnsi"/>
          <w:b/>
          <w:i/>
          <w:sz w:val="24"/>
          <w:szCs w:val="24"/>
          <w:lang w:val="ro-MD"/>
        </w:rPr>
      </w:pPr>
    </w:p>
    <w:p w:rsidR="00F71B6E" w:rsidRDefault="00F71B6E" w:rsidP="00E67099">
      <w:pPr>
        <w:spacing w:after="0" w:line="240" w:lineRule="auto"/>
        <w:jc w:val="right"/>
        <w:rPr>
          <w:rFonts w:asciiTheme="majorHAnsi" w:eastAsia="Times New Roman" w:hAnsiTheme="majorHAnsi" w:cstheme="majorHAnsi"/>
          <w:b/>
          <w:i/>
          <w:sz w:val="24"/>
          <w:szCs w:val="24"/>
          <w:lang w:val="ro-MD"/>
        </w:rPr>
      </w:pPr>
    </w:p>
    <w:p w:rsidR="00E67099" w:rsidRPr="00E67099" w:rsidRDefault="00E67099" w:rsidP="00E67099">
      <w:pPr>
        <w:spacing w:after="0" w:line="240" w:lineRule="auto"/>
        <w:jc w:val="right"/>
        <w:rPr>
          <w:rFonts w:asciiTheme="majorHAnsi" w:eastAsia="Times New Roman" w:hAnsiTheme="majorHAnsi" w:cstheme="majorHAnsi"/>
          <w:b/>
          <w:i/>
          <w:sz w:val="24"/>
          <w:szCs w:val="24"/>
          <w:lang w:val="ro-MD"/>
        </w:rPr>
      </w:pPr>
      <w:r w:rsidRPr="00E67099">
        <w:rPr>
          <w:rFonts w:asciiTheme="majorHAnsi" w:eastAsia="Times New Roman" w:hAnsiTheme="majorHAnsi" w:cstheme="majorHAnsi"/>
          <w:b/>
          <w:i/>
          <w:sz w:val="24"/>
          <w:szCs w:val="24"/>
          <w:lang w:val="ro-MD"/>
        </w:rPr>
        <w:t>Anexa nr.23</w:t>
      </w:r>
    </w:p>
    <w:p w:rsidR="00E67099" w:rsidRPr="00E67099" w:rsidRDefault="00E67099" w:rsidP="00E67099">
      <w:pPr>
        <w:spacing w:after="0" w:line="240" w:lineRule="auto"/>
        <w:jc w:val="center"/>
        <w:rPr>
          <w:rFonts w:asciiTheme="majorHAnsi" w:eastAsia="Times New Roman" w:hAnsiTheme="majorHAnsi" w:cstheme="majorHAnsi"/>
          <w:b/>
          <w:sz w:val="24"/>
          <w:szCs w:val="24"/>
          <w:lang w:val="ro-MD"/>
        </w:rPr>
      </w:pPr>
      <w:r w:rsidRPr="00E67099">
        <w:rPr>
          <w:rFonts w:asciiTheme="majorHAnsi" w:eastAsia="Times New Roman" w:hAnsiTheme="majorHAnsi" w:cstheme="majorHAnsi"/>
          <w:b/>
          <w:sz w:val="24"/>
          <w:szCs w:val="24"/>
          <w:lang w:val="ro-MD"/>
        </w:rPr>
        <w:t xml:space="preserve">Sinteza executării în anul 2019 a mijloacelor financiare din fondurile de rezervă și de intervenție </w:t>
      </w:r>
    </w:p>
    <w:p w:rsidR="00E67099" w:rsidRPr="00E67099" w:rsidRDefault="00E67099" w:rsidP="00E67099">
      <w:pPr>
        <w:spacing w:after="0" w:line="240" w:lineRule="auto"/>
        <w:jc w:val="center"/>
        <w:rPr>
          <w:rFonts w:asciiTheme="majorHAnsi" w:eastAsia="Times New Roman" w:hAnsiTheme="majorHAnsi" w:cstheme="majorHAnsi"/>
          <w:b/>
          <w:sz w:val="24"/>
          <w:szCs w:val="24"/>
          <w:lang w:val="ro-MD"/>
        </w:rPr>
      </w:pPr>
      <w:r w:rsidRPr="00E67099">
        <w:rPr>
          <w:rFonts w:asciiTheme="majorHAnsi" w:eastAsia="Times New Roman" w:hAnsiTheme="majorHAnsi" w:cstheme="majorHAnsi"/>
          <w:b/>
          <w:sz w:val="24"/>
          <w:szCs w:val="24"/>
          <w:lang w:val="ro-MD"/>
        </w:rPr>
        <w:t xml:space="preserve">ale Guvernului </w:t>
      </w:r>
    </w:p>
    <w:p w:rsidR="00E67099" w:rsidRPr="00E67099" w:rsidRDefault="00E67099" w:rsidP="00E67099">
      <w:pPr>
        <w:spacing w:after="0" w:line="240" w:lineRule="auto"/>
        <w:ind w:right="2373"/>
        <w:jc w:val="right"/>
        <w:rPr>
          <w:rFonts w:asciiTheme="majorHAnsi" w:eastAsiaTheme="minorEastAsia" w:hAnsiTheme="majorHAnsi" w:cstheme="majorHAnsi"/>
          <w:b/>
          <w:bCs/>
          <w:i/>
          <w:iCs/>
          <w:szCs w:val="28"/>
          <w:lang w:val="ro-MD" w:eastAsia="ru-RU"/>
        </w:rPr>
      </w:pPr>
      <w:r w:rsidRPr="00E67099">
        <w:rPr>
          <w:rFonts w:asciiTheme="majorHAnsi" w:eastAsia="Times New Roman" w:hAnsiTheme="majorHAnsi" w:cstheme="majorHAnsi"/>
          <w:b/>
          <w:sz w:val="24"/>
          <w:szCs w:val="24"/>
          <w:lang w:val="ro-MD"/>
        </w:rPr>
        <w:t xml:space="preserve">(mil. </w:t>
      </w:r>
      <w:r w:rsidRPr="00E67099">
        <w:rPr>
          <w:rFonts w:asciiTheme="majorHAnsi" w:eastAsiaTheme="minorEastAsia" w:hAnsiTheme="majorHAnsi" w:cstheme="majorHAnsi"/>
          <w:b/>
          <w:bCs/>
          <w:iCs/>
          <w:sz w:val="24"/>
          <w:szCs w:val="28"/>
          <w:lang w:val="ro-MD" w:eastAsia="ru-RU"/>
        </w:rPr>
        <w:t>lei)</w:t>
      </w:r>
    </w:p>
    <w:p w:rsidR="00E67099" w:rsidRPr="00E67099" w:rsidRDefault="00E67099" w:rsidP="00E67099">
      <w:pPr>
        <w:spacing w:after="0" w:line="276" w:lineRule="auto"/>
        <w:jc w:val="center"/>
        <w:rPr>
          <w:rFonts w:ascii="Times New Roman" w:eastAsia="Calibri" w:hAnsi="Times New Roman" w:cs="Times New Roman"/>
          <w:color w:val="000000"/>
          <w:sz w:val="28"/>
          <w:szCs w:val="28"/>
          <w:lang w:val="ro-MD"/>
        </w:rPr>
      </w:pPr>
      <w:r w:rsidRPr="00E67099">
        <w:rPr>
          <w:rFonts w:ascii="Times New Roman" w:eastAsia="Calibri" w:hAnsi="Times New Roman" w:cs="Times New Roman"/>
          <w:b/>
          <w:noProof/>
          <w:color w:val="000000"/>
          <w:shd w:val="clear" w:color="auto" w:fill="FFFFFF" w:themeFill="background1"/>
          <w:lang w:val="ru-RU" w:eastAsia="ru-RU"/>
        </w:rPr>
        <w:drawing>
          <wp:inline distT="0" distB="0" distL="0" distR="0" wp14:anchorId="3AAAC676" wp14:editId="448C6F97">
            <wp:extent cx="5539740" cy="1927860"/>
            <wp:effectExtent l="0" t="0" r="3810"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67099" w:rsidRPr="00E67099" w:rsidRDefault="00E67099" w:rsidP="00E67099">
      <w:pPr>
        <w:spacing w:after="0" w:line="276" w:lineRule="auto"/>
        <w:jc w:val="both"/>
        <w:rPr>
          <w:rFonts w:ascii="Times New Roman" w:eastAsia="Calibri" w:hAnsi="Times New Roman" w:cs="Times New Roman"/>
          <w:color w:val="000000"/>
          <w:sz w:val="20"/>
          <w:szCs w:val="20"/>
          <w:lang w:val="ro-MD"/>
        </w:rPr>
      </w:pPr>
      <w:r w:rsidRPr="00E67099">
        <w:rPr>
          <w:rFonts w:ascii="Times New Roman" w:eastAsia="Times New Roman" w:hAnsi="Times New Roman" w:cs="Times New Roman"/>
          <w:b/>
          <w:i/>
          <w:sz w:val="20"/>
          <w:szCs w:val="20"/>
          <w:lang w:val="ro-MD" w:eastAsia="ru-RU"/>
        </w:rPr>
        <w:t xml:space="preserve">Sursă: </w:t>
      </w:r>
      <w:r w:rsidRPr="00E67099">
        <w:rPr>
          <w:rFonts w:ascii="Times New Roman" w:eastAsia="Times New Roman" w:hAnsi="Times New Roman" w:cs="Times New Roman"/>
          <w:i/>
          <w:sz w:val="20"/>
          <w:szCs w:val="20"/>
          <w:lang w:val="ro-MD" w:eastAsia="ru-RU"/>
        </w:rPr>
        <w:t>Date generalizate de echipa de audit conform informațiilor prezentate de Ministerul Finanțelor.</w:t>
      </w:r>
      <w:r w:rsidRPr="00E67099">
        <w:rPr>
          <w:rFonts w:ascii="Times New Roman" w:eastAsia="Calibri" w:hAnsi="Times New Roman" w:cs="Times New Roman"/>
          <w:color w:val="000000"/>
          <w:sz w:val="20"/>
          <w:szCs w:val="20"/>
          <w:lang w:val="ro-MD"/>
        </w:rPr>
        <w:t xml:space="preserve"> </w:t>
      </w:r>
      <w:r w:rsidRPr="00E67099">
        <w:rPr>
          <w:rFonts w:ascii="Times New Roman" w:eastAsia="Times New Roman" w:hAnsi="Times New Roman" w:cs="Times New Roman"/>
          <w:i/>
          <w:sz w:val="20"/>
          <w:szCs w:val="20"/>
          <w:lang w:val="ro-MD"/>
        </w:rPr>
        <w:t>Formularul nr.10* ,,Raport privind repartizarea și utilizarea mijloacelor fondului de rezervă al Guvernului”, Formularul nr.11 ,,Raport privind repartizarea și utilizarea mijloacelor fondului de intervenție al Guvernului”</w:t>
      </w:r>
    </w:p>
    <w:p w:rsidR="00E67099" w:rsidRPr="00E67099" w:rsidRDefault="00E67099" w:rsidP="00E67099">
      <w:pPr>
        <w:spacing w:after="0" w:line="276" w:lineRule="auto"/>
        <w:jc w:val="both"/>
        <w:rPr>
          <w:rFonts w:ascii="Times New Roman" w:eastAsia="Calibri" w:hAnsi="Times New Roman" w:cs="Times New Roman"/>
          <w:color w:val="000000"/>
          <w:sz w:val="20"/>
          <w:szCs w:val="20"/>
          <w:lang w:val="ro-MD"/>
        </w:rPr>
      </w:pPr>
    </w:p>
    <w:p w:rsidR="00E67099" w:rsidRPr="00E67099" w:rsidRDefault="00E67099" w:rsidP="00E67099">
      <w:pPr>
        <w:spacing w:after="0" w:line="276" w:lineRule="auto"/>
        <w:ind w:firstLine="720"/>
        <w:jc w:val="right"/>
        <w:rPr>
          <w:rFonts w:asciiTheme="majorHAnsi" w:eastAsia="Times New Roman" w:hAnsiTheme="majorHAnsi" w:cstheme="majorHAnsi"/>
          <w:b/>
          <w:i/>
          <w:sz w:val="24"/>
          <w:szCs w:val="24"/>
          <w:lang w:val="ro-MD"/>
        </w:rPr>
      </w:pPr>
      <w:r w:rsidRPr="00E67099">
        <w:rPr>
          <w:rFonts w:asciiTheme="majorHAnsi" w:eastAsia="Times New Roman" w:hAnsiTheme="majorHAnsi" w:cstheme="majorHAnsi"/>
          <w:b/>
          <w:i/>
          <w:sz w:val="24"/>
          <w:szCs w:val="24"/>
          <w:lang w:val="ro-MD"/>
        </w:rPr>
        <w:t>Anexa nr.24</w:t>
      </w:r>
    </w:p>
    <w:p w:rsidR="00E67099" w:rsidRPr="00E67099" w:rsidRDefault="00E67099" w:rsidP="00E67099">
      <w:pPr>
        <w:spacing w:after="0" w:line="276" w:lineRule="auto"/>
        <w:jc w:val="center"/>
        <w:rPr>
          <w:rFonts w:asciiTheme="majorHAnsi" w:eastAsia="Times New Roman" w:hAnsiTheme="majorHAnsi" w:cstheme="majorHAnsi"/>
          <w:b/>
          <w:sz w:val="24"/>
          <w:szCs w:val="24"/>
          <w:lang w:val="ro-MD"/>
        </w:rPr>
      </w:pPr>
      <w:r w:rsidRPr="00E67099">
        <w:rPr>
          <w:rFonts w:asciiTheme="majorHAnsi" w:eastAsia="Times New Roman" w:hAnsiTheme="majorHAnsi" w:cstheme="majorHAnsi"/>
          <w:b/>
          <w:sz w:val="24"/>
          <w:szCs w:val="24"/>
          <w:lang w:val="ro-MD"/>
        </w:rPr>
        <w:t>Direcțiile principale de utilizare a mijloacelor fondului de rezervă al Guvernului în anul 2019</w:t>
      </w:r>
    </w:p>
    <w:p w:rsidR="00E67099" w:rsidRPr="00E67099" w:rsidRDefault="00E67099" w:rsidP="00E67099">
      <w:pPr>
        <w:spacing w:after="0" w:line="276" w:lineRule="auto"/>
        <w:jc w:val="center"/>
        <w:rPr>
          <w:rFonts w:asciiTheme="majorHAnsi" w:eastAsia="Times New Roman" w:hAnsiTheme="majorHAnsi" w:cstheme="majorHAnsi"/>
          <w:b/>
          <w:sz w:val="16"/>
          <w:szCs w:val="16"/>
          <w:lang w:val="ro-MD" w:eastAsia="ru-RU"/>
        </w:rPr>
      </w:pPr>
    </w:p>
    <w:tbl>
      <w:tblPr>
        <w:tblStyle w:val="GridTable1Light12"/>
        <w:tblW w:w="13616" w:type="dxa"/>
        <w:jc w:val="center"/>
        <w:tblLayout w:type="fixed"/>
        <w:tblLook w:val="04A0" w:firstRow="1" w:lastRow="0" w:firstColumn="1" w:lastColumn="0" w:noHBand="0" w:noVBand="1"/>
      </w:tblPr>
      <w:tblGrid>
        <w:gridCol w:w="9918"/>
        <w:gridCol w:w="851"/>
        <w:gridCol w:w="992"/>
        <w:gridCol w:w="19"/>
        <w:gridCol w:w="832"/>
        <w:gridCol w:w="992"/>
        <w:gridCol w:w="12"/>
      </w:tblGrid>
      <w:tr w:rsidR="00E67099" w:rsidRPr="00E67099" w:rsidTr="00A36731">
        <w:trPr>
          <w:cnfStyle w:val="100000000000" w:firstRow="1" w:lastRow="0" w:firstColumn="0" w:lastColumn="0" w:oddVBand="0" w:evenVBand="0" w:oddHBand="0" w:evenHBand="0" w:firstRowFirstColumn="0" w:firstRowLastColumn="0" w:lastRowFirstColumn="0" w:lastRowLastColumn="0"/>
          <w:trHeight w:val="475"/>
          <w:jc w:val="center"/>
        </w:trPr>
        <w:tc>
          <w:tcPr>
            <w:cnfStyle w:val="001000000000" w:firstRow="0" w:lastRow="0" w:firstColumn="1" w:lastColumn="0" w:oddVBand="0" w:evenVBand="0" w:oddHBand="0" w:evenHBand="0" w:firstRowFirstColumn="0" w:firstRowLastColumn="0" w:lastRowFirstColumn="0" w:lastRowLastColumn="0"/>
            <w:tcW w:w="9918" w:type="dxa"/>
            <w:vMerge w:val="restart"/>
            <w:vAlign w:val="center"/>
            <w:hideMark/>
          </w:tcPr>
          <w:p w:rsidR="00E67099" w:rsidRPr="00E67099" w:rsidRDefault="00E67099" w:rsidP="00E67099">
            <w:pPr>
              <w:jc w:val="center"/>
              <w:rPr>
                <w:rFonts w:asciiTheme="majorHAnsi" w:eastAsia="Times New Roman" w:hAnsiTheme="majorHAnsi" w:cstheme="majorHAnsi"/>
                <w:color w:val="000000"/>
                <w:sz w:val="20"/>
                <w:szCs w:val="20"/>
                <w:lang w:val="ro-MD" w:eastAsia="ru-RU"/>
              </w:rPr>
            </w:pPr>
            <w:r w:rsidRPr="00E67099">
              <w:rPr>
                <w:rFonts w:asciiTheme="majorHAnsi" w:eastAsia="Times New Roman" w:hAnsiTheme="majorHAnsi" w:cstheme="majorHAnsi"/>
                <w:color w:val="000000"/>
                <w:sz w:val="20"/>
                <w:szCs w:val="20"/>
                <w:lang w:val="ro-MD" w:eastAsia="ru-RU"/>
              </w:rPr>
              <w:t xml:space="preserve">Denumirea </w:t>
            </w:r>
          </w:p>
        </w:tc>
        <w:tc>
          <w:tcPr>
            <w:tcW w:w="1862" w:type="dxa"/>
            <w:gridSpan w:val="3"/>
            <w:vAlign w:val="center"/>
            <w:hideMark/>
          </w:tcPr>
          <w:p w:rsidR="00E67099" w:rsidRPr="00E67099" w:rsidRDefault="00E67099" w:rsidP="00E67099">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eastAsia="ru-RU"/>
              </w:rPr>
            </w:pPr>
            <w:r w:rsidRPr="00E67099">
              <w:rPr>
                <w:rFonts w:asciiTheme="majorHAnsi" w:eastAsia="Times New Roman" w:hAnsiTheme="majorHAnsi" w:cstheme="majorHAnsi"/>
                <w:color w:val="000000"/>
                <w:sz w:val="20"/>
                <w:szCs w:val="20"/>
                <w:lang w:val="ro-MD" w:eastAsia="ru-RU"/>
              </w:rPr>
              <w:t>Repartizat conform deciziilor Guvernului</w:t>
            </w:r>
          </w:p>
        </w:tc>
        <w:tc>
          <w:tcPr>
            <w:tcW w:w="1836" w:type="dxa"/>
            <w:gridSpan w:val="3"/>
            <w:vAlign w:val="center"/>
            <w:hideMark/>
          </w:tcPr>
          <w:p w:rsidR="00E67099" w:rsidRPr="00E67099" w:rsidRDefault="00E67099" w:rsidP="00E67099">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eastAsia="ru-RU"/>
              </w:rPr>
            </w:pPr>
            <w:r w:rsidRPr="00E67099">
              <w:rPr>
                <w:rFonts w:asciiTheme="majorHAnsi" w:eastAsia="Times New Roman" w:hAnsiTheme="majorHAnsi" w:cstheme="majorHAnsi"/>
                <w:color w:val="000000"/>
                <w:sz w:val="20"/>
                <w:szCs w:val="20"/>
                <w:lang w:val="ro-MD" w:eastAsia="ru-RU"/>
              </w:rPr>
              <w:t>Finanțat</w:t>
            </w:r>
          </w:p>
        </w:tc>
      </w:tr>
      <w:tr w:rsidR="00E67099" w:rsidRPr="00E67099" w:rsidTr="00A36731">
        <w:trPr>
          <w:gridAfter w:val="1"/>
          <w:wAfter w:w="12" w:type="dxa"/>
          <w:trHeight w:val="812"/>
          <w:jc w:val="center"/>
        </w:trPr>
        <w:tc>
          <w:tcPr>
            <w:cnfStyle w:val="001000000000" w:firstRow="0" w:lastRow="0" w:firstColumn="1" w:lastColumn="0" w:oddVBand="0" w:evenVBand="0" w:oddHBand="0" w:evenHBand="0" w:firstRowFirstColumn="0" w:firstRowLastColumn="0" w:lastRowFirstColumn="0" w:lastRowLastColumn="0"/>
            <w:tcW w:w="9918" w:type="dxa"/>
            <w:vMerge/>
            <w:vAlign w:val="center"/>
            <w:hideMark/>
          </w:tcPr>
          <w:p w:rsidR="00E67099" w:rsidRPr="00E67099" w:rsidRDefault="00E67099" w:rsidP="00E67099">
            <w:pPr>
              <w:rPr>
                <w:rFonts w:asciiTheme="majorHAnsi" w:eastAsia="Times New Roman" w:hAnsiTheme="majorHAnsi" w:cstheme="majorHAnsi"/>
                <w:color w:val="000000"/>
                <w:sz w:val="20"/>
                <w:szCs w:val="20"/>
                <w:lang w:val="ro-MD" w:eastAsia="ru-RU"/>
              </w:rPr>
            </w:pPr>
          </w:p>
        </w:tc>
        <w:tc>
          <w:tcPr>
            <w:tcW w:w="851" w:type="dxa"/>
            <w:vAlign w:val="center"/>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0"/>
                <w:lang w:val="ro-MD" w:eastAsia="ru-RU"/>
              </w:rPr>
            </w:pPr>
            <w:r w:rsidRPr="00E67099">
              <w:rPr>
                <w:rFonts w:asciiTheme="majorHAnsi" w:eastAsia="Times New Roman" w:hAnsiTheme="majorHAnsi" w:cstheme="majorHAnsi"/>
                <w:bCs/>
                <w:color w:val="000000"/>
                <w:sz w:val="20"/>
                <w:szCs w:val="20"/>
                <w:lang w:val="ro-MD" w:eastAsia="ru-RU"/>
              </w:rPr>
              <w:t xml:space="preserve">Suma </w:t>
            </w:r>
          </w:p>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0"/>
                <w:lang w:val="ro-MD" w:eastAsia="ru-RU"/>
              </w:rPr>
            </w:pPr>
            <w:r w:rsidRPr="00E67099">
              <w:rPr>
                <w:rFonts w:asciiTheme="majorHAnsi" w:eastAsia="Times New Roman" w:hAnsiTheme="majorHAnsi" w:cstheme="majorHAnsi"/>
                <w:bCs/>
                <w:color w:val="000000"/>
                <w:sz w:val="20"/>
                <w:szCs w:val="20"/>
                <w:lang w:val="ro-MD" w:eastAsia="ru-RU"/>
              </w:rPr>
              <w:t>(mil. lei)</w:t>
            </w:r>
          </w:p>
        </w:tc>
        <w:tc>
          <w:tcPr>
            <w:tcW w:w="992" w:type="dxa"/>
            <w:vAlign w:val="center"/>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iCs/>
                <w:color w:val="000000"/>
                <w:sz w:val="20"/>
                <w:szCs w:val="20"/>
                <w:lang w:val="ro-MD" w:eastAsia="ru-RU"/>
              </w:rPr>
            </w:pPr>
            <w:r w:rsidRPr="00E67099">
              <w:rPr>
                <w:rFonts w:asciiTheme="majorHAnsi" w:eastAsia="Times New Roman" w:hAnsiTheme="majorHAnsi" w:cstheme="majorHAnsi"/>
                <w:bCs/>
                <w:i/>
                <w:iCs/>
                <w:color w:val="000000"/>
                <w:sz w:val="20"/>
                <w:szCs w:val="20"/>
                <w:lang w:val="ro-MD" w:eastAsia="ru-RU"/>
              </w:rPr>
              <w:t>Ponderea în suma totală (%)</w:t>
            </w:r>
          </w:p>
        </w:tc>
        <w:tc>
          <w:tcPr>
            <w:tcW w:w="851" w:type="dxa"/>
            <w:gridSpan w:val="2"/>
            <w:vAlign w:val="center"/>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0"/>
                <w:lang w:val="ro-MD" w:eastAsia="ru-RU"/>
              </w:rPr>
            </w:pPr>
            <w:r w:rsidRPr="00E67099">
              <w:rPr>
                <w:rFonts w:asciiTheme="majorHAnsi" w:eastAsia="Times New Roman" w:hAnsiTheme="majorHAnsi" w:cstheme="majorHAnsi"/>
                <w:bCs/>
                <w:color w:val="000000"/>
                <w:sz w:val="20"/>
                <w:szCs w:val="20"/>
                <w:lang w:val="ro-MD" w:eastAsia="ru-RU"/>
              </w:rPr>
              <w:t xml:space="preserve">Suma </w:t>
            </w:r>
          </w:p>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0"/>
                <w:lang w:val="ro-MD" w:eastAsia="ru-RU"/>
              </w:rPr>
            </w:pPr>
            <w:r w:rsidRPr="00E67099">
              <w:rPr>
                <w:rFonts w:asciiTheme="majorHAnsi" w:eastAsia="Times New Roman" w:hAnsiTheme="majorHAnsi" w:cstheme="majorHAnsi"/>
                <w:bCs/>
                <w:color w:val="000000"/>
                <w:sz w:val="20"/>
                <w:szCs w:val="20"/>
                <w:lang w:val="ro-MD" w:eastAsia="ru-RU"/>
              </w:rPr>
              <w:t>(mil. lei)</w:t>
            </w:r>
          </w:p>
        </w:tc>
        <w:tc>
          <w:tcPr>
            <w:tcW w:w="992" w:type="dxa"/>
            <w:vAlign w:val="center"/>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iCs/>
                <w:color w:val="000000"/>
                <w:sz w:val="20"/>
                <w:szCs w:val="20"/>
                <w:lang w:val="ro-MD" w:eastAsia="ru-RU"/>
              </w:rPr>
            </w:pPr>
            <w:r w:rsidRPr="00E67099">
              <w:rPr>
                <w:rFonts w:asciiTheme="majorHAnsi" w:eastAsia="Times New Roman" w:hAnsiTheme="majorHAnsi" w:cstheme="majorHAnsi"/>
                <w:bCs/>
                <w:i/>
                <w:iCs/>
                <w:color w:val="000000"/>
                <w:sz w:val="20"/>
                <w:szCs w:val="20"/>
                <w:lang w:val="ro-MD" w:eastAsia="ru-RU"/>
              </w:rPr>
              <w:t>Ponderea în suma totală (%)</w:t>
            </w:r>
          </w:p>
        </w:tc>
      </w:tr>
      <w:tr w:rsidR="00E67099" w:rsidRPr="00E67099" w:rsidTr="00A36731">
        <w:trPr>
          <w:gridAfter w:val="1"/>
          <w:wAfter w:w="12" w:type="dxa"/>
          <w:trHeight w:val="539"/>
          <w:jc w:val="center"/>
        </w:trPr>
        <w:tc>
          <w:tcPr>
            <w:cnfStyle w:val="001000000000" w:firstRow="0" w:lastRow="0" w:firstColumn="1" w:lastColumn="0" w:oddVBand="0" w:evenVBand="0" w:oddHBand="0" w:evenHBand="0" w:firstRowFirstColumn="0" w:firstRowLastColumn="0" w:lastRowFirstColumn="0" w:lastRowLastColumn="0"/>
            <w:tcW w:w="9918" w:type="dxa"/>
          </w:tcPr>
          <w:p w:rsidR="00E67099" w:rsidRPr="00E67099" w:rsidRDefault="00E67099" w:rsidP="00E67099">
            <w:pPr>
              <w:jc w:val="both"/>
              <w:rPr>
                <w:rFonts w:asciiTheme="majorHAnsi" w:eastAsia="Times New Roman" w:hAnsiTheme="majorHAnsi" w:cstheme="majorHAnsi"/>
                <w:sz w:val="20"/>
                <w:szCs w:val="20"/>
                <w:lang w:val="ro-MD" w:eastAsia="ru-RU"/>
              </w:rPr>
            </w:pPr>
            <w:r w:rsidRPr="00E67099">
              <w:rPr>
                <w:rFonts w:asciiTheme="majorHAnsi" w:eastAsia="Times New Roman" w:hAnsiTheme="majorHAnsi" w:cstheme="majorHAnsi"/>
                <w:sz w:val="20"/>
                <w:szCs w:val="20"/>
                <w:lang w:val="ro-MD" w:eastAsia="ru-RU"/>
              </w:rPr>
              <w:t>Finanțarea cheltuielilor pentru campania de promovare a imaginii țării și mesajul de pace susținut de dl Ion Lazarenco, reprezentant al diasporei, sportiv înotător în ape deschise</w:t>
            </w:r>
          </w:p>
        </w:tc>
        <w:tc>
          <w:tcPr>
            <w:tcW w:w="851"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E67099">
              <w:rPr>
                <w:rFonts w:asciiTheme="majorHAnsi" w:eastAsia="Times New Roman" w:hAnsiTheme="majorHAnsi" w:cstheme="majorHAnsi"/>
                <w:sz w:val="20"/>
                <w:szCs w:val="20"/>
                <w:lang w:val="ro-MD" w:eastAsia="ru-RU"/>
              </w:rPr>
              <w:t>1,0</w:t>
            </w:r>
          </w:p>
        </w:tc>
        <w:tc>
          <w:tcPr>
            <w:tcW w:w="992"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20"/>
                <w:szCs w:val="20"/>
                <w:lang w:val="ro-MD" w:eastAsia="ru-RU"/>
              </w:rPr>
            </w:pPr>
            <w:r w:rsidRPr="00E67099">
              <w:rPr>
                <w:rFonts w:asciiTheme="majorHAnsi" w:eastAsia="Times New Roman" w:hAnsiTheme="majorHAnsi" w:cstheme="majorHAnsi"/>
                <w:i/>
                <w:iCs/>
                <w:sz w:val="20"/>
                <w:szCs w:val="20"/>
                <w:lang w:val="ro-MD" w:eastAsia="ru-RU"/>
              </w:rPr>
              <w:t>3,9%</w:t>
            </w:r>
          </w:p>
        </w:tc>
        <w:tc>
          <w:tcPr>
            <w:tcW w:w="851" w:type="dxa"/>
            <w:gridSpan w:val="2"/>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E67099">
              <w:rPr>
                <w:rFonts w:asciiTheme="majorHAnsi" w:eastAsia="Times New Roman" w:hAnsiTheme="majorHAnsi" w:cstheme="majorHAnsi"/>
                <w:sz w:val="20"/>
                <w:szCs w:val="20"/>
                <w:lang w:val="ro-MD" w:eastAsia="ru-RU"/>
              </w:rPr>
              <w:t>0,7</w:t>
            </w:r>
          </w:p>
        </w:tc>
        <w:tc>
          <w:tcPr>
            <w:tcW w:w="992"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20"/>
                <w:szCs w:val="20"/>
                <w:lang w:val="ro-MD" w:eastAsia="ru-RU"/>
              </w:rPr>
            </w:pPr>
            <w:r w:rsidRPr="00E67099">
              <w:rPr>
                <w:rFonts w:asciiTheme="majorHAnsi" w:eastAsia="Times New Roman" w:hAnsiTheme="majorHAnsi" w:cstheme="majorHAnsi"/>
                <w:i/>
                <w:iCs/>
                <w:sz w:val="20"/>
                <w:szCs w:val="20"/>
                <w:lang w:val="ro-MD" w:eastAsia="ru-RU"/>
              </w:rPr>
              <w:t>3,1%</w:t>
            </w:r>
          </w:p>
        </w:tc>
      </w:tr>
      <w:tr w:rsidR="00E67099" w:rsidRPr="00E67099" w:rsidTr="00A36731">
        <w:trPr>
          <w:gridAfter w:val="1"/>
          <w:wAfter w:w="12" w:type="dxa"/>
          <w:trHeight w:val="207"/>
          <w:jc w:val="center"/>
        </w:trPr>
        <w:tc>
          <w:tcPr>
            <w:cnfStyle w:val="001000000000" w:firstRow="0" w:lastRow="0" w:firstColumn="1" w:lastColumn="0" w:oddVBand="0" w:evenVBand="0" w:oddHBand="0" w:evenHBand="0" w:firstRowFirstColumn="0" w:firstRowLastColumn="0" w:lastRowFirstColumn="0" w:lastRowLastColumn="0"/>
            <w:tcW w:w="9918" w:type="dxa"/>
            <w:hideMark/>
          </w:tcPr>
          <w:p w:rsidR="00E67099" w:rsidRPr="00E67099" w:rsidRDefault="00E67099" w:rsidP="00E67099">
            <w:pPr>
              <w:jc w:val="both"/>
              <w:rPr>
                <w:rFonts w:asciiTheme="majorHAnsi" w:eastAsia="Times New Roman" w:hAnsiTheme="majorHAnsi" w:cstheme="majorHAnsi"/>
                <w:sz w:val="20"/>
                <w:szCs w:val="20"/>
                <w:lang w:val="ro-MD" w:eastAsia="ru-RU"/>
              </w:rPr>
            </w:pPr>
            <w:r w:rsidRPr="00E67099">
              <w:rPr>
                <w:rFonts w:asciiTheme="majorHAnsi" w:eastAsia="Times New Roman" w:hAnsiTheme="majorHAnsi" w:cstheme="majorHAnsi"/>
                <w:sz w:val="20"/>
                <w:szCs w:val="20"/>
                <w:lang w:val="ro-MD" w:eastAsia="ru-RU"/>
              </w:rPr>
              <w:t>Plata onorariilor de avocatură, pentru reprezentarea intereselor Guvernului RM în instanțele internaționale</w:t>
            </w:r>
          </w:p>
        </w:tc>
        <w:tc>
          <w:tcPr>
            <w:tcW w:w="851" w:type="dxa"/>
            <w:vAlign w:val="center"/>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0000"/>
                <w:sz w:val="20"/>
                <w:szCs w:val="20"/>
                <w:lang w:val="ro-MD" w:eastAsia="ru-RU"/>
              </w:rPr>
            </w:pPr>
            <w:r w:rsidRPr="00E67099">
              <w:rPr>
                <w:rFonts w:asciiTheme="majorHAnsi" w:eastAsia="Times New Roman" w:hAnsiTheme="majorHAnsi" w:cstheme="majorHAnsi"/>
                <w:sz w:val="20"/>
                <w:szCs w:val="20"/>
                <w:lang w:val="ro-MD" w:eastAsia="ru-RU"/>
              </w:rPr>
              <w:t xml:space="preserve">1,9 </w:t>
            </w:r>
          </w:p>
        </w:tc>
        <w:tc>
          <w:tcPr>
            <w:tcW w:w="992" w:type="dxa"/>
            <w:vAlign w:val="center"/>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20"/>
                <w:szCs w:val="20"/>
                <w:lang w:val="ro-MD" w:eastAsia="ru-RU"/>
              </w:rPr>
            </w:pPr>
            <w:r w:rsidRPr="00E67099">
              <w:rPr>
                <w:rFonts w:asciiTheme="majorHAnsi" w:eastAsia="Times New Roman" w:hAnsiTheme="majorHAnsi" w:cstheme="majorHAnsi"/>
                <w:i/>
                <w:iCs/>
                <w:sz w:val="20"/>
                <w:szCs w:val="20"/>
                <w:lang w:val="ro-MD" w:eastAsia="ru-RU"/>
              </w:rPr>
              <w:t>7,3%</w:t>
            </w:r>
          </w:p>
        </w:tc>
        <w:tc>
          <w:tcPr>
            <w:tcW w:w="851" w:type="dxa"/>
            <w:gridSpan w:val="2"/>
            <w:vAlign w:val="center"/>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E67099">
              <w:rPr>
                <w:rFonts w:asciiTheme="majorHAnsi" w:eastAsia="Times New Roman" w:hAnsiTheme="majorHAnsi" w:cstheme="majorHAnsi"/>
                <w:sz w:val="20"/>
                <w:szCs w:val="20"/>
                <w:lang w:val="ro-MD" w:eastAsia="ru-RU"/>
              </w:rPr>
              <w:t>1,9</w:t>
            </w:r>
          </w:p>
        </w:tc>
        <w:tc>
          <w:tcPr>
            <w:tcW w:w="992" w:type="dxa"/>
            <w:vAlign w:val="center"/>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20"/>
                <w:szCs w:val="20"/>
                <w:lang w:val="ro-MD" w:eastAsia="ru-RU"/>
              </w:rPr>
            </w:pPr>
            <w:r w:rsidRPr="00E67099">
              <w:rPr>
                <w:rFonts w:asciiTheme="majorHAnsi" w:eastAsia="Times New Roman" w:hAnsiTheme="majorHAnsi" w:cstheme="majorHAnsi"/>
                <w:i/>
                <w:iCs/>
                <w:sz w:val="20"/>
                <w:szCs w:val="20"/>
                <w:lang w:val="ro-MD" w:eastAsia="ru-RU"/>
              </w:rPr>
              <w:t>8,2%</w:t>
            </w:r>
          </w:p>
        </w:tc>
      </w:tr>
      <w:tr w:rsidR="00E67099" w:rsidRPr="00E67099" w:rsidTr="00A36731">
        <w:trPr>
          <w:gridAfter w:val="1"/>
          <w:wAfter w:w="12" w:type="dxa"/>
          <w:trHeight w:val="272"/>
          <w:jc w:val="center"/>
        </w:trPr>
        <w:tc>
          <w:tcPr>
            <w:cnfStyle w:val="001000000000" w:firstRow="0" w:lastRow="0" w:firstColumn="1" w:lastColumn="0" w:oddVBand="0" w:evenVBand="0" w:oddHBand="0" w:evenHBand="0" w:firstRowFirstColumn="0" w:firstRowLastColumn="0" w:lastRowFirstColumn="0" w:lastRowLastColumn="0"/>
            <w:tcW w:w="9918" w:type="dxa"/>
          </w:tcPr>
          <w:p w:rsidR="00E67099" w:rsidRPr="00E67099" w:rsidRDefault="00E67099" w:rsidP="00E67099">
            <w:pPr>
              <w:jc w:val="both"/>
              <w:rPr>
                <w:rFonts w:asciiTheme="majorHAnsi" w:eastAsia="Times New Roman" w:hAnsiTheme="majorHAnsi" w:cstheme="majorHAnsi"/>
                <w:sz w:val="20"/>
                <w:szCs w:val="20"/>
                <w:lang w:val="ro-MD" w:eastAsia="ru-RU"/>
              </w:rPr>
            </w:pPr>
            <w:r w:rsidRPr="00E67099">
              <w:rPr>
                <w:rFonts w:asciiTheme="majorHAnsi" w:eastAsia="Times New Roman" w:hAnsiTheme="majorHAnsi" w:cstheme="majorHAnsi"/>
                <w:sz w:val="20"/>
                <w:szCs w:val="20"/>
                <w:lang w:val="ro-MD" w:eastAsia="ru-RU"/>
              </w:rPr>
              <w:t>Pentru confecționarea legitimațiilor victimelor reabilitate ale represiunii politice</w:t>
            </w:r>
          </w:p>
        </w:tc>
        <w:tc>
          <w:tcPr>
            <w:tcW w:w="851"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E67099">
              <w:rPr>
                <w:rFonts w:asciiTheme="majorHAnsi" w:eastAsia="Times New Roman" w:hAnsiTheme="majorHAnsi" w:cstheme="majorHAnsi"/>
                <w:sz w:val="20"/>
                <w:szCs w:val="20"/>
                <w:lang w:val="ro-MD" w:eastAsia="ru-RU"/>
              </w:rPr>
              <w:t>0,3</w:t>
            </w:r>
          </w:p>
        </w:tc>
        <w:tc>
          <w:tcPr>
            <w:tcW w:w="992"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20"/>
                <w:szCs w:val="20"/>
                <w:lang w:val="ro-MD" w:eastAsia="ru-RU"/>
              </w:rPr>
            </w:pPr>
            <w:r w:rsidRPr="00E67099">
              <w:rPr>
                <w:rFonts w:asciiTheme="majorHAnsi" w:eastAsia="Times New Roman" w:hAnsiTheme="majorHAnsi" w:cstheme="majorHAnsi"/>
                <w:i/>
                <w:iCs/>
                <w:sz w:val="20"/>
                <w:szCs w:val="20"/>
                <w:lang w:val="ro-MD" w:eastAsia="ru-RU"/>
              </w:rPr>
              <w:t>1,1%</w:t>
            </w:r>
          </w:p>
        </w:tc>
        <w:tc>
          <w:tcPr>
            <w:tcW w:w="851" w:type="dxa"/>
            <w:gridSpan w:val="2"/>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E67099">
              <w:rPr>
                <w:rFonts w:asciiTheme="majorHAnsi" w:eastAsia="Times New Roman" w:hAnsiTheme="majorHAnsi" w:cstheme="majorHAnsi"/>
                <w:sz w:val="20"/>
                <w:szCs w:val="20"/>
                <w:lang w:val="ro-MD" w:eastAsia="ru-RU"/>
              </w:rPr>
              <w:t>0,2</w:t>
            </w:r>
          </w:p>
        </w:tc>
        <w:tc>
          <w:tcPr>
            <w:tcW w:w="992"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20"/>
                <w:szCs w:val="20"/>
                <w:lang w:val="ro-MD" w:eastAsia="ru-RU"/>
              </w:rPr>
            </w:pPr>
            <w:r w:rsidRPr="00E67099">
              <w:rPr>
                <w:rFonts w:asciiTheme="majorHAnsi" w:eastAsia="Times New Roman" w:hAnsiTheme="majorHAnsi" w:cstheme="majorHAnsi"/>
                <w:i/>
                <w:iCs/>
                <w:sz w:val="20"/>
                <w:szCs w:val="20"/>
                <w:lang w:val="ro-MD" w:eastAsia="ru-RU"/>
              </w:rPr>
              <w:t>0,9%</w:t>
            </w:r>
          </w:p>
        </w:tc>
      </w:tr>
      <w:tr w:rsidR="00E67099" w:rsidRPr="00E67099" w:rsidTr="00A36731">
        <w:trPr>
          <w:gridAfter w:val="1"/>
          <w:wAfter w:w="12" w:type="dxa"/>
          <w:trHeight w:val="449"/>
          <w:jc w:val="center"/>
        </w:trPr>
        <w:tc>
          <w:tcPr>
            <w:cnfStyle w:val="001000000000" w:firstRow="0" w:lastRow="0" w:firstColumn="1" w:lastColumn="0" w:oddVBand="0" w:evenVBand="0" w:oddHBand="0" w:evenHBand="0" w:firstRowFirstColumn="0" w:firstRowLastColumn="0" w:lastRowFirstColumn="0" w:lastRowLastColumn="0"/>
            <w:tcW w:w="9918" w:type="dxa"/>
            <w:hideMark/>
          </w:tcPr>
          <w:p w:rsidR="00E67099" w:rsidRPr="00E67099" w:rsidRDefault="00E67099" w:rsidP="00E67099">
            <w:pPr>
              <w:jc w:val="both"/>
              <w:rPr>
                <w:rFonts w:asciiTheme="majorHAnsi" w:eastAsia="Times New Roman" w:hAnsiTheme="majorHAnsi" w:cstheme="majorHAnsi"/>
                <w:sz w:val="20"/>
                <w:szCs w:val="20"/>
                <w:lang w:val="ro-MD" w:eastAsia="ru-RU"/>
              </w:rPr>
            </w:pPr>
            <w:r w:rsidRPr="00E67099">
              <w:rPr>
                <w:rFonts w:asciiTheme="majorHAnsi" w:eastAsia="Times New Roman" w:hAnsiTheme="majorHAnsi" w:cstheme="majorHAnsi"/>
                <w:sz w:val="20"/>
                <w:szCs w:val="20"/>
                <w:lang w:val="ro-MD" w:eastAsia="ru-RU"/>
              </w:rPr>
              <w:t>Cheltuieli aferente procurării și expunerii la vânzare a acțiunilor nou-emise de banca de importanță sistemică B.C. „Moldindconbank” S.A.</w:t>
            </w:r>
          </w:p>
        </w:tc>
        <w:tc>
          <w:tcPr>
            <w:tcW w:w="851" w:type="dxa"/>
            <w:vAlign w:val="center"/>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E67099">
              <w:rPr>
                <w:rFonts w:asciiTheme="majorHAnsi" w:eastAsia="Times New Roman" w:hAnsiTheme="majorHAnsi" w:cstheme="majorHAnsi"/>
                <w:sz w:val="20"/>
                <w:szCs w:val="20"/>
                <w:lang w:val="ro-MD" w:eastAsia="ru-RU"/>
              </w:rPr>
              <w:t>3,9</w:t>
            </w:r>
          </w:p>
        </w:tc>
        <w:tc>
          <w:tcPr>
            <w:tcW w:w="992" w:type="dxa"/>
            <w:vAlign w:val="center"/>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FF0000"/>
                <w:sz w:val="20"/>
                <w:szCs w:val="20"/>
                <w:lang w:val="ro-MD" w:eastAsia="ru-RU"/>
              </w:rPr>
            </w:pPr>
            <w:r w:rsidRPr="00E67099">
              <w:rPr>
                <w:rFonts w:asciiTheme="majorHAnsi" w:eastAsia="Times New Roman" w:hAnsiTheme="majorHAnsi" w:cstheme="majorHAnsi"/>
                <w:i/>
                <w:iCs/>
                <w:sz w:val="20"/>
                <w:szCs w:val="20"/>
                <w:lang w:val="ro-MD" w:eastAsia="ru-RU"/>
              </w:rPr>
              <w:t>15,2%</w:t>
            </w:r>
          </w:p>
        </w:tc>
        <w:tc>
          <w:tcPr>
            <w:tcW w:w="851" w:type="dxa"/>
            <w:gridSpan w:val="2"/>
            <w:vAlign w:val="center"/>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0000"/>
                <w:sz w:val="20"/>
                <w:szCs w:val="20"/>
                <w:lang w:val="ro-MD" w:eastAsia="ru-RU"/>
              </w:rPr>
            </w:pPr>
            <w:r w:rsidRPr="00E67099">
              <w:rPr>
                <w:rFonts w:asciiTheme="majorHAnsi" w:eastAsia="Times New Roman" w:hAnsiTheme="majorHAnsi" w:cstheme="majorHAnsi"/>
                <w:sz w:val="20"/>
                <w:szCs w:val="20"/>
                <w:lang w:val="ro-MD" w:eastAsia="ru-RU"/>
              </w:rPr>
              <w:t>3,4</w:t>
            </w:r>
          </w:p>
        </w:tc>
        <w:tc>
          <w:tcPr>
            <w:tcW w:w="992" w:type="dxa"/>
            <w:vAlign w:val="center"/>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FF0000"/>
                <w:sz w:val="20"/>
                <w:szCs w:val="20"/>
                <w:lang w:val="ro-MD" w:eastAsia="ru-RU"/>
              </w:rPr>
            </w:pPr>
            <w:r w:rsidRPr="00E67099">
              <w:rPr>
                <w:rFonts w:asciiTheme="majorHAnsi" w:eastAsia="Times New Roman" w:hAnsiTheme="majorHAnsi" w:cstheme="majorHAnsi"/>
                <w:i/>
                <w:iCs/>
                <w:sz w:val="20"/>
                <w:szCs w:val="20"/>
                <w:lang w:val="ro-MD" w:eastAsia="ru-RU"/>
              </w:rPr>
              <w:t>15,1%</w:t>
            </w:r>
          </w:p>
        </w:tc>
      </w:tr>
      <w:tr w:rsidR="00E67099" w:rsidRPr="00E67099" w:rsidTr="00A36731">
        <w:trPr>
          <w:gridAfter w:val="1"/>
          <w:wAfter w:w="12" w:type="dxa"/>
          <w:trHeight w:val="294"/>
          <w:jc w:val="center"/>
        </w:trPr>
        <w:tc>
          <w:tcPr>
            <w:cnfStyle w:val="001000000000" w:firstRow="0" w:lastRow="0" w:firstColumn="1" w:lastColumn="0" w:oddVBand="0" w:evenVBand="0" w:oddHBand="0" w:evenHBand="0" w:firstRowFirstColumn="0" w:firstRowLastColumn="0" w:lastRowFirstColumn="0" w:lastRowLastColumn="0"/>
            <w:tcW w:w="9918" w:type="dxa"/>
          </w:tcPr>
          <w:p w:rsidR="00E67099" w:rsidRPr="00E67099" w:rsidRDefault="00E67099" w:rsidP="00E67099">
            <w:pPr>
              <w:jc w:val="both"/>
              <w:rPr>
                <w:rFonts w:asciiTheme="majorHAnsi" w:eastAsia="Times New Roman" w:hAnsiTheme="majorHAnsi" w:cstheme="majorHAnsi"/>
                <w:sz w:val="20"/>
                <w:szCs w:val="20"/>
                <w:lang w:val="ro-MD" w:eastAsia="ru-RU"/>
              </w:rPr>
            </w:pPr>
            <w:r w:rsidRPr="00E67099">
              <w:rPr>
                <w:rFonts w:asciiTheme="majorHAnsi" w:eastAsia="Times New Roman" w:hAnsiTheme="majorHAnsi" w:cstheme="majorHAnsi"/>
                <w:sz w:val="20"/>
                <w:szCs w:val="20"/>
                <w:lang w:val="ro-MD" w:eastAsia="ru-RU"/>
              </w:rPr>
              <w:t>Pentru lucrări de reparație a acoperișului avariat al Liceului Teoretic „Ștefan  cel Mare” din mun. Bălți</w:t>
            </w:r>
          </w:p>
        </w:tc>
        <w:tc>
          <w:tcPr>
            <w:tcW w:w="851"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E67099">
              <w:rPr>
                <w:rFonts w:asciiTheme="majorHAnsi" w:eastAsia="Times New Roman" w:hAnsiTheme="majorHAnsi" w:cstheme="majorHAnsi"/>
                <w:sz w:val="20"/>
                <w:szCs w:val="20"/>
                <w:lang w:val="ro-MD" w:eastAsia="ru-RU"/>
              </w:rPr>
              <w:t>3,0</w:t>
            </w:r>
          </w:p>
        </w:tc>
        <w:tc>
          <w:tcPr>
            <w:tcW w:w="992"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20"/>
                <w:szCs w:val="20"/>
                <w:lang w:val="ro-MD" w:eastAsia="ru-RU"/>
              </w:rPr>
            </w:pPr>
            <w:r w:rsidRPr="00E67099">
              <w:rPr>
                <w:rFonts w:asciiTheme="majorHAnsi" w:eastAsia="Times New Roman" w:hAnsiTheme="majorHAnsi" w:cstheme="majorHAnsi"/>
                <w:i/>
                <w:iCs/>
                <w:sz w:val="20"/>
                <w:szCs w:val="20"/>
                <w:lang w:val="ro-MD" w:eastAsia="ru-RU"/>
              </w:rPr>
              <w:t>11,6%</w:t>
            </w:r>
          </w:p>
        </w:tc>
        <w:tc>
          <w:tcPr>
            <w:tcW w:w="851" w:type="dxa"/>
            <w:gridSpan w:val="2"/>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E67099">
              <w:rPr>
                <w:rFonts w:asciiTheme="majorHAnsi" w:eastAsia="Times New Roman" w:hAnsiTheme="majorHAnsi" w:cstheme="majorHAnsi"/>
                <w:sz w:val="20"/>
                <w:szCs w:val="20"/>
                <w:lang w:val="ro-MD" w:eastAsia="ru-RU"/>
              </w:rPr>
              <w:t>0,7</w:t>
            </w:r>
          </w:p>
        </w:tc>
        <w:tc>
          <w:tcPr>
            <w:tcW w:w="992"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20"/>
                <w:szCs w:val="20"/>
                <w:lang w:val="ro-MD" w:eastAsia="ru-RU"/>
              </w:rPr>
            </w:pPr>
            <w:r w:rsidRPr="00E67099">
              <w:rPr>
                <w:rFonts w:asciiTheme="majorHAnsi" w:eastAsia="Times New Roman" w:hAnsiTheme="majorHAnsi" w:cstheme="majorHAnsi"/>
                <w:i/>
                <w:iCs/>
                <w:sz w:val="20"/>
                <w:szCs w:val="20"/>
                <w:lang w:val="ro-MD" w:eastAsia="ru-RU"/>
              </w:rPr>
              <w:t>3,3%</w:t>
            </w:r>
          </w:p>
        </w:tc>
      </w:tr>
      <w:tr w:rsidR="00E67099" w:rsidRPr="00E67099" w:rsidTr="00A36731">
        <w:trPr>
          <w:gridAfter w:val="1"/>
          <w:wAfter w:w="12" w:type="dxa"/>
          <w:trHeight w:val="236"/>
          <w:jc w:val="center"/>
        </w:trPr>
        <w:tc>
          <w:tcPr>
            <w:cnfStyle w:val="001000000000" w:firstRow="0" w:lastRow="0" w:firstColumn="1" w:lastColumn="0" w:oddVBand="0" w:evenVBand="0" w:oddHBand="0" w:evenHBand="0" w:firstRowFirstColumn="0" w:firstRowLastColumn="0" w:lastRowFirstColumn="0" w:lastRowLastColumn="0"/>
            <w:tcW w:w="9918" w:type="dxa"/>
            <w:hideMark/>
          </w:tcPr>
          <w:p w:rsidR="00E67099" w:rsidRPr="00E67099" w:rsidRDefault="00E67099" w:rsidP="00E67099">
            <w:pPr>
              <w:jc w:val="both"/>
              <w:rPr>
                <w:rFonts w:asciiTheme="majorHAnsi" w:eastAsia="Times New Roman" w:hAnsiTheme="majorHAnsi" w:cstheme="majorHAnsi"/>
                <w:sz w:val="20"/>
                <w:szCs w:val="20"/>
                <w:lang w:val="ro-MD" w:eastAsia="ru-RU"/>
              </w:rPr>
            </w:pPr>
            <w:r w:rsidRPr="00E67099">
              <w:rPr>
                <w:rFonts w:asciiTheme="majorHAnsi" w:eastAsia="Times New Roman" w:hAnsiTheme="majorHAnsi" w:cstheme="majorHAnsi"/>
                <w:sz w:val="20"/>
                <w:szCs w:val="20"/>
                <w:lang w:val="ro-MD" w:eastAsia="ru-RU"/>
              </w:rPr>
              <w:t>Pentru despăgubirea sinistraților din blocul locativ din str. Prieteniei 153, or. Otaci.</w:t>
            </w:r>
          </w:p>
        </w:tc>
        <w:tc>
          <w:tcPr>
            <w:tcW w:w="851" w:type="dxa"/>
            <w:vAlign w:val="center"/>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E67099">
              <w:rPr>
                <w:rFonts w:asciiTheme="majorHAnsi" w:eastAsia="Times New Roman" w:hAnsiTheme="majorHAnsi" w:cstheme="majorHAnsi"/>
                <w:sz w:val="20"/>
                <w:szCs w:val="20"/>
                <w:lang w:val="ro-MD" w:eastAsia="ru-RU"/>
              </w:rPr>
              <w:t>15,7</w:t>
            </w:r>
          </w:p>
        </w:tc>
        <w:tc>
          <w:tcPr>
            <w:tcW w:w="992" w:type="dxa"/>
            <w:vAlign w:val="center"/>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20"/>
                <w:szCs w:val="20"/>
                <w:lang w:val="ro-MD" w:eastAsia="ru-RU"/>
              </w:rPr>
            </w:pPr>
            <w:r w:rsidRPr="00E67099">
              <w:rPr>
                <w:rFonts w:asciiTheme="majorHAnsi" w:eastAsia="Times New Roman" w:hAnsiTheme="majorHAnsi" w:cstheme="majorHAnsi"/>
                <w:i/>
                <w:iCs/>
                <w:sz w:val="20"/>
                <w:szCs w:val="20"/>
                <w:lang w:val="ro-MD" w:eastAsia="ru-RU"/>
              </w:rPr>
              <w:t>60,9%</w:t>
            </w:r>
          </w:p>
        </w:tc>
        <w:tc>
          <w:tcPr>
            <w:tcW w:w="851" w:type="dxa"/>
            <w:gridSpan w:val="2"/>
            <w:vAlign w:val="center"/>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E67099">
              <w:rPr>
                <w:rFonts w:asciiTheme="majorHAnsi" w:eastAsia="Times New Roman" w:hAnsiTheme="majorHAnsi" w:cstheme="majorHAnsi"/>
                <w:sz w:val="20"/>
                <w:szCs w:val="20"/>
                <w:lang w:val="ro-MD" w:eastAsia="ru-RU"/>
              </w:rPr>
              <w:t>15,7</w:t>
            </w:r>
          </w:p>
        </w:tc>
        <w:tc>
          <w:tcPr>
            <w:tcW w:w="992" w:type="dxa"/>
            <w:vAlign w:val="center"/>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20"/>
                <w:szCs w:val="20"/>
                <w:lang w:val="ro-MD" w:eastAsia="ru-RU"/>
              </w:rPr>
            </w:pPr>
            <w:r w:rsidRPr="00E67099">
              <w:rPr>
                <w:rFonts w:asciiTheme="majorHAnsi" w:eastAsia="Times New Roman" w:hAnsiTheme="majorHAnsi" w:cstheme="majorHAnsi"/>
                <w:i/>
                <w:iCs/>
                <w:sz w:val="20"/>
                <w:szCs w:val="20"/>
                <w:lang w:val="ro-MD" w:eastAsia="ru-RU"/>
              </w:rPr>
              <w:t>69,3%</w:t>
            </w:r>
          </w:p>
        </w:tc>
      </w:tr>
      <w:tr w:rsidR="00E67099" w:rsidRPr="00E67099" w:rsidTr="00A36731">
        <w:trPr>
          <w:gridAfter w:val="1"/>
          <w:wAfter w:w="12" w:type="dxa"/>
          <w:trHeight w:val="312"/>
          <w:jc w:val="center"/>
        </w:trPr>
        <w:tc>
          <w:tcPr>
            <w:cnfStyle w:val="001000000000" w:firstRow="0" w:lastRow="0" w:firstColumn="1" w:lastColumn="0" w:oddVBand="0" w:evenVBand="0" w:oddHBand="0" w:evenHBand="0" w:firstRowFirstColumn="0" w:firstRowLastColumn="0" w:lastRowFirstColumn="0" w:lastRowLastColumn="0"/>
            <w:tcW w:w="9918" w:type="dxa"/>
            <w:hideMark/>
          </w:tcPr>
          <w:p w:rsidR="00E67099" w:rsidRPr="00E67099" w:rsidRDefault="00E67099" w:rsidP="00E67099">
            <w:pPr>
              <w:rPr>
                <w:rFonts w:asciiTheme="majorHAnsi" w:eastAsia="Times New Roman" w:hAnsiTheme="majorHAnsi" w:cstheme="majorHAnsi"/>
                <w:sz w:val="20"/>
                <w:szCs w:val="20"/>
                <w:lang w:val="ro-MD" w:eastAsia="ru-RU"/>
              </w:rPr>
            </w:pPr>
            <w:r w:rsidRPr="00E67099">
              <w:rPr>
                <w:rFonts w:asciiTheme="majorHAnsi" w:eastAsia="Times New Roman" w:hAnsiTheme="majorHAnsi" w:cstheme="majorHAnsi"/>
                <w:iCs/>
                <w:sz w:val="20"/>
                <w:szCs w:val="20"/>
                <w:lang w:val="ro-MD" w:eastAsia="ru-RU"/>
              </w:rPr>
              <w:t>TOTAL</w:t>
            </w:r>
          </w:p>
        </w:tc>
        <w:tc>
          <w:tcPr>
            <w:tcW w:w="851" w:type="dxa"/>
            <w:vAlign w:val="center"/>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MD" w:eastAsia="ru-RU"/>
              </w:rPr>
            </w:pPr>
            <w:r w:rsidRPr="00E67099">
              <w:rPr>
                <w:rFonts w:asciiTheme="majorHAnsi" w:eastAsia="Times New Roman" w:hAnsiTheme="majorHAnsi" w:cstheme="majorHAnsi"/>
                <w:b/>
                <w:iCs/>
                <w:sz w:val="20"/>
                <w:szCs w:val="20"/>
                <w:lang w:val="ro-MD" w:eastAsia="ru-RU"/>
              </w:rPr>
              <w:t>25,8</w:t>
            </w:r>
          </w:p>
        </w:tc>
        <w:tc>
          <w:tcPr>
            <w:tcW w:w="992" w:type="dxa"/>
            <w:vAlign w:val="center"/>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iCs/>
                <w:sz w:val="20"/>
                <w:szCs w:val="20"/>
                <w:lang w:val="ro-MD" w:eastAsia="ru-RU"/>
              </w:rPr>
            </w:pPr>
            <w:r w:rsidRPr="00E67099">
              <w:rPr>
                <w:rFonts w:asciiTheme="majorHAnsi" w:eastAsia="Times New Roman" w:hAnsiTheme="majorHAnsi" w:cstheme="majorHAnsi"/>
                <w:b/>
                <w:i/>
                <w:iCs/>
                <w:sz w:val="20"/>
                <w:szCs w:val="20"/>
                <w:lang w:val="ro-MD" w:eastAsia="ru-RU"/>
              </w:rPr>
              <w:t>100,0%</w:t>
            </w:r>
          </w:p>
        </w:tc>
        <w:tc>
          <w:tcPr>
            <w:tcW w:w="851" w:type="dxa"/>
            <w:gridSpan w:val="2"/>
            <w:vAlign w:val="center"/>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MD" w:eastAsia="ru-RU"/>
              </w:rPr>
            </w:pPr>
            <w:r w:rsidRPr="00E67099">
              <w:rPr>
                <w:rFonts w:asciiTheme="majorHAnsi" w:eastAsia="Times New Roman" w:hAnsiTheme="majorHAnsi" w:cstheme="majorHAnsi"/>
                <w:b/>
                <w:iCs/>
                <w:sz w:val="20"/>
                <w:szCs w:val="20"/>
                <w:lang w:val="ro-MD" w:eastAsia="ru-RU"/>
              </w:rPr>
              <w:t>22,7</w:t>
            </w:r>
          </w:p>
        </w:tc>
        <w:tc>
          <w:tcPr>
            <w:tcW w:w="992" w:type="dxa"/>
            <w:vAlign w:val="center"/>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iCs/>
                <w:sz w:val="20"/>
                <w:szCs w:val="20"/>
                <w:lang w:val="ro-MD" w:eastAsia="ru-RU"/>
              </w:rPr>
            </w:pPr>
            <w:r w:rsidRPr="00E67099">
              <w:rPr>
                <w:rFonts w:asciiTheme="majorHAnsi" w:eastAsia="Times New Roman" w:hAnsiTheme="majorHAnsi" w:cstheme="majorHAnsi"/>
                <w:b/>
                <w:i/>
                <w:iCs/>
                <w:sz w:val="20"/>
                <w:szCs w:val="20"/>
                <w:lang w:val="ro-MD" w:eastAsia="ru-RU"/>
              </w:rPr>
              <w:t>100,0%</w:t>
            </w:r>
          </w:p>
        </w:tc>
      </w:tr>
    </w:tbl>
    <w:p w:rsidR="009D5867" w:rsidRPr="00F71B6E" w:rsidRDefault="00E67099" w:rsidP="00F71B6E">
      <w:pPr>
        <w:tabs>
          <w:tab w:val="left" w:pos="993"/>
        </w:tabs>
        <w:spacing w:after="0" w:line="276" w:lineRule="auto"/>
        <w:ind w:left="1560"/>
        <w:jc w:val="both"/>
        <w:rPr>
          <w:rFonts w:asciiTheme="majorHAnsi" w:eastAsia="Times New Roman" w:hAnsiTheme="majorHAnsi" w:cstheme="majorHAnsi"/>
          <w:i/>
          <w:sz w:val="20"/>
          <w:szCs w:val="20"/>
          <w:lang w:val="ro-MD"/>
        </w:rPr>
      </w:pPr>
      <w:r w:rsidRPr="00E67099">
        <w:rPr>
          <w:rFonts w:asciiTheme="majorHAnsi" w:eastAsia="Times New Roman" w:hAnsiTheme="majorHAnsi" w:cstheme="majorHAnsi"/>
          <w:b/>
          <w:i/>
          <w:sz w:val="20"/>
          <w:szCs w:val="20"/>
          <w:lang w:val="ro-MD"/>
        </w:rPr>
        <w:t xml:space="preserve">Sursă: </w:t>
      </w:r>
      <w:r w:rsidRPr="00E67099">
        <w:rPr>
          <w:rFonts w:asciiTheme="majorHAnsi" w:eastAsia="Times New Roman" w:hAnsiTheme="majorHAnsi" w:cstheme="majorHAnsi"/>
          <w:i/>
          <w:sz w:val="20"/>
          <w:szCs w:val="20"/>
          <w:lang w:val="ro-MD"/>
        </w:rPr>
        <w:t>Informația privind repartizarea și utilizarea mijloacelor din fondul de rezervă al Guvernului în anul 2019.</w:t>
      </w:r>
    </w:p>
    <w:p w:rsidR="00E67099" w:rsidRPr="00E67099" w:rsidRDefault="00E67099" w:rsidP="00E67099">
      <w:pPr>
        <w:shd w:val="clear" w:color="auto" w:fill="FFFFFF" w:themeFill="background1"/>
        <w:tabs>
          <w:tab w:val="left" w:pos="284"/>
          <w:tab w:val="left" w:pos="993"/>
          <w:tab w:val="left" w:pos="6663"/>
        </w:tabs>
        <w:spacing w:after="0" w:line="276" w:lineRule="auto"/>
        <w:jc w:val="right"/>
        <w:rPr>
          <w:rFonts w:asciiTheme="majorHAnsi" w:eastAsia="Times New Roman" w:hAnsiTheme="majorHAnsi" w:cstheme="majorHAnsi"/>
          <w:b/>
          <w:i/>
          <w:sz w:val="24"/>
          <w:szCs w:val="24"/>
        </w:rPr>
      </w:pPr>
      <w:r w:rsidRPr="00E67099">
        <w:rPr>
          <w:rFonts w:asciiTheme="majorHAnsi" w:eastAsia="Times New Roman" w:hAnsiTheme="majorHAnsi" w:cstheme="majorHAnsi"/>
          <w:b/>
          <w:i/>
          <w:sz w:val="24"/>
          <w:szCs w:val="24"/>
        </w:rPr>
        <w:t>Anexa nr.25</w:t>
      </w:r>
    </w:p>
    <w:tbl>
      <w:tblPr>
        <w:tblW w:w="15139" w:type="dxa"/>
        <w:jc w:val="center"/>
        <w:tblLayout w:type="fixed"/>
        <w:tblLook w:val="04A0" w:firstRow="1" w:lastRow="0" w:firstColumn="1" w:lastColumn="0" w:noHBand="0" w:noVBand="1"/>
      </w:tblPr>
      <w:tblGrid>
        <w:gridCol w:w="12804"/>
        <w:gridCol w:w="2335"/>
      </w:tblGrid>
      <w:tr w:rsidR="00E67099" w:rsidRPr="00E67099" w:rsidTr="00A36731">
        <w:trPr>
          <w:trHeight w:val="210"/>
          <w:jc w:val="center"/>
        </w:trPr>
        <w:tc>
          <w:tcPr>
            <w:tcW w:w="12804" w:type="dxa"/>
            <w:tcBorders>
              <w:top w:val="nil"/>
              <w:left w:val="nil"/>
              <w:bottom w:val="single" w:sz="2" w:space="0" w:color="FFFFFF" w:themeColor="background1"/>
              <w:right w:val="nil"/>
            </w:tcBorders>
            <w:noWrap/>
            <w:vAlign w:val="bottom"/>
          </w:tcPr>
          <w:p w:rsidR="00E67099" w:rsidRPr="00E67099" w:rsidRDefault="00E67099" w:rsidP="00E67099">
            <w:pPr>
              <w:spacing w:after="0" w:line="240" w:lineRule="auto"/>
              <w:jc w:val="center"/>
              <w:rPr>
                <w:rFonts w:ascii="Calibri" w:eastAsia="Times New Roman" w:hAnsi="Calibri" w:cs="Calibri"/>
                <w:b/>
                <w:bCs/>
                <w:color w:val="000000"/>
                <w:lang w:val="ro-MD" w:eastAsia="ru-RU"/>
              </w:rPr>
            </w:pPr>
          </w:p>
        </w:tc>
        <w:tc>
          <w:tcPr>
            <w:tcW w:w="2335" w:type="dxa"/>
            <w:tcBorders>
              <w:top w:val="nil"/>
              <w:left w:val="nil"/>
              <w:bottom w:val="single" w:sz="2" w:space="0" w:color="FFFFFF" w:themeColor="background1"/>
              <w:right w:val="nil"/>
            </w:tcBorders>
            <w:noWrap/>
            <w:vAlign w:val="bottom"/>
            <w:hideMark/>
          </w:tcPr>
          <w:p w:rsidR="00E67099" w:rsidRPr="00E67099" w:rsidRDefault="00E67099" w:rsidP="00E67099">
            <w:pPr>
              <w:spacing w:after="0" w:line="240" w:lineRule="auto"/>
              <w:rPr>
                <w:rFonts w:ascii="Calibri" w:eastAsia="Times New Roman" w:hAnsi="Calibri" w:cs="Calibri"/>
                <w:b/>
                <w:bCs/>
                <w:color w:val="000000"/>
                <w:lang w:eastAsia="ru-RU"/>
              </w:rPr>
            </w:pPr>
          </w:p>
        </w:tc>
      </w:tr>
    </w:tbl>
    <w:p w:rsidR="00E67099" w:rsidRPr="00E67099" w:rsidRDefault="00E67099" w:rsidP="00E67099">
      <w:pPr>
        <w:spacing w:after="0" w:line="240" w:lineRule="auto"/>
        <w:jc w:val="center"/>
        <w:rPr>
          <w:rFonts w:asciiTheme="majorHAnsi" w:hAnsiTheme="majorHAnsi" w:cstheme="majorHAnsi"/>
          <w:b/>
          <w:sz w:val="24"/>
          <w:szCs w:val="24"/>
        </w:rPr>
      </w:pPr>
      <w:r w:rsidRPr="00E67099">
        <w:rPr>
          <w:rFonts w:asciiTheme="majorHAnsi" w:hAnsiTheme="majorHAnsi" w:cstheme="majorHAnsi"/>
          <w:b/>
          <w:sz w:val="24"/>
          <w:szCs w:val="24"/>
        </w:rPr>
        <w:t>Executarea principalilor indicatori ai BPN pe anul 2019, comparativ cu anul 2018,</w:t>
      </w:r>
    </w:p>
    <w:p w:rsidR="00E67099" w:rsidRPr="00E67099" w:rsidRDefault="00E67099" w:rsidP="00E67099">
      <w:pPr>
        <w:spacing w:after="0" w:line="240" w:lineRule="auto"/>
        <w:jc w:val="center"/>
        <w:rPr>
          <w:rFonts w:asciiTheme="majorHAnsi" w:hAnsiTheme="majorHAnsi" w:cstheme="majorHAnsi"/>
          <w:b/>
          <w:sz w:val="24"/>
          <w:szCs w:val="24"/>
        </w:rPr>
      </w:pPr>
      <w:r w:rsidRPr="00E67099">
        <w:rPr>
          <w:rFonts w:asciiTheme="majorHAnsi" w:hAnsiTheme="majorHAnsi" w:cstheme="majorHAnsi"/>
          <w:b/>
          <w:sz w:val="24"/>
          <w:szCs w:val="24"/>
        </w:rPr>
        <w:t>și ponderea acestora în PIB</w:t>
      </w:r>
    </w:p>
    <w:p w:rsidR="00E67099" w:rsidRPr="00E67099" w:rsidRDefault="00E67099" w:rsidP="00E67099">
      <w:pPr>
        <w:spacing w:after="0" w:line="240" w:lineRule="auto"/>
        <w:ind w:right="1806"/>
        <w:jc w:val="right"/>
        <w:rPr>
          <w:rFonts w:asciiTheme="majorHAnsi" w:eastAsia="Times New Roman" w:hAnsiTheme="majorHAnsi" w:cstheme="majorHAnsi"/>
          <w:b/>
          <w:iCs/>
          <w:color w:val="000000"/>
          <w:spacing w:val="2"/>
          <w:sz w:val="24"/>
          <w:szCs w:val="24"/>
          <w:lang w:eastAsia="ru-RU"/>
        </w:rPr>
      </w:pPr>
      <w:r w:rsidRPr="00E67099">
        <w:rPr>
          <w:rFonts w:asciiTheme="majorHAnsi" w:hAnsiTheme="majorHAnsi" w:cstheme="majorHAnsi"/>
          <w:b/>
          <w:sz w:val="24"/>
          <w:szCs w:val="24"/>
        </w:rPr>
        <w:t xml:space="preserve">                                                         </w:t>
      </w:r>
      <w:r w:rsidRPr="00E67099">
        <w:rPr>
          <w:rFonts w:asciiTheme="majorHAnsi" w:eastAsia="Times New Roman" w:hAnsiTheme="majorHAnsi" w:cstheme="majorHAnsi"/>
          <w:b/>
          <w:iCs/>
          <w:color w:val="000000"/>
          <w:spacing w:val="2"/>
          <w:sz w:val="24"/>
          <w:szCs w:val="24"/>
          <w:lang w:eastAsia="ru-RU"/>
        </w:rPr>
        <w:t xml:space="preserve"> (</w:t>
      </w:r>
      <w:r w:rsidRPr="00E67099">
        <w:rPr>
          <w:rFonts w:asciiTheme="majorHAnsi" w:eastAsia="Times New Roman" w:hAnsiTheme="majorHAnsi" w:cstheme="majorHAnsi"/>
          <w:b/>
          <w:bCs/>
          <w:color w:val="000000"/>
          <w:spacing w:val="-3"/>
          <w:sz w:val="24"/>
          <w:szCs w:val="24"/>
          <w:lang w:eastAsia="ru-RU"/>
        </w:rPr>
        <w:t xml:space="preserve">mil. lei) </w:t>
      </w:r>
    </w:p>
    <w:tbl>
      <w:tblPr>
        <w:tblStyle w:val="GridTable1Light12"/>
        <w:tblW w:w="12437" w:type="dxa"/>
        <w:jc w:val="center"/>
        <w:tblLayout w:type="fixed"/>
        <w:tblLook w:val="04A0" w:firstRow="1" w:lastRow="0" w:firstColumn="1" w:lastColumn="0" w:noHBand="0" w:noVBand="1"/>
      </w:tblPr>
      <w:tblGrid>
        <w:gridCol w:w="2122"/>
        <w:gridCol w:w="992"/>
        <w:gridCol w:w="993"/>
        <w:gridCol w:w="1131"/>
        <w:gridCol w:w="989"/>
        <w:gridCol w:w="10"/>
        <w:gridCol w:w="988"/>
        <w:gridCol w:w="1089"/>
        <w:gridCol w:w="997"/>
        <w:gridCol w:w="1599"/>
        <w:gridCol w:w="1418"/>
        <w:gridCol w:w="109"/>
      </w:tblGrid>
      <w:tr w:rsidR="00E67099" w:rsidRPr="00E67099" w:rsidTr="00F44FCD">
        <w:trPr>
          <w:gridAfter w:val="1"/>
          <w:cnfStyle w:val="100000000000" w:firstRow="1" w:lastRow="0" w:firstColumn="0" w:lastColumn="0" w:oddVBand="0" w:evenVBand="0" w:oddHBand="0" w:evenHBand="0" w:firstRowFirstColumn="0" w:firstRowLastColumn="0" w:lastRowFirstColumn="0" w:lastRowLastColumn="0"/>
          <w:wAfter w:w="109" w:type="dxa"/>
          <w:trHeight w:val="256"/>
          <w:jc w:val="center"/>
        </w:trPr>
        <w:tc>
          <w:tcPr>
            <w:cnfStyle w:val="001000000000" w:firstRow="0" w:lastRow="0" w:firstColumn="1" w:lastColumn="0" w:oddVBand="0" w:evenVBand="0" w:oddHBand="0" w:evenHBand="0" w:firstRowFirstColumn="0" w:firstRowLastColumn="0" w:lastRowFirstColumn="0" w:lastRowLastColumn="0"/>
            <w:tcW w:w="2122" w:type="dxa"/>
            <w:vMerge w:val="restart"/>
            <w:vAlign w:val="center"/>
            <w:hideMark/>
          </w:tcPr>
          <w:p w:rsidR="00E67099" w:rsidRPr="00E67099" w:rsidRDefault="00E67099" w:rsidP="00E67099">
            <w:pPr>
              <w:ind w:left="-120"/>
              <w:jc w:val="center"/>
              <w:rPr>
                <w:rFonts w:asciiTheme="majorHAnsi" w:eastAsia="Times New Roman" w:hAnsiTheme="majorHAnsi" w:cstheme="majorHAnsi"/>
                <w:sz w:val="20"/>
                <w:szCs w:val="20"/>
                <w:lang w:val="ru-RU" w:eastAsia="ru-RU"/>
              </w:rPr>
            </w:pPr>
            <w:r w:rsidRPr="00E67099">
              <w:rPr>
                <w:rFonts w:asciiTheme="majorHAnsi" w:eastAsia="Times New Roman" w:hAnsiTheme="majorHAnsi" w:cstheme="majorHAnsi"/>
                <w:sz w:val="20"/>
                <w:szCs w:val="20"/>
                <w:lang w:eastAsia="ru-RU"/>
              </w:rPr>
              <w:t>Indicatori</w:t>
            </w:r>
          </w:p>
        </w:tc>
        <w:tc>
          <w:tcPr>
            <w:tcW w:w="992" w:type="dxa"/>
            <w:vMerge w:val="restart"/>
            <w:vAlign w:val="center"/>
          </w:tcPr>
          <w:p w:rsidR="00E67099" w:rsidRPr="00E67099" w:rsidRDefault="00E67099" w:rsidP="00E67099">
            <w:pPr>
              <w:ind w:left="-148" w:right="-115"/>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E67099">
              <w:rPr>
                <w:rFonts w:asciiTheme="majorHAnsi" w:eastAsia="Times New Roman" w:hAnsiTheme="majorHAnsi" w:cstheme="majorHAnsi"/>
                <w:sz w:val="20"/>
                <w:szCs w:val="20"/>
                <w:lang w:eastAsia="ru-RU"/>
              </w:rPr>
              <w:t xml:space="preserve">Precizat </w:t>
            </w:r>
          </w:p>
          <w:p w:rsidR="00E67099" w:rsidRPr="00E67099" w:rsidRDefault="00E67099" w:rsidP="00E67099">
            <w:pPr>
              <w:ind w:left="-148" w:right="-115"/>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E67099">
              <w:rPr>
                <w:rFonts w:asciiTheme="majorHAnsi" w:eastAsia="Times New Roman" w:hAnsiTheme="majorHAnsi" w:cstheme="majorHAnsi"/>
                <w:sz w:val="20"/>
                <w:szCs w:val="20"/>
                <w:lang w:eastAsia="ru-RU"/>
              </w:rPr>
              <w:t>pe an</w:t>
            </w:r>
          </w:p>
        </w:tc>
        <w:tc>
          <w:tcPr>
            <w:tcW w:w="993" w:type="dxa"/>
            <w:vMerge w:val="restart"/>
            <w:vAlign w:val="center"/>
          </w:tcPr>
          <w:p w:rsidR="00E67099" w:rsidRPr="00E67099" w:rsidRDefault="00E67099" w:rsidP="00E67099">
            <w:pPr>
              <w:ind w:left="-101" w:right="-102"/>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E67099">
              <w:rPr>
                <w:rFonts w:asciiTheme="majorHAnsi" w:eastAsia="Times New Roman" w:hAnsiTheme="majorHAnsi" w:cstheme="majorHAnsi"/>
                <w:sz w:val="20"/>
                <w:szCs w:val="20"/>
                <w:lang w:eastAsia="ru-RU"/>
              </w:rPr>
              <w:t>Executat în anul 2019</w:t>
            </w:r>
          </w:p>
        </w:tc>
        <w:tc>
          <w:tcPr>
            <w:tcW w:w="2130" w:type="dxa"/>
            <w:gridSpan w:val="3"/>
            <w:vAlign w:val="center"/>
          </w:tcPr>
          <w:p w:rsidR="00E67099" w:rsidRPr="00E67099" w:rsidRDefault="00E67099" w:rsidP="00E67099">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E67099">
              <w:rPr>
                <w:rFonts w:asciiTheme="majorHAnsi" w:eastAsia="Times New Roman" w:hAnsiTheme="majorHAnsi" w:cstheme="majorHAnsi"/>
                <w:sz w:val="20"/>
                <w:szCs w:val="20"/>
                <w:lang w:eastAsia="ru-RU"/>
              </w:rPr>
              <w:t>Executat față de precizat</w:t>
            </w:r>
          </w:p>
        </w:tc>
        <w:tc>
          <w:tcPr>
            <w:tcW w:w="988" w:type="dxa"/>
            <w:vAlign w:val="center"/>
            <w:hideMark/>
          </w:tcPr>
          <w:p w:rsidR="00E67099" w:rsidRPr="00E67099" w:rsidRDefault="00E67099" w:rsidP="00E67099">
            <w:pPr>
              <w:ind w:left="-94" w:right="-109"/>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E67099">
              <w:rPr>
                <w:rFonts w:asciiTheme="majorHAnsi" w:eastAsia="Times New Roman" w:hAnsiTheme="majorHAnsi" w:cstheme="majorHAnsi"/>
                <w:sz w:val="20"/>
                <w:szCs w:val="20"/>
                <w:lang w:eastAsia="ru-RU"/>
              </w:rPr>
              <w:t>Executat în</w:t>
            </w:r>
          </w:p>
          <w:p w:rsidR="00E67099" w:rsidRPr="00E67099" w:rsidRDefault="00E67099" w:rsidP="00E67099">
            <w:pPr>
              <w:ind w:left="-94" w:right="-109"/>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E67099">
              <w:rPr>
                <w:rFonts w:asciiTheme="majorHAnsi" w:eastAsia="Times New Roman" w:hAnsiTheme="majorHAnsi" w:cstheme="majorHAnsi"/>
                <w:sz w:val="20"/>
                <w:szCs w:val="20"/>
                <w:lang w:eastAsia="ru-RU"/>
              </w:rPr>
              <w:t>anul 2018</w:t>
            </w:r>
          </w:p>
        </w:tc>
        <w:tc>
          <w:tcPr>
            <w:tcW w:w="2086" w:type="dxa"/>
            <w:gridSpan w:val="2"/>
            <w:vAlign w:val="center"/>
            <w:hideMark/>
          </w:tcPr>
          <w:p w:rsidR="00E67099" w:rsidRPr="00E67099" w:rsidRDefault="00E67099" w:rsidP="00E67099">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E67099">
              <w:rPr>
                <w:rFonts w:asciiTheme="majorHAnsi" w:eastAsia="Times New Roman" w:hAnsiTheme="majorHAnsi" w:cstheme="majorHAnsi"/>
                <w:sz w:val="20"/>
                <w:szCs w:val="20"/>
                <w:lang w:eastAsia="ru-RU"/>
              </w:rPr>
              <w:t>Executat în anul 2019 față de anul 2018</w:t>
            </w:r>
          </w:p>
        </w:tc>
        <w:tc>
          <w:tcPr>
            <w:tcW w:w="3017" w:type="dxa"/>
            <w:gridSpan w:val="2"/>
            <w:vAlign w:val="center"/>
            <w:hideMark/>
          </w:tcPr>
          <w:p w:rsidR="00E67099" w:rsidRPr="00E67099" w:rsidRDefault="00E67099" w:rsidP="00E67099">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E67099">
              <w:rPr>
                <w:rFonts w:asciiTheme="majorHAnsi" w:eastAsia="Times New Roman" w:hAnsiTheme="majorHAnsi" w:cstheme="majorHAnsi"/>
                <w:sz w:val="20"/>
                <w:szCs w:val="20"/>
                <w:lang w:eastAsia="ru-RU"/>
              </w:rPr>
              <w:t>Ponderea în PIB (%)</w:t>
            </w:r>
          </w:p>
        </w:tc>
      </w:tr>
      <w:tr w:rsidR="00E67099" w:rsidRPr="00E67099" w:rsidTr="00F44FCD">
        <w:trPr>
          <w:gridAfter w:val="1"/>
          <w:wAfter w:w="109" w:type="dxa"/>
          <w:trHeight w:val="256"/>
          <w:jc w:val="center"/>
        </w:trPr>
        <w:tc>
          <w:tcPr>
            <w:cnfStyle w:val="001000000000" w:firstRow="0" w:lastRow="0" w:firstColumn="1" w:lastColumn="0" w:oddVBand="0" w:evenVBand="0" w:oddHBand="0" w:evenHBand="0" w:firstRowFirstColumn="0" w:firstRowLastColumn="0" w:lastRowFirstColumn="0" w:lastRowLastColumn="0"/>
            <w:tcW w:w="2122" w:type="dxa"/>
            <w:vMerge/>
            <w:vAlign w:val="center"/>
            <w:hideMark/>
          </w:tcPr>
          <w:p w:rsidR="00E67099" w:rsidRPr="00E67099" w:rsidRDefault="00E67099" w:rsidP="00E67099">
            <w:pPr>
              <w:rPr>
                <w:rFonts w:asciiTheme="majorHAnsi" w:eastAsia="Times New Roman" w:hAnsiTheme="majorHAnsi" w:cstheme="majorHAnsi"/>
                <w:sz w:val="20"/>
                <w:szCs w:val="20"/>
                <w:lang w:eastAsia="ru-RU"/>
              </w:rPr>
            </w:pPr>
          </w:p>
        </w:tc>
        <w:tc>
          <w:tcPr>
            <w:tcW w:w="992" w:type="dxa"/>
            <w:vMerge/>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eastAsia="ru-RU"/>
              </w:rPr>
            </w:pPr>
          </w:p>
        </w:tc>
        <w:tc>
          <w:tcPr>
            <w:tcW w:w="993" w:type="dxa"/>
            <w:vMerge/>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eastAsia="ru-RU"/>
              </w:rPr>
            </w:pPr>
          </w:p>
        </w:tc>
        <w:tc>
          <w:tcPr>
            <w:tcW w:w="1131"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eastAsia="ru-RU"/>
              </w:rPr>
            </w:pPr>
            <w:r w:rsidRPr="00E67099">
              <w:rPr>
                <w:rFonts w:asciiTheme="majorHAnsi" w:eastAsia="Times New Roman" w:hAnsiTheme="majorHAnsi" w:cstheme="majorHAnsi"/>
                <w:b/>
                <w:bCs/>
                <w:sz w:val="20"/>
                <w:szCs w:val="20"/>
                <w:lang w:eastAsia="ru-RU"/>
              </w:rPr>
              <w:t>suma (+/-)</w:t>
            </w:r>
          </w:p>
        </w:tc>
        <w:tc>
          <w:tcPr>
            <w:tcW w:w="989"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eastAsia="ru-RU"/>
              </w:rPr>
            </w:pPr>
            <w:r w:rsidRPr="00E67099">
              <w:rPr>
                <w:rFonts w:asciiTheme="majorHAnsi" w:eastAsia="Times New Roman" w:hAnsiTheme="majorHAnsi" w:cstheme="majorHAnsi"/>
                <w:b/>
                <w:bCs/>
                <w:sz w:val="20"/>
                <w:szCs w:val="20"/>
                <w:lang w:eastAsia="ru-RU"/>
              </w:rPr>
              <w:t>%</w:t>
            </w:r>
          </w:p>
        </w:tc>
        <w:tc>
          <w:tcPr>
            <w:tcW w:w="998" w:type="dxa"/>
            <w:gridSpan w:val="2"/>
            <w:vAlign w:val="center"/>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eastAsia="ru-RU"/>
              </w:rPr>
            </w:pPr>
          </w:p>
        </w:tc>
        <w:tc>
          <w:tcPr>
            <w:tcW w:w="1089" w:type="dxa"/>
            <w:vAlign w:val="center"/>
            <w:hideMark/>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eastAsia="ru-RU"/>
              </w:rPr>
            </w:pPr>
            <w:r w:rsidRPr="00E67099">
              <w:rPr>
                <w:rFonts w:asciiTheme="majorHAnsi" w:eastAsia="Times New Roman" w:hAnsiTheme="majorHAnsi" w:cstheme="majorHAnsi"/>
                <w:b/>
                <w:bCs/>
                <w:sz w:val="20"/>
                <w:szCs w:val="20"/>
                <w:lang w:eastAsia="ru-RU"/>
              </w:rPr>
              <w:t>suma (+/-)</w:t>
            </w:r>
          </w:p>
        </w:tc>
        <w:tc>
          <w:tcPr>
            <w:tcW w:w="997" w:type="dxa"/>
            <w:vAlign w:val="center"/>
            <w:hideMark/>
          </w:tcPr>
          <w:p w:rsidR="00E67099" w:rsidRPr="00E67099" w:rsidRDefault="00E67099" w:rsidP="00E67099">
            <w:pPr>
              <w:ind w:left="-104" w:right="-107"/>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eastAsia="ru-RU"/>
              </w:rPr>
            </w:pPr>
            <w:r w:rsidRPr="00E67099">
              <w:rPr>
                <w:rFonts w:asciiTheme="majorHAnsi" w:eastAsia="Times New Roman" w:hAnsiTheme="majorHAnsi" w:cstheme="majorHAnsi"/>
                <w:b/>
                <w:bCs/>
                <w:sz w:val="20"/>
                <w:szCs w:val="20"/>
                <w:lang w:eastAsia="ru-RU"/>
              </w:rPr>
              <w:t>%</w:t>
            </w:r>
          </w:p>
        </w:tc>
        <w:tc>
          <w:tcPr>
            <w:tcW w:w="1599" w:type="dxa"/>
            <w:vAlign w:val="center"/>
            <w:hideMark/>
          </w:tcPr>
          <w:p w:rsidR="00E67099" w:rsidRPr="00E67099" w:rsidRDefault="00E67099" w:rsidP="00E67099">
            <w:pPr>
              <w:ind w:left="-83"/>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eastAsia="ru-RU"/>
              </w:rPr>
            </w:pPr>
            <w:r w:rsidRPr="00E67099">
              <w:rPr>
                <w:rFonts w:asciiTheme="majorHAnsi" w:eastAsia="Times New Roman" w:hAnsiTheme="majorHAnsi" w:cstheme="majorHAnsi"/>
                <w:b/>
                <w:bCs/>
                <w:sz w:val="20"/>
                <w:szCs w:val="20"/>
                <w:lang w:eastAsia="ru-RU"/>
              </w:rPr>
              <w:t>2018*</w:t>
            </w:r>
          </w:p>
        </w:tc>
        <w:tc>
          <w:tcPr>
            <w:tcW w:w="1418" w:type="dxa"/>
            <w:vAlign w:val="center"/>
            <w:hideMark/>
          </w:tcPr>
          <w:p w:rsidR="00E67099" w:rsidRPr="00E67099" w:rsidRDefault="00E67099" w:rsidP="00E67099">
            <w:pPr>
              <w:ind w:left="-107" w:right="-112"/>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eastAsia="ru-RU"/>
              </w:rPr>
            </w:pPr>
            <w:r w:rsidRPr="00E67099">
              <w:rPr>
                <w:rFonts w:asciiTheme="majorHAnsi" w:eastAsia="Times New Roman" w:hAnsiTheme="majorHAnsi" w:cstheme="majorHAnsi"/>
                <w:b/>
                <w:bCs/>
                <w:sz w:val="20"/>
                <w:szCs w:val="20"/>
                <w:lang w:eastAsia="ru-RU"/>
              </w:rPr>
              <w:t>2019**</w:t>
            </w:r>
          </w:p>
        </w:tc>
      </w:tr>
      <w:tr w:rsidR="00E67099" w:rsidRPr="00E67099" w:rsidTr="00F44FCD">
        <w:trPr>
          <w:gridAfter w:val="1"/>
          <w:wAfter w:w="109" w:type="dxa"/>
          <w:trHeight w:val="256"/>
          <w:jc w:val="center"/>
        </w:trPr>
        <w:tc>
          <w:tcPr>
            <w:cnfStyle w:val="001000000000" w:firstRow="0" w:lastRow="0" w:firstColumn="1" w:lastColumn="0" w:oddVBand="0" w:evenVBand="0" w:oddHBand="0" w:evenHBand="0" w:firstRowFirstColumn="0" w:firstRowLastColumn="0" w:lastRowFirstColumn="0" w:lastRowLastColumn="0"/>
            <w:tcW w:w="2122" w:type="dxa"/>
          </w:tcPr>
          <w:p w:rsidR="00E67099" w:rsidRPr="00F44FCD" w:rsidRDefault="00E67099" w:rsidP="00E67099">
            <w:pPr>
              <w:jc w:val="center"/>
              <w:rPr>
                <w:rFonts w:asciiTheme="majorHAnsi" w:eastAsia="Times New Roman" w:hAnsiTheme="majorHAnsi" w:cstheme="majorHAnsi"/>
                <w:b w:val="0"/>
                <w:i/>
                <w:sz w:val="14"/>
                <w:szCs w:val="14"/>
                <w:lang w:eastAsia="ru-RU"/>
              </w:rPr>
            </w:pPr>
            <w:r w:rsidRPr="00F44FCD">
              <w:rPr>
                <w:rFonts w:asciiTheme="majorHAnsi" w:eastAsia="Times New Roman" w:hAnsiTheme="majorHAnsi" w:cstheme="majorHAnsi"/>
                <w:b w:val="0"/>
                <w:i/>
                <w:sz w:val="14"/>
                <w:szCs w:val="14"/>
                <w:lang w:eastAsia="ru-RU"/>
              </w:rPr>
              <w:t>1</w:t>
            </w:r>
          </w:p>
        </w:tc>
        <w:tc>
          <w:tcPr>
            <w:tcW w:w="992"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4"/>
                <w:szCs w:val="14"/>
                <w:lang w:eastAsia="ru-RU"/>
              </w:rPr>
            </w:pPr>
            <w:r w:rsidRPr="00E67099">
              <w:rPr>
                <w:rFonts w:asciiTheme="majorHAnsi" w:eastAsia="Times New Roman" w:hAnsiTheme="majorHAnsi" w:cstheme="majorHAnsi"/>
                <w:bCs/>
                <w:i/>
                <w:sz w:val="14"/>
                <w:szCs w:val="14"/>
                <w:lang w:eastAsia="ru-RU"/>
              </w:rPr>
              <w:t>2</w:t>
            </w:r>
          </w:p>
        </w:tc>
        <w:tc>
          <w:tcPr>
            <w:tcW w:w="993"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4"/>
                <w:szCs w:val="14"/>
                <w:lang w:eastAsia="ru-RU"/>
              </w:rPr>
            </w:pPr>
            <w:r w:rsidRPr="00E67099">
              <w:rPr>
                <w:rFonts w:asciiTheme="majorHAnsi" w:eastAsia="Times New Roman" w:hAnsiTheme="majorHAnsi" w:cstheme="majorHAnsi"/>
                <w:bCs/>
                <w:i/>
                <w:sz w:val="14"/>
                <w:szCs w:val="14"/>
                <w:lang w:eastAsia="ru-RU"/>
              </w:rPr>
              <w:t>3</w:t>
            </w:r>
          </w:p>
        </w:tc>
        <w:tc>
          <w:tcPr>
            <w:tcW w:w="1131"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4"/>
                <w:szCs w:val="14"/>
                <w:lang w:eastAsia="ru-RU"/>
              </w:rPr>
            </w:pPr>
            <w:r w:rsidRPr="00E67099">
              <w:rPr>
                <w:rFonts w:asciiTheme="majorHAnsi" w:eastAsia="Times New Roman" w:hAnsiTheme="majorHAnsi" w:cstheme="majorHAnsi"/>
                <w:bCs/>
                <w:i/>
                <w:sz w:val="14"/>
                <w:szCs w:val="14"/>
                <w:lang w:eastAsia="ru-RU"/>
              </w:rPr>
              <w:t>4=3-2</w:t>
            </w:r>
          </w:p>
        </w:tc>
        <w:tc>
          <w:tcPr>
            <w:tcW w:w="989" w:type="dxa"/>
          </w:tcPr>
          <w:p w:rsidR="00E67099" w:rsidRPr="00E67099" w:rsidRDefault="00E67099" w:rsidP="00E67099">
            <w:pPr>
              <w:ind w:left="-104" w:right="-107"/>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4"/>
                <w:szCs w:val="14"/>
                <w:lang w:eastAsia="ru-RU"/>
              </w:rPr>
            </w:pPr>
            <w:r w:rsidRPr="00E67099">
              <w:rPr>
                <w:rFonts w:asciiTheme="majorHAnsi" w:eastAsia="Times New Roman" w:hAnsiTheme="majorHAnsi" w:cstheme="majorHAnsi"/>
                <w:bCs/>
                <w:i/>
                <w:sz w:val="14"/>
                <w:szCs w:val="14"/>
                <w:lang w:eastAsia="ru-RU"/>
              </w:rPr>
              <w:t>5=3/2*100</w:t>
            </w:r>
          </w:p>
        </w:tc>
        <w:tc>
          <w:tcPr>
            <w:tcW w:w="998" w:type="dxa"/>
            <w:gridSpan w:val="2"/>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4"/>
                <w:szCs w:val="14"/>
                <w:lang w:eastAsia="ru-RU"/>
              </w:rPr>
            </w:pPr>
            <w:r w:rsidRPr="00E67099">
              <w:rPr>
                <w:rFonts w:asciiTheme="majorHAnsi" w:eastAsia="Times New Roman" w:hAnsiTheme="majorHAnsi" w:cstheme="majorHAnsi"/>
                <w:bCs/>
                <w:i/>
                <w:sz w:val="14"/>
                <w:szCs w:val="14"/>
                <w:lang w:eastAsia="ru-RU"/>
              </w:rPr>
              <w:t>6</w:t>
            </w:r>
          </w:p>
        </w:tc>
        <w:tc>
          <w:tcPr>
            <w:tcW w:w="1089" w:type="dxa"/>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4"/>
                <w:szCs w:val="14"/>
                <w:lang w:eastAsia="ru-RU"/>
              </w:rPr>
            </w:pPr>
            <w:r w:rsidRPr="00E67099">
              <w:rPr>
                <w:rFonts w:asciiTheme="majorHAnsi" w:eastAsia="Times New Roman" w:hAnsiTheme="majorHAnsi" w:cstheme="majorHAnsi"/>
                <w:bCs/>
                <w:i/>
                <w:sz w:val="14"/>
                <w:szCs w:val="14"/>
                <w:lang w:eastAsia="ru-RU"/>
              </w:rPr>
              <w:t>7=3-6</w:t>
            </w:r>
          </w:p>
        </w:tc>
        <w:tc>
          <w:tcPr>
            <w:tcW w:w="997" w:type="dxa"/>
          </w:tcPr>
          <w:p w:rsidR="00E67099" w:rsidRPr="00E67099" w:rsidRDefault="00E67099" w:rsidP="00E67099">
            <w:pPr>
              <w:ind w:left="-104" w:right="-107"/>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4"/>
                <w:szCs w:val="14"/>
                <w:lang w:eastAsia="ru-RU"/>
              </w:rPr>
            </w:pPr>
            <w:r w:rsidRPr="00E67099">
              <w:rPr>
                <w:rFonts w:asciiTheme="majorHAnsi" w:eastAsia="Times New Roman" w:hAnsiTheme="majorHAnsi" w:cstheme="majorHAnsi"/>
                <w:bCs/>
                <w:i/>
                <w:sz w:val="14"/>
                <w:szCs w:val="14"/>
                <w:lang w:eastAsia="ru-RU"/>
              </w:rPr>
              <w:t>8=3/6*100</w:t>
            </w:r>
          </w:p>
        </w:tc>
        <w:tc>
          <w:tcPr>
            <w:tcW w:w="1599" w:type="dxa"/>
          </w:tcPr>
          <w:p w:rsidR="00E67099" w:rsidRPr="00E67099" w:rsidRDefault="00E67099" w:rsidP="00F44FCD">
            <w:pPr>
              <w:ind w:left="-102"/>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4"/>
                <w:szCs w:val="14"/>
                <w:lang w:eastAsia="ru-RU"/>
              </w:rPr>
            </w:pPr>
            <w:r w:rsidRPr="00E67099">
              <w:rPr>
                <w:rFonts w:asciiTheme="majorHAnsi" w:eastAsia="Times New Roman" w:hAnsiTheme="majorHAnsi" w:cstheme="majorHAnsi"/>
                <w:bCs/>
                <w:i/>
                <w:sz w:val="14"/>
                <w:szCs w:val="14"/>
                <w:lang w:eastAsia="ru-RU"/>
              </w:rPr>
              <w:t>9=6/PIB*100</w:t>
            </w:r>
          </w:p>
        </w:tc>
        <w:tc>
          <w:tcPr>
            <w:tcW w:w="1418" w:type="dxa"/>
          </w:tcPr>
          <w:p w:rsidR="00E67099" w:rsidRPr="00E67099" w:rsidRDefault="00E67099" w:rsidP="00F44FCD">
            <w:pPr>
              <w:ind w:left="-107" w:right="-15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4"/>
                <w:szCs w:val="14"/>
                <w:lang w:eastAsia="ru-RU"/>
              </w:rPr>
            </w:pPr>
            <w:r w:rsidRPr="00E67099">
              <w:rPr>
                <w:rFonts w:asciiTheme="majorHAnsi" w:eastAsia="Times New Roman" w:hAnsiTheme="majorHAnsi" w:cstheme="majorHAnsi"/>
                <w:bCs/>
                <w:i/>
                <w:sz w:val="14"/>
                <w:szCs w:val="14"/>
                <w:lang w:eastAsia="ru-RU"/>
              </w:rPr>
              <w:t>10=3/PIB*100</w:t>
            </w:r>
          </w:p>
        </w:tc>
      </w:tr>
      <w:tr w:rsidR="00E67099" w:rsidRPr="00E67099" w:rsidTr="00F44FCD">
        <w:trPr>
          <w:trHeight w:val="256"/>
          <w:jc w:val="center"/>
        </w:trPr>
        <w:tc>
          <w:tcPr>
            <w:cnfStyle w:val="001000000000" w:firstRow="0" w:lastRow="0" w:firstColumn="1" w:lastColumn="0" w:oddVBand="0" w:evenVBand="0" w:oddHBand="0" w:evenHBand="0" w:firstRowFirstColumn="0" w:firstRowLastColumn="0" w:lastRowFirstColumn="0" w:lastRowLastColumn="0"/>
            <w:tcW w:w="12437" w:type="dxa"/>
            <w:gridSpan w:val="12"/>
          </w:tcPr>
          <w:p w:rsidR="00E67099" w:rsidRPr="00E67099" w:rsidRDefault="00E67099" w:rsidP="00E67099">
            <w:pPr>
              <w:jc w:val="center"/>
              <w:rPr>
                <w:rFonts w:asciiTheme="majorHAnsi" w:eastAsia="Times New Roman" w:hAnsiTheme="majorHAnsi" w:cstheme="majorHAnsi"/>
                <w:sz w:val="24"/>
                <w:szCs w:val="24"/>
                <w:lang w:eastAsia="ru-RU"/>
              </w:rPr>
            </w:pPr>
            <w:r w:rsidRPr="00E67099">
              <w:rPr>
                <w:rFonts w:asciiTheme="majorHAnsi" w:eastAsia="Times New Roman" w:hAnsiTheme="majorHAnsi" w:cstheme="majorHAnsi"/>
                <w:sz w:val="24"/>
                <w:szCs w:val="24"/>
                <w:lang w:eastAsia="ru-RU"/>
              </w:rPr>
              <w:t>Venituri</w:t>
            </w:r>
          </w:p>
        </w:tc>
      </w:tr>
      <w:tr w:rsidR="00E67099" w:rsidRPr="00E67099" w:rsidTr="00F44FCD">
        <w:trPr>
          <w:gridAfter w:val="1"/>
          <w:wAfter w:w="109" w:type="dxa"/>
          <w:trHeight w:val="490"/>
          <w:jc w:val="center"/>
        </w:trPr>
        <w:tc>
          <w:tcPr>
            <w:cnfStyle w:val="001000000000" w:firstRow="0" w:lastRow="0" w:firstColumn="1" w:lastColumn="0" w:oddVBand="0" w:evenVBand="0" w:oddHBand="0" w:evenHBand="0" w:firstRowFirstColumn="0" w:firstRowLastColumn="0" w:lastRowFirstColumn="0" w:lastRowLastColumn="0"/>
            <w:tcW w:w="2122" w:type="dxa"/>
            <w:hideMark/>
          </w:tcPr>
          <w:p w:rsidR="00E67099" w:rsidRPr="00E67099" w:rsidRDefault="00E67099" w:rsidP="00E67099">
            <w:pPr>
              <w:jc w:val="both"/>
              <w:rPr>
                <w:rFonts w:asciiTheme="majorHAnsi" w:eastAsia="Times New Roman" w:hAnsiTheme="majorHAnsi" w:cstheme="majorHAnsi"/>
                <w:sz w:val="20"/>
                <w:szCs w:val="20"/>
                <w:lang w:eastAsia="ru-RU"/>
              </w:rPr>
            </w:pPr>
            <w:r w:rsidRPr="00E67099">
              <w:rPr>
                <w:rFonts w:asciiTheme="majorHAnsi" w:eastAsia="Times New Roman" w:hAnsiTheme="majorHAnsi" w:cstheme="majorHAnsi"/>
                <w:sz w:val="20"/>
                <w:szCs w:val="20"/>
                <w:lang w:eastAsia="ru-RU"/>
              </w:rPr>
              <w:t xml:space="preserve">BPN, </w:t>
            </w:r>
            <w:r w:rsidRPr="00E67099">
              <w:rPr>
                <w:rFonts w:asciiTheme="majorHAnsi" w:eastAsia="Times New Roman" w:hAnsiTheme="majorHAnsi" w:cstheme="majorHAnsi"/>
                <w:i/>
                <w:iCs/>
                <w:sz w:val="20"/>
                <w:szCs w:val="20"/>
                <w:lang w:eastAsia="ru-RU"/>
              </w:rPr>
              <w:t>inclusiv:</w:t>
            </w:r>
          </w:p>
        </w:tc>
        <w:tc>
          <w:tcPr>
            <w:tcW w:w="992" w:type="dxa"/>
            <w:vAlign w:val="center"/>
          </w:tcPr>
          <w:p w:rsidR="00E67099" w:rsidRPr="00E67099" w:rsidRDefault="00E67099" w:rsidP="00E67099">
            <w:pPr>
              <w:ind w:left="2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eastAsia="ru-RU"/>
              </w:rPr>
            </w:pPr>
            <w:r w:rsidRPr="00E67099">
              <w:rPr>
                <w:rFonts w:asciiTheme="majorHAnsi" w:eastAsia="Times New Roman" w:hAnsiTheme="majorHAnsi" w:cstheme="majorHAnsi"/>
                <w:b/>
                <w:bCs/>
                <w:sz w:val="20"/>
                <w:szCs w:val="20"/>
                <w:lang w:eastAsia="ru-RU"/>
              </w:rPr>
              <w:t>63.514,2</w:t>
            </w:r>
          </w:p>
        </w:tc>
        <w:tc>
          <w:tcPr>
            <w:tcW w:w="993" w:type="dxa"/>
            <w:vAlign w:val="center"/>
          </w:tcPr>
          <w:p w:rsidR="00E67099" w:rsidRPr="00E67099" w:rsidRDefault="00E67099" w:rsidP="00E67099">
            <w:pPr>
              <w:ind w:left="-10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eastAsia="ru-RU"/>
              </w:rPr>
            </w:pPr>
            <w:r w:rsidRPr="00E67099">
              <w:rPr>
                <w:rFonts w:asciiTheme="majorHAnsi" w:eastAsia="Times New Roman" w:hAnsiTheme="majorHAnsi" w:cstheme="majorHAnsi"/>
                <w:b/>
                <w:bCs/>
                <w:sz w:val="20"/>
                <w:szCs w:val="20"/>
                <w:lang w:eastAsia="ru-RU"/>
              </w:rPr>
              <w:t>62.949,2</w:t>
            </w:r>
          </w:p>
        </w:tc>
        <w:tc>
          <w:tcPr>
            <w:tcW w:w="1131"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eastAsia="ru-RU"/>
              </w:rPr>
            </w:pPr>
            <w:r w:rsidRPr="00E67099">
              <w:rPr>
                <w:rFonts w:asciiTheme="majorHAnsi" w:eastAsia="Times New Roman" w:hAnsiTheme="majorHAnsi" w:cstheme="majorHAnsi"/>
                <w:b/>
                <w:bCs/>
                <w:sz w:val="20"/>
                <w:szCs w:val="20"/>
                <w:lang w:eastAsia="ru-RU"/>
              </w:rPr>
              <w:t>-565,0</w:t>
            </w:r>
          </w:p>
        </w:tc>
        <w:tc>
          <w:tcPr>
            <w:tcW w:w="989"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eastAsia="ru-RU"/>
              </w:rPr>
            </w:pPr>
            <w:r w:rsidRPr="00E67099">
              <w:rPr>
                <w:rFonts w:asciiTheme="majorHAnsi" w:eastAsia="Times New Roman" w:hAnsiTheme="majorHAnsi" w:cstheme="majorHAnsi"/>
                <w:b/>
                <w:bCs/>
                <w:sz w:val="20"/>
                <w:szCs w:val="20"/>
                <w:lang w:eastAsia="ru-RU"/>
              </w:rPr>
              <w:t>99,1%</w:t>
            </w:r>
          </w:p>
        </w:tc>
        <w:tc>
          <w:tcPr>
            <w:tcW w:w="998" w:type="dxa"/>
            <w:gridSpan w:val="2"/>
            <w:vAlign w:val="center"/>
          </w:tcPr>
          <w:p w:rsidR="00E67099" w:rsidRPr="00E67099" w:rsidRDefault="00E67099" w:rsidP="00E67099">
            <w:pPr>
              <w:ind w:left="-10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eastAsia="ru-RU"/>
              </w:rPr>
            </w:pPr>
            <w:r w:rsidRPr="00E67099">
              <w:rPr>
                <w:rFonts w:asciiTheme="majorHAnsi" w:eastAsia="Times New Roman" w:hAnsiTheme="majorHAnsi" w:cstheme="majorHAnsi"/>
                <w:b/>
                <w:bCs/>
                <w:sz w:val="20"/>
                <w:szCs w:val="20"/>
                <w:lang w:eastAsia="ru-RU"/>
              </w:rPr>
              <w:t>57.995,9</w:t>
            </w:r>
          </w:p>
        </w:tc>
        <w:tc>
          <w:tcPr>
            <w:tcW w:w="1089"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eastAsia="ru-RU"/>
              </w:rPr>
            </w:pPr>
            <w:r w:rsidRPr="00E67099">
              <w:rPr>
                <w:rFonts w:asciiTheme="majorHAnsi" w:eastAsia="Times New Roman" w:hAnsiTheme="majorHAnsi" w:cstheme="majorHAnsi"/>
                <w:b/>
                <w:bCs/>
                <w:sz w:val="20"/>
                <w:szCs w:val="20"/>
                <w:lang w:eastAsia="ru-RU"/>
              </w:rPr>
              <w:t>4.953,3</w:t>
            </w:r>
          </w:p>
        </w:tc>
        <w:tc>
          <w:tcPr>
            <w:tcW w:w="997"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eastAsia="ru-RU"/>
              </w:rPr>
            </w:pPr>
            <w:r w:rsidRPr="00E67099">
              <w:rPr>
                <w:rFonts w:asciiTheme="majorHAnsi" w:eastAsia="Times New Roman" w:hAnsiTheme="majorHAnsi" w:cstheme="majorHAnsi"/>
                <w:b/>
                <w:bCs/>
                <w:sz w:val="20"/>
                <w:szCs w:val="20"/>
                <w:lang w:eastAsia="ru-RU"/>
              </w:rPr>
              <w:t>108,5%</w:t>
            </w:r>
          </w:p>
        </w:tc>
        <w:tc>
          <w:tcPr>
            <w:tcW w:w="1599"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eastAsia="ru-RU"/>
              </w:rPr>
            </w:pPr>
            <w:r w:rsidRPr="00E67099">
              <w:rPr>
                <w:rFonts w:asciiTheme="majorHAnsi" w:eastAsia="Times New Roman" w:hAnsiTheme="majorHAnsi" w:cstheme="majorHAnsi"/>
                <w:b/>
                <w:bCs/>
                <w:sz w:val="20"/>
                <w:szCs w:val="20"/>
                <w:lang w:eastAsia="ru-RU"/>
              </w:rPr>
              <w:t>30,1</w:t>
            </w:r>
          </w:p>
        </w:tc>
        <w:tc>
          <w:tcPr>
            <w:tcW w:w="1418"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eastAsia="ru-RU"/>
              </w:rPr>
            </w:pPr>
            <w:r w:rsidRPr="00E67099">
              <w:rPr>
                <w:rFonts w:asciiTheme="majorHAnsi" w:eastAsia="Times New Roman" w:hAnsiTheme="majorHAnsi" w:cstheme="majorHAnsi"/>
                <w:b/>
                <w:bCs/>
                <w:sz w:val="20"/>
                <w:szCs w:val="20"/>
                <w:lang w:eastAsia="ru-RU"/>
              </w:rPr>
              <w:t>29,9</w:t>
            </w:r>
          </w:p>
        </w:tc>
      </w:tr>
      <w:tr w:rsidR="00E67099" w:rsidRPr="00E67099" w:rsidTr="00F44FCD">
        <w:trPr>
          <w:gridAfter w:val="1"/>
          <w:wAfter w:w="109" w:type="dxa"/>
          <w:trHeight w:val="256"/>
          <w:jc w:val="center"/>
        </w:trPr>
        <w:tc>
          <w:tcPr>
            <w:cnfStyle w:val="001000000000" w:firstRow="0" w:lastRow="0" w:firstColumn="1" w:lastColumn="0" w:oddVBand="0" w:evenVBand="0" w:oddHBand="0" w:evenHBand="0" w:firstRowFirstColumn="0" w:firstRowLastColumn="0" w:lastRowFirstColumn="0" w:lastRowLastColumn="0"/>
            <w:tcW w:w="2122" w:type="dxa"/>
            <w:hideMark/>
          </w:tcPr>
          <w:p w:rsidR="00E67099" w:rsidRPr="00E67099" w:rsidRDefault="00E67099" w:rsidP="00E67099">
            <w:pPr>
              <w:jc w:val="both"/>
              <w:rPr>
                <w:rFonts w:asciiTheme="majorHAnsi" w:eastAsia="Times New Roman" w:hAnsiTheme="majorHAnsi" w:cstheme="majorHAnsi"/>
                <w:i/>
                <w:iCs/>
                <w:sz w:val="20"/>
                <w:szCs w:val="20"/>
                <w:lang w:eastAsia="ru-RU"/>
              </w:rPr>
            </w:pPr>
            <w:r w:rsidRPr="00E67099">
              <w:rPr>
                <w:rFonts w:asciiTheme="majorHAnsi" w:eastAsia="Times New Roman" w:hAnsiTheme="majorHAnsi" w:cstheme="majorHAnsi"/>
                <w:i/>
                <w:iCs/>
                <w:sz w:val="20"/>
                <w:szCs w:val="20"/>
                <w:lang w:eastAsia="ru-RU"/>
              </w:rPr>
              <w:t>BS</w:t>
            </w:r>
          </w:p>
        </w:tc>
        <w:tc>
          <w:tcPr>
            <w:tcW w:w="992" w:type="dxa"/>
            <w:vAlign w:val="center"/>
          </w:tcPr>
          <w:p w:rsidR="00E67099" w:rsidRPr="00E67099" w:rsidRDefault="00E67099" w:rsidP="00E67099">
            <w:pPr>
              <w:ind w:left="-14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40.642,9</w:t>
            </w:r>
          </w:p>
        </w:tc>
        <w:tc>
          <w:tcPr>
            <w:tcW w:w="993" w:type="dxa"/>
            <w:vAlign w:val="center"/>
          </w:tcPr>
          <w:p w:rsidR="00E67099" w:rsidRPr="00E67099" w:rsidRDefault="00E67099" w:rsidP="00E67099">
            <w:pPr>
              <w:ind w:left="-10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en-US" w:eastAsia="ru-RU"/>
              </w:rPr>
            </w:pPr>
            <w:r w:rsidRPr="00E67099">
              <w:rPr>
                <w:rFonts w:asciiTheme="majorHAnsi" w:eastAsia="Times New Roman" w:hAnsiTheme="majorHAnsi" w:cstheme="majorHAnsi"/>
                <w:iCs/>
                <w:sz w:val="20"/>
                <w:szCs w:val="20"/>
                <w:lang w:val="en-US" w:eastAsia="ru-RU"/>
              </w:rPr>
              <w:t>39.967,9</w:t>
            </w:r>
          </w:p>
        </w:tc>
        <w:tc>
          <w:tcPr>
            <w:tcW w:w="1131"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-675,0</w:t>
            </w:r>
          </w:p>
        </w:tc>
        <w:tc>
          <w:tcPr>
            <w:tcW w:w="989"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98,3%</w:t>
            </w:r>
          </w:p>
        </w:tc>
        <w:tc>
          <w:tcPr>
            <w:tcW w:w="998" w:type="dxa"/>
            <w:gridSpan w:val="2"/>
            <w:vAlign w:val="center"/>
          </w:tcPr>
          <w:p w:rsidR="00E67099" w:rsidRPr="00E67099" w:rsidRDefault="00E67099" w:rsidP="00E67099">
            <w:pPr>
              <w:ind w:left="-10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en-US" w:eastAsia="ru-RU"/>
              </w:rPr>
            </w:pPr>
            <w:r w:rsidRPr="00E67099">
              <w:rPr>
                <w:rFonts w:asciiTheme="majorHAnsi" w:eastAsia="Times New Roman" w:hAnsiTheme="majorHAnsi" w:cstheme="majorHAnsi"/>
                <w:iCs/>
                <w:sz w:val="20"/>
                <w:szCs w:val="20"/>
                <w:lang w:val="en-US" w:eastAsia="ru-RU"/>
              </w:rPr>
              <w:t>36.432,7</w:t>
            </w:r>
          </w:p>
        </w:tc>
        <w:tc>
          <w:tcPr>
            <w:tcW w:w="1089"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3.535,2</w:t>
            </w:r>
          </w:p>
        </w:tc>
        <w:tc>
          <w:tcPr>
            <w:tcW w:w="997"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109,7%</w:t>
            </w:r>
          </w:p>
        </w:tc>
        <w:tc>
          <w:tcPr>
            <w:tcW w:w="1599"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18,9</w:t>
            </w:r>
          </w:p>
        </w:tc>
        <w:tc>
          <w:tcPr>
            <w:tcW w:w="1418"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19,0</w:t>
            </w:r>
          </w:p>
        </w:tc>
      </w:tr>
      <w:tr w:rsidR="00E67099" w:rsidRPr="00E67099" w:rsidTr="00F44FCD">
        <w:trPr>
          <w:gridAfter w:val="1"/>
          <w:wAfter w:w="109" w:type="dxa"/>
          <w:trHeight w:val="256"/>
          <w:jc w:val="center"/>
        </w:trPr>
        <w:tc>
          <w:tcPr>
            <w:cnfStyle w:val="001000000000" w:firstRow="0" w:lastRow="0" w:firstColumn="1" w:lastColumn="0" w:oddVBand="0" w:evenVBand="0" w:oddHBand="0" w:evenHBand="0" w:firstRowFirstColumn="0" w:firstRowLastColumn="0" w:lastRowFirstColumn="0" w:lastRowLastColumn="0"/>
            <w:tcW w:w="2122" w:type="dxa"/>
            <w:hideMark/>
          </w:tcPr>
          <w:p w:rsidR="00E67099" w:rsidRPr="00E67099" w:rsidRDefault="00E67099" w:rsidP="00E67099">
            <w:pPr>
              <w:jc w:val="both"/>
              <w:rPr>
                <w:rFonts w:asciiTheme="majorHAnsi" w:eastAsia="Times New Roman" w:hAnsiTheme="majorHAnsi" w:cstheme="majorHAnsi"/>
                <w:i/>
                <w:iCs/>
                <w:sz w:val="20"/>
                <w:szCs w:val="20"/>
                <w:lang w:eastAsia="ru-RU"/>
              </w:rPr>
            </w:pPr>
            <w:r w:rsidRPr="00E67099">
              <w:rPr>
                <w:rFonts w:asciiTheme="majorHAnsi" w:eastAsia="Times New Roman" w:hAnsiTheme="majorHAnsi" w:cstheme="majorHAnsi"/>
                <w:i/>
                <w:iCs/>
                <w:sz w:val="20"/>
                <w:szCs w:val="20"/>
                <w:lang w:eastAsia="ru-RU"/>
              </w:rPr>
              <w:t>BASS</w:t>
            </w:r>
          </w:p>
        </w:tc>
        <w:tc>
          <w:tcPr>
            <w:tcW w:w="992" w:type="dxa"/>
            <w:vAlign w:val="center"/>
          </w:tcPr>
          <w:p w:rsidR="00E67099" w:rsidRPr="00E67099" w:rsidRDefault="00E67099" w:rsidP="00E67099">
            <w:pPr>
              <w:ind w:left="-14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21.869,9</w:t>
            </w:r>
          </w:p>
        </w:tc>
        <w:tc>
          <w:tcPr>
            <w:tcW w:w="993" w:type="dxa"/>
            <w:vAlign w:val="center"/>
          </w:tcPr>
          <w:p w:rsidR="00E67099" w:rsidRPr="00E67099" w:rsidRDefault="00E67099" w:rsidP="00E67099">
            <w:pPr>
              <w:ind w:left="-10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21.748,3</w:t>
            </w:r>
          </w:p>
        </w:tc>
        <w:tc>
          <w:tcPr>
            <w:tcW w:w="1131"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-121,6</w:t>
            </w:r>
          </w:p>
        </w:tc>
        <w:tc>
          <w:tcPr>
            <w:tcW w:w="989"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99,4%</w:t>
            </w:r>
          </w:p>
        </w:tc>
        <w:tc>
          <w:tcPr>
            <w:tcW w:w="998" w:type="dxa"/>
            <w:gridSpan w:val="2"/>
            <w:vAlign w:val="center"/>
          </w:tcPr>
          <w:p w:rsidR="00E67099" w:rsidRPr="00E67099" w:rsidRDefault="00E67099" w:rsidP="00E67099">
            <w:pPr>
              <w:ind w:left="-10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19.790,3</w:t>
            </w:r>
          </w:p>
        </w:tc>
        <w:tc>
          <w:tcPr>
            <w:tcW w:w="1089"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1.958,0</w:t>
            </w:r>
          </w:p>
        </w:tc>
        <w:tc>
          <w:tcPr>
            <w:tcW w:w="997"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109,9%</w:t>
            </w:r>
          </w:p>
        </w:tc>
        <w:tc>
          <w:tcPr>
            <w:tcW w:w="1599"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10,3</w:t>
            </w:r>
          </w:p>
        </w:tc>
        <w:tc>
          <w:tcPr>
            <w:tcW w:w="1418"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10,3</w:t>
            </w:r>
          </w:p>
        </w:tc>
      </w:tr>
      <w:tr w:rsidR="00E67099" w:rsidRPr="00E67099" w:rsidTr="00F44FCD">
        <w:trPr>
          <w:gridAfter w:val="1"/>
          <w:wAfter w:w="109" w:type="dxa"/>
          <w:trHeight w:val="256"/>
          <w:jc w:val="center"/>
        </w:trPr>
        <w:tc>
          <w:tcPr>
            <w:cnfStyle w:val="001000000000" w:firstRow="0" w:lastRow="0" w:firstColumn="1" w:lastColumn="0" w:oddVBand="0" w:evenVBand="0" w:oddHBand="0" w:evenHBand="0" w:firstRowFirstColumn="0" w:firstRowLastColumn="0" w:lastRowFirstColumn="0" w:lastRowLastColumn="0"/>
            <w:tcW w:w="2122" w:type="dxa"/>
            <w:hideMark/>
          </w:tcPr>
          <w:p w:rsidR="00E67099" w:rsidRPr="00E67099" w:rsidRDefault="00E67099" w:rsidP="00E67099">
            <w:pPr>
              <w:jc w:val="both"/>
              <w:rPr>
                <w:rFonts w:asciiTheme="majorHAnsi" w:eastAsia="Times New Roman" w:hAnsiTheme="majorHAnsi" w:cstheme="majorHAnsi"/>
                <w:i/>
                <w:iCs/>
                <w:sz w:val="20"/>
                <w:szCs w:val="20"/>
                <w:lang w:eastAsia="ru-RU"/>
              </w:rPr>
            </w:pPr>
            <w:r w:rsidRPr="00E67099">
              <w:rPr>
                <w:rFonts w:asciiTheme="majorHAnsi" w:eastAsia="Times New Roman" w:hAnsiTheme="majorHAnsi" w:cstheme="majorHAnsi"/>
                <w:i/>
                <w:iCs/>
                <w:sz w:val="20"/>
                <w:szCs w:val="20"/>
                <w:lang w:eastAsia="ru-RU"/>
              </w:rPr>
              <w:t>FAOAM</w:t>
            </w:r>
          </w:p>
        </w:tc>
        <w:tc>
          <w:tcPr>
            <w:tcW w:w="992" w:type="dxa"/>
            <w:vAlign w:val="center"/>
          </w:tcPr>
          <w:p w:rsidR="00E67099" w:rsidRPr="00E67099" w:rsidRDefault="00E67099" w:rsidP="00E67099">
            <w:pPr>
              <w:ind w:left="-14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7.709,8</w:t>
            </w:r>
          </w:p>
        </w:tc>
        <w:tc>
          <w:tcPr>
            <w:tcW w:w="993" w:type="dxa"/>
            <w:vAlign w:val="center"/>
          </w:tcPr>
          <w:p w:rsidR="00E67099" w:rsidRPr="00E67099" w:rsidRDefault="00E67099" w:rsidP="00E67099">
            <w:pPr>
              <w:ind w:left="-10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7.636,3</w:t>
            </w:r>
          </w:p>
        </w:tc>
        <w:tc>
          <w:tcPr>
            <w:tcW w:w="1131"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-73,5</w:t>
            </w:r>
          </w:p>
        </w:tc>
        <w:tc>
          <w:tcPr>
            <w:tcW w:w="989"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99,0%</w:t>
            </w:r>
          </w:p>
        </w:tc>
        <w:tc>
          <w:tcPr>
            <w:tcW w:w="998" w:type="dxa"/>
            <w:gridSpan w:val="2"/>
            <w:vAlign w:val="center"/>
          </w:tcPr>
          <w:p w:rsidR="00E67099" w:rsidRPr="00E67099" w:rsidRDefault="00E67099" w:rsidP="00E67099">
            <w:pPr>
              <w:ind w:left="-10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6.877,4</w:t>
            </w:r>
          </w:p>
        </w:tc>
        <w:tc>
          <w:tcPr>
            <w:tcW w:w="1089"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758,9</w:t>
            </w:r>
          </w:p>
        </w:tc>
        <w:tc>
          <w:tcPr>
            <w:tcW w:w="997"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111,0%</w:t>
            </w:r>
          </w:p>
        </w:tc>
        <w:tc>
          <w:tcPr>
            <w:tcW w:w="1599"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3,6</w:t>
            </w:r>
          </w:p>
        </w:tc>
        <w:tc>
          <w:tcPr>
            <w:tcW w:w="1418"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3,6</w:t>
            </w:r>
          </w:p>
        </w:tc>
      </w:tr>
      <w:tr w:rsidR="00E67099" w:rsidRPr="00E67099" w:rsidTr="00F44FCD">
        <w:trPr>
          <w:gridAfter w:val="1"/>
          <w:wAfter w:w="109" w:type="dxa"/>
          <w:trHeight w:val="256"/>
          <w:jc w:val="center"/>
        </w:trPr>
        <w:tc>
          <w:tcPr>
            <w:cnfStyle w:val="001000000000" w:firstRow="0" w:lastRow="0" w:firstColumn="1" w:lastColumn="0" w:oddVBand="0" w:evenVBand="0" w:oddHBand="0" w:evenHBand="0" w:firstRowFirstColumn="0" w:firstRowLastColumn="0" w:lastRowFirstColumn="0" w:lastRowLastColumn="0"/>
            <w:tcW w:w="2122" w:type="dxa"/>
            <w:hideMark/>
          </w:tcPr>
          <w:p w:rsidR="00E67099" w:rsidRPr="00E67099" w:rsidRDefault="00E67099" w:rsidP="00E67099">
            <w:pPr>
              <w:jc w:val="both"/>
              <w:rPr>
                <w:rFonts w:asciiTheme="majorHAnsi" w:eastAsia="Times New Roman" w:hAnsiTheme="majorHAnsi" w:cstheme="majorHAnsi"/>
                <w:i/>
                <w:iCs/>
                <w:sz w:val="20"/>
                <w:szCs w:val="20"/>
                <w:lang w:eastAsia="ru-RU"/>
              </w:rPr>
            </w:pPr>
            <w:r w:rsidRPr="00E67099">
              <w:rPr>
                <w:rFonts w:asciiTheme="majorHAnsi" w:eastAsia="Times New Roman" w:hAnsiTheme="majorHAnsi" w:cstheme="majorHAnsi"/>
                <w:i/>
                <w:iCs/>
                <w:sz w:val="20"/>
                <w:szCs w:val="20"/>
                <w:lang w:eastAsia="ru-RU"/>
              </w:rPr>
              <w:t>BUAT</w:t>
            </w:r>
          </w:p>
        </w:tc>
        <w:tc>
          <w:tcPr>
            <w:tcW w:w="992" w:type="dxa"/>
            <w:vAlign w:val="center"/>
          </w:tcPr>
          <w:p w:rsidR="00E67099" w:rsidRPr="00E67099" w:rsidRDefault="00E67099" w:rsidP="00E67099">
            <w:pPr>
              <w:ind w:left="-14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17.062,1</w:t>
            </w:r>
          </w:p>
        </w:tc>
        <w:tc>
          <w:tcPr>
            <w:tcW w:w="993" w:type="dxa"/>
            <w:vAlign w:val="center"/>
          </w:tcPr>
          <w:p w:rsidR="00E67099" w:rsidRPr="00E67099" w:rsidRDefault="00E67099" w:rsidP="00E67099">
            <w:pPr>
              <w:ind w:left="-10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16.724,4</w:t>
            </w:r>
          </w:p>
        </w:tc>
        <w:tc>
          <w:tcPr>
            <w:tcW w:w="1131"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-337,7</w:t>
            </w:r>
          </w:p>
        </w:tc>
        <w:tc>
          <w:tcPr>
            <w:tcW w:w="989"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98,0%</w:t>
            </w:r>
          </w:p>
        </w:tc>
        <w:tc>
          <w:tcPr>
            <w:tcW w:w="998" w:type="dxa"/>
            <w:gridSpan w:val="2"/>
            <w:vAlign w:val="center"/>
          </w:tcPr>
          <w:p w:rsidR="00E67099" w:rsidRPr="00E67099" w:rsidRDefault="00E67099" w:rsidP="00E67099">
            <w:pPr>
              <w:ind w:left="-10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14.683,6</w:t>
            </w:r>
          </w:p>
        </w:tc>
        <w:tc>
          <w:tcPr>
            <w:tcW w:w="1089"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2.040,8</w:t>
            </w:r>
          </w:p>
        </w:tc>
        <w:tc>
          <w:tcPr>
            <w:tcW w:w="997"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113,9%</w:t>
            </w:r>
          </w:p>
        </w:tc>
        <w:tc>
          <w:tcPr>
            <w:tcW w:w="1599"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7,6</w:t>
            </w:r>
          </w:p>
        </w:tc>
        <w:tc>
          <w:tcPr>
            <w:tcW w:w="1418"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8,0</w:t>
            </w:r>
          </w:p>
        </w:tc>
      </w:tr>
      <w:tr w:rsidR="00E67099" w:rsidRPr="00E67099" w:rsidTr="00F44FCD">
        <w:trPr>
          <w:trHeight w:val="256"/>
          <w:jc w:val="center"/>
        </w:trPr>
        <w:tc>
          <w:tcPr>
            <w:cnfStyle w:val="001000000000" w:firstRow="0" w:lastRow="0" w:firstColumn="1" w:lastColumn="0" w:oddVBand="0" w:evenVBand="0" w:oddHBand="0" w:evenHBand="0" w:firstRowFirstColumn="0" w:firstRowLastColumn="0" w:lastRowFirstColumn="0" w:lastRowLastColumn="0"/>
            <w:tcW w:w="12437" w:type="dxa"/>
            <w:gridSpan w:val="12"/>
          </w:tcPr>
          <w:p w:rsidR="00E67099" w:rsidRPr="00E67099" w:rsidRDefault="00E67099" w:rsidP="00E67099">
            <w:pPr>
              <w:jc w:val="center"/>
              <w:rPr>
                <w:rFonts w:asciiTheme="majorHAnsi" w:eastAsia="Times New Roman" w:hAnsiTheme="majorHAnsi" w:cstheme="majorHAnsi"/>
                <w:sz w:val="24"/>
                <w:szCs w:val="24"/>
                <w:lang w:eastAsia="ru-RU"/>
              </w:rPr>
            </w:pPr>
            <w:r w:rsidRPr="00E67099">
              <w:rPr>
                <w:rFonts w:asciiTheme="majorHAnsi" w:eastAsia="Times New Roman" w:hAnsiTheme="majorHAnsi" w:cstheme="majorHAnsi"/>
                <w:sz w:val="24"/>
                <w:szCs w:val="24"/>
                <w:lang w:eastAsia="ru-RU"/>
              </w:rPr>
              <w:t>Cheltuieli</w:t>
            </w:r>
          </w:p>
        </w:tc>
      </w:tr>
      <w:tr w:rsidR="00E67099" w:rsidRPr="00E67099" w:rsidTr="00F44FCD">
        <w:trPr>
          <w:gridAfter w:val="1"/>
          <w:wAfter w:w="109" w:type="dxa"/>
          <w:trHeight w:val="490"/>
          <w:jc w:val="center"/>
        </w:trPr>
        <w:tc>
          <w:tcPr>
            <w:cnfStyle w:val="001000000000" w:firstRow="0" w:lastRow="0" w:firstColumn="1" w:lastColumn="0" w:oddVBand="0" w:evenVBand="0" w:oddHBand="0" w:evenHBand="0" w:firstRowFirstColumn="0" w:firstRowLastColumn="0" w:lastRowFirstColumn="0" w:lastRowLastColumn="0"/>
            <w:tcW w:w="2122" w:type="dxa"/>
            <w:hideMark/>
          </w:tcPr>
          <w:p w:rsidR="00E67099" w:rsidRPr="00E67099" w:rsidRDefault="00E67099" w:rsidP="00E67099">
            <w:pPr>
              <w:jc w:val="both"/>
              <w:rPr>
                <w:rFonts w:asciiTheme="majorHAnsi" w:eastAsia="Times New Roman" w:hAnsiTheme="majorHAnsi" w:cstheme="majorHAnsi"/>
                <w:sz w:val="20"/>
                <w:szCs w:val="20"/>
                <w:lang w:eastAsia="ru-RU"/>
              </w:rPr>
            </w:pPr>
            <w:r w:rsidRPr="00E67099">
              <w:rPr>
                <w:rFonts w:asciiTheme="majorHAnsi" w:eastAsia="Times New Roman" w:hAnsiTheme="majorHAnsi" w:cstheme="majorHAnsi"/>
                <w:sz w:val="20"/>
                <w:szCs w:val="20"/>
                <w:lang w:eastAsia="ru-RU"/>
              </w:rPr>
              <w:t xml:space="preserve">BPN, </w:t>
            </w:r>
            <w:r w:rsidRPr="00E67099">
              <w:rPr>
                <w:rFonts w:asciiTheme="majorHAnsi" w:eastAsia="Times New Roman" w:hAnsiTheme="majorHAnsi" w:cstheme="majorHAnsi"/>
                <w:i/>
                <w:iCs/>
                <w:sz w:val="20"/>
                <w:szCs w:val="20"/>
                <w:lang w:eastAsia="ru-RU"/>
              </w:rPr>
              <w:t>inclusiv:</w:t>
            </w:r>
          </w:p>
        </w:tc>
        <w:tc>
          <w:tcPr>
            <w:tcW w:w="992" w:type="dxa"/>
            <w:vAlign w:val="center"/>
          </w:tcPr>
          <w:p w:rsidR="00E67099" w:rsidRPr="00E67099" w:rsidRDefault="00E67099" w:rsidP="00E67099">
            <w:pPr>
              <w:ind w:left="2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eastAsia="ru-RU"/>
              </w:rPr>
            </w:pPr>
            <w:r w:rsidRPr="00E67099">
              <w:rPr>
                <w:rFonts w:asciiTheme="majorHAnsi" w:eastAsia="Times New Roman" w:hAnsiTheme="majorHAnsi" w:cstheme="majorHAnsi"/>
                <w:b/>
                <w:bCs/>
                <w:sz w:val="20"/>
                <w:szCs w:val="20"/>
                <w:lang w:eastAsia="ru-RU"/>
              </w:rPr>
              <w:t>70.631,3</w:t>
            </w:r>
          </w:p>
        </w:tc>
        <w:tc>
          <w:tcPr>
            <w:tcW w:w="993" w:type="dxa"/>
            <w:vAlign w:val="center"/>
          </w:tcPr>
          <w:p w:rsidR="00E67099" w:rsidRPr="00E67099" w:rsidRDefault="00E67099" w:rsidP="00E67099">
            <w:pPr>
              <w:ind w:left="-10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eastAsia="ru-RU"/>
              </w:rPr>
            </w:pPr>
            <w:r w:rsidRPr="00E67099">
              <w:rPr>
                <w:rFonts w:asciiTheme="majorHAnsi" w:eastAsia="Times New Roman" w:hAnsiTheme="majorHAnsi" w:cstheme="majorHAnsi"/>
                <w:b/>
                <w:bCs/>
                <w:sz w:val="20"/>
                <w:szCs w:val="20"/>
                <w:lang w:eastAsia="ru-RU"/>
              </w:rPr>
              <w:t>65.975,6</w:t>
            </w:r>
          </w:p>
        </w:tc>
        <w:tc>
          <w:tcPr>
            <w:tcW w:w="1131"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eastAsia="ru-RU"/>
              </w:rPr>
            </w:pPr>
            <w:r w:rsidRPr="00E67099">
              <w:rPr>
                <w:rFonts w:asciiTheme="majorHAnsi" w:eastAsia="Times New Roman" w:hAnsiTheme="majorHAnsi" w:cstheme="majorHAnsi"/>
                <w:b/>
                <w:bCs/>
                <w:sz w:val="20"/>
                <w:szCs w:val="20"/>
                <w:lang w:eastAsia="ru-RU"/>
              </w:rPr>
              <w:t>-4.655,7</w:t>
            </w:r>
          </w:p>
        </w:tc>
        <w:tc>
          <w:tcPr>
            <w:tcW w:w="989"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eastAsia="ru-RU"/>
              </w:rPr>
            </w:pPr>
            <w:r w:rsidRPr="00E67099">
              <w:rPr>
                <w:rFonts w:asciiTheme="majorHAnsi" w:eastAsia="Times New Roman" w:hAnsiTheme="majorHAnsi" w:cstheme="majorHAnsi"/>
                <w:b/>
                <w:bCs/>
                <w:sz w:val="20"/>
                <w:szCs w:val="20"/>
                <w:lang w:eastAsia="ru-RU"/>
              </w:rPr>
              <w:t>93,4%</w:t>
            </w:r>
          </w:p>
        </w:tc>
        <w:tc>
          <w:tcPr>
            <w:tcW w:w="998" w:type="dxa"/>
            <w:gridSpan w:val="2"/>
            <w:vAlign w:val="center"/>
          </w:tcPr>
          <w:p w:rsidR="00E67099" w:rsidRPr="00E67099" w:rsidRDefault="00E67099" w:rsidP="00E67099">
            <w:pPr>
              <w:ind w:left="-10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eastAsia="ru-RU"/>
              </w:rPr>
            </w:pPr>
            <w:r w:rsidRPr="00E67099">
              <w:rPr>
                <w:rFonts w:asciiTheme="majorHAnsi" w:eastAsia="Times New Roman" w:hAnsiTheme="majorHAnsi" w:cstheme="majorHAnsi"/>
                <w:b/>
                <w:bCs/>
                <w:sz w:val="20"/>
                <w:szCs w:val="20"/>
                <w:lang w:eastAsia="ru-RU"/>
              </w:rPr>
              <w:t>59.608,9</w:t>
            </w:r>
          </w:p>
        </w:tc>
        <w:tc>
          <w:tcPr>
            <w:tcW w:w="1089"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eastAsia="ru-RU"/>
              </w:rPr>
            </w:pPr>
            <w:r w:rsidRPr="00E67099">
              <w:rPr>
                <w:rFonts w:asciiTheme="majorHAnsi" w:eastAsia="Times New Roman" w:hAnsiTheme="majorHAnsi" w:cstheme="majorHAnsi"/>
                <w:b/>
                <w:bCs/>
                <w:sz w:val="20"/>
                <w:szCs w:val="20"/>
                <w:lang w:eastAsia="ru-RU"/>
              </w:rPr>
              <w:t>6.366,7</w:t>
            </w:r>
          </w:p>
        </w:tc>
        <w:tc>
          <w:tcPr>
            <w:tcW w:w="997"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eastAsia="ru-RU"/>
              </w:rPr>
            </w:pPr>
            <w:r w:rsidRPr="00E67099">
              <w:rPr>
                <w:rFonts w:asciiTheme="majorHAnsi" w:eastAsia="Times New Roman" w:hAnsiTheme="majorHAnsi" w:cstheme="majorHAnsi"/>
                <w:b/>
                <w:bCs/>
                <w:sz w:val="20"/>
                <w:szCs w:val="20"/>
                <w:lang w:eastAsia="ru-RU"/>
              </w:rPr>
              <w:t>110,7%</w:t>
            </w:r>
          </w:p>
        </w:tc>
        <w:tc>
          <w:tcPr>
            <w:tcW w:w="1599"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eastAsia="ru-RU"/>
              </w:rPr>
            </w:pPr>
            <w:r w:rsidRPr="00E67099">
              <w:rPr>
                <w:rFonts w:asciiTheme="majorHAnsi" w:eastAsia="Times New Roman" w:hAnsiTheme="majorHAnsi" w:cstheme="majorHAnsi"/>
                <w:b/>
                <w:bCs/>
                <w:sz w:val="20"/>
                <w:szCs w:val="20"/>
                <w:lang w:eastAsia="ru-RU"/>
              </w:rPr>
              <w:t>31,0</w:t>
            </w:r>
          </w:p>
        </w:tc>
        <w:tc>
          <w:tcPr>
            <w:tcW w:w="1418"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eastAsia="ru-RU"/>
              </w:rPr>
            </w:pPr>
            <w:r w:rsidRPr="00E67099">
              <w:rPr>
                <w:rFonts w:asciiTheme="majorHAnsi" w:eastAsia="Times New Roman" w:hAnsiTheme="majorHAnsi" w:cstheme="majorHAnsi"/>
                <w:b/>
                <w:bCs/>
                <w:sz w:val="20"/>
                <w:szCs w:val="20"/>
                <w:lang w:eastAsia="ru-RU"/>
              </w:rPr>
              <w:t>31,4</w:t>
            </w:r>
          </w:p>
        </w:tc>
      </w:tr>
      <w:tr w:rsidR="00E67099" w:rsidRPr="00E67099" w:rsidTr="00F44FCD">
        <w:trPr>
          <w:gridAfter w:val="1"/>
          <w:wAfter w:w="109" w:type="dxa"/>
          <w:trHeight w:val="256"/>
          <w:jc w:val="center"/>
        </w:trPr>
        <w:tc>
          <w:tcPr>
            <w:cnfStyle w:val="001000000000" w:firstRow="0" w:lastRow="0" w:firstColumn="1" w:lastColumn="0" w:oddVBand="0" w:evenVBand="0" w:oddHBand="0" w:evenHBand="0" w:firstRowFirstColumn="0" w:firstRowLastColumn="0" w:lastRowFirstColumn="0" w:lastRowLastColumn="0"/>
            <w:tcW w:w="2122" w:type="dxa"/>
            <w:hideMark/>
          </w:tcPr>
          <w:p w:rsidR="00E67099" w:rsidRPr="00E67099" w:rsidRDefault="00E67099" w:rsidP="00E67099">
            <w:pPr>
              <w:jc w:val="both"/>
              <w:rPr>
                <w:rFonts w:asciiTheme="majorHAnsi" w:eastAsia="Times New Roman" w:hAnsiTheme="majorHAnsi" w:cstheme="majorHAnsi"/>
                <w:i/>
                <w:iCs/>
                <w:sz w:val="20"/>
                <w:szCs w:val="20"/>
                <w:lang w:eastAsia="ru-RU"/>
              </w:rPr>
            </w:pPr>
            <w:r w:rsidRPr="00E67099">
              <w:rPr>
                <w:rFonts w:asciiTheme="majorHAnsi" w:eastAsia="Times New Roman" w:hAnsiTheme="majorHAnsi" w:cstheme="majorHAnsi"/>
                <w:i/>
                <w:iCs/>
                <w:sz w:val="20"/>
                <w:szCs w:val="20"/>
                <w:lang w:eastAsia="ru-RU"/>
              </w:rPr>
              <w:t>BS</w:t>
            </w:r>
          </w:p>
        </w:tc>
        <w:tc>
          <w:tcPr>
            <w:tcW w:w="992" w:type="dxa"/>
            <w:vAlign w:val="center"/>
          </w:tcPr>
          <w:p w:rsidR="00E67099" w:rsidRPr="00E67099" w:rsidRDefault="00E67099" w:rsidP="00E67099">
            <w:pPr>
              <w:ind w:left="-14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eastAsia="ru-RU"/>
              </w:rPr>
            </w:pPr>
            <w:r w:rsidRPr="00E67099">
              <w:rPr>
                <w:rFonts w:asciiTheme="majorHAnsi" w:eastAsia="Times New Roman" w:hAnsiTheme="majorHAnsi" w:cstheme="majorHAnsi"/>
                <w:bCs/>
                <w:sz w:val="20"/>
                <w:szCs w:val="20"/>
                <w:lang w:eastAsia="ru-RU"/>
              </w:rPr>
              <w:t>46.346,2</w:t>
            </w:r>
          </w:p>
        </w:tc>
        <w:tc>
          <w:tcPr>
            <w:tcW w:w="993" w:type="dxa"/>
            <w:vAlign w:val="center"/>
          </w:tcPr>
          <w:p w:rsidR="00E67099" w:rsidRPr="00E67099" w:rsidRDefault="00E67099" w:rsidP="00E67099">
            <w:pPr>
              <w:ind w:left="-10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43.073,9</w:t>
            </w:r>
          </w:p>
        </w:tc>
        <w:tc>
          <w:tcPr>
            <w:tcW w:w="1131"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-3.272,3</w:t>
            </w:r>
          </w:p>
        </w:tc>
        <w:tc>
          <w:tcPr>
            <w:tcW w:w="989"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92,9%</w:t>
            </w:r>
          </w:p>
        </w:tc>
        <w:tc>
          <w:tcPr>
            <w:tcW w:w="998" w:type="dxa"/>
            <w:gridSpan w:val="2"/>
            <w:vAlign w:val="center"/>
          </w:tcPr>
          <w:p w:rsidR="00E67099" w:rsidRPr="00E67099" w:rsidRDefault="00E67099" w:rsidP="00E67099">
            <w:pPr>
              <w:ind w:left="-10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38.708,3</w:t>
            </w:r>
          </w:p>
        </w:tc>
        <w:tc>
          <w:tcPr>
            <w:tcW w:w="1089"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4.365,6</w:t>
            </w:r>
          </w:p>
        </w:tc>
        <w:tc>
          <w:tcPr>
            <w:tcW w:w="997"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111,3%</w:t>
            </w:r>
          </w:p>
        </w:tc>
        <w:tc>
          <w:tcPr>
            <w:tcW w:w="1599"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20,1</w:t>
            </w:r>
          </w:p>
        </w:tc>
        <w:tc>
          <w:tcPr>
            <w:tcW w:w="1418"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20,5</w:t>
            </w:r>
          </w:p>
        </w:tc>
      </w:tr>
      <w:tr w:rsidR="00E67099" w:rsidRPr="00E67099" w:rsidTr="00F44FCD">
        <w:trPr>
          <w:gridAfter w:val="1"/>
          <w:wAfter w:w="109" w:type="dxa"/>
          <w:trHeight w:val="256"/>
          <w:jc w:val="center"/>
        </w:trPr>
        <w:tc>
          <w:tcPr>
            <w:cnfStyle w:val="001000000000" w:firstRow="0" w:lastRow="0" w:firstColumn="1" w:lastColumn="0" w:oddVBand="0" w:evenVBand="0" w:oddHBand="0" w:evenHBand="0" w:firstRowFirstColumn="0" w:firstRowLastColumn="0" w:lastRowFirstColumn="0" w:lastRowLastColumn="0"/>
            <w:tcW w:w="2122" w:type="dxa"/>
            <w:hideMark/>
          </w:tcPr>
          <w:p w:rsidR="00E67099" w:rsidRPr="00E67099" w:rsidRDefault="00E67099" w:rsidP="00E67099">
            <w:pPr>
              <w:jc w:val="both"/>
              <w:rPr>
                <w:rFonts w:asciiTheme="majorHAnsi" w:eastAsia="Times New Roman" w:hAnsiTheme="majorHAnsi" w:cstheme="majorHAnsi"/>
                <w:i/>
                <w:iCs/>
                <w:sz w:val="20"/>
                <w:szCs w:val="20"/>
                <w:lang w:eastAsia="ru-RU"/>
              </w:rPr>
            </w:pPr>
            <w:r w:rsidRPr="00E67099">
              <w:rPr>
                <w:rFonts w:asciiTheme="majorHAnsi" w:eastAsia="Times New Roman" w:hAnsiTheme="majorHAnsi" w:cstheme="majorHAnsi"/>
                <w:i/>
                <w:iCs/>
                <w:sz w:val="20"/>
                <w:szCs w:val="20"/>
                <w:lang w:eastAsia="ru-RU"/>
              </w:rPr>
              <w:t>BASS</w:t>
            </w:r>
          </w:p>
        </w:tc>
        <w:tc>
          <w:tcPr>
            <w:tcW w:w="992" w:type="dxa"/>
            <w:vAlign w:val="center"/>
          </w:tcPr>
          <w:p w:rsidR="00E67099" w:rsidRPr="00E67099" w:rsidRDefault="00E67099" w:rsidP="00E67099">
            <w:pPr>
              <w:ind w:left="-14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21.886,9</w:t>
            </w:r>
          </w:p>
        </w:tc>
        <w:tc>
          <w:tcPr>
            <w:tcW w:w="993" w:type="dxa"/>
            <w:vAlign w:val="center"/>
          </w:tcPr>
          <w:p w:rsidR="00E67099" w:rsidRPr="00E67099" w:rsidRDefault="00E67099" w:rsidP="00E67099">
            <w:pPr>
              <w:ind w:left="-10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21.602,3</w:t>
            </w:r>
          </w:p>
        </w:tc>
        <w:tc>
          <w:tcPr>
            <w:tcW w:w="1131"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-284,6</w:t>
            </w:r>
          </w:p>
        </w:tc>
        <w:tc>
          <w:tcPr>
            <w:tcW w:w="989"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98,7%</w:t>
            </w:r>
          </w:p>
        </w:tc>
        <w:tc>
          <w:tcPr>
            <w:tcW w:w="998" w:type="dxa"/>
            <w:gridSpan w:val="2"/>
            <w:vAlign w:val="center"/>
          </w:tcPr>
          <w:p w:rsidR="00E67099" w:rsidRPr="00E67099" w:rsidRDefault="00E67099" w:rsidP="00E67099">
            <w:pPr>
              <w:ind w:left="-10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19.426,5</w:t>
            </w:r>
          </w:p>
        </w:tc>
        <w:tc>
          <w:tcPr>
            <w:tcW w:w="1089"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2.175,8</w:t>
            </w:r>
          </w:p>
        </w:tc>
        <w:tc>
          <w:tcPr>
            <w:tcW w:w="997"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111,2%</w:t>
            </w:r>
          </w:p>
        </w:tc>
        <w:tc>
          <w:tcPr>
            <w:tcW w:w="1599"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10,1</w:t>
            </w:r>
          </w:p>
        </w:tc>
        <w:tc>
          <w:tcPr>
            <w:tcW w:w="1418"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10,3</w:t>
            </w:r>
          </w:p>
        </w:tc>
      </w:tr>
      <w:tr w:rsidR="00E67099" w:rsidRPr="00E67099" w:rsidTr="00F44FCD">
        <w:trPr>
          <w:gridAfter w:val="1"/>
          <w:wAfter w:w="109" w:type="dxa"/>
          <w:trHeight w:val="256"/>
          <w:jc w:val="center"/>
        </w:trPr>
        <w:tc>
          <w:tcPr>
            <w:cnfStyle w:val="001000000000" w:firstRow="0" w:lastRow="0" w:firstColumn="1" w:lastColumn="0" w:oddVBand="0" w:evenVBand="0" w:oddHBand="0" w:evenHBand="0" w:firstRowFirstColumn="0" w:firstRowLastColumn="0" w:lastRowFirstColumn="0" w:lastRowLastColumn="0"/>
            <w:tcW w:w="2122" w:type="dxa"/>
            <w:hideMark/>
          </w:tcPr>
          <w:p w:rsidR="00E67099" w:rsidRPr="00E67099" w:rsidRDefault="00E67099" w:rsidP="00E67099">
            <w:pPr>
              <w:jc w:val="both"/>
              <w:rPr>
                <w:rFonts w:asciiTheme="majorHAnsi" w:eastAsia="Times New Roman" w:hAnsiTheme="majorHAnsi" w:cstheme="majorHAnsi"/>
                <w:i/>
                <w:iCs/>
                <w:sz w:val="20"/>
                <w:szCs w:val="20"/>
                <w:lang w:eastAsia="ru-RU"/>
              </w:rPr>
            </w:pPr>
            <w:r w:rsidRPr="00E67099">
              <w:rPr>
                <w:rFonts w:asciiTheme="majorHAnsi" w:eastAsia="Times New Roman" w:hAnsiTheme="majorHAnsi" w:cstheme="majorHAnsi"/>
                <w:i/>
                <w:iCs/>
                <w:sz w:val="20"/>
                <w:szCs w:val="20"/>
                <w:lang w:eastAsia="ru-RU"/>
              </w:rPr>
              <w:t>FAOAM</w:t>
            </w:r>
          </w:p>
        </w:tc>
        <w:tc>
          <w:tcPr>
            <w:tcW w:w="992" w:type="dxa"/>
            <w:vAlign w:val="center"/>
          </w:tcPr>
          <w:p w:rsidR="00E67099" w:rsidRPr="00E67099" w:rsidRDefault="00E67099" w:rsidP="00E67099">
            <w:pPr>
              <w:ind w:left="-14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7.709,8</w:t>
            </w:r>
          </w:p>
        </w:tc>
        <w:tc>
          <w:tcPr>
            <w:tcW w:w="993" w:type="dxa"/>
            <w:vAlign w:val="center"/>
          </w:tcPr>
          <w:p w:rsidR="00E67099" w:rsidRPr="00E67099" w:rsidRDefault="00E67099" w:rsidP="00E67099">
            <w:pPr>
              <w:ind w:left="-10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7.489,6</w:t>
            </w:r>
          </w:p>
        </w:tc>
        <w:tc>
          <w:tcPr>
            <w:tcW w:w="1131"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-220,2</w:t>
            </w:r>
          </w:p>
        </w:tc>
        <w:tc>
          <w:tcPr>
            <w:tcW w:w="989"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97,1%</w:t>
            </w:r>
          </w:p>
        </w:tc>
        <w:tc>
          <w:tcPr>
            <w:tcW w:w="998" w:type="dxa"/>
            <w:gridSpan w:val="2"/>
            <w:vAlign w:val="center"/>
          </w:tcPr>
          <w:p w:rsidR="00E67099" w:rsidRPr="00E67099" w:rsidRDefault="00E67099" w:rsidP="00E67099">
            <w:pPr>
              <w:ind w:left="-10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6.714,1</w:t>
            </w:r>
          </w:p>
        </w:tc>
        <w:tc>
          <w:tcPr>
            <w:tcW w:w="1089"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775,5</w:t>
            </w:r>
          </w:p>
        </w:tc>
        <w:tc>
          <w:tcPr>
            <w:tcW w:w="997"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111,6%</w:t>
            </w:r>
          </w:p>
        </w:tc>
        <w:tc>
          <w:tcPr>
            <w:tcW w:w="1599"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3,5</w:t>
            </w:r>
          </w:p>
        </w:tc>
        <w:tc>
          <w:tcPr>
            <w:tcW w:w="1418"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3,6</w:t>
            </w:r>
          </w:p>
        </w:tc>
      </w:tr>
      <w:tr w:rsidR="00E67099" w:rsidRPr="00E67099" w:rsidTr="00F44FCD">
        <w:trPr>
          <w:gridAfter w:val="1"/>
          <w:wAfter w:w="109" w:type="dxa"/>
          <w:trHeight w:val="256"/>
          <w:jc w:val="center"/>
        </w:trPr>
        <w:tc>
          <w:tcPr>
            <w:cnfStyle w:val="001000000000" w:firstRow="0" w:lastRow="0" w:firstColumn="1" w:lastColumn="0" w:oddVBand="0" w:evenVBand="0" w:oddHBand="0" w:evenHBand="0" w:firstRowFirstColumn="0" w:firstRowLastColumn="0" w:lastRowFirstColumn="0" w:lastRowLastColumn="0"/>
            <w:tcW w:w="2122" w:type="dxa"/>
            <w:hideMark/>
          </w:tcPr>
          <w:p w:rsidR="00E67099" w:rsidRPr="00E67099" w:rsidRDefault="00E67099" w:rsidP="00E67099">
            <w:pPr>
              <w:jc w:val="both"/>
              <w:rPr>
                <w:rFonts w:asciiTheme="majorHAnsi" w:eastAsia="Times New Roman" w:hAnsiTheme="majorHAnsi" w:cstheme="majorHAnsi"/>
                <w:i/>
                <w:iCs/>
                <w:sz w:val="20"/>
                <w:szCs w:val="20"/>
                <w:lang w:eastAsia="ru-RU"/>
              </w:rPr>
            </w:pPr>
            <w:r w:rsidRPr="00E67099">
              <w:rPr>
                <w:rFonts w:asciiTheme="majorHAnsi" w:eastAsia="Times New Roman" w:hAnsiTheme="majorHAnsi" w:cstheme="majorHAnsi"/>
                <w:i/>
                <w:iCs/>
                <w:sz w:val="20"/>
                <w:szCs w:val="20"/>
                <w:lang w:eastAsia="ru-RU"/>
              </w:rPr>
              <w:t>BUAT</w:t>
            </w:r>
          </w:p>
        </w:tc>
        <w:tc>
          <w:tcPr>
            <w:tcW w:w="992" w:type="dxa"/>
            <w:vAlign w:val="center"/>
          </w:tcPr>
          <w:p w:rsidR="00E67099" w:rsidRPr="00E67099" w:rsidRDefault="00E67099" w:rsidP="00E67099">
            <w:pPr>
              <w:ind w:left="-14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18.458,9</w:t>
            </w:r>
          </w:p>
        </w:tc>
        <w:tc>
          <w:tcPr>
            <w:tcW w:w="993" w:type="dxa"/>
            <w:vAlign w:val="center"/>
          </w:tcPr>
          <w:p w:rsidR="00E67099" w:rsidRPr="00E67099" w:rsidRDefault="00E67099" w:rsidP="00E67099">
            <w:pPr>
              <w:ind w:left="-10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16.937,5</w:t>
            </w:r>
          </w:p>
        </w:tc>
        <w:tc>
          <w:tcPr>
            <w:tcW w:w="1131"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-1.521,4</w:t>
            </w:r>
          </w:p>
        </w:tc>
        <w:tc>
          <w:tcPr>
            <w:tcW w:w="989"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91,8%</w:t>
            </w:r>
          </w:p>
        </w:tc>
        <w:tc>
          <w:tcPr>
            <w:tcW w:w="998" w:type="dxa"/>
            <w:gridSpan w:val="2"/>
            <w:vAlign w:val="center"/>
          </w:tcPr>
          <w:p w:rsidR="00E67099" w:rsidRPr="00E67099" w:rsidRDefault="00E67099" w:rsidP="00E67099">
            <w:pPr>
              <w:ind w:left="-10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14.548,1</w:t>
            </w:r>
          </w:p>
        </w:tc>
        <w:tc>
          <w:tcPr>
            <w:tcW w:w="1089"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2.389,4</w:t>
            </w:r>
          </w:p>
        </w:tc>
        <w:tc>
          <w:tcPr>
            <w:tcW w:w="997"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116,4%</w:t>
            </w:r>
          </w:p>
        </w:tc>
        <w:tc>
          <w:tcPr>
            <w:tcW w:w="1599"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7,6</w:t>
            </w:r>
          </w:p>
        </w:tc>
        <w:tc>
          <w:tcPr>
            <w:tcW w:w="1418"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8,1</w:t>
            </w:r>
          </w:p>
        </w:tc>
      </w:tr>
      <w:tr w:rsidR="00E67099" w:rsidRPr="00E67099" w:rsidTr="00F44FCD">
        <w:trPr>
          <w:trHeight w:val="256"/>
          <w:jc w:val="center"/>
        </w:trPr>
        <w:tc>
          <w:tcPr>
            <w:cnfStyle w:val="001000000000" w:firstRow="0" w:lastRow="0" w:firstColumn="1" w:lastColumn="0" w:oddVBand="0" w:evenVBand="0" w:oddHBand="0" w:evenHBand="0" w:firstRowFirstColumn="0" w:firstRowLastColumn="0" w:lastRowFirstColumn="0" w:lastRowLastColumn="0"/>
            <w:tcW w:w="12437" w:type="dxa"/>
            <w:gridSpan w:val="12"/>
          </w:tcPr>
          <w:p w:rsidR="00E67099" w:rsidRPr="00E67099" w:rsidRDefault="00E67099" w:rsidP="00E67099">
            <w:pPr>
              <w:jc w:val="center"/>
              <w:rPr>
                <w:rFonts w:asciiTheme="majorHAnsi" w:eastAsia="Times New Roman" w:hAnsiTheme="majorHAnsi" w:cstheme="majorHAnsi"/>
                <w:sz w:val="24"/>
                <w:szCs w:val="24"/>
                <w:lang w:eastAsia="ru-RU"/>
              </w:rPr>
            </w:pPr>
            <w:r w:rsidRPr="00E67099">
              <w:rPr>
                <w:rFonts w:asciiTheme="majorHAnsi" w:eastAsia="Times New Roman" w:hAnsiTheme="majorHAnsi" w:cstheme="majorHAnsi"/>
                <w:sz w:val="24"/>
                <w:szCs w:val="24"/>
                <w:lang w:eastAsia="ru-RU"/>
              </w:rPr>
              <w:t>Deficit (-) / Excedent (+)</w:t>
            </w:r>
          </w:p>
        </w:tc>
      </w:tr>
      <w:tr w:rsidR="00E67099" w:rsidRPr="00E67099" w:rsidTr="00F44FCD">
        <w:trPr>
          <w:gridAfter w:val="1"/>
          <w:wAfter w:w="109" w:type="dxa"/>
          <w:trHeight w:val="490"/>
          <w:jc w:val="center"/>
        </w:trPr>
        <w:tc>
          <w:tcPr>
            <w:cnfStyle w:val="001000000000" w:firstRow="0" w:lastRow="0" w:firstColumn="1" w:lastColumn="0" w:oddVBand="0" w:evenVBand="0" w:oddHBand="0" w:evenHBand="0" w:firstRowFirstColumn="0" w:firstRowLastColumn="0" w:lastRowFirstColumn="0" w:lastRowLastColumn="0"/>
            <w:tcW w:w="2122" w:type="dxa"/>
            <w:hideMark/>
          </w:tcPr>
          <w:p w:rsidR="00E67099" w:rsidRPr="00E67099" w:rsidRDefault="00E67099" w:rsidP="00E67099">
            <w:pPr>
              <w:jc w:val="both"/>
              <w:rPr>
                <w:rFonts w:asciiTheme="majorHAnsi" w:eastAsia="Times New Roman" w:hAnsiTheme="majorHAnsi" w:cstheme="majorHAnsi"/>
                <w:sz w:val="20"/>
                <w:szCs w:val="20"/>
                <w:lang w:eastAsia="ru-RU"/>
              </w:rPr>
            </w:pPr>
            <w:r w:rsidRPr="00E67099">
              <w:rPr>
                <w:rFonts w:asciiTheme="majorHAnsi" w:eastAsia="Times New Roman" w:hAnsiTheme="majorHAnsi" w:cstheme="majorHAnsi"/>
                <w:sz w:val="20"/>
                <w:szCs w:val="20"/>
                <w:lang w:eastAsia="ru-RU"/>
              </w:rPr>
              <w:t xml:space="preserve">BPN, </w:t>
            </w:r>
            <w:r w:rsidRPr="00E67099">
              <w:rPr>
                <w:rFonts w:asciiTheme="majorHAnsi" w:eastAsia="Times New Roman" w:hAnsiTheme="majorHAnsi" w:cstheme="majorHAnsi"/>
                <w:i/>
                <w:iCs/>
                <w:sz w:val="20"/>
                <w:szCs w:val="20"/>
                <w:lang w:eastAsia="ru-RU"/>
              </w:rPr>
              <w:t>inclusiv:</w:t>
            </w:r>
          </w:p>
        </w:tc>
        <w:tc>
          <w:tcPr>
            <w:tcW w:w="992" w:type="dxa"/>
            <w:vAlign w:val="center"/>
          </w:tcPr>
          <w:p w:rsidR="00E67099" w:rsidRPr="00E67099" w:rsidRDefault="00E67099" w:rsidP="00E67099">
            <w:pPr>
              <w:ind w:left="-14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eastAsia="ru-RU"/>
              </w:rPr>
            </w:pPr>
            <w:r w:rsidRPr="00E67099">
              <w:rPr>
                <w:rFonts w:asciiTheme="majorHAnsi" w:eastAsia="Times New Roman" w:hAnsiTheme="majorHAnsi" w:cstheme="majorHAnsi"/>
                <w:b/>
                <w:bCs/>
                <w:sz w:val="20"/>
                <w:szCs w:val="20"/>
                <w:lang w:eastAsia="ru-RU"/>
              </w:rPr>
              <w:t>(-7.117,1)</w:t>
            </w:r>
          </w:p>
        </w:tc>
        <w:tc>
          <w:tcPr>
            <w:tcW w:w="993" w:type="dxa"/>
            <w:vAlign w:val="center"/>
          </w:tcPr>
          <w:p w:rsidR="00E67099" w:rsidRPr="00E67099" w:rsidRDefault="00E67099" w:rsidP="00E67099">
            <w:pPr>
              <w:ind w:left="-10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eastAsia="ru-RU"/>
              </w:rPr>
            </w:pPr>
            <w:r w:rsidRPr="00E67099">
              <w:rPr>
                <w:rFonts w:asciiTheme="majorHAnsi" w:eastAsia="Times New Roman" w:hAnsiTheme="majorHAnsi" w:cstheme="majorHAnsi"/>
                <w:b/>
                <w:bCs/>
                <w:sz w:val="20"/>
                <w:szCs w:val="20"/>
                <w:lang w:eastAsia="ru-RU"/>
              </w:rPr>
              <w:t>(-3.026,4)</w:t>
            </w:r>
          </w:p>
        </w:tc>
        <w:tc>
          <w:tcPr>
            <w:tcW w:w="1131"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eastAsia="ru-RU"/>
              </w:rPr>
            </w:pPr>
            <w:r w:rsidRPr="00E67099">
              <w:rPr>
                <w:rFonts w:asciiTheme="majorHAnsi" w:eastAsia="Times New Roman" w:hAnsiTheme="majorHAnsi" w:cstheme="majorHAnsi"/>
                <w:b/>
                <w:bCs/>
                <w:sz w:val="20"/>
                <w:szCs w:val="20"/>
                <w:lang w:eastAsia="ru-RU"/>
              </w:rPr>
              <w:t>(-4.090,7)</w:t>
            </w:r>
          </w:p>
        </w:tc>
        <w:tc>
          <w:tcPr>
            <w:tcW w:w="989"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eastAsia="ru-RU"/>
              </w:rPr>
            </w:pPr>
            <w:r w:rsidRPr="00E67099">
              <w:rPr>
                <w:rFonts w:asciiTheme="majorHAnsi" w:eastAsia="Times New Roman" w:hAnsiTheme="majorHAnsi" w:cstheme="majorHAnsi"/>
                <w:b/>
                <w:bCs/>
                <w:sz w:val="20"/>
                <w:szCs w:val="20"/>
                <w:lang w:eastAsia="ru-RU"/>
              </w:rPr>
              <w:t>42,5%</w:t>
            </w:r>
          </w:p>
        </w:tc>
        <w:tc>
          <w:tcPr>
            <w:tcW w:w="998" w:type="dxa"/>
            <w:gridSpan w:val="2"/>
            <w:shd w:val="clear" w:color="auto" w:fill="auto"/>
            <w:vAlign w:val="center"/>
          </w:tcPr>
          <w:p w:rsidR="00E67099" w:rsidRPr="00E67099" w:rsidRDefault="00E67099" w:rsidP="00E67099">
            <w:pPr>
              <w:ind w:left="-10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lang w:eastAsia="ru-RU"/>
              </w:rPr>
            </w:pPr>
            <w:r w:rsidRPr="00E67099">
              <w:rPr>
                <w:rFonts w:asciiTheme="majorHAnsi" w:eastAsia="Times New Roman" w:hAnsiTheme="majorHAnsi" w:cstheme="majorHAnsi"/>
                <w:b/>
                <w:bCs/>
                <w:color w:val="000000"/>
                <w:lang w:eastAsia="ru-RU"/>
              </w:rPr>
              <w:t>(-1.613,0)</w:t>
            </w:r>
          </w:p>
        </w:tc>
        <w:tc>
          <w:tcPr>
            <w:tcW w:w="1089"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eastAsia="ru-RU"/>
              </w:rPr>
            </w:pPr>
            <w:r w:rsidRPr="00E67099">
              <w:rPr>
                <w:rFonts w:asciiTheme="majorHAnsi" w:eastAsia="Times New Roman" w:hAnsiTheme="majorHAnsi" w:cstheme="majorHAnsi"/>
                <w:b/>
                <w:bCs/>
                <w:sz w:val="20"/>
                <w:szCs w:val="20"/>
                <w:lang w:eastAsia="ru-RU"/>
              </w:rPr>
              <w:t>-1.413,4</w:t>
            </w:r>
          </w:p>
        </w:tc>
        <w:tc>
          <w:tcPr>
            <w:tcW w:w="997"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eastAsia="ru-RU"/>
              </w:rPr>
            </w:pPr>
            <w:r w:rsidRPr="00E67099">
              <w:rPr>
                <w:rFonts w:asciiTheme="majorHAnsi" w:eastAsia="Times New Roman" w:hAnsiTheme="majorHAnsi" w:cstheme="majorHAnsi"/>
                <w:b/>
                <w:bCs/>
                <w:sz w:val="20"/>
                <w:szCs w:val="20"/>
                <w:lang w:eastAsia="ru-RU"/>
              </w:rPr>
              <w:t>187,6%</w:t>
            </w:r>
          </w:p>
        </w:tc>
        <w:tc>
          <w:tcPr>
            <w:tcW w:w="1599"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eastAsia="ru-RU"/>
              </w:rPr>
            </w:pPr>
            <w:r w:rsidRPr="00E67099">
              <w:rPr>
                <w:rFonts w:asciiTheme="majorHAnsi" w:eastAsia="Times New Roman" w:hAnsiTheme="majorHAnsi" w:cstheme="majorHAnsi"/>
                <w:b/>
                <w:bCs/>
                <w:sz w:val="20"/>
                <w:szCs w:val="20"/>
                <w:lang w:eastAsia="ru-RU"/>
              </w:rPr>
              <w:t>-0,8</w:t>
            </w:r>
          </w:p>
        </w:tc>
        <w:tc>
          <w:tcPr>
            <w:tcW w:w="1418"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eastAsia="ru-RU"/>
              </w:rPr>
            </w:pPr>
            <w:r w:rsidRPr="00E67099">
              <w:rPr>
                <w:rFonts w:asciiTheme="majorHAnsi" w:eastAsia="Times New Roman" w:hAnsiTheme="majorHAnsi" w:cstheme="majorHAnsi"/>
                <w:b/>
                <w:bCs/>
                <w:sz w:val="20"/>
                <w:szCs w:val="20"/>
                <w:lang w:eastAsia="ru-RU"/>
              </w:rPr>
              <w:t>-1,4</w:t>
            </w:r>
          </w:p>
        </w:tc>
      </w:tr>
      <w:tr w:rsidR="00E67099" w:rsidRPr="00E67099" w:rsidTr="00F44FCD">
        <w:trPr>
          <w:gridAfter w:val="1"/>
          <w:wAfter w:w="109" w:type="dxa"/>
          <w:trHeight w:val="256"/>
          <w:jc w:val="center"/>
        </w:trPr>
        <w:tc>
          <w:tcPr>
            <w:cnfStyle w:val="001000000000" w:firstRow="0" w:lastRow="0" w:firstColumn="1" w:lastColumn="0" w:oddVBand="0" w:evenVBand="0" w:oddHBand="0" w:evenHBand="0" w:firstRowFirstColumn="0" w:firstRowLastColumn="0" w:lastRowFirstColumn="0" w:lastRowLastColumn="0"/>
            <w:tcW w:w="2122" w:type="dxa"/>
            <w:hideMark/>
          </w:tcPr>
          <w:p w:rsidR="00E67099" w:rsidRPr="00E67099" w:rsidRDefault="00E67099" w:rsidP="00E67099">
            <w:pPr>
              <w:jc w:val="both"/>
              <w:rPr>
                <w:rFonts w:asciiTheme="majorHAnsi" w:eastAsia="Times New Roman" w:hAnsiTheme="majorHAnsi" w:cstheme="majorHAnsi"/>
                <w:i/>
                <w:iCs/>
                <w:sz w:val="20"/>
                <w:szCs w:val="20"/>
                <w:lang w:eastAsia="ru-RU"/>
              </w:rPr>
            </w:pPr>
            <w:r w:rsidRPr="00E67099">
              <w:rPr>
                <w:rFonts w:asciiTheme="majorHAnsi" w:eastAsia="Times New Roman" w:hAnsiTheme="majorHAnsi" w:cstheme="majorHAnsi"/>
                <w:i/>
                <w:iCs/>
                <w:sz w:val="20"/>
                <w:szCs w:val="20"/>
                <w:lang w:eastAsia="ru-RU"/>
              </w:rPr>
              <w:t>BS</w:t>
            </w:r>
          </w:p>
        </w:tc>
        <w:tc>
          <w:tcPr>
            <w:tcW w:w="992" w:type="dxa"/>
            <w:vAlign w:val="center"/>
          </w:tcPr>
          <w:p w:rsidR="00E67099" w:rsidRPr="00E67099" w:rsidRDefault="00E67099" w:rsidP="00E67099">
            <w:pPr>
              <w:ind w:left="-14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(-5.703,3)</w:t>
            </w:r>
          </w:p>
        </w:tc>
        <w:tc>
          <w:tcPr>
            <w:tcW w:w="993" w:type="dxa"/>
            <w:vAlign w:val="center"/>
          </w:tcPr>
          <w:p w:rsidR="00E67099" w:rsidRPr="00E67099" w:rsidRDefault="00E67099" w:rsidP="00E67099">
            <w:pPr>
              <w:ind w:left="-10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(-3.106,0)</w:t>
            </w:r>
          </w:p>
        </w:tc>
        <w:tc>
          <w:tcPr>
            <w:tcW w:w="1131"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(-2.597,3)</w:t>
            </w:r>
          </w:p>
        </w:tc>
        <w:tc>
          <w:tcPr>
            <w:tcW w:w="989"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54,5%</w:t>
            </w:r>
          </w:p>
        </w:tc>
        <w:tc>
          <w:tcPr>
            <w:tcW w:w="998" w:type="dxa"/>
            <w:gridSpan w:val="2"/>
            <w:shd w:val="clear" w:color="auto" w:fill="auto"/>
            <w:vAlign w:val="center"/>
          </w:tcPr>
          <w:p w:rsidR="00E67099" w:rsidRPr="00E67099" w:rsidRDefault="00E67099" w:rsidP="00E67099">
            <w:pPr>
              <w:ind w:left="-10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eastAsia="ru-RU"/>
              </w:rPr>
            </w:pPr>
            <w:r w:rsidRPr="00E67099">
              <w:rPr>
                <w:rFonts w:asciiTheme="majorHAnsi" w:eastAsia="Times New Roman" w:hAnsiTheme="majorHAnsi" w:cstheme="majorHAnsi"/>
                <w:iCs/>
                <w:color w:val="000000"/>
                <w:lang w:eastAsia="ru-RU"/>
              </w:rPr>
              <w:t>(-2.275,6)</w:t>
            </w:r>
          </w:p>
        </w:tc>
        <w:tc>
          <w:tcPr>
            <w:tcW w:w="1089"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-830,4</w:t>
            </w:r>
          </w:p>
        </w:tc>
        <w:tc>
          <w:tcPr>
            <w:tcW w:w="997"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136,5%</w:t>
            </w:r>
          </w:p>
        </w:tc>
        <w:tc>
          <w:tcPr>
            <w:tcW w:w="1599"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-1,2</w:t>
            </w:r>
          </w:p>
        </w:tc>
        <w:tc>
          <w:tcPr>
            <w:tcW w:w="1418"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-1,5</w:t>
            </w:r>
          </w:p>
        </w:tc>
      </w:tr>
      <w:tr w:rsidR="00E67099" w:rsidRPr="00E67099" w:rsidTr="00F44FCD">
        <w:trPr>
          <w:gridAfter w:val="1"/>
          <w:wAfter w:w="109" w:type="dxa"/>
          <w:trHeight w:val="256"/>
          <w:jc w:val="center"/>
        </w:trPr>
        <w:tc>
          <w:tcPr>
            <w:cnfStyle w:val="001000000000" w:firstRow="0" w:lastRow="0" w:firstColumn="1" w:lastColumn="0" w:oddVBand="0" w:evenVBand="0" w:oddHBand="0" w:evenHBand="0" w:firstRowFirstColumn="0" w:firstRowLastColumn="0" w:lastRowFirstColumn="0" w:lastRowLastColumn="0"/>
            <w:tcW w:w="2122" w:type="dxa"/>
            <w:hideMark/>
          </w:tcPr>
          <w:p w:rsidR="00E67099" w:rsidRPr="00E67099" w:rsidRDefault="00E67099" w:rsidP="00E67099">
            <w:pPr>
              <w:jc w:val="both"/>
              <w:rPr>
                <w:rFonts w:asciiTheme="majorHAnsi" w:eastAsia="Times New Roman" w:hAnsiTheme="majorHAnsi" w:cstheme="majorHAnsi"/>
                <w:i/>
                <w:iCs/>
                <w:sz w:val="20"/>
                <w:szCs w:val="20"/>
                <w:lang w:eastAsia="ru-RU"/>
              </w:rPr>
            </w:pPr>
            <w:r w:rsidRPr="00E67099">
              <w:rPr>
                <w:rFonts w:asciiTheme="majorHAnsi" w:eastAsia="Times New Roman" w:hAnsiTheme="majorHAnsi" w:cstheme="majorHAnsi"/>
                <w:i/>
                <w:iCs/>
                <w:sz w:val="20"/>
                <w:szCs w:val="20"/>
                <w:lang w:eastAsia="ru-RU"/>
              </w:rPr>
              <w:t>BASS</w:t>
            </w:r>
          </w:p>
        </w:tc>
        <w:tc>
          <w:tcPr>
            <w:tcW w:w="992" w:type="dxa"/>
            <w:vAlign w:val="center"/>
          </w:tcPr>
          <w:p w:rsidR="00E67099" w:rsidRPr="00E67099" w:rsidRDefault="00E67099" w:rsidP="00E67099">
            <w:pPr>
              <w:ind w:left="-14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(-17,0)</w:t>
            </w:r>
          </w:p>
        </w:tc>
        <w:tc>
          <w:tcPr>
            <w:tcW w:w="993" w:type="dxa"/>
            <w:vAlign w:val="center"/>
          </w:tcPr>
          <w:p w:rsidR="00E67099" w:rsidRPr="00E67099" w:rsidRDefault="00E67099" w:rsidP="00E67099">
            <w:pPr>
              <w:ind w:left="-10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+146,0</w:t>
            </w:r>
          </w:p>
        </w:tc>
        <w:tc>
          <w:tcPr>
            <w:tcW w:w="1131"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+163,0</w:t>
            </w:r>
          </w:p>
        </w:tc>
        <w:tc>
          <w:tcPr>
            <w:tcW w:w="989"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p>
        </w:tc>
        <w:tc>
          <w:tcPr>
            <w:tcW w:w="998" w:type="dxa"/>
            <w:gridSpan w:val="2"/>
            <w:shd w:val="clear" w:color="auto" w:fill="auto"/>
            <w:vAlign w:val="center"/>
          </w:tcPr>
          <w:p w:rsidR="00E67099" w:rsidRPr="00E67099" w:rsidRDefault="00E67099" w:rsidP="00E67099">
            <w:pPr>
              <w:ind w:left="-10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eastAsia="ru-RU"/>
              </w:rPr>
            </w:pPr>
            <w:r w:rsidRPr="00E67099">
              <w:rPr>
                <w:rFonts w:asciiTheme="majorHAnsi" w:eastAsia="Times New Roman" w:hAnsiTheme="majorHAnsi" w:cstheme="majorHAnsi"/>
                <w:iCs/>
                <w:color w:val="000000"/>
                <w:lang w:eastAsia="ru-RU"/>
              </w:rPr>
              <w:t>+363,8</w:t>
            </w:r>
          </w:p>
        </w:tc>
        <w:tc>
          <w:tcPr>
            <w:tcW w:w="1089"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-217,8</w:t>
            </w:r>
          </w:p>
        </w:tc>
        <w:tc>
          <w:tcPr>
            <w:tcW w:w="997"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40,1%</w:t>
            </w:r>
          </w:p>
        </w:tc>
        <w:tc>
          <w:tcPr>
            <w:tcW w:w="1599"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0,2</w:t>
            </w:r>
          </w:p>
        </w:tc>
        <w:tc>
          <w:tcPr>
            <w:tcW w:w="1418"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0,1</w:t>
            </w:r>
          </w:p>
        </w:tc>
      </w:tr>
      <w:tr w:rsidR="00E67099" w:rsidRPr="00E67099" w:rsidTr="00F44FCD">
        <w:trPr>
          <w:gridAfter w:val="1"/>
          <w:wAfter w:w="109" w:type="dxa"/>
          <w:trHeight w:val="256"/>
          <w:jc w:val="center"/>
        </w:trPr>
        <w:tc>
          <w:tcPr>
            <w:cnfStyle w:val="001000000000" w:firstRow="0" w:lastRow="0" w:firstColumn="1" w:lastColumn="0" w:oddVBand="0" w:evenVBand="0" w:oddHBand="0" w:evenHBand="0" w:firstRowFirstColumn="0" w:firstRowLastColumn="0" w:lastRowFirstColumn="0" w:lastRowLastColumn="0"/>
            <w:tcW w:w="2122" w:type="dxa"/>
            <w:hideMark/>
          </w:tcPr>
          <w:p w:rsidR="00E67099" w:rsidRPr="00E67099" w:rsidRDefault="00E67099" w:rsidP="00E67099">
            <w:pPr>
              <w:jc w:val="both"/>
              <w:rPr>
                <w:rFonts w:asciiTheme="majorHAnsi" w:eastAsia="Times New Roman" w:hAnsiTheme="majorHAnsi" w:cstheme="majorHAnsi"/>
                <w:i/>
                <w:iCs/>
                <w:sz w:val="20"/>
                <w:szCs w:val="20"/>
                <w:lang w:eastAsia="ru-RU"/>
              </w:rPr>
            </w:pPr>
            <w:r w:rsidRPr="00E67099">
              <w:rPr>
                <w:rFonts w:asciiTheme="majorHAnsi" w:eastAsia="Times New Roman" w:hAnsiTheme="majorHAnsi" w:cstheme="majorHAnsi"/>
                <w:i/>
                <w:iCs/>
                <w:sz w:val="20"/>
                <w:szCs w:val="20"/>
                <w:lang w:eastAsia="ru-RU"/>
              </w:rPr>
              <w:t>FAOAM</w:t>
            </w:r>
          </w:p>
        </w:tc>
        <w:tc>
          <w:tcPr>
            <w:tcW w:w="992" w:type="dxa"/>
            <w:vAlign w:val="center"/>
          </w:tcPr>
          <w:p w:rsidR="00E67099" w:rsidRPr="00E67099" w:rsidRDefault="00E67099" w:rsidP="00E67099">
            <w:pPr>
              <w:ind w:left="-14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0,0</w:t>
            </w:r>
          </w:p>
        </w:tc>
        <w:tc>
          <w:tcPr>
            <w:tcW w:w="993" w:type="dxa"/>
            <w:vAlign w:val="center"/>
          </w:tcPr>
          <w:p w:rsidR="00E67099" w:rsidRPr="00E67099" w:rsidRDefault="00E67099" w:rsidP="00E67099">
            <w:pPr>
              <w:ind w:left="-101"/>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 xml:space="preserve"> +146,7</w:t>
            </w:r>
          </w:p>
        </w:tc>
        <w:tc>
          <w:tcPr>
            <w:tcW w:w="1131"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+146,7</w:t>
            </w:r>
          </w:p>
        </w:tc>
        <w:tc>
          <w:tcPr>
            <w:tcW w:w="989"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w:t>
            </w:r>
          </w:p>
        </w:tc>
        <w:tc>
          <w:tcPr>
            <w:tcW w:w="998" w:type="dxa"/>
            <w:gridSpan w:val="2"/>
            <w:shd w:val="clear" w:color="auto" w:fill="auto"/>
            <w:vAlign w:val="center"/>
          </w:tcPr>
          <w:p w:rsidR="00E67099" w:rsidRPr="00E67099" w:rsidRDefault="00E67099" w:rsidP="00E67099">
            <w:pPr>
              <w:ind w:left="-101"/>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eastAsia="ru-RU"/>
              </w:rPr>
            </w:pPr>
            <w:r w:rsidRPr="00E67099">
              <w:rPr>
                <w:rFonts w:asciiTheme="majorHAnsi" w:eastAsia="Times New Roman" w:hAnsiTheme="majorHAnsi" w:cstheme="majorHAnsi"/>
                <w:iCs/>
                <w:color w:val="000000"/>
                <w:lang w:eastAsia="ru-RU"/>
              </w:rPr>
              <w:t xml:space="preserve">  +163,3</w:t>
            </w:r>
          </w:p>
        </w:tc>
        <w:tc>
          <w:tcPr>
            <w:tcW w:w="1089"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-16,6</w:t>
            </w:r>
          </w:p>
        </w:tc>
        <w:tc>
          <w:tcPr>
            <w:tcW w:w="997"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89,8%</w:t>
            </w:r>
          </w:p>
        </w:tc>
        <w:tc>
          <w:tcPr>
            <w:tcW w:w="1599"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0,1</w:t>
            </w:r>
          </w:p>
        </w:tc>
        <w:tc>
          <w:tcPr>
            <w:tcW w:w="1418"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0,1</w:t>
            </w:r>
          </w:p>
        </w:tc>
      </w:tr>
      <w:tr w:rsidR="00E67099" w:rsidRPr="00E67099" w:rsidTr="00F44FCD">
        <w:trPr>
          <w:gridAfter w:val="1"/>
          <w:wAfter w:w="109" w:type="dxa"/>
          <w:trHeight w:val="256"/>
          <w:jc w:val="center"/>
        </w:trPr>
        <w:tc>
          <w:tcPr>
            <w:cnfStyle w:val="001000000000" w:firstRow="0" w:lastRow="0" w:firstColumn="1" w:lastColumn="0" w:oddVBand="0" w:evenVBand="0" w:oddHBand="0" w:evenHBand="0" w:firstRowFirstColumn="0" w:firstRowLastColumn="0" w:lastRowFirstColumn="0" w:lastRowLastColumn="0"/>
            <w:tcW w:w="2122" w:type="dxa"/>
            <w:noWrap/>
            <w:hideMark/>
          </w:tcPr>
          <w:p w:rsidR="00E67099" w:rsidRPr="00E67099" w:rsidRDefault="00E67099" w:rsidP="00E67099">
            <w:pPr>
              <w:rPr>
                <w:rFonts w:asciiTheme="majorHAnsi" w:eastAsia="Times New Roman" w:hAnsiTheme="majorHAnsi" w:cstheme="majorHAnsi"/>
                <w:i/>
                <w:iCs/>
                <w:sz w:val="20"/>
                <w:szCs w:val="20"/>
                <w:lang w:eastAsia="ru-RU"/>
              </w:rPr>
            </w:pPr>
            <w:r w:rsidRPr="00E67099">
              <w:rPr>
                <w:rFonts w:asciiTheme="majorHAnsi" w:eastAsia="Times New Roman" w:hAnsiTheme="majorHAnsi" w:cstheme="majorHAnsi"/>
                <w:i/>
                <w:iCs/>
                <w:sz w:val="20"/>
                <w:szCs w:val="20"/>
                <w:lang w:eastAsia="ru-RU"/>
              </w:rPr>
              <w:t>BUAT</w:t>
            </w:r>
          </w:p>
        </w:tc>
        <w:tc>
          <w:tcPr>
            <w:tcW w:w="992" w:type="dxa"/>
            <w:vAlign w:val="center"/>
          </w:tcPr>
          <w:p w:rsidR="00E67099" w:rsidRPr="00E67099" w:rsidRDefault="00E67099" w:rsidP="00E67099">
            <w:pPr>
              <w:ind w:left="-14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(-1.396,8)</w:t>
            </w:r>
          </w:p>
        </w:tc>
        <w:tc>
          <w:tcPr>
            <w:tcW w:w="993" w:type="dxa"/>
            <w:vAlign w:val="center"/>
          </w:tcPr>
          <w:p w:rsidR="00E67099" w:rsidRPr="00E67099" w:rsidRDefault="00E67099" w:rsidP="00E67099">
            <w:pPr>
              <w:ind w:left="-10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(-213,1)</w:t>
            </w:r>
          </w:p>
        </w:tc>
        <w:tc>
          <w:tcPr>
            <w:tcW w:w="1131"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(-1.183,7)</w:t>
            </w:r>
          </w:p>
        </w:tc>
        <w:tc>
          <w:tcPr>
            <w:tcW w:w="989"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15,3%</w:t>
            </w:r>
          </w:p>
        </w:tc>
        <w:tc>
          <w:tcPr>
            <w:tcW w:w="998" w:type="dxa"/>
            <w:gridSpan w:val="2"/>
            <w:shd w:val="clear" w:color="auto" w:fill="auto"/>
            <w:vAlign w:val="center"/>
          </w:tcPr>
          <w:p w:rsidR="00E67099" w:rsidRPr="00E67099" w:rsidRDefault="00E67099" w:rsidP="00E67099">
            <w:pPr>
              <w:ind w:left="-10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eastAsia="ru-RU"/>
              </w:rPr>
            </w:pPr>
            <w:r w:rsidRPr="00E67099">
              <w:rPr>
                <w:rFonts w:asciiTheme="majorHAnsi" w:eastAsia="Times New Roman" w:hAnsiTheme="majorHAnsi" w:cstheme="majorHAnsi"/>
                <w:iCs/>
                <w:color w:val="000000"/>
                <w:lang w:eastAsia="ru-RU"/>
              </w:rPr>
              <w:t>+135,5</w:t>
            </w:r>
          </w:p>
        </w:tc>
        <w:tc>
          <w:tcPr>
            <w:tcW w:w="1089"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-348,6</w:t>
            </w:r>
          </w:p>
        </w:tc>
        <w:tc>
          <w:tcPr>
            <w:tcW w:w="997"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157,3%</w:t>
            </w:r>
          </w:p>
        </w:tc>
        <w:tc>
          <w:tcPr>
            <w:tcW w:w="1599"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0,1</w:t>
            </w:r>
          </w:p>
        </w:tc>
        <w:tc>
          <w:tcPr>
            <w:tcW w:w="1418" w:type="dxa"/>
            <w:vAlign w:val="center"/>
          </w:tcPr>
          <w:p w:rsidR="00E67099" w:rsidRPr="00E67099" w:rsidRDefault="00E67099" w:rsidP="00E6709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eastAsia="ru-RU"/>
              </w:rPr>
            </w:pPr>
            <w:r w:rsidRPr="00E67099">
              <w:rPr>
                <w:rFonts w:asciiTheme="majorHAnsi" w:eastAsia="Times New Roman" w:hAnsiTheme="majorHAnsi" w:cstheme="majorHAnsi"/>
                <w:iCs/>
                <w:sz w:val="20"/>
                <w:szCs w:val="20"/>
                <w:lang w:eastAsia="ru-RU"/>
              </w:rPr>
              <w:t>-0,1</w:t>
            </w:r>
          </w:p>
        </w:tc>
      </w:tr>
      <w:tr w:rsidR="00E67099" w:rsidRPr="00E67099" w:rsidTr="00F44FCD">
        <w:trPr>
          <w:trHeight w:val="256"/>
          <w:jc w:val="center"/>
        </w:trPr>
        <w:tc>
          <w:tcPr>
            <w:cnfStyle w:val="001000000000" w:firstRow="0" w:lastRow="0" w:firstColumn="1" w:lastColumn="0" w:oddVBand="0" w:evenVBand="0" w:oddHBand="0" w:evenHBand="0" w:firstRowFirstColumn="0" w:firstRowLastColumn="0" w:lastRowFirstColumn="0" w:lastRowLastColumn="0"/>
            <w:tcW w:w="12437" w:type="dxa"/>
            <w:gridSpan w:val="12"/>
          </w:tcPr>
          <w:p w:rsidR="00E67099" w:rsidRPr="00E67099" w:rsidRDefault="00E67099" w:rsidP="00E67099">
            <w:pPr>
              <w:ind w:left="23"/>
              <w:jc w:val="both"/>
              <w:rPr>
                <w:rFonts w:asciiTheme="majorHAnsi" w:eastAsia="Times New Roman" w:hAnsiTheme="majorHAnsi" w:cstheme="majorHAnsi"/>
                <w:sz w:val="20"/>
                <w:szCs w:val="20"/>
                <w:lang w:eastAsia="ru-RU"/>
              </w:rPr>
            </w:pPr>
            <w:r w:rsidRPr="00E67099">
              <w:rPr>
                <w:rFonts w:asciiTheme="majorHAnsi" w:eastAsia="Times New Roman" w:hAnsiTheme="majorHAnsi" w:cstheme="majorHAnsi"/>
                <w:sz w:val="20"/>
                <w:szCs w:val="20"/>
                <w:lang w:eastAsia="ru-RU"/>
              </w:rPr>
              <w:t>* Produsul intern brut luat în calcul pentru anul 2018, conform datelor BNS, este de  192 509 mil. lei (actualizat).</w:t>
            </w:r>
          </w:p>
          <w:p w:rsidR="00E67099" w:rsidRPr="00E67099" w:rsidRDefault="00E67099" w:rsidP="00E67099">
            <w:pPr>
              <w:jc w:val="both"/>
              <w:rPr>
                <w:rFonts w:asciiTheme="majorHAnsi" w:eastAsia="Times New Roman" w:hAnsiTheme="majorHAnsi" w:cstheme="majorHAnsi"/>
                <w:iCs/>
                <w:lang w:eastAsia="ru-RU"/>
              </w:rPr>
            </w:pPr>
            <w:r w:rsidRPr="00E67099">
              <w:rPr>
                <w:rFonts w:asciiTheme="majorHAnsi" w:eastAsia="Times New Roman" w:hAnsiTheme="majorHAnsi" w:cstheme="majorHAnsi"/>
                <w:sz w:val="20"/>
                <w:szCs w:val="20"/>
                <w:lang w:eastAsia="ru-RU"/>
              </w:rPr>
              <w:t>** Produsul intern brut luat în calcul pentru anul 2019, conform datelor preliminare ale BNS, este de 210 351 mil. lei.</w:t>
            </w:r>
          </w:p>
        </w:tc>
      </w:tr>
    </w:tbl>
    <w:p w:rsidR="00E67099" w:rsidRPr="00E67099" w:rsidRDefault="00E67099" w:rsidP="00345D4B">
      <w:pPr>
        <w:spacing w:after="0"/>
        <w:ind w:firstLine="426"/>
        <w:jc w:val="both"/>
        <w:rPr>
          <w:rFonts w:asciiTheme="majorHAnsi" w:hAnsiTheme="majorHAnsi" w:cstheme="majorHAnsi"/>
          <w:i/>
          <w:sz w:val="20"/>
          <w:szCs w:val="20"/>
        </w:rPr>
      </w:pPr>
      <w:r w:rsidRPr="00E67099">
        <w:rPr>
          <w:rFonts w:asciiTheme="majorHAnsi" w:hAnsiTheme="majorHAnsi" w:cstheme="majorHAnsi"/>
          <w:b/>
          <w:i/>
          <w:sz w:val="20"/>
          <w:szCs w:val="20"/>
        </w:rPr>
        <w:t>Notă:</w:t>
      </w:r>
      <w:r w:rsidRPr="00E67099">
        <w:rPr>
          <w:rFonts w:asciiTheme="majorHAnsi" w:hAnsiTheme="majorHAnsi" w:cstheme="majorHAnsi"/>
          <w:b/>
          <w:sz w:val="20"/>
          <w:szCs w:val="20"/>
        </w:rPr>
        <w:t xml:space="preserve"> </w:t>
      </w:r>
      <w:r w:rsidRPr="00E67099">
        <w:rPr>
          <w:rFonts w:asciiTheme="majorHAnsi" w:hAnsiTheme="majorHAnsi" w:cstheme="majorHAnsi"/>
          <w:i/>
          <w:sz w:val="20"/>
          <w:szCs w:val="20"/>
        </w:rPr>
        <w:t>Datele referitor la venituri și cheltuieli ale componentelor BPN sunt prezentate cu transferurile între bugete.</w:t>
      </w:r>
    </w:p>
    <w:p w:rsidR="00E67099" w:rsidRPr="00E67099" w:rsidRDefault="00E67099" w:rsidP="00345D4B">
      <w:pPr>
        <w:spacing w:after="0" w:line="276" w:lineRule="auto"/>
        <w:ind w:firstLine="426"/>
        <w:jc w:val="both"/>
        <w:rPr>
          <w:rFonts w:asciiTheme="majorHAnsi" w:hAnsiTheme="majorHAnsi" w:cstheme="majorHAnsi"/>
          <w:i/>
          <w:sz w:val="20"/>
          <w:szCs w:val="20"/>
        </w:rPr>
      </w:pPr>
      <w:r w:rsidRPr="00E67099">
        <w:rPr>
          <w:rFonts w:asciiTheme="majorHAnsi" w:hAnsiTheme="majorHAnsi" w:cstheme="majorHAnsi"/>
          <w:b/>
          <w:i/>
          <w:sz w:val="20"/>
          <w:szCs w:val="20"/>
        </w:rPr>
        <w:t>Sursă:</w:t>
      </w:r>
      <w:r w:rsidRPr="00E67099">
        <w:rPr>
          <w:rFonts w:asciiTheme="majorHAnsi" w:hAnsiTheme="majorHAnsi" w:cstheme="majorHAnsi"/>
          <w:sz w:val="20"/>
          <w:szCs w:val="20"/>
        </w:rPr>
        <w:t xml:space="preserve"> </w:t>
      </w:r>
      <w:r w:rsidRPr="00E67099">
        <w:rPr>
          <w:rFonts w:asciiTheme="majorHAnsi" w:hAnsiTheme="majorHAnsi" w:cstheme="majorHAnsi"/>
          <w:i/>
          <w:sz w:val="20"/>
          <w:szCs w:val="20"/>
        </w:rPr>
        <w:t>Raportul privind executarea bugetului de stat pentru anul 2019 și pentru anul 2018.</w:t>
      </w:r>
    </w:p>
    <w:p w:rsidR="00E67099" w:rsidRPr="00E67099" w:rsidRDefault="00E67099" w:rsidP="00E67099">
      <w:pPr>
        <w:spacing w:after="0" w:line="276" w:lineRule="auto"/>
        <w:jc w:val="both"/>
        <w:rPr>
          <w:rFonts w:asciiTheme="majorHAnsi" w:hAnsiTheme="majorHAnsi" w:cstheme="majorHAnsi"/>
          <w:sz w:val="24"/>
          <w:szCs w:val="24"/>
        </w:rPr>
      </w:pPr>
    </w:p>
    <w:p w:rsidR="00E67099" w:rsidRPr="00F71B6E" w:rsidRDefault="00E67099" w:rsidP="00E67099">
      <w:pPr>
        <w:spacing w:after="0" w:line="276" w:lineRule="auto"/>
        <w:jc w:val="both"/>
        <w:rPr>
          <w:rFonts w:asciiTheme="majorHAnsi" w:hAnsiTheme="majorHAnsi" w:cstheme="majorHAnsi"/>
          <w:sz w:val="20"/>
          <w:szCs w:val="20"/>
        </w:rPr>
      </w:pPr>
      <w:r w:rsidRPr="009D5867">
        <w:rPr>
          <w:rFonts w:asciiTheme="majorHAnsi" w:hAnsiTheme="majorHAnsi" w:cstheme="majorHAnsi"/>
          <w:sz w:val="20"/>
          <w:szCs w:val="20"/>
        </w:rPr>
        <w:t>Auditul relevă că, potrivit datelor Raportului, încasarea veniturilor la toate bugetele s-a realizat sub nivelul precizat: la BS - cu (-675,0 mil. lei), la BASS - cu (-121,6 mil. lei), la BUAT - cu (-337,7 mil. lei) și în FAOAM - cu (-73,5 mil. lei). Totodată, cel mai scăzut nivel de executare a cheltuielilor bugetelor componente ale BPN față de cheltuielile precizate a fost raportat de BUAT – 91,8%, urmate fiind de BS – 92,9%. Totodată, cheltuielile la FAOAM au înregistrat un nivel de execuție de 97,1% și, respectiv, la BASS - de 98,7%.</w:t>
      </w:r>
      <w:r w:rsidR="00F71B6E">
        <w:rPr>
          <w:rFonts w:asciiTheme="majorHAnsi" w:hAnsiTheme="majorHAnsi" w:cstheme="majorHAnsi"/>
          <w:sz w:val="20"/>
          <w:szCs w:val="20"/>
        </w:rPr>
        <w:t xml:space="preserve"> </w:t>
      </w:r>
      <w:r w:rsidRPr="009D5867">
        <w:rPr>
          <w:rFonts w:asciiTheme="majorHAnsi" w:eastAsia="Times New Roman" w:hAnsiTheme="majorHAnsi" w:cstheme="majorHAnsi"/>
          <w:sz w:val="20"/>
          <w:szCs w:val="20"/>
          <w:lang w:val="ro-MD" w:eastAsia="ru-RU"/>
        </w:rPr>
        <w:t>Deficitul BPN, excluzând granturile, constituie 2,2% din PIB. În aceste condiții, soldul bugetar, excluzând granturile, reflectă încadrarea soldului bugetar în regula bugetar-fiscală,</w:t>
      </w:r>
      <w:r w:rsidRPr="009D5867">
        <w:rPr>
          <w:rFonts w:ascii="Times New Roman" w:eastAsia="Times New Roman" w:hAnsi="Times New Roman" w:cs="Times New Roman"/>
          <w:sz w:val="20"/>
          <w:szCs w:val="20"/>
          <w:lang w:eastAsia="ru-RU"/>
        </w:rPr>
        <w:t xml:space="preserve"> </w:t>
      </w:r>
      <w:r w:rsidRPr="009D5867">
        <w:rPr>
          <w:rFonts w:asciiTheme="majorHAnsi" w:eastAsia="Times New Roman" w:hAnsiTheme="majorHAnsi" w:cstheme="majorHAnsi"/>
          <w:sz w:val="20"/>
          <w:szCs w:val="20"/>
          <w:lang w:eastAsia="ru-RU"/>
        </w:rPr>
        <w:t>ca deficitul BPN să nu depășească 2,5% din PIB.</w:t>
      </w:r>
    </w:p>
    <w:p w:rsidR="00E67099" w:rsidRPr="00E67099" w:rsidRDefault="00E67099" w:rsidP="00E67099">
      <w:pPr>
        <w:shd w:val="clear" w:color="auto" w:fill="FFFFFF" w:themeFill="background1"/>
        <w:tabs>
          <w:tab w:val="left" w:pos="284"/>
          <w:tab w:val="left" w:pos="567"/>
          <w:tab w:val="left" w:pos="6237"/>
          <w:tab w:val="left" w:pos="6379"/>
        </w:tabs>
        <w:spacing w:after="0" w:line="276" w:lineRule="auto"/>
        <w:contextualSpacing/>
        <w:jc w:val="right"/>
        <w:rPr>
          <w:rFonts w:asciiTheme="majorHAnsi" w:eastAsia="Times New Roman" w:hAnsiTheme="majorHAnsi" w:cstheme="majorHAnsi"/>
          <w:b/>
          <w:i/>
          <w:sz w:val="24"/>
          <w:szCs w:val="24"/>
          <w:lang w:val="ro-MD"/>
        </w:rPr>
      </w:pPr>
      <w:r w:rsidRPr="00E67099">
        <w:rPr>
          <w:rFonts w:asciiTheme="majorHAnsi" w:eastAsia="Times New Roman" w:hAnsiTheme="majorHAnsi" w:cstheme="majorHAnsi"/>
          <w:b/>
          <w:i/>
          <w:sz w:val="24"/>
          <w:szCs w:val="24"/>
          <w:lang w:val="ro-MD"/>
        </w:rPr>
        <w:t>Anexa nr.26</w:t>
      </w:r>
    </w:p>
    <w:tbl>
      <w:tblPr>
        <w:tblW w:w="13682" w:type="dxa"/>
        <w:tblLayout w:type="fixed"/>
        <w:tblLook w:val="04A0" w:firstRow="1" w:lastRow="0" w:firstColumn="1" w:lastColumn="0" w:noHBand="0" w:noVBand="1"/>
      </w:tblPr>
      <w:tblGrid>
        <w:gridCol w:w="2975"/>
        <w:gridCol w:w="1136"/>
        <w:gridCol w:w="1134"/>
        <w:gridCol w:w="1133"/>
        <w:gridCol w:w="1141"/>
        <w:gridCol w:w="1267"/>
        <w:gridCol w:w="244"/>
        <w:gridCol w:w="1131"/>
        <w:gridCol w:w="1173"/>
        <w:gridCol w:w="1183"/>
        <w:gridCol w:w="1085"/>
        <w:gridCol w:w="80"/>
      </w:tblGrid>
      <w:tr w:rsidR="00E67099" w:rsidRPr="00E67099" w:rsidTr="00A36731">
        <w:trPr>
          <w:trHeight w:val="348"/>
        </w:trPr>
        <w:tc>
          <w:tcPr>
            <w:tcW w:w="13682" w:type="dxa"/>
            <w:gridSpan w:val="12"/>
            <w:tcBorders>
              <w:top w:val="nil"/>
              <w:left w:val="nil"/>
              <w:bottom w:val="nil"/>
              <w:right w:val="nil"/>
            </w:tcBorders>
            <w:shd w:val="clear" w:color="auto" w:fill="auto"/>
            <w:noWrap/>
            <w:vAlign w:val="bottom"/>
            <w:hideMark/>
          </w:tcPr>
          <w:p w:rsidR="00E67099" w:rsidRPr="00E67099" w:rsidRDefault="00E67099" w:rsidP="00E67099">
            <w:pPr>
              <w:spacing w:after="0" w:line="240" w:lineRule="auto"/>
              <w:jc w:val="center"/>
              <w:rPr>
                <w:rFonts w:asciiTheme="majorHAnsi" w:eastAsia="Times New Roman" w:hAnsiTheme="majorHAnsi" w:cstheme="majorHAnsi"/>
                <w:b/>
                <w:bCs/>
                <w:color w:val="000000"/>
                <w:sz w:val="24"/>
                <w:szCs w:val="24"/>
                <w:lang w:val="ro-MD"/>
              </w:rPr>
            </w:pPr>
            <w:r w:rsidRPr="00E67099">
              <w:rPr>
                <w:rFonts w:asciiTheme="majorHAnsi" w:eastAsia="Times New Roman" w:hAnsiTheme="majorHAnsi" w:cstheme="majorHAnsi"/>
                <w:b/>
                <w:bCs/>
                <w:color w:val="000000"/>
                <w:sz w:val="24"/>
                <w:szCs w:val="24"/>
                <w:lang w:val="ro-MD"/>
              </w:rPr>
              <w:t>Analiza modificărilor operate la Legea bugetului de stat pentru anul 2019</w:t>
            </w:r>
          </w:p>
        </w:tc>
      </w:tr>
      <w:tr w:rsidR="00E67099" w:rsidRPr="00E67099" w:rsidTr="00A36731">
        <w:trPr>
          <w:gridAfter w:val="1"/>
          <w:wAfter w:w="80" w:type="dxa"/>
          <w:trHeight w:val="288"/>
        </w:trPr>
        <w:tc>
          <w:tcPr>
            <w:tcW w:w="2975" w:type="dxa"/>
            <w:tcBorders>
              <w:top w:val="nil"/>
              <w:left w:val="nil"/>
              <w:bottom w:val="nil"/>
              <w:right w:val="nil"/>
            </w:tcBorders>
            <w:shd w:val="clear" w:color="auto" w:fill="auto"/>
            <w:noWrap/>
            <w:vAlign w:val="bottom"/>
            <w:hideMark/>
          </w:tcPr>
          <w:p w:rsidR="00E67099" w:rsidRPr="00E67099" w:rsidRDefault="00E67099" w:rsidP="00E67099">
            <w:pPr>
              <w:spacing w:after="0" w:line="240" w:lineRule="auto"/>
              <w:jc w:val="center"/>
              <w:rPr>
                <w:rFonts w:asciiTheme="majorHAnsi" w:eastAsia="Times New Roman" w:hAnsiTheme="majorHAnsi" w:cstheme="majorHAnsi"/>
                <w:b/>
                <w:bCs/>
                <w:color w:val="000000"/>
                <w:sz w:val="20"/>
                <w:szCs w:val="20"/>
                <w:lang w:val="ro-MD"/>
              </w:rPr>
            </w:pPr>
          </w:p>
        </w:tc>
        <w:tc>
          <w:tcPr>
            <w:tcW w:w="1136" w:type="dxa"/>
            <w:tcBorders>
              <w:top w:val="nil"/>
              <w:left w:val="nil"/>
              <w:bottom w:val="nil"/>
              <w:right w:val="nil"/>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p>
        </w:tc>
        <w:tc>
          <w:tcPr>
            <w:tcW w:w="1134" w:type="dxa"/>
            <w:tcBorders>
              <w:top w:val="nil"/>
              <w:left w:val="nil"/>
              <w:bottom w:val="nil"/>
              <w:right w:val="nil"/>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p>
        </w:tc>
        <w:tc>
          <w:tcPr>
            <w:tcW w:w="1133" w:type="dxa"/>
            <w:tcBorders>
              <w:top w:val="nil"/>
              <w:left w:val="nil"/>
              <w:bottom w:val="nil"/>
              <w:right w:val="nil"/>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p>
        </w:tc>
        <w:tc>
          <w:tcPr>
            <w:tcW w:w="1141" w:type="dxa"/>
            <w:tcBorders>
              <w:top w:val="nil"/>
              <w:left w:val="nil"/>
              <w:bottom w:val="nil"/>
              <w:right w:val="nil"/>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p>
        </w:tc>
        <w:tc>
          <w:tcPr>
            <w:tcW w:w="1267" w:type="dxa"/>
            <w:tcBorders>
              <w:top w:val="nil"/>
              <w:left w:val="nil"/>
              <w:bottom w:val="nil"/>
              <w:right w:val="nil"/>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p>
        </w:tc>
        <w:tc>
          <w:tcPr>
            <w:tcW w:w="244" w:type="dxa"/>
            <w:tcBorders>
              <w:top w:val="nil"/>
              <w:left w:val="nil"/>
              <w:bottom w:val="nil"/>
              <w:right w:val="nil"/>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p>
        </w:tc>
        <w:tc>
          <w:tcPr>
            <w:tcW w:w="1131" w:type="dxa"/>
            <w:tcBorders>
              <w:top w:val="nil"/>
              <w:left w:val="nil"/>
              <w:bottom w:val="nil"/>
              <w:right w:val="nil"/>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p>
        </w:tc>
        <w:tc>
          <w:tcPr>
            <w:tcW w:w="1173" w:type="dxa"/>
            <w:tcBorders>
              <w:top w:val="nil"/>
              <w:left w:val="nil"/>
              <w:bottom w:val="nil"/>
              <w:right w:val="nil"/>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0"/>
                <w:szCs w:val="20"/>
                <w:lang w:val="ro-MD"/>
              </w:rPr>
            </w:pPr>
          </w:p>
        </w:tc>
        <w:tc>
          <w:tcPr>
            <w:tcW w:w="1183" w:type="dxa"/>
            <w:tcBorders>
              <w:top w:val="nil"/>
              <w:left w:val="nil"/>
              <w:bottom w:val="nil"/>
              <w:right w:val="nil"/>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sz w:val="24"/>
                <w:szCs w:val="24"/>
                <w:lang w:val="ro-MD"/>
              </w:rPr>
            </w:pPr>
          </w:p>
        </w:tc>
        <w:tc>
          <w:tcPr>
            <w:tcW w:w="1085" w:type="dxa"/>
            <w:tcBorders>
              <w:top w:val="nil"/>
              <w:left w:val="nil"/>
              <w:bottom w:val="nil"/>
              <w:right w:val="nil"/>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b/>
                <w:bCs/>
                <w:color w:val="000000"/>
                <w:sz w:val="24"/>
                <w:szCs w:val="24"/>
                <w:lang w:val="ro-MD"/>
              </w:rPr>
            </w:pPr>
            <w:r w:rsidRPr="00E67099">
              <w:rPr>
                <w:rFonts w:asciiTheme="majorHAnsi" w:eastAsia="Times New Roman" w:hAnsiTheme="majorHAnsi" w:cstheme="majorHAnsi"/>
                <w:b/>
                <w:bCs/>
                <w:color w:val="000000"/>
                <w:sz w:val="24"/>
                <w:szCs w:val="24"/>
                <w:lang w:val="ro-MD"/>
              </w:rPr>
              <w:t>(mil. lei)</w:t>
            </w:r>
          </w:p>
        </w:tc>
      </w:tr>
      <w:tr w:rsidR="00E67099" w:rsidRPr="00E67099" w:rsidTr="00A36731">
        <w:trPr>
          <w:gridAfter w:val="1"/>
          <w:wAfter w:w="80" w:type="dxa"/>
          <w:trHeight w:val="217"/>
        </w:trPr>
        <w:tc>
          <w:tcPr>
            <w:tcW w:w="29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b/>
                <w:bCs/>
                <w:color w:val="000000"/>
                <w:sz w:val="20"/>
                <w:szCs w:val="20"/>
                <w:lang w:val="ro-MD"/>
              </w:rPr>
            </w:pPr>
            <w:r w:rsidRPr="00E67099">
              <w:rPr>
                <w:rFonts w:asciiTheme="majorHAnsi" w:eastAsia="Times New Roman" w:hAnsiTheme="majorHAnsi" w:cstheme="majorHAnsi"/>
                <w:b/>
                <w:bCs/>
                <w:color w:val="000000"/>
                <w:sz w:val="20"/>
                <w:szCs w:val="20"/>
                <w:lang w:val="ro-MD"/>
              </w:rPr>
              <w:t>Indicatori</w:t>
            </w:r>
          </w:p>
        </w:tc>
        <w:tc>
          <w:tcPr>
            <w:tcW w:w="1136" w:type="dxa"/>
            <w:tcBorders>
              <w:top w:val="single" w:sz="4" w:space="0" w:color="auto"/>
              <w:left w:val="nil"/>
              <w:bottom w:val="single" w:sz="4" w:space="0" w:color="auto"/>
              <w:right w:val="single" w:sz="12"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b/>
                <w:bCs/>
                <w:color w:val="000000"/>
                <w:sz w:val="20"/>
                <w:szCs w:val="20"/>
                <w:lang w:val="ro-MD"/>
              </w:rPr>
            </w:pPr>
            <w:r w:rsidRPr="00E67099">
              <w:rPr>
                <w:rFonts w:asciiTheme="majorHAnsi" w:eastAsia="Times New Roman" w:hAnsiTheme="majorHAnsi" w:cstheme="majorHAnsi"/>
                <w:b/>
                <w:bCs/>
                <w:color w:val="000000"/>
                <w:sz w:val="20"/>
                <w:szCs w:val="20"/>
                <w:lang w:val="ro-MD"/>
              </w:rPr>
              <w:t>Aprobat</w:t>
            </w:r>
          </w:p>
        </w:tc>
        <w:tc>
          <w:tcPr>
            <w:tcW w:w="4919" w:type="dxa"/>
            <w:gridSpan w:val="5"/>
            <w:tcBorders>
              <w:top w:val="single" w:sz="4" w:space="0" w:color="auto"/>
              <w:left w:val="single" w:sz="12" w:space="0" w:color="auto"/>
              <w:bottom w:val="nil"/>
              <w:right w:val="single" w:sz="12"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b/>
                <w:bCs/>
                <w:color w:val="000000"/>
                <w:sz w:val="20"/>
                <w:szCs w:val="20"/>
                <w:lang w:val="ro-MD"/>
              </w:rPr>
            </w:pPr>
            <w:r w:rsidRPr="00E67099">
              <w:rPr>
                <w:rFonts w:asciiTheme="majorHAnsi" w:eastAsia="Times New Roman" w:hAnsiTheme="majorHAnsi" w:cstheme="majorHAnsi"/>
                <w:b/>
                <w:bCs/>
                <w:color w:val="000000"/>
                <w:sz w:val="20"/>
                <w:szCs w:val="20"/>
                <w:lang w:val="ro-MD"/>
              </w:rPr>
              <w:t>Modificări operate de Parlament</w:t>
            </w:r>
          </w:p>
        </w:tc>
        <w:tc>
          <w:tcPr>
            <w:tcW w:w="1131" w:type="dxa"/>
            <w:vMerge w:val="restart"/>
            <w:tcBorders>
              <w:top w:val="single" w:sz="4" w:space="0" w:color="auto"/>
              <w:left w:val="single" w:sz="12" w:space="0" w:color="auto"/>
              <w:right w:val="single" w:sz="12" w:space="0" w:color="auto"/>
            </w:tcBorders>
            <w:shd w:val="clear" w:color="auto" w:fill="auto"/>
            <w:vAlign w:val="center"/>
            <w:hideMark/>
          </w:tcPr>
          <w:p w:rsidR="00E67099" w:rsidRPr="00E67099" w:rsidRDefault="00E67099" w:rsidP="00E67099">
            <w:pPr>
              <w:spacing w:after="0" w:line="240" w:lineRule="auto"/>
              <w:jc w:val="center"/>
              <w:rPr>
                <w:rFonts w:asciiTheme="majorHAnsi" w:eastAsia="Times New Roman" w:hAnsiTheme="majorHAnsi" w:cstheme="majorHAnsi"/>
                <w:b/>
                <w:bCs/>
                <w:color w:val="000000"/>
                <w:sz w:val="20"/>
                <w:szCs w:val="20"/>
                <w:lang w:val="ro-MD"/>
              </w:rPr>
            </w:pPr>
            <w:r w:rsidRPr="00E67099">
              <w:rPr>
                <w:rFonts w:asciiTheme="majorHAnsi" w:eastAsia="Times New Roman" w:hAnsiTheme="majorHAnsi" w:cstheme="majorHAnsi"/>
                <w:b/>
                <w:bCs/>
                <w:color w:val="000000"/>
                <w:sz w:val="20"/>
                <w:szCs w:val="20"/>
                <w:lang w:val="ro-MD"/>
              </w:rPr>
              <w:t>Definitivat în temeiul art.18</w:t>
            </w:r>
          </w:p>
        </w:tc>
        <w:tc>
          <w:tcPr>
            <w:tcW w:w="3441" w:type="dxa"/>
            <w:gridSpan w:val="3"/>
            <w:tcBorders>
              <w:top w:val="single" w:sz="4" w:space="0" w:color="auto"/>
              <w:left w:val="single" w:sz="12" w:space="0" w:color="auto"/>
              <w:bottom w:val="single" w:sz="12" w:space="0" w:color="auto"/>
              <w:right w:val="single" w:sz="4" w:space="0" w:color="000000"/>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b/>
                <w:bCs/>
                <w:color w:val="000000"/>
                <w:sz w:val="20"/>
                <w:szCs w:val="20"/>
                <w:lang w:val="ro-MD"/>
              </w:rPr>
            </w:pPr>
            <w:r w:rsidRPr="00E67099">
              <w:rPr>
                <w:rFonts w:asciiTheme="majorHAnsi" w:eastAsia="Times New Roman" w:hAnsiTheme="majorHAnsi" w:cstheme="majorHAnsi"/>
                <w:b/>
                <w:bCs/>
                <w:color w:val="000000"/>
                <w:sz w:val="20"/>
                <w:szCs w:val="20"/>
                <w:lang w:val="ro-MD"/>
              </w:rPr>
              <w:t>Devieri (+/-)</w:t>
            </w:r>
          </w:p>
        </w:tc>
      </w:tr>
      <w:tr w:rsidR="00E67099" w:rsidRPr="00E67099" w:rsidTr="00A36731">
        <w:trPr>
          <w:gridAfter w:val="1"/>
          <w:wAfter w:w="80" w:type="dxa"/>
          <w:trHeight w:val="936"/>
        </w:trPr>
        <w:tc>
          <w:tcPr>
            <w:tcW w:w="2975" w:type="dxa"/>
            <w:vMerge/>
            <w:tcBorders>
              <w:top w:val="single" w:sz="4" w:space="0" w:color="auto"/>
              <w:left w:val="single" w:sz="4" w:space="0" w:color="auto"/>
              <w:bottom w:val="single" w:sz="4" w:space="0" w:color="auto"/>
              <w:right w:val="single" w:sz="4" w:space="0" w:color="auto"/>
            </w:tcBorders>
            <w:vAlign w:val="center"/>
            <w:hideMark/>
          </w:tcPr>
          <w:p w:rsidR="00E67099" w:rsidRPr="00E67099" w:rsidRDefault="00E67099" w:rsidP="00E67099">
            <w:pPr>
              <w:spacing w:after="0" w:line="240" w:lineRule="auto"/>
              <w:rPr>
                <w:rFonts w:asciiTheme="majorHAnsi" w:eastAsia="Times New Roman" w:hAnsiTheme="majorHAnsi" w:cstheme="majorHAnsi"/>
                <w:b/>
                <w:bCs/>
                <w:color w:val="000000"/>
                <w:sz w:val="20"/>
                <w:szCs w:val="20"/>
                <w:lang w:val="ro-MD"/>
              </w:rPr>
            </w:pPr>
          </w:p>
        </w:tc>
        <w:tc>
          <w:tcPr>
            <w:tcW w:w="1136" w:type="dxa"/>
            <w:tcBorders>
              <w:top w:val="nil"/>
              <w:left w:val="nil"/>
              <w:bottom w:val="single" w:sz="4" w:space="0" w:color="auto"/>
              <w:right w:val="single" w:sz="12" w:space="0" w:color="auto"/>
            </w:tcBorders>
            <w:shd w:val="clear" w:color="auto" w:fill="auto"/>
            <w:vAlign w:val="center"/>
            <w:hideMark/>
          </w:tcPr>
          <w:p w:rsidR="00E67099" w:rsidRPr="00E67099" w:rsidRDefault="00E67099" w:rsidP="00E67099">
            <w:pPr>
              <w:spacing w:after="0" w:line="240" w:lineRule="auto"/>
              <w:jc w:val="center"/>
              <w:rPr>
                <w:rFonts w:asciiTheme="majorHAnsi" w:eastAsia="Times New Roman" w:hAnsiTheme="majorHAnsi" w:cstheme="majorHAnsi"/>
                <w:i/>
                <w:iCs/>
                <w:color w:val="000000"/>
                <w:sz w:val="20"/>
                <w:szCs w:val="20"/>
                <w:lang w:val="ro-MD"/>
              </w:rPr>
            </w:pPr>
            <w:r w:rsidRPr="00E67099">
              <w:rPr>
                <w:rFonts w:asciiTheme="majorHAnsi" w:eastAsia="Times New Roman" w:hAnsiTheme="majorHAnsi" w:cstheme="majorHAnsi"/>
                <w:i/>
                <w:iCs/>
                <w:color w:val="000000"/>
                <w:sz w:val="20"/>
                <w:szCs w:val="20"/>
                <w:lang w:val="ro-MD"/>
              </w:rPr>
              <w:t>Legea nr.303 din 30.11.2018</w:t>
            </w:r>
          </w:p>
        </w:tc>
        <w:tc>
          <w:tcPr>
            <w:tcW w:w="1134" w:type="dxa"/>
            <w:tcBorders>
              <w:top w:val="single" w:sz="4" w:space="0" w:color="auto"/>
              <w:left w:val="single" w:sz="12" w:space="0" w:color="auto"/>
              <w:bottom w:val="single" w:sz="4" w:space="0" w:color="auto"/>
              <w:right w:val="nil"/>
            </w:tcBorders>
            <w:shd w:val="clear" w:color="auto" w:fill="auto"/>
            <w:vAlign w:val="center"/>
            <w:hideMark/>
          </w:tcPr>
          <w:p w:rsidR="00E67099" w:rsidRPr="00E67099" w:rsidRDefault="00303B6A" w:rsidP="00E67099">
            <w:pPr>
              <w:spacing w:after="0" w:line="240" w:lineRule="auto"/>
              <w:jc w:val="center"/>
              <w:rPr>
                <w:rFonts w:asciiTheme="majorHAnsi" w:eastAsia="Times New Roman" w:hAnsiTheme="majorHAnsi" w:cstheme="majorHAnsi"/>
                <w:i/>
                <w:iCs/>
                <w:color w:val="000000"/>
                <w:sz w:val="20"/>
                <w:szCs w:val="20"/>
                <w:lang w:val="ro-MD"/>
              </w:rPr>
            </w:pPr>
            <w:r>
              <w:rPr>
                <w:rFonts w:asciiTheme="majorHAnsi" w:eastAsia="Times New Roman" w:hAnsiTheme="majorHAnsi" w:cstheme="majorHAnsi"/>
                <w:i/>
                <w:iCs/>
                <w:color w:val="000000"/>
                <w:sz w:val="20"/>
                <w:szCs w:val="20"/>
                <w:lang w:val="ro-MD"/>
              </w:rPr>
              <w:t>Legea nr.</w:t>
            </w:r>
            <w:r w:rsidR="00E67099" w:rsidRPr="00E67099">
              <w:rPr>
                <w:rFonts w:asciiTheme="majorHAnsi" w:eastAsia="Times New Roman" w:hAnsiTheme="majorHAnsi" w:cstheme="majorHAnsi"/>
                <w:i/>
                <w:iCs/>
                <w:color w:val="000000"/>
                <w:sz w:val="20"/>
                <w:szCs w:val="20"/>
                <w:lang w:val="ro-MD"/>
              </w:rPr>
              <w:t xml:space="preserve"> 14 din 15.02.2019</w:t>
            </w:r>
          </w:p>
        </w:tc>
        <w:tc>
          <w:tcPr>
            <w:tcW w:w="1133" w:type="dxa"/>
            <w:tcBorders>
              <w:top w:val="single" w:sz="4" w:space="0" w:color="auto"/>
              <w:left w:val="nil"/>
              <w:bottom w:val="single" w:sz="4" w:space="0" w:color="auto"/>
              <w:right w:val="nil"/>
            </w:tcBorders>
            <w:shd w:val="clear" w:color="auto" w:fill="auto"/>
            <w:vAlign w:val="center"/>
            <w:hideMark/>
          </w:tcPr>
          <w:p w:rsidR="00E67099" w:rsidRPr="00E67099" w:rsidRDefault="00303B6A" w:rsidP="00E67099">
            <w:pPr>
              <w:spacing w:after="0" w:line="240" w:lineRule="auto"/>
              <w:jc w:val="center"/>
              <w:rPr>
                <w:rFonts w:asciiTheme="majorHAnsi" w:eastAsia="Times New Roman" w:hAnsiTheme="majorHAnsi" w:cstheme="majorHAnsi"/>
                <w:i/>
                <w:iCs/>
                <w:color w:val="000000"/>
                <w:sz w:val="20"/>
                <w:szCs w:val="20"/>
                <w:lang w:val="ro-MD"/>
              </w:rPr>
            </w:pPr>
            <w:r>
              <w:rPr>
                <w:rFonts w:asciiTheme="majorHAnsi" w:eastAsia="Times New Roman" w:hAnsiTheme="majorHAnsi" w:cstheme="majorHAnsi"/>
                <w:i/>
                <w:iCs/>
                <w:color w:val="000000"/>
                <w:sz w:val="20"/>
                <w:szCs w:val="20"/>
                <w:lang w:val="ro-MD"/>
              </w:rPr>
              <w:t>Legea nr.</w:t>
            </w:r>
            <w:r w:rsidR="00E67099" w:rsidRPr="00E67099">
              <w:rPr>
                <w:rFonts w:asciiTheme="majorHAnsi" w:eastAsia="Times New Roman" w:hAnsiTheme="majorHAnsi" w:cstheme="majorHAnsi"/>
                <w:i/>
                <w:iCs/>
                <w:color w:val="000000"/>
                <w:sz w:val="20"/>
                <w:szCs w:val="20"/>
                <w:lang w:val="ro-MD"/>
              </w:rPr>
              <w:t xml:space="preserve"> 27 din 11.03.2019</w:t>
            </w:r>
          </w:p>
        </w:tc>
        <w:tc>
          <w:tcPr>
            <w:tcW w:w="1141" w:type="dxa"/>
            <w:tcBorders>
              <w:top w:val="single" w:sz="4" w:space="0" w:color="auto"/>
              <w:left w:val="nil"/>
              <w:bottom w:val="single" w:sz="4" w:space="0" w:color="auto"/>
              <w:right w:val="nil"/>
            </w:tcBorders>
            <w:shd w:val="clear" w:color="auto" w:fill="auto"/>
            <w:vAlign w:val="center"/>
            <w:hideMark/>
          </w:tcPr>
          <w:p w:rsidR="00E67099" w:rsidRPr="00E67099" w:rsidRDefault="00303B6A" w:rsidP="00E67099">
            <w:pPr>
              <w:spacing w:after="0" w:line="240" w:lineRule="auto"/>
              <w:jc w:val="center"/>
              <w:rPr>
                <w:rFonts w:asciiTheme="majorHAnsi" w:eastAsia="Times New Roman" w:hAnsiTheme="majorHAnsi" w:cstheme="majorHAnsi"/>
                <w:i/>
                <w:iCs/>
                <w:color w:val="000000"/>
                <w:sz w:val="20"/>
                <w:szCs w:val="20"/>
                <w:lang w:val="ro-MD"/>
              </w:rPr>
            </w:pPr>
            <w:r>
              <w:rPr>
                <w:rFonts w:asciiTheme="majorHAnsi" w:eastAsia="Times New Roman" w:hAnsiTheme="majorHAnsi" w:cstheme="majorHAnsi"/>
                <w:i/>
                <w:iCs/>
                <w:color w:val="000000"/>
                <w:sz w:val="20"/>
                <w:szCs w:val="20"/>
                <w:lang w:val="ro-MD"/>
              </w:rPr>
              <w:t xml:space="preserve"> Legea nr.</w:t>
            </w:r>
            <w:r w:rsidR="00E67099" w:rsidRPr="00E67099">
              <w:rPr>
                <w:rFonts w:asciiTheme="majorHAnsi" w:eastAsia="Times New Roman" w:hAnsiTheme="majorHAnsi" w:cstheme="majorHAnsi"/>
                <w:i/>
                <w:iCs/>
                <w:color w:val="000000"/>
                <w:sz w:val="20"/>
                <w:szCs w:val="20"/>
                <w:lang w:val="ro-MD"/>
              </w:rPr>
              <w:t xml:space="preserve"> 63 din 05.07.2019</w:t>
            </w:r>
          </w:p>
        </w:tc>
        <w:tc>
          <w:tcPr>
            <w:tcW w:w="1267" w:type="dxa"/>
            <w:tcBorders>
              <w:top w:val="single" w:sz="4" w:space="0" w:color="auto"/>
              <w:left w:val="nil"/>
              <w:bottom w:val="single" w:sz="4" w:space="0" w:color="auto"/>
            </w:tcBorders>
            <w:shd w:val="clear" w:color="auto" w:fill="auto"/>
            <w:vAlign w:val="center"/>
            <w:hideMark/>
          </w:tcPr>
          <w:p w:rsidR="00E67099" w:rsidRPr="00E67099" w:rsidRDefault="00303B6A" w:rsidP="00E67099">
            <w:pPr>
              <w:spacing w:after="0" w:line="240" w:lineRule="auto"/>
              <w:jc w:val="center"/>
              <w:rPr>
                <w:rFonts w:asciiTheme="majorHAnsi" w:eastAsia="Times New Roman" w:hAnsiTheme="majorHAnsi" w:cstheme="majorHAnsi"/>
                <w:i/>
                <w:iCs/>
                <w:color w:val="000000"/>
                <w:sz w:val="20"/>
                <w:szCs w:val="20"/>
                <w:lang w:val="ro-MD"/>
              </w:rPr>
            </w:pPr>
            <w:r>
              <w:rPr>
                <w:rFonts w:asciiTheme="majorHAnsi" w:eastAsia="Times New Roman" w:hAnsiTheme="majorHAnsi" w:cstheme="majorHAnsi"/>
                <w:i/>
                <w:iCs/>
                <w:color w:val="000000"/>
                <w:sz w:val="20"/>
                <w:szCs w:val="20"/>
                <w:lang w:val="ro-MD"/>
              </w:rPr>
              <w:t>Legea nr.</w:t>
            </w:r>
            <w:r w:rsidR="00E67099" w:rsidRPr="00E67099">
              <w:rPr>
                <w:rFonts w:asciiTheme="majorHAnsi" w:eastAsia="Times New Roman" w:hAnsiTheme="majorHAnsi" w:cstheme="majorHAnsi"/>
                <w:i/>
                <w:iCs/>
                <w:color w:val="000000"/>
                <w:sz w:val="20"/>
                <w:szCs w:val="20"/>
                <w:lang w:val="ro-MD"/>
              </w:rPr>
              <w:t xml:space="preserve"> 112 din 04.09.2019</w:t>
            </w:r>
          </w:p>
        </w:tc>
        <w:tc>
          <w:tcPr>
            <w:tcW w:w="244" w:type="dxa"/>
            <w:tcBorders>
              <w:top w:val="single" w:sz="4" w:space="0" w:color="auto"/>
              <w:bottom w:val="single" w:sz="4" w:space="0" w:color="auto"/>
              <w:right w:val="single" w:sz="12" w:space="0" w:color="auto"/>
            </w:tcBorders>
            <w:shd w:val="clear" w:color="auto" w:fill="auto"/>
            <w:vAlign w:val="center"/>
          </w:tcPr>
          <w:p w:rsidR="00E67099" w:rsidRPr="00E67099" w:rsidRDefault="00E67099" w:rsidP="00E67099">
            <w:pPr>
              <w:spacing w:after="0" w:line="240" w:lineRule="auto"/>
              <w:jc w:val="center"/>
              <w:rPr>
                <w:rFonts w:asciiTheme="majorHAnsi" w:eastAsia="Times New Roman" w:hAnsiTheme="majorHAnsi" w:cstheme="majorHAnsi"/>
                <w:i/>
                <w:iCs/>
                <w:color w:val="000000"/>
                <w:sz w:val="20"/>
                <w:szCs w:val="20"/>
                <w:lang w:val="ro-MD"/>
              </w:rPr>
            </w:pPr>
          </w:p>
        </w:tc>
        <w:tc>
          <w:tcPr>
            <w:tcW w:w="1131" w:type="dxa"/>
            <w:vMerge/>
            <w:tcBorders>
              <w:left w:val="single" w:sz="12" w:space="0" w:color="auto"/>
              <w:bottom w:val="single" w:sz="4" w:space="0" w:color="auto"/>
              <w:right w:val="single" w:sz="12" w:space="0" w:color="auto"/>
            </w:tcBorders>
            <w:vAlign w:val="center"/>
            <w:hideMark/>
          </w:tcPr>
          <w:p w:rsidR="00E67099" w:rsidRPr="00E67099" w:rsidRDefault="00E67099" w:rsidP="00E67099">
            <w:pPr>
              <w:spacing w:after="0" w:line="240" w:lineRule="auto"/>
              <w:rPr>
                <w:rFonts w:asciiTheme="majorHAnsi" w:eastAsia="Times New Roman" w:hAnsiTheme="majorHAnsi" w:cstheme="majorHAnsi"/>
                <w:b/>
                <w:bCs/>
                <w:color w:val="000000"/>
                <w:sz w:val="20"/>
                <w:szCs w:val="20"/>
                <w:lang w:val="ro-MD"/>
              </w:rPr>
            </w:pPr>
          </w:p>
        </w:tc>
        <w:tc>
          <w:tcPr>
            <w:tcW w:w="1173"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E67099" w:rsidRPr="00E67099" w:rsidRDefault="00E67099" w:rsidP="00E67099">
            <w:pPr>
              <w:spacing w:after="0" w:line="240" w:lineRule="auto"/>
              <w:jc w:val="center"/>
              <w:rPr>
                <w:rFonts w:asciiTheme="majorHAnsi" w:eastAsia="Times New Roman" w:hAnsiTheme="majorHAnsi" w:cstheme="majorHAnsi"/>
                <w:b/>
                <w:bCs/>
                <w:color w:val="000000"/>
                <w:sz w:val="20"/>
                <w:szCs w:val="20"/>
                <w:lang w:val="ro-MD"/>
              </w:rPr>
            </w:pPr>
            <w:r w:rsidRPr="00E67099">
              <w:rPr>
                <w:rFonts w:asciiTheme="majorHAnsi" w:eastAsia="Times New Roman" w:hAnsiTheme="majorHAnsi" w:cstheme="majorHAnsi"/>
                <w:b/>
                <w:bCs/>
                <w:color w:val="000000"/>
                <w:sz w:val="20"/>
                <w:szCs w:val="20"/>
                <w:lang w:val="ro-MD"/>
              </w:rPr>
              <w:t>Ultima modificare/</w:t>
            </w:r>
          </w:p>
          <w:p w:rsidR="00E67099" w:rsidRPr="00E67099" w:rsidRDefault="00E67099" w:rsidP="00E67099">
            <w:pPr>
              <w:spacing w:after="0" w:line="240" w:lineRule="auto"/>
              <w:jc w:val="center"/>
              <w:rPr>
                <w:rFonts w:asciiTheme="majorHAnsi" w:eastAsia="Times New Roman" w:hAnsiTheme="majorHAnsi" w:cstheme="majorHAnsi"/>
                <w:b/>
                <w:bCs/>
                <w:color w:val="000000"/>
                <w:sz w:val="20"/>
                <w:szCs w:val="20"/>
                <w:lang w:val="ro-MD"/>
              </w:rPr>
            </w:pPr>
            <w:r w:rsidRPr="00E67099">
              <w:rPr>
                <w:rFonts w:asciiTheme="majorHAnsi" w:eastAsia="Times New Roman" w:hAnsiTheme="majorHAnsi" w:cstheme="majorHAnsi"/>
                <w:b/>
                <w:bCs/>
                <w:color w:val="000000"/>
                <w:sz w:val="20"/>
                <w:szCs w:val="20"/>
                <w:lang w:val="ro-MD"/>
              </w:rPr>
              <w:t>aprobat</w:t>
            </w:r>
          </w:p>
        </w:tc>
        <w:tc>
          <w:tcPr>
            <w:tcW w:w="1183" w:type="dxa"/>
            <w:tcBorders>
              <w:top w:val="single" w:sz="12" w:space="0" w:color="auto"/>
              <w:left w:val="nil"/>
              <w:bottom w:val="single" w:sz="4" w:space="0" w:color="auto"/>
              <w:right w:val="single" w:sz="4" w:space="0" w:color="auto"/>
            </w:tcBorders>
            <w:shd w:val="clear" w:color="auto" w:fill="auto"/>
            <w:vAlign w:val="center"/>
            <w:hideMark/>
          </w:tcPr>
          <w:p w:rsidR="00E67099" w:rsidRPr="00E67099" w:rsidRDefault="00E67099" w:rsidP="00E67099">
            <w:pPr>
              <w:spacing w:after="0" w:line="240" w:lineRule="auto"/>
              <w:jc w:val="center"/>
              <w:rPr>
                <w:rFonts w:asciiTheme="majorHAnsi" w:eastAsia="Times New Roman" w:hAnsiTheme="majorHAnsi" w:cstheme="majorHAnsi"/>
                <w:b/>
                <w:bCs/>
                <w:color w:val="000000"/>
                <w:sz w:val="20"/>
                <w:szCs w:val="20"/>
                <w:lang w:val="ro-MD"/>
              </w:rPr>
            </w:pPr>
            <w:r w:rsidRPr="00E67099">
              <w:rPr>
                <w:rFonts w:asciiTheme="majorHAnsi" w:eastAsia="Times New Roman" w:hAnsiTheme="majorHAnsi" w:cstheme="majorHAnsi"/>
                <w:b/>
                <w:bCs/>
                <w:color w:val="000000"/>
                <w:sz w:val="20"/>
                <w:szCs w:val="20"/>
                <w:lang w:val="ro-MD"/>
              </w:rPr>
              <w:t>Definitivat/</w:t>
            </w:r>
          </w:p>
          <w:p w:rsidR="00E67099" w:rsidRPr="00E67099" w:rsidRDefault="00E67099" w:rsidP="00E67099">
            <w:pPr>
              <w:spacing w:after="0" w:line="240" w:lineRule="auto"/>
              <w:jc w:val="center"/>
              <w:rPr>
                <w:rFonts w:asciiTheme="majorHAnsi" w:eastAsia="Times New Roman" w:hAnsiTheme="majorHAnsi" w:cstheme="majorHAnsi"/>
                <w:b/>
                <w:bCs/>
                <w:color w:val="000000"/>
                <w:sz w:val="20"/>
                <w:szCs w:val="20"/>
                <w:lang w:val="ro-MD"/>
              </w:rPr>
            </w:pPr>
            <w:r w:rsidRPr="00E67099">
              <w:rPr>
                <w:rFonts w:asciiTheme="majorHAnsi" w:eastAsia="Times New Roman" w:hAnsiTheme="majorHAnsi" w:cstheme="majorHAnsi"/>
                <w:b/>
                <w:bCs/>
                <w:color w:val="000000"/>
                <w:sz w:val="20"/>
                <w:szCs w:val="20"/>
                <w:lang w:val="ro-MD"/>
              </w:rPr>
              <w:t>Ultima modificare</w:t>
            </w:r>
          </w:p>
        </w:tc>
        <w:tc>
          <w:tcPr>
            <w:tcW w:w="1085" w:type="dxa"/>
            <w:tcBorders>
              <w:top w:val="single" w:sz="12" w:space="0" w:color="auto"/>
              <w:left w:val="nil"/>
              <w:bottom w:val="single" w:sz="4" w:space="0" w:color="auto"/>
              <w:right w:val="single" w:sz="4" w:space="0" w:color="auto"/>
            </w:tcBorders>
            <w:shd w:val="clear" w:color="auto" w:fill="auto"/>
            <w:vAlign w:val="center"/>
            <w:hideMark/>
          </w:tcPr>
          <w:p w:rsidR="00E67099" w:rsidRPr="00E67099" w:rsidRDefault="00E67099" w:rsidP="00E67099">
            <w:pPr>
              <w:spacing w:after="0" w:line="240" w:lineRule="auto"/>
              <w:jc w:val="center"/>
              <w:rPr>
                <w:rFonts w:asciiTheme="majorHAnsi" w:eastAsia="Times New Roman" w:hAnsiTheme="majorHAnsi" w:cstheme="majorHAnsi"/>
                <w:b/>
                <w:bCs/>
                <w:color w:val="000000"/>
                <w:sz w:val="20"/>
                <w:szCs w:val="20"/>
                <w:lang w:val="ro-MD"/>
              </w:rPr>
            </w:pPr>
            <w:r w:rsidRPr="00E67099">
              <w:rPr>
                <w:rFonts w:asciiTheme="majorHAnsi" w:eastAsia="Times New Roman" w:hAnsiTheme="majorHAnsi" w:cstheme="majorHAnsi"/>
                <w:b/>
                <w:bCs/>
                <w:color w:val="000000"/>
                <w:sz w:val="20"/>
                <w:szCs w:val="20"/>
                <w:lang w:val="ro-MD"/>
              </w:rPr>
              <w:t>Definitivat</w:t>
            </w:r>
          </w:p>
          <w:p w:rsidR="00E67099" w:rsidRPr="00E67099" w:rsidRDefault="00E67099" w:rsidP="00E67099">
            <w:pPr>
              <w:spacing w:after="0" w:line="240" w:lineRule="auto"/>
              <w:jc w:val="center"/>
              <w:rPr>
                <w:rFonts w:asciiTheme="majorHAnsi" w:eastAsia="Times New Roman" w:hAnsiTheme="majorHAnsi" w:cstheme="majorHAnsi"/>
                <w:b/>
                <w:bCs/>
                <w:color w:val="000000"/>
                <w:sz w:val="20"/>
                <w:szCs w:val="20"/>
                <w:lang w:val="ro-MD"/>
              </w:rPr>
            </w:pPr>
            <w:r w:rsidRPr="00E67099">
              <w:rPr>
                <w:rFonts w:asciiTheme="majorHAnsi" w:eastAsia="Times New Roman" w:hAnsiTheme="majorHAnsi" w:cstheme="majorHAnsi"/>
                <w:b/>
                <w:bCs/>
                <w:color w:val="000000"/>
                <w:sz w:val="20"/>
                <w:szCs w:val="20"/>
                <w:lang w:val="ro-MD"/>
              </w:rPr>
              <w:t>/Aprobat</w:t>
            </w:r>
          </w:p>
        </w:tc>
      </w:tr>
      <w:tr w:rsidR="00E67099" w:rsidRPr="00E67099" w:rsidTr="00A36731">
        <w:trPr>
          <w:gridAfter w:val="1"/>
          <w:wAfter w:w="80" w:type="dxa"/>
          <w:trHeight w:val="240"/>
        </w:trPr>
        <w:tc>
          <w:tcPr>
            <w:tcW w:w="2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jc w:val="center"/>
              <w:rPr>
                <w:rFonts w:asciiTheme="majorHAnsi" w:eastAsia="Times New Roman" w:hAnsiTheme="majorHAnsi" w:cstheme="majorHAnsi"/>
                <w:i/>
                <w:iCs/>
                <w:color w:val="000000"/>
                <w:sz w:val="16"/>
                <w:szCs w:val="16"/>
                <w:lang w:val="ro-MD"/>
              </w:rPr>
            </w:pPr>
            <w:r w:rsidRPr="00E67099">
              <w:rPr>
                <w:rFonts w:asciiTheme="majorHAnsi" w:eastAsia="Times New Roman" w:hAnsiTheme="majorHAnsi" w:cstheme="majorHAnsi"/>
                <w:i/>
                <w:iCs/>
                <w:color w:val="000000"/>
                <w:sz w:val="16"/>
                <w:szCs w:val="16"/>
                <w:lang w:val="ro-MD"/>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7099" w:rsidRPr="00E67099" w:rsidRDefault="00E67099" w:rsidP="00E67099">
            <w:pPr>
              <w:spacing w:after="0" w:line="240" w:lineRule="auto"/>
              <w:jc w:val="center"/>
              <w:rPr>
                <w:rFonts w:asciiTheme="majorHAnsi" w:eastAsia="Times New Roman" w:hAnsiTheme="majorHAnsi" w:cstheme="majorHAnsi"/>
                <w:i/>
                <w:iCs/>
                <w:color w:val="000000"/>
                <w:sz w:val="16"/>
                <w:szCs w:val="16"/>
                <w:lang w:val="ro-MD"/>
              </w:rPr>
            </w:pPr>
            <w:r w:rsidRPr="00E67099">
              <w:rPr>
                <w:rFonts w:asciiTheme="majorHAnsi" w:eastAsia="Times New Roman" w:hAnsiTheme="majorHAnsi" w:cstheme="majorHAnsi"/>
                <w:i/>
                <w:iCs/>
                <w:color w:val="000000"/>
                <w:sz w:val="16"/>
                <w:szCs w:val="16"/>
                <w:lang w:val="ro-MD"/>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7099" w:rsidRPr="00E67099" w:rsidRDefault="00E67099" w:rsidP="00E67099">
            <w:pPr>
              <w:spacing w:after="0" w:line="240" w:lineRule="auto"/>
              <w:jc w:val="center"/>
              <w:rPr>
                <w:rFonts w:asciiTheme="majorHAnsi" w:eastAsia="Times New Roman" w:hAnsiTheme="majorHAnsi" w:cstheme="majorHAnsi"/>
                <w:i/>
                <w:iCs/>
                <w:color w:val="000000"/>
                <w:sz w:val="16"/>
                <w:szCs w:val="16"/>
                <w:lang w:val="ro-MD"/>
              </w:rPr>
            </w:pPr>
            <w:r w:rsidRPr="00E67099">
              <w:rPr>
                <w:rFonts w:asciiTheme="majorHAnsi" w:eastAsia="Times New Roman" w:hAnsiTheme="majorHAnsi" w:cstheme="majorHAnsi"/>
                <w:i/>
                <w:iCs/>
                <w:color w:val="000000"/>
                <w:sz w:val="16"/>
                <w:szCs w:val="16"/>
                <w:lang w:val="ro-MD"/>
              </w:rPr>
              <w:t>3</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7099" w:rsidRPr="00E67099" w:rsidRDefault="00E67099" w:rsidP="00E67099">
            <w:pPr>
              <w:spacing w:after="0" w:line="240" w:lineRule="auto"/>
              <w:jc w:val="center"/>
              <w:rPr>
                <w:rFonts w:asciiTheme="majorHAnsi" w:eastAsia="Times New Roman" w:hAnsiTheme="majorHAnsi" w:cstheme="majorHAnsi"/>
                <w:i/>
                <w:iCs/>
                <w:color w:val="000000"/>
                <w:sz w:val="16"/>
                <w:szCs w:val="16"/>
                <w:lang w:val="ro-MD"/>
              </w:rPr>
            </w:pPr>
            <w:r w:rsidRPr="00E67099">
              <w:rPr>
                <w:rFonts w:asciiTheme="majorHAnsi" w:eastAsia="Times New Roman" w:hAnsiTheme="majorHAnsi" w:cstheme="majorHAnsi"/>
                <w:i/>
                <w:iCs/>
                <w:color w:val="000000"/>
                <w:sz w:val="16"/>
                <w:szCs w:val="16"/>
                <w:lang w:val="ro-MD"/>
              </w:rPr>
              <w:t>4</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7099" w:rsidRPr="00E67099" w:rsidRDefault="00E67099" w:rsidP="00E67099">
            <w:pPr>
              <w:spacing w:after="0" w:line="240" w:lineRule="auto"/>
              <w:jc w:val="center"/>
              <w:rPr>
                <w:rFonts w:asciiTheme="majorHAnsi" w:eastAsia="Times New Roman" w:hAnsiTheme="majorHAnsi" w:cstheme="majorHAnsi"/>
                <w:i/>
                <w:iCs/>
                <w:color w:val="000000"/>
                <w:sz w:val="16"/>
                <w:szCs w:val="16"/>
                <w:lang w:val="ro-MD"/>
              </w:rPr>
            </w:pPr>
            <w:r w:rsidRPr="00E67099">
              <w:rPr>
                <w:rFonts w:asciiTheme="majorHAnsi" w:eastAsia="Times New Roman" w:hAnsiTheme="majorHAnsi" w:cstheme="majorHAnsi"/>
                <w:i/>
                <w:iCs/>
                <w:color w:val="000000"/>
                <w:sz w:val="16"/>
                <w:szCs w:val="16"/>
                <w:lang w:val="ro-MD"/>
              </w:rPr>
              <w:t>5</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7099" w:rsidRPr="00E67099" w:rsidRDefault="00E67099" w:rsidP="00E67099">
            <w:pPr>
              <w:spacing w:after="0" w:line="240" w:lineRule="auto"/>
              <w:jc w:val="center"/>
              <w:rPr>
                <w:rFonts w:asciiTheme="majorHAnsi" w:eastAsia="Times New Roman" w:hAnsiTheme="majorHAnsi" w:cstheme="majorHAnsi"/>
                <w:i/>
                <w:iCs/>
                <w:color w:val="000000"/>
                <w:sz w:val="16"/>
                <w:szCs w:val="16"/>
                <w:lang w:val="ro-MD"/>
              </w:rPr>
            </w:pPr>
            <w:r w:rsidRPr="00E67099">
              <w:rPr>
                <w:rFonts w:asciiTheme="majorHAnsi" w:eastAsia="Times New Roman" w:hAnsiTheme="majorHAnsi" w:cstheme="majorHAnsi"/>
                <w:i/>
                <w:iCs/>
                <w:color w:val="000000"/>
                <w:sz w:val="16"/>
                <w:szCs w:val="16"/>
                <w:lang w:val="ro-MD"/>
              </w:rPr>
              <w:t>6</w:t>
            </w:r>
          </w:p>
        </w:tc>
        <w:tc>
          <w:tcPr>
            <w:tcW w:w="244" w:type="dxa"/>
            <w:vMerge w:val="restart"/>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rsidR="00E67099" w:rsidRPr="00E67099" w:rsidRDefault="00E67099" w:rsidP="00E67099">
            <w:pPr>
              <w:spacing w:after="0" w:line="240" w:lineRule="auto"/>
              <w:jc w:val="center"/>
              <w:rPr>
                <w:rFonts w:asciiTheme="majorHAnsi" w:eastAsia="Times New Roman" w:hAnsiTheme="majorHAnsi" w:cstheme="majorHAnsi"/>
                <w:i/>
                <w:iCs/>
                <w:color w:val="000000"/>
                <w:sz w:val="16"/>
                <w:szCs w:val="16"/>
                <w:highlight w:val="lightGray"/>
                <w:lang w:val="ro-MD"/>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67099" w:rsidRPr="00E67099" w:rsidRDefault="00E67099" w:rsidP="00E67099">
            <w:pPr>
              <w:spacing w:after="0" w:line="240" w:lineRule="auto"/>
              <w:jc w:val="center"/>
              <w:rPr>
                <w:rFonts w:asciiTheme="majorHAnsi" w:eastAsia="Times New Roman" w:hAnsiTheme="majorHAnsi" w:cstheme="majorHAnsi"/>
                <w:i/>
                <w:iCs/>
                <w:color w:val="000000"/>
                <w:sz w:val="16"/>
                <w:szCs w:val="16"/>
                <w:lang w:val="ro-MD"/>
              </w:rPr>
            </w:pPr>
            <w:r w:rsidRPr="00E67099">
              <w:rPr>
                <w:rFonts w:asciiTheme="majorHAnsi" w:eastAsia="Times New Roman" w:hAnsiTheme="majorHAnsi" w:cstheme="majorHAnsi"/>
                <w:i/>
                <w:iCs/>
                <w:color w:val="000000"/>
                <w:sz w:val="16"/>
                <w:szCs w:val="16"/>
                <w:lang w:val="ro-MD"/>
              </w:rPr>
              <w:t>7</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7099" w:rsidRPr="00E67099" w:rsidRDefault="00E67099" w:rsidP="00E67099">
            <w:pPr>
              <w:spacing w:after="0" w:line="240" w:lineRule="auto"/>
              <w:jc w:val="center"/>
              <w:rPr>
                <w:rFonts w:asciiTheme="majorHAnsi" w:eastAsia="Times New Roman" w:hAnsiTheme="majorHAnsi" w:cstheme="majorHAnsi"/>
                <w:i/>
                <w:iCs/>
                <w:color w:val="000000"/>
                <w:sz w:val="16"/>
                <w:szCs w:val="16"/>
                <w:lang w:val="ro-MD"/>
              </w:rPr>
            </w:pPr>
            <w:r w:rsidRPr="00E67099">
              <w:rPr>
                <w:rFonts w:asciiTheme="majorHAnsi" w:eastAsia="Times New Roman" w:hAnsiTheme="majorHAnsi" w:cstheme="majorHAnsi"/>
                <w:i/>
                <w:iCs/>
                <w:color w:val="000000"/>
                <w:sz w:val="16"/>
                <w:szCs w:val="16"/>
                <w:lang w:val="ro-MD"/>
              </w:rPr>
              <w:t>8=6-2</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7099" w:rsidRPr="00E67099" w:rsidRDefault="00E67099" w:rsidP="00E67099">
            <w:pPr>
              <w:spacing w:after="0" w:line="240" w:lineRule="auto"/>
              <w:jc w:val="center"/>
              <w:rPr>
                <w:rFonts w:asciiTheme="majorHAnsi" w:eastAsia="Times New Roman" w:hAnsiTheme="majorHAnsi" w:cstheme="majorHAnsi"/>
                <w:i/>
                <w:iCs/>
                <w:color w:val="000000"/>
                <w:sz w:val="16"/>
                <w:szCs w:val="16"/>
                <w:lang w:val="ro-MD"/>
              </w:rPr>
            </w:pPr>
            <w:r w:rsidRPr="00E67099">
              <w:rPr>
                <w:rFonts w:asciiTheme="majorHAnsi" w:eastAsia="Times New Roman" w:hAnsiTheme="majorHAnsi" w:cstheme="majorHAnsi"/>
                <w:i/>
                <w:iCs/>
                <w:color w:val="000000"/>
                <w:sz w:val="16"/>
                <w:szCs w:val="16"/>
                <w:lang w:val="ro-MD"/>
              </w:rPr>
              <w:t>9=7-6</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7099" w:rsidRPr="00E67099" w:rsidRDefault="00E67099" w:rsidP="00E67099">
            <w:pPr>
              <w:spacing w:after="0" w:line="240" w:lineRule="auto"/>
              <w:jc w:val="center"/>
              <w:rPr>
                <w:rFonts w:asciiTheme="majorHAnsi" w:eastAsia="Times New Roman" w:hAnsiTheme="majorHAnsi" w:cstheme="majorHAnsi"/>
                <w:i/>
                <w:iCs/>
                <w:color w:val="000000"/>
                <w:sz w:val="16"/>
                <w:szCs w:val="16"/>
                <w:lang w:val="ro-MD"/>
              </w:rPr>
            </w:pPr>
            <w:r w:rsidRPr="00E67099">
              <w:rPr>
                <w:rFonts w:asciiTheme="majorHAnsi" w:eastAsia="Times New Roman" w:hAnsiTheme="majorHAnsi" w:cstheme="majorHAnsi"/>
                <w:i/>
                <w:iCs/>
                <w:color w:val="000000"/>
                <w:sz w:val="16"/>
                <w:szCs w:val="16"/>
                <w:lang w:val="ro-MD"/>
              </w:rPr>
              <w:t>10=7-2</w:t>
            </w:r>
          </w:p>
        </w:tc>
      </w:tr>
      <w:tr w:rsidR="00E67099" w:rsidRPr="00E67099" w:rsidTr="00A36731">
        <w:trPr>
          <w:gridAfter w:val="1"/>
          <w:wAfter w:w="80" w:type="dxa"/>
          <w:trHeight w:val="312"/>
        </w:trPr>
        <w:tc>
          <w:tcPr>
            <w:tcW w:w="2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rPr>
                <w:rFonts w:asciiTheme="majorHAnsi" w:eastAsia="Times New Roman" w:hAnsiTheme="majorHAnsi" w:cstheme="majorHAnsi"/>
                <w:b/>
                <w:bCs/>
                <w:color w:val="000000"/>
                <w:sz w:val="20"/>
                <w:szCs w:val="20"/>
                <w:lang w:val="ro-MD"/>
              </w:rPr>
            </w:pPr>
            <w:r w:rsidRPr="00E67099">
              <w:rPr>
                <w:rFonts w:asciiTheme="majorHAnsi" w:eastAsia="Times New Roman" w:hAnsiTheme="majorHAnsi" w:cstheme="majorHAnsi"/>
                <w:b/>
                <w:bCs/>
                <w:color w:val="000000"/>
                <w:sz w:val="20"/>
                <w:szCs w:val="20"/>
                <w:lang w:val="ro-MD"/>
              </w:rPr>
              <w:t>I. Venituri,</w:t>
            </w:r>
            <w:r w:rsidRPr="00E67099">
              <w:rPr>
                <w:rFonts w:asciiTheme="majorHAnsi" w:eastAsia="Times New Roman" w:hAnsiTheme="majorHAnsi" w:cstheme="majorHAnsi"/>
                <w:bCs/>
                <w:i/>
                <w:color w:val="000000"/>
                <w:sz w:val="20"/>
                <w:szCs w:val="20"/>
                <w:lang w:val="ro-MD"/>
              </w:rPr>
              <w:t xml:space="preserve"> inclusiv:</w:t>
            </w:r>
          </w:p>
        </w:tc>
        <w:tc>
          <w:tcPr>
            <w:tcW w:w="1136" w:type="dxa"/>
            <w:tcBorders>
              <w:top w:val="single" w:sz="4" w:space="0" w:color="auto"/>
              <w:left w:val="nil"/>
              <w:bottom w:val="single" w:sz="4" w:space="0" w:color="auto"/>
              <w:right w:val="single" w:sz="12" w:space="0" w:color="auto"/>
            </w:tcBorders>
            <w:shd w:val="clear" w:color="auto" w:fill="auto"/>
            <w:noWrap/>
            <w:vAlign w:val="center"/>
          </w:tcPr>
          <w:p w:rsidR="00E67099" w:rsidRPr="00E67099" w:rsidRDefault="00E67099" w:rsidP="00E67099">
            <w:pPr>
              <w:spacing w:after="0" w:line="240" w:lineRule="auto"/>
              <w:jc w:val="right"/>
              <w:rPr>
                <w:rFonts w:asciiTheme="majorHAnsi" w:eastAsia="Times New Roman" w:hAnsiTheme="majorHAnsi" w:cstheme="majorHAnsi"/>
                <w:b/>
                <w:color w:val="000000"/>
                <w:sz w:val="20"/>
                <w:szCs w:val="20"/>
                <w:lang w:val="ro-MD"/>
              </w:rPr>
            </w:pPr>
            <w:r w:rsidRPr="00E67099">
              <w:rPr>
                <w:rFonts w:asciiTheme="majorHAnsi" w:eastAsia="Times New Roman" w:hAnsiTheme="majorHAnsi" w:cstheme="majorHAnsi"/>
                <w:b/>
                <w:color w:val="000000"/>
                <w:sz w:val="20"/>
                <w:szCs w:val="20"/>
                <w:lang w:val="ro-MD"/>
              </w:rPr>
              <w:t>42 125,5</w:t>
            </w:r>
          </w:p>
        </w:tc>
        <w:tc>
          <w:tcPr>
            <w:tcW w:w="1134" w:type="dxa"/>
            <w:tcBorders>
              <w:top w:val="single" w:sz="4" w:space="0" w:color="auto"/>
              <w:left w:val="single" w:sz="12" w:space="0" w:color="auto"/>
              <w:bottom w:val="single" w:sz="4" w:space="0" w:color="auto"/>
              <w:right w:val="single" w:sz="4" w:space="0" w:color="auto"/>
            </w:tcBorders>
            <w:shd w:val="clear" w:color="auto" w:fill="auto"/>
            <w:noWrap/>
            <w:vAlign w:val="center"/>
          </w:tcPr>
          <w:p w:rsidR="00E67099" w:rsidRPr="00E67099" w:rsidRDefault="00E67099" w:rsidP="00E67099">
            <w:pPr>
              <w:spacing w:after="0" w:line="240" w:lineRule="auto"/>
              <w:jc w:val="right"/>
              <w:rPr>
                <w:rFonts w:asciiTheme="majorHAnsi" w:eastAsia="Times New Roman" w:hAnsiTheme="majorHAnsi" w:cstheme="majorHAnsi"/>
                <w:b/>
                <w:color w:val="000000"/>
                <w:sz w:val="20"/>
                <w:szCs w:val="20"/>
                <w:lang w:val="ro-MD"/>
              </w:rPr>
            </w:pPr>
            <w:r w:rsidRPr="00E67099">
              <w:rPr>
                <w:rFonts w:asciiTheme="majorHAnsi" w:eastAsia="Times New Roman" w:hAnsiTheme="majorHAnsi" w:cstheme="majorHAnsi"/>
                <w:b/>
                <w:color w:val="000000"/>
                <w:sz w:val="20"/>
                <w:szCs w:val="20"/>
                <w:lang w:val="ro-MD"/>
              </w:rPr>
              <w:t>x</w:t>
            </w:r>
          </w:p>
        </w:tc>
        <w:tc>
          <w:tcPr>
            <w:tcW w:w="1133" w:type="dxa"/>
            <w:tcBorders>
              <w:top w:val="single" w:sz="4" w:space="0" w:color="auto"/>
              <w:left w:val="nil"/>
              <w:bottom w:val="single" w:sz="4" w:space="0" w:color="auto"/>
              <w:right w:val="single" w:sz="4" w:space="0" w:color="auto"/>
            </w:tcBorders>
            <w:shd w:val="clear" w:color="auto" w:fill="auto"/>
            <w:noWrap/>
            <w:vAlign w:val="center"/>
          </w:tcPr>
          <w:p w:rsidR="00E67099" w:rsidRPr="00E67099" w:rsidRDefault="00E67099" w:rsidP="00E67099">
            <w:pPr>
              <w:spacing w:after="0" w:line="240" w:lineRule="auto"/>
              <w:jc w:val="right"/>
              <w:rPr>
                <w:rFonts w:asciiTheme="majorHAnsi" w:eastAsia="Times New Roman" w:hAnsiTheme="majorHAnsi" w:cstheme="majorHAnsi"/>
                <w:b/>
                <w:color w:val="000000"/>
                <w:sz w:val="20"/>
                <w:szCs w:val="20"/>
                <w:lang w:val="ro-MD"/>
              </w:rPr>
            </w:pPr>
            <w:r w:rsidRPr="00E67099">
              <w:rPr>
                <w:rFonts w:asciiTheme="majorHAnsi" w:eastAsia="Times New Roman" w:hAnsiTheme="majorHAnsi" w:cstheme="majorHAnsi"/>
                <w:b/>
                <w:color w:val="000000"/>
                <w:sz w:val="20"/>
                <w:szCs w:val="20"/>
                <w:lang w:val="ro-MD"/>
              </w:rPr>
              <w:t>x</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E67099" w:rsidRPr="00E67099" w:rsidRDefault="00E67099" w:rsidP="00E67099">
            <w:pPr>
              <w:spacing w:after="0" w:line="240" w:lineRule="auto"/>
              <w:jc w:val="right"/>
              <w:rPr>
                <w:rFonts w:asciiTheme="majorHAnsi" w:eastAsia="Times New Roman" w:hAnsiTheme="majorHAnsi" w:cstheme="majorHAnsi"/>
                <w:b/>
                <w:color w:val="000000"/>
                <w:sz w:val="20"/>
                <w:szCs w:val="20"/>
                <w:lang w:val="ro-MD"/>
              </w:rPr>
            </w:pPr>
            <w:r w:rsidRPr="00E67099">
              <w:rPr>
                <w:rFonts w:asciiTheme="majorHAnsi" w:eastAsia="Times New Roman" w:hAnsiTheme="majorHAnsi" w:cstheme="majorHAnsi"/>
                <w:b/>
                <w:color w:val="000000"/>
                <w:sz w:val="20"/>
                <w:szCs w:val="20"/>
                <w:lang w:val="ro-MD"/>
              </w:rPr>
              <w:t>x</w:t>
            </w:r>
          </w:p>
        </w:tc>
        <w:tc>
          <w:tcPr>
            <w:tcW w:w="1267" w:type="dxa"/>
            <w:tcBorders>
              <w:top w:val="single" w:sz="4" w:space="0" w:color="auto"/>
              <w:left w:val="nil"/>
              <w:bottom w:val="single" w:sz="4" w:space="0" w:color="auto"/>
              <w:right w:val="single" w:sz="4" w:space="0" w:color="auto"/>
            </w:tcBorders>
            <w:shd w:val="clear" w:color="auto" w:fill="auto"/>
            <w:noWrap/>
            <w:vAlign w:val="center"/>
          </w:tcPr>
          <w:p w:rsidR="00E67099" w:rsidRPr="00E67099" w:rsidRDefault="00E67099" w:rsidP="00E67099">
            <w:pPr>
              <w:spacing w:after="0" w:line="240" w:lineRule="auto"/>
              <w:jc w:val="right"/>
              <w:rPr>
                <w:rFonts w:asciiTheme="majorHAnsi" w:eastAsia="Times New Roman" w:hAnsiTheme="majorHAnsi" w:cstheme="majorHAnsi"/>
                <w:b/>
                <w:color w:val="000000"/>
                <w:sz w:val="20"/>
                <w:szCs w:val="20"/>
                <w:lang w:val="ro-MD"/>
              </w:rPr>
            </w:pPr>
            <w:r w:rsidRPr="00E67099">
              <w:rPr>
                <w:rFonts w:asciiTheme="majorHAnsi" w:eastAsia="Times New Roman" w:hAnsiTheme="majorHAnsi" w:cstheme="majorHAnsi"/>
                <w:b/>
                <w:color w:val="000000"/>
                <w:sz w:val="20"/>
                <w:szCs w:val="20"/>
                <w:lang w:val="ro-MD"/>
              </w:rPr>
              <w:t>40 633,5</w:t>
            </w:r>
          </w:p>
        </w:tc>
        <w:tc>
          <w:tcPr>
            <w:tcW w:w="244" w:type="dxa"/>
            <w:vMerge/>
            <w:tcBorders>
              <w:top w:val="single" w:sz="4" w:space="0" w:color="auto"/>
              <w:left w:val="nil"/>
              <w:right w:val="single" w:sz="12" w:space="0" w:color="auto"/>
            </w:tcBorders>
            <w:shd w:val="clear" w:color="auto" w:fill="C9C9C9" w:themeFill="accent3" w:themeFillTint="99"/>
            <w:noWrap/>
            <w:vAlign w:val="center"/>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highlight w:val="lightGray"/>
                <w:lang w:val="ro-MD"/>
              </w:rPr>
            </w:pPr>
          </w:p>
        </w:tc>
        <w:tc>
          <w:tcPr>
            <w:tcW w:w="1131"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E67099" w:rsidRPr="00E67099" w:rsidRDefault="00E67099" w:rsidP="00E67099">
            <w:pPr>
              <w:spacing w:after="0" w:line="240" w:lineRule="auto"/>
              <w:jc w:val="right"/>
              <w:rPr>
                <w:rFonts w:asciiTheme="majorHAnsi" w:eastAsia="Times New Roman" w:hAnsiTheme="majorHAnsi" w:cstheme="majorHAnsi"/>
                <w:b/>
                <w:color w:val="000000"/>
                <w:sz w:val="20"/>
                <w:szCs w:val="20"/>
                <w:lang w:val="ro-MD"/>
              </w:rPr>
            </w:pPr>
            <w:r w:rsidRPr="00E67099">
              <w:rPr>
                <w:rFonts w:asciiTheme="majorHAnsi" w:eastAsia="Times New Roman" w:hAnsiTheme="majorHAnsi" w:cstheme="majorHAnsi"/>
                <w:b/>
                <w:color w:val="000000"/>
                <w:sz w:val="20"/>
                <w:szCs w:val="20"/>
                <w:lang w:val="ro-MD"/>
              </w:rPr>
              <w:t>40 642,9</w:t>
            </w:r>
          </w:p>
        </w:tc>
        <w:tc>
          <w:tcPr>
            <w:tcW w:w="1173" w:type="dxa"/>
            <w:tcBorders>
              <w:top w:val="nil"/>
              <w:left w:val="nil"/>
              <w:bottom w:val="single" w:sz="8" w:space="0" w:color="auto"/>
              <w:right w:val="single" w:sz="8" w:space="0" w:color="auto"/>
            </w:tcBorders>
            <w:shd w:val="clear" w:color="auto" w:fill="auto"/>
            <w:noWrap/>
            <w:vAlign w:val="center"/>
          </w:tcPr>
          <w:p w:rsidR="00E67099" w:rsidRPr="00E67099" w:rsidRDefault="00E67099" w:rsidP="00E67099">
            <w:pPr>
              <w:spacing w:after="0"/>
              <w:jc w:val="right"/>
              <w:rPr>
                <w:rFonts w:ascii="Calibri Light" w:hAnsi="Calibri Light" w:cs="Calibri Light"/>
                <w:b/>
                <w:bCs/>
                <w:color w:val="000000"/>
                <w:sz w:val="20"/>
                <w:szCs w:val="20"/>
                <w:lang w:val="en-US"/>
              </w:rPr>
            </w:pPr>
            <w:r w:rsidRPr="00E67099">
              <w:rPr>
                <w:rFonts w:ascii="Calibri Light" w:hAnsi="Calibri Light" w:cs="Calibri Light"/>
                <w:b/>
                <w:bCs/>
                <w:color w:val="000000"/>
                <w:sz w:val="20"/>
                <w:szCs w:val="20"/>
              </w:rPr>
              <w:t>-1492</w:t>
            </w:r>
          </w:p>
        </w:tc>
        <w:tc>
          <w:tcPr>
            <w:tcW w:w="1183" w:type="dxa"/>
            <w:tcBorders>
              <w:top w:val="nil"/>
              <w:left w:val="nil"/>
              <w:bottom w:val="single" w:sz="8" w:space="0" w:color="auto"/>
              <w:right w:val="single" w:sz="8" w:space="0" w:color="auto"/>
            </w:tcBorders>
            <w:shd w:val="clear" w:color="auto" w:fill="auto"/>
            <w:noWrap/>
            <w:vAlign w:val="center"/>
          </w:tcPr>
          <w:p w:rsidR="00E67099" w:rsidRPr="00E67099" w:rsidRDefault="00E67099" w:rsidP="00E67099">
            <w:pPr>
              <w:spacing w:after="0"/>
              <w:jc w:val="right"/>
              <w:rPr>
                <w:rFonts w:ascii="Calibri Light" w:hAnsi="Calibri Light" w:cs="Calibri Light"/>
                <w:b/>
                <w:bCs/>
                <w:color w:val="000000"/>
                <w:sz w:val="20"/>
                <w:szCs w:val="20"/>
                <w:lang w:val="en-US"/>
              </w:rPr>
            </w:pPr>
            <w:r w:rsidRPr="00E67099">
              <w:rPr>
                <w:rFonts w:ascii="Calibri Light" w:hAnsi="Calibri Light" w:cs="Calibri Light"/>
                <w:b/>
                <w:bCs/>
                <w:color w:val="000000"/>
                <w:sz w:val="20"/>
                <w:szCs w:val="20"/>
              </w:rPr>
              <w:t>9,4</w:t>
            </w:r>
          </w:p>
        </w:tc>
        <w:tc>
          <w:tcPr>
            <w:tcW w:w="1085" w:type="dxa"/>
            <w:tcBorders>
              <w:top w:val="nil"/>
              <w:left w:val="nil"/>
              <w:bottom w:val="single" w:sz="8" w:space="0" w:color="auto"/>
              <w:right w:val="single" w:sz="8" w:space="0" w:color="auto"/>
            </w:tcBorders>
            <w:shd w:val="clear" w:color="auto" w:fill="auto"/>
            <w:noWrap/>
            <w:vAlign w:val="center"/>
          </w:tcPr>
          <w:p w:rsidR="00E67099" w:rsidRPr="00E67099" w:rsidRDefault="00E67099" w:rsidP="00E67099">
            <w:pPr>
              <w:spacing w:after="0"/>
              <w:jc w:val="right"/>
              <w:rPr>
                <w:rFonts w:ascii="Calibri Light" w:hAnsi="Calibri Light" w:cs="Calibri Light"/>
                <w:b/>
                <w:bCs/>
                <w:color w:val="000000"/>
                <w:sz w:val="20"/>
                <w:szCs w:val="20"/>
                <w:lang w:val="en-US"/>
              </w:rPr>
            </w:pPr>
            <w:r w:rsidRPr="00E67099">
              <w:rPr>
                <w:rFonts w:ascii="Calibri Light" w:hAnsi="Calibri Light" w:cs="Calibri Light"/>
                <w:b/>
                <w:bCs/>
                <w:color w:val="000000"/>
                <w:sz w:val="20"/>
                <w:szCs w:val="20"/>
              </w:rPr>
              <w:t>-1482,6</w:t>
            </w:r>
          </w:p>
        </w:tc>
      </w:tr>
      <w:tr w:rsidR="00E67099" w:rsidRPr="00E67099" w:rsidTr="00A36731">
        <w:trPr>
          <w:gridAfter w:val="1"/>
          <w:wAfter w:w="80" w:type="dxa"/>
          <w:trHeight w:val="258"/>
        </w:trPr>
        <w:tc>
          <w:tcPr>
            <w:tcW w:w="2975" w:type="dxa"/>
            <w:tcBorders>
              <w:top w:val="nil"/>
              <w:left w:val="single" w:sz="4" w:space="0" w:color="auto"/>
              <w:bottom w:val="single" w:sz="4" w:space="0" w:color="auto"/>
              <w:right w:val="single" w:sz="4" w:space="0" w:color="auto"/>
            </w:tcBorders>
            <w:shd w:val="clear" w:color="auto" w:fill="auto"/>
            <w:noWrap/>
            <w:vAlign w:val="center"/>
          </w:tcPr>
          <w:p w:rsidR="00E67099" w:rsidRPr="00E67099" w:rsidRDefault="00E67099" w:rsidP="00E67099">
            <w:pPr>
              <w:spacing w:after="0" w:line="240" w:lineRule="auto"/>
              <w:rPr>
                <w:rFonts w:asciiTheme="majorHAnsi" w:eastAsia="Times New Roman" w:hAnsiTheme="majorHAnsi" w:cstheme="majorHAnsi"/>
                <w:bCs/>
                <w:color w:val="000000"/>
                <w:sz w:val="20"/>
                <w:szCs w:val="20"/>
                <w:lang w:val="ro-MD"/>
              </w:rPr>
            </w:pPr>
            <w:r w:rsidRPr="00E67099">
              <w:rPr>
                <w:rFonts w:asciiTheme="majorHAnsi" w:eastAsia="Times New Roman" w:hAnsiTheme="majorHAnsi" w:cstheme="majorHAnsi"/>
                <w:bCs/>
                <w:color w:val="000000"/>
                <w:sz w:val="20"/>
                <w:szCs w:val="20"/>
                <w:lang w:val="ro-MD"/>
              </w:rPr>
              <w:t>impozite și taxe</w:t>
            </w:r>
          </w:p>
        </w:tc>
        <w:tc>
          <w:tcPr>
            <w:tcW w:w="1136" w:type="dxa"/>
            <w:tcBorders>
              <w:top w:val="nil"/>
              <w:left w:val="nil"/>
              <w:bottom w:val="single" w:sz="4" w:space="0" w:color="auto"/>
              <w:right w:val="single" w:sz="12" w:space="0" w:color="auto"/>
            </w:tcBorders>
            <w:shd w:val="clear" w:color="auto" w:fill="auto"/>
            <w:noWrap/>
            <w:vAlign w:val="center"/>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37 337,4</w:t>
            </w:r>
          </w:p>
        </w:tc>
        <w:tc>
          <w:tcPr>
            <w:tcW w:w="1134" w:type="dxa"/>
            <w:tcBorders>
              <w:top w:val="nil"/>
              <w:left w:val="single" w:sz="12" w:space="0" w:color="auto"/>
              <w:bottom w:val="single" w:sz="4" w:space="0" w:color="auto"/>
              <w:right w:val="single" w:sz="4" w:space="0" w:color="auto"/>
            </w:tcBorders>
            <w:shd w:val="clear" w:color="auto" w:fill="auto"/>
            <w:noWrap/>
            <w:vAlign w:val="center"/>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x</w:t>
            </w:r>
          </w:p>
        </w:tc>
        <w:tc>
          <w:tcPr>
            <w:tcW w:w="1133" w:type="dxa"/>
            <w:tcBorders>
              <w:top w:val="nil"/>
              <w:left w:val="nil"/>
              <w:bottom w:val="single" w:sz="4" w:space="0" w:color="auto"/>
              <w:right w:val="single" w:sz="4" w:space="0" w:color="auto"/>
            </w:tcBorders>
            <w:shd w:val="clear" w:color="auto" w:fill="auto"/>
            <w:noWrap/>
            <w:vAlign w:val="center"/>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x</w:t>
            </w:r>
          </w:p>
        </w:tc>
        <w:tc>
          <w:tcPr>
            <w:tcW w:w="1141" w:type="dxa"/>
            <w:tcBorders>
              <w:top w:val="nil"/>
              <w:left w:val="nil"/>
              <w:bottom w:val="single" w:sz="4" w:space="0" w:color="auto"/>
              <w:right w:val="single" w:sz="4" w:space="0" w:color="auto"/>
            </w:tcBorders>
            <w:shd w:val="clear" w:color="auto" w:fill="auto"/>
            <w:noWrap/>
            <w:vAlign w:val="center"/>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x</w:t>
            </w:r>
          </w:p>
        </w:tc>
        <w:tc>
          <w:tcPr>
            <w:tcW w:w="1267" w:type="dxa"/>
            <w:tcBorders>
              <w:top w:val="nil"/>
              <w:left w:val="nil"/>
              <w:bottom w:val="single" w:sz="4" w:space="0" w:color="auto"/>
              <w:right w:val="single" w:sz="4" w:space="0" w:color="auto"/>
            </w:tcBorders>
            <w:shd w:val="clear" w:color="auto" w:fill="auto"/>
            <w:noWrap/>
            <w:vAlign w:val="center"/>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37 030,1</w:t>
            </w:r>
          </w:p>
        </w:tc>
        <w:tc>
          <w:tcPr>
            <w:tcW w:w="244" w:type="dxa"/>
            <w:vMerge/>
            <w:tcBorders>
              <w:left w:val="nil"/>
              <w:right w:val="single" w:sz="12" w:space="0" w:color="auto"/>
            </w:tcBorders>
            <w:shd w:val="clear" w:color="auto" w:fill="C9C9C9" w:themeFill="accent3" w:themeFillTint="99"/>
            <w:noWrap/>
            <w:vAlign w:val="center"/>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highlight w:val="lightGray"/>
                <w:lang w:val="ro-MD"/>
              </w:rPr>
            </w:pPr>
          </w:p>
        </w:tc>
        <w:tc>
          <w:tcPr>
            <w:tcW w:w="1131" w:type="dxa"/>
            <w:tcBorders>
              <w:top w:val="nil"/>
              <w:left w:val="single" w:sz="12" w:space="0" w:color="auto"/>
              <w:bottom w:val="single" w:sz="4" w:space="0" w:color="auto"/>
              <w:right w:val="single" w:sz="12" w:space="0" w:color="auto"/>
            </w:tcBorders>
            <w:shd w:val="clear" w:color="auto" w:fill="auto"/>
            <w:noWrap/>
            <w:vAlign w:val="center"/>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37 030,1</w:t>
            </w:r>
          </w:p>
        </w:tc>
        <w:tc>
          <w:tcPr>
            <w:tcW w:w="1173" w:type="dxa"/>
            <w:tcBorders>
              <w:top w:val="nil"/>
              <w:left w:val="nil"/>
              <w:bottom w:val="single" w:sz="8" w:space="0" w:color="auto"/>
              <w:right w:val="single" w:sz="8" w:space="0" w:color="auto"/>
            </w:tcBorders>
            <w:shd w:val="clear" w:color="auto" w:fill="auto"/>
            <w:noWrap/>
            <w:vAlign w:val="center"/>
          </w:tcPr>
          <w:p w:rsidR="00E67099" w:rsidRPr="00E67099" w:rsidRDefault="00E67099" w:rsidP="00E67099">
            <w:pPr>
              <w:spacing w:after="0"/>
              <w:jc w:val="right"/>
              <w:rPr>
                <w:rFonts w:ascii="Calibri Light" w:hAnsi="Calibri Light" w:cs="Calibri Light"/>
                <w:bCs/>
                <w:color w:val="000000"/>
                <w:sz w:val="20"/>
                <w:szCs w:val="20"/>
              </w:rPr>
            </w:pPr>
            <w:r w:rsidRPr="00E67099">
              <w:rPr>
                <w:rFonts w:ascii="Calibri Light" w:hAnsi="Calibri Light" w:cs="Calibri Light"/>
                <w:bCs/>
                <w:color w:val="000000"/>
                <w:sz w:val="20"/>
                <w:szCs w:val="20"/>
              </w:rPr>
              <w:t>-307,3</w:t>
            </w:r>
          </w:p>
        </w:tc>
        <w:tc>
          <w:tcPr>
            <w:tcW w:w="1183" w:type="dxa"/>
            <w:tcBorders>
              <w:top w:val="nil"/>
              <w:left w:val="nil"/>
              <w:bottom w:val="single" w:sz="8" w:space="0" w:color="auto"/>
              <w:right w:val="single" w:sz="8" w:space="0" w:color="auto"/>
            </w:tcBorders>
            <w:shd w:val="clear" w:color="auto" w:fill="auto"/>
            <w:noWrap/>
            <w:vAlign w:val="center"/>
          </w:tcPr>
          <w:p w:rsidR="00E67099" w:rsidRPr="00E67099" w:rsidRDefault="00E67099" w:rsidP="00E67099">
            <w:pPr>
              <w:spacing w:after="0"/>
              <w:jc w:val="right"/>
              <w:rPr>
                <w:rFonts w:ascii="Calibri Light" w:hAnsi="Calibri Light" w:cs="Calibri Light"/>
                <w:bCs/>
                <w:color w:val="000000"/>
                <w:sz w:val="20"/>
                <w:szCs w:val="20"/>
              </w:rPr>
            </w:pPr>
            <w:r w:rsidRPr="00E67099">
              <w:rPr>
                <w:rFonts w:ascii="Calibri Light" w:hAnsi="Calibri Light" w:cs="Calibri Light"/>
                <w:bCs/>
                <w:color w:val="000000"/>
                <w:sz w:val="20"/>
                <w:szCs w:val="20"/>
              </w:rPr>
              <w:t>0</w:t>
            </w:r>
          </w:p>
        </w:tc>
        <w:tc>
          <w:tcPr>
            <w:tcW w:w="1085" w:type="dxa"/>
            <w:tcBorders>
              <w:top w:val="nil"/>
              <w:left w:val="nil"/>
              <w:bottom w:val="single" w:sz="8" w:space="0" w:color="auto"/>
              <w:right w:val="single" w:sz="8" w:space="0" w:color="auto"/>
            </w:tcBorders>
            <w:shd w:val="clear" w:color="auto" w:fill="auto"/>
            <w:noWrap/>
            <w:vAlign w:val="center"/>
          </w:tcPr>
          <w:p w:rsidR="00E67099" w:rsidRPr="00E67099" w:rsidRDefault="00E67099" w:rsidP="00E67099">
            <w:pPr>
              <w:spacing w:after="0"/>
              <w:jc w:val="right"/>
              <w:rPr>
                <w:rFonts w:ascii="Calibri Light" w:hAnsi="Calibri Light" w:cs="Calibri Light"/>
                <w:bCs/>
                <w:color w:val="000000"/>
                <w:sz w:val="20"/>
                <w:szCs w:val="20"/>
              </w:rPr>
            </w:pPr>
            <w:r w:rsidRPr="00E67099">
              <w:rPr>
                <w:rFonts w:ascii="Calibri Light" w:hAnsi="Calibri Light" w:cs="Calibri Light"/>
                <w:bCs/>
                <w:color w:val="000000"/>
                <w:sz w:val="20"/>
                <w:szCs w:val="20"/>
              </w:rPr>
              <w:t>-307,3</w:t>
            </w:r>
          </w:p>
        </w:tc>
      </w:tr>
      <w:tr w:rsidR="00E67099" w:rsidRPr="00E67099" w:rsidTr="00A36731">
        <w:trPr>
          <w:gridAfter w:val="1"/>
          <w:wAfter w:w="80" w:type="dxa"/>
          <w:trHeight w:val="312"/>
        </w:trPr>
        <w:tc>
          <w:tcPr>
            <w:tcW w:w="2975" w:type="dxa"/>
            <w:tcBorders>
              <w:top w:val="nil"/>
              <w:left w:val="single" w:sz="4" w:space="0" w:color="auto"/>
              <w:bottom w:val="single" w:sz="4" w:space="0" w:color="auto"/>
              <w:right w:val="single" w:sz="4" w:space="0" w:color="auto"/>
            </w:tcBorders>
            <w:shd w:val="clear" w:color="auto" w:fill="auto"/>
            <w:noWrap/>
            <w:vAlign w:val="center"/>
          </w:tcPr>
          <w:p w:rsidR="00E67099" w:rsidRPr="00E67099" w:rsidRDefault="00E67099" w:rsidP="00E67099">
            <w:pPr>
              <w:spacing w:after="0" w:line="240" w:lineRule="auto"/>
              <w:rPr>
                <w:rFonts w:asciiTheme="majorHAnsi" w:eastAsia="Times New Roman" w:hAnsiTheme="majorHAnsi" w:cstheme="majorHAnsi"/>
                <w:bCs/>
                <w:color w:val="000000"/>
                <w:sz w:val="20"/>
                <w:szCs w:val="20"/>
                <w:lang w:val="ro-MD"/>
              </w:rPr>
            </w:pPr>
            <w:r w:rsidRPr="00E67099">
              <w:rPr>
                <w:rFonts w:asciiTheme="majorHAnsi" w:eastAsia="Times New Roman" w:hAnsiTheme="majorHAnsi" w:cstheme="majorHAnsi"/>
                <w:bCs/>
                <w:color w:val="000000"/>
                <w:sz w:val="20"/>
                <w:szCs w:val="20"/>
                <w:lang w:val="ro-MD"/>
              </w:rPr>
              <w:t>granturi primite</w:t>
            </w:r>
          </w:p>
        </w:tc>
        <w:tc>
          <w:tcPr>
            <w:tcW w:w="1136" w:type="dxa"/>
            <w:tcBorders>
              <w:top w:val="nil"/>
              <w:left w:val="nil"/>
              <w:bottom w:val="single" w:sz="4" w:space="0" w:color="auto"/>
              <w:right w:val="single" w:sz="12" w:space="0" w:color="auto"/>
            </w:tcBorders>
            <w:shd w:val="clear" w:color="auto" w:fill="auto"/>
            <w:noWrap/>
            <w:vAlign w:val="center"/>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1 960,3</w:t>
            </w:r>
          </w:p>
        </w:tc>
        <w:tc>
          <w:tcPr>
            <w:tcW w:w="1134" w:type="dxa"/>
            <w:tcBorders>
              <w:top w:val="nil"/>
              <w:left w:val="single" w:sz="12" w:space="0" w:color="auto"/>
              <w:bottom w:val="single" w:sz="4" w:space="0" w:color="auto"/>
              <w:right w:val="single" w:sz="4" w:space="0" w:color="auto"/>
            </w:tcBorders>
            <w:shd w:val="clear" w:color="auto" w:fill="auto"/>
            <w:noWrap/>
            <w:vAlign w:val="center"/>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x</w:t>
            </w:r>
          </w:p>
        </w:tc>
        <w:tc>
          <w:tcPr>
            <w:tcW w:w="1133" w:type="dxa"/>
            <w:tcBorders>
              <w:top w:val="nil"/>
              <w:left w:val="nil"/>
              <w:bottom w:val="single" w:sz="4" w:space="0" w:color="auto"/>
              <w:right w:val="single" w:sz="4" w:space="0" w:color="auto"/>
            </w:tcBorders>
            <w:shd w:val="clear" w:color="auto" w:fill="auto"/>
            <w:noWrap/>
            <w:vAlign w:val="center"/>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x</w:t>
            </w:r>
          </w:p>
        </w:tc>
        <w:tc>
          <w:tcPr>
            <w:tcW w:w="1141" w:type="dxa"/>
            <w:tcBorders>
              <w:top w:val="nil"/>
              <w:left w:val="nil"/>
              <w:bottom w:val="single" w:sz="4" w:space="0" w:color="auto"/>
              <w:right w:val="single" w:sz="4" w:space="0" w:color="auto"/>
            </w:tcBorders>
            <w:shd w:val="clear" w:color="auto" w:fill="auto"/>
            <w:noWrap/>
            <w:vAlign w:val="center"/>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x</w:t>
            </w:r>
          </w:p>
        </w:tc>
        <w:tc>
          <w:tcPr>
            <w:tcW w:w="1267" w:type="dxa"/>
            <w:tcBorders>
              <w:top w:val="nil"/>
              <w:left w:val="nil"/>
              <w:bottom w:val="single" w:sz="4" w:space="0" w:color="auto"/>
              <w:right w:val="single" w:sz="4" w:space="0" w:color="auto"/>
            </w:tcBorders>
            <w:shd w:val="clear" w:color="auto" w:fill="auto"/>
            <w:noWrap/>
            <w:vAlign w:val="center"/>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1 786,2</w:t>
            </w:r>
          </w:p>
        </w:tc>
        <w:tc>
          <w:tcPr>
            <w:tcW w:w="244" w:type="dxa"/>
            <w:vMerge/>
            <w:tcBorders>
              <w:left w:val="nil"/>
              <w:right w:val="single" w:sz="12" w:space="0" w:color="auto"/>
            </w:tcBorders>
            <w:shd w:val="clear" w:color="auto" w:fill="C9C9C9" w:themeFill="accent3" w:themeFillTint="99"/>
            <w:noWrap/>
            <w:vAlign w:val="center"/>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highlight w:val="lightGray"/>
                <w:lang w:val="ro-MD"/>
              </w:rPr>
            </w:pPr>
          </w:p>
        </w:tc>
        <w:tc>
          <w:tcPr>
            <w:tcW w:w="1131" w:type="dxa"/>
            <w:tcBorders>
              <w:top w:val="nil"/>
              <w:left w:val="single" w:sz="12" w:space="0" w:color="auto"/>
              <w:bottom w:val="single" w:sz="4" w:space="0" w:color="auto"/>
              <w:right w:val="single" w:sz="12" w:space="0" w:color="auto"/>
            </w:tcBorders>
            <w:shd w:val="clear" w:color="auto" w:fill="auto"/>
            <w:noWrap/>
            <w:vAlign w:val="center"/>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1 793,9</w:t>
            </w:r>
          </w:p>
        </w:tc>
        <w:tc>
          <w:tcPr>
            <w:tcW w:w="1173" w:type="dxa"/>
            <w:tcBorders>
              <w:top w:val="nil"/>
              <w:left w:val="nil"/>
              <w:bottom w:val="single" w:sz="8" w:space="0" w:color="auto"/>
              <w:right w:val="single" w:sz="8" w:space="0" w:color="auto"/>
            </w:tcBorders>
            <w:shd w:val="clear" w:color="auto" w:fill="auto"/>
            <w:noWrap/>
            <w:vAlign w:val="center"/>
          </w:tcPr>
          <w:p w:rsidR="00E67099" w:rsidRPr="00E67099" w:rsidRDefault="00E67099" w:rsidP="00E67099">
            <w:pPr>
              <w:spacing w:after="0"/>
              <w:jc w:val="right"/>
              <w:rPr>
                <w:rFonts w:ascii="Calibri Light" w:hAnsi="Calibri Light" w:cs="Calibri Light"/>
                <w:bCs/>
                <w:color w:val="000000"/>
                <w:sz w:val="20"/>
                <w:szCs w:val="20"/>
              </w:rPr>
            </w:pPr>
            <w:r w:rsidRPr="00E67099">
              <w:rPr>
                <w:rFonts w:ascii="Calibri Light" w:hAnsi="Calibri Light" w:cs="Calibri Light"/>
                <w:bCs/>
                <w:color w:val="000000"/>
                <w:sz w:val="20"/>
                <w:szCs w:val="20"/>
              </w:rPr>
              <w:t>-174,1</w:t>
            </w:r>
          </w:p>
        </w:tc>
        <w:tc>
          <w:tcPr>
            <w:tcW w:w="1183" w:type="dxa"/>
            <w:tcBorders>
              <w:top w:val="nil"/>
              <w:left w:val="nil"/>
              <w:bottom w:val="single" w:sz="8" w:space="0" w:color="auto"/>
              <w:right w:val="single" w:sz="8" w:space="0" w:color="auto"/>
            </w:tcBorders>
            <w:shd w:val="clear" w:color="auto" w:fill="auto"/>
            <w:noWrap/>
            <w:vAlign w:val="center"/>
          </w:tcPr>
          <w:p w:rsidR="00E67099" w:rsidRPr="00E67099" w:rsidRDefault="00E67099" w:rsidP="00E67099">
            <w:pPr>
              <w:spacing w:after="0"/>
              <w:jc w:val="right"/>
              <w:rPr>
                <w:rFonts w:ascii="Calibri Light" w:hAnsi="Calibri Light" w:cs="Calibri Light"/>
                <w:bCs/>
                <w:color w:val="000000"/>
                <w:sz w:val="20"/>
                <w:szCs w:val="20"/>
              </w:rPr>
            </w:pPr>
            <w:r w:rsidRPr="00E67099">
              <w:rPr>
                <w:rFonts w:ascii="Calibri Light" w:hAnsi="Calibri Light" w:cs="Calibri Light"/>
                <w:bCs/>
                <w:color w:val="000000"/>
                <w:sz w:val="20"/>
                <w:szCs w:val="20"/>
              </w:rPr>
              <w:t>7,7</w:t>
            </w:r>
          </w:p>
        </w:tc>
        <w:tc>
          <w:tcPr>
            <w:tcW w:w="1085" w:type="dxa"/>
            <w:tcBorders>
              <w:top w:val="nil"/>
              <w:left w:val="nil"/>
              <w:bottom w:val="single" w:sz="8" w:space="0" w:color="auto"/>
              <w:right w:val="single" w:sz="8" w:space="0" w:color="auto"/>
            </w:tcBorders>
            <w:shd w:val="clear" w:color="auto" w:fill="auto"/>
            <w:noWrap/>
            <w:vAlign w:val="center"/>
          </w:tcPr>
          <w:p w:rsidR="00E67099" w:rsidRPr="00E67099" w:rsidRDefault="00E67099" w:rsidP="00E67099">
            <w:pPr>
              <w:spacing w:after="0"/>
              <w:jc w:val="right"/>
              <w:rPr>
                <w:rFonts w:ascii="Calibri Light" w:hAnsi="Calibri Light" w:cs="Calibri Light"/>
                <w:bCs/>
                <w:color w:val="000000"/>
                <w:sz w:val="20"/>
                <w:szCs w:val="20"/>
              </w:rPr>
            </w:pPr>
            <w:r w:rsidRPr="00E67099">
              <w:rPr>
                <w:rFonts w:ascii="Calibri Light" w:hAnsi="Calibri Light" w:cs="Calibri Light"/>
                <w:bCs/>
                <w:color w:val="000000"/>
                <w:sz w:val="20"/>
                <w:szCs w:val="20"/>
              </w:rPr>
              <w:t>-166,4</w:t>
            </w:r>
          </w:p>
        </w:tc>
      </w:tr>
      <w:tr w:rsidR="00E67099" w:rsidRPr="00E67099" w:rsidTr="00A36731">
        <w:trPr>
          <w:gridAfter w:val="1"/>
          <w:wAfter w:w="80" w:type="dxa"/>
          <w:trHeight w:val="312"/>
        </w:trPr>
        <w:tc>
          <w:tcPr>
            <w:tcW w:w="2975" w:type="dxa"/>
            <w:tcBorders>
              <w:top w:val="nil"/>
              <w:left w:val="single" w:sz="4" w:space="0" w:color="auto"/>
              <w:bottom w:val="single" w:sz="4" w:space="0" w:color="auto"/>
              <w:right w:val="single" w:sz="4" w:space="0" w:color="auto"/>
            </w:tcBorders>
            <w:shd w:val="clear" w:color="auto" w:fill="auto"/>
            <w:noWrap/>
            <w:vAlign w:val="center"/>
          </w:tcPr>
          <w:p w:rsidR="00E67099" w:rsidRPr="00E67099" w:rsidRDefault="00E67099" w:rsidP="00E67099">
            <w:pPr>
              <w:spacing w:after="0" w:line="240" w:lineRule="auto"/>
              <w:rPr>
                <w:rFonts w:asciiTheme="majorHAnsi" w:eastAsia="Times New Roman" w:hAnsiTheme="majorHAnsi" w:cstheme="majorHAnsi"/>
                <w:bCs/>
                <w:color w:val="000000"/>
                <w:sz w:val="20"/>
                <w:szCs w:val="20"/>
                <w:lang w:val="ro-MD"/>
              </w:rPr>
            </w:pPr>
            <w:r w:rsidRPr="00E67099">
              <w:rPr>
                <w:rFonts w:asciiTheme="majorHAnsi" w:eastAsia="Times New Roman" w:hAnsiTheme="majorHAnsi" w:cstheme="majorHAnsi"/>
                <w:bCs/>
                <w:color w:val="000000"/>
                <w:sz w:val="20"/>
                <w:szCs w:val="20"/>
                <w:lang w:val="ro-MD"/>
              </w:rPr>
              <w:t>alte venituri</w:t>
            </w:r>
          </w:p>
        </w:tc>
        <w:tc>
          <w:tcPr>
            <w:tcW w:w="1136" w:type="dxa"/>
            <w:tcBorders>
              <w:top w:val="nil"/>
              <w:left w:val="nil"/>
              <w:bottom w:val="single" w:sz="4" w:space="0" w:color="auto"/>
              <w:right w:val="single" w:sz="12" w:space="0" w:color="auto"/>
            </w:tcBorders>
            <w:shd w:val="clear" w:color="auto" w:fill="auto"/>
            <w:noWrap/>
            <w:vAlign w:val="center"/>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2 804,9</w:t>
            </w:r>
          </w:p>
        </w:tc>
        <w:tc>
          <w:tcPr>
            <w:tcW w:w="1134" w:type="dxa"/>
            <w:tcBorders>
              <w:top w:val="nil"/>
              <w:left w:val="single" w:sz="12" w:space="0" w:color="auto"/>
              <w:bottom w:val="single" w:sz="4" w:space="0" w:color="auto"/>
              <w:right w:val="single" w:sz="4" w:space="0" w:color="auto"/>
            </w:tcBorders>
            <w:shd w:val="clear" w:color="auto" w:fill="auto"/>
            <w:noWrap/>
            <w:vAlign w:val="center"/>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x</w:t>
            </w:r>
          </w:p>
        </w:tc>
        <w:tc>
          <w:tcPr>
            <w:tcW w:w="1133" w:type="dxa"/>
            <w:tcBorders>
              <w:top w:val="nil"/>
              <w:left w:val="nil"/>
              <w:bottom w:val="single" w:sz="4" w:space="0" w:color="auto"/>
              <w:right w:val="single" w:sz="4" w:space="0" w:color="auto"/>
            </w:tcBorders>
            <w:shd w:val="clear" w:color="auto" w:fill="auto"/>
            <w:noWrap/>
            <w:vAlign w:val="center"/>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x</w:t>
            </w:r>
          </w:p>
        </w:tc>
        <w:tc>
          <w:tcPr>
            <w:tcW w:w="1141" w:type="dxa"/>
            <w:tcBorders>
              <w:top w:val="nil"/>
              <w:left w:val="nil"/>
              <w:bottom w:val="single" w:sz="4" w:space="0" w:color="auto"/>
              <w:right w:val="single" w:sz="4" w:space="0" w:color="auto"/>
            </w:tcBorders>
            <w:shd w:val="clear" w:color="auto" w:fill="auto"/>
            <w:noWrap/>
            <w:vAlign w:val="center"/>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x</w:t>
            </w:r>
          </w:p>
        </w:tc>
        <w:tc>
          <w:tcPr>
            <w:tcW w:w="1267" w:type="dxa"/>
            <w:tcBorders>
              <w:top w:val="nil"/>
              <w:left w:val="nil"/>
              <w:bottom w:val="single" w:sz="4" w:space="0" w:color="auto"/>
              <w:right w:val="single" w:sz="4" w:space="0" w:color="auto"/>
            </w:tcBorders>
            <w:shd w:val="clear" w:color="auto" w:fill="auto"/>
            <w:noWrap/>
            <w:vAlign w:val="center"/>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1 782,5</w:t>
            </w:r>
          </w:p>
        </w:tc>
        <w:tc>
          <w:tcPr>
            <w:tcW w:w="244" w:type="dxa"/>
            <w:vMerge/>
            <w:tcBorders>
              <w:left w:val="nil"/>
              <w:right w:val="single" w:sz="12" w:space="0" w:color="auto"/>
            </w:tcBorders>
            <w:shd w:val="clear" w:color="auto" w:fill="C9C9C9" w:themeFill="accent3" w:themeFillTint="99"/>
            <w:noWrap/>
            <w:vAlign w:val="center"/>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highlight w:val="lightGray"/>
                <w:lang w:val="ro-MD"/>
              </w:rPr>
            </w:pPr>
          </w:p>
        </w:tc>
        <w:tc>
          <w:tcPr>
            <w:tcW w:w="1131" w:type="dxa"/>
            <w:tcBorders>
              <w:top w:val="nil"/>
              <w:left w:val="single" w:sz="12" w:space="0" w:color="auto"/>
              <w:bottom w:val="single" w:sz="4" w:space="0" w:color="auto"/>
              <w:right w:val="single" w:sz="12" w:space="0" w:color="auto"/>
            </w:tcBorders>
            <w:shd w:val="clear" w:color="auto" w:fill="auto"/>
            <w:noWrap/>
            <w:vAlign w:val="center"/>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1 784,3</w:t>
            </w:r>
          </w:p>
        </w:tc>
        <w:tc>
          <w:tcPr>
            <w:tcW w:w="1173" w:type="dxa"/>
            <w:tcBorders>
              <w:top w:val="nil"/>
              <w:left w:val="nil"/>
              <w:bottom w:val="single" w:sz="8" w:space="0" w:color="auto"/>
              <w:right w:val="single" w:sz="8" w:space="0" w:color="auto"/>
            </w:tcBorders>
            <w:shd w:val="clear" w:color="auto" w:fill="auto"/>
            <w:noWrap/>
            <w:vAlign w:val="center"/>
          </w:tcPr>
          <w:p w:rsidR="00E67099" w:rsidRPr="00E67099" w:rsidRDefault="00E67099" w:rsidP="00E67099">
            <w:pPr>
              <w:spacing w:after="0"/>
              <w:jc w:val="right"/>
              <w:rPr>
                <w:rFonts w:ascii="Calibri Light" w:hAnsi="Calibri Light" w:cs="Calibri Light"/>
                <w:bCs/>
                <w:color w:val="000000"/>
                <w:sz w:val="20"/>
                <w:szCs w:val="20"/>
              </w:rPr>
            </w:pPr>
            <w:r w:rsidRPr="00E67099">
              <w:rPr>
                <w:rFonts w:ascii="Calibri Light" w:hAnsi="Calibri Light" w:cs="Calibri Light"/>
                <w:bCs/>
                <w:color w:val="000000"/>
                <w:sz w:val="20"/>
                <w:szCs w:val="20"/>
              </w:rPr>
              <w:t>-1022,4</w:t>
            </w:r>
          </w:p>
        </w:tc>
        <w:tc>
          <w:tcPr>
            <w:tcW w:w="1183" w:type="dxa"/>
            <w:tcBorders>
              <w:top w:val="nil"/>
              <w:left w:val="nil"/>
              <w:bottom w:val="single" w:sz="8" w:space="0" w:color="auto"/>
              <w:right w:val="single" w:sz="8" w:space="0" w:color="auto"/>
            </w:tcBorders>
            <w:shd w:val="clear" w:color="auto" w:fill="auto"/>
            <w:noWrap/>
            <w:vAlign w:val="center"/>
          </w:tcPr>
          <w:p w:rsidR="00E67099" w:rsidRPr="00E67099" w:rsidRDefault="00E67099" w:rsidP="00E67099">
            <w:pPr>
              <w:spacing w:after="0"/>
              <w:jc w:val="right"/>
              <w:rPr>
                <w:rFonts w:ascii="Calibri Light" w:hAnsi="Calibri Light" w:cs="Calibri Light"/>
                <w:bCs/>
                <w:color w:val="000000"/>
                <w:sz w:val="20"/>
                <w:szCs w:val="20"/>
              </w:rPr>
            </w:pPr>
            <w:r w:rsidRPr="00E67099">
              <w:rPr>
                <w:rFonts w:ascii="Calibri Light" w:hAnsi="Calibri Light" w:cs="Calibri Light"/>
                <w:bCs/>
                <w:color w:val="000000"/>
                <w:sz w:val="20"/>
                <w:szCs w:val="20"/>
              </w:rPr>
              <w:t>1,8</w:t>
            </w:r>
          </w:p>
        </w:tc>
        <w:tc>
          <w:tcPr>
            <w:tcW w:w="1085" w:type="dxa"/>
            <w:tcBorders>
              <w:top w:val="nil"/>
              <w:left w:val="nil"/>
              <w:bottom w:val="single" w:sz="8" w:space="0" w:color="auto"/>
              <w:right w:val="single" w:sz="8" w:space="0" w:color="auto"/>
            </w:tcBorders>
            <w:shd w:val="clear" w:color="auto" w:fill="auto"/>
            <w:noWrap/>
            <w:vAlign w:val="center"/>
          </w:tcPr>
          <w:p w:rsidR="00E67099" w:rsidRPr="00E67099" w:rsidRDefault="00E67099" w:rsidP="00E67099">
            <w:pPr>
              <w:spacing w:after="0"/>
              <w:jc w:val="right"/>
              <w:rPr>
                <w:rFonts w:ascii="Calibri Light" w:hAnsi="Calibri Light" w:cs="Calibri Light"/>
                <w:bCs/>
                <w:color w:val="000000"/>
                <w:sz w:val="20"/>
                <w:szCs w:val="20"/>
              </w:rPr>
            </w:pPr>
            <w:r w:rsidRPr="00E67099">
              <w:rPr>
                <w:rFonts w:ascii="Calibri Light" w:hAnsi="Calibri Light" w:cs="Calibri Light"/>
                <w:bCs/>
                <w:color w:val="000000"/>
                <w:sz w:val="20"/>
                <w:szCs w:val="20"/>
              </w:rPr>
              <w:t>-1020,6</w:t>
            </w:r>
          </w:p>
        </w:tc>
      </w:tr>
      <w:tr w:rsidR="00E67099" w:rsidRPr="00E67099" w:rsidTr="00A36731">
        <w:trPr>
          <w:gridAfter w:val="1"/>
          <w:wAfter w:w="80" w:type="dxa"/>
          <w:trHeight w:val="312"/>
        </w:trPr>
        <w:tc>
          <w:tcPr>
            <w:tcW w:w="2975" w:type="dxa"/>
            <w:tcBorders>
              <w:top w:val="nil"/>
              <w:left w:val="single" w:sz="4" w:space="0" w:color="auto"/>
              <w:bottom w:val="single" w:sz="4" w:space="0" w:color="auto"/>
              <w:right w:val="single" w:sz="4" w:space="0" w:color="auto"/>
            </w:tcBorders>
            <w:shd w:val="clear" w:color="auto" w:fill="auto"/>
            <w:noWrap/>
            <w:vAlign w:val="center"/>
          </w:tcPr>
          <w:p w:rsidR="00E67099" w:rsidRPr="00E67099" w:rsidRDefault="00E67099" w:rsidP="00E67099">
            <w:pPr>
              <w:spacing w:after="0" w:line="240" w:lineRule="auto"/>
              <w:rPr>
                <w:rFonts w:asciiTheme="majorHAnsi" w:eastAsia="Times New Roman" w:hAnsiTheme="majorHAnsi" w:cstheme="majorHAnsi"/>
                <w:bCs/>
                <w:color w:val="000000"/>
                <w:sz w:val="20"/>
                <w:szCs w:val="20"/>
                <w:lang w:val="ro-MD"/>
              </w:rPr>
            </w:pPr>
            <w:r w:rsidRPr="00E67099">
              <w:rPr>
                <w:rFonts w:asciiTheme="majorHAnsi" w:eastAsia="Times New Roman" w:hAnsiTheme="majorHAnsi" w:cstheme="majorHAnsi"/>
                <w:bCs/>
                <w:color w:val="000000"/>
                <w:sz w:val="20"/>
                <w:szCs w:val="20"/>
                <w:lang w:val="ro-MD"/>
              </w:rPr>
              <w:t>Transferuri primite în cadrul BPN</w:t>
            </w:r>
          </w:p>
        </w:tc>
        <w:tc>
          <w:tcPr>
            <w:tcW w:w="1136" w:type="dxa"/>
            <w:tcBorders>
              <w:top w:val="nil"/>
              <w:left w:val="nil"/>
              <w:bottom w:val="single" w:sz="4" w:space="0" w:color="auto"/>
              <w:right w:val="single" w:sz="12" w:space="0" w:color="auto"/>
            </w:tcBorders>
            <w:shd w:val="clear" w:color="auto" w:fill="auto"/>
            <w:noWrap/>
            <w:vAlign w:val="center"/>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22,9</w:t>
            </w:r>
          </w:p>
        </w:tc>
        <w:tc>
          <w:tcPr>
            <w:tcW w:w="1134" w:type="dxa"/>
            <w:tcBorders>
              <w:top w:val="nil"/>
              <w:left w:val="single" w:sz="12" w:space="0" w:color="auto"/>
              <w:bottom w:val="single" w:sz="4" w:space="0" w:color="auto"/>
              <w:right w:val="single" w:sz="4" w:space="0" w:color="auto"/>
            </w:tcBorders>
            <w:shd w:val="clear" w:color="auto" w:fill="auto"/>
            <w:noWrap/>
            <w:vAlign w:val="center"/>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p>
        </w:tc>
        <w:tc>
          <w:tcPr>
            <w:tcW w:w="1133" w:type="dxa"/>
            <w:tcBorders>
              <w:top w:val="nil"/>
              <w:left w:val="nil"/>
              <w:bottom w:val="single" w:sz="4" w:space="0" w:color="auto"/>
              <w:right w:val="single" w:sz="4" w:space="0" w:color="auto"/>
            </w:tcBorders>
            <w:shd w:val="clear" w:color="auto" w:fill="auto"/>
            <w:noWrap/>
            <w:vAlign w:val="center"/>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p>
        </w:tc>
        <w:tc>
          <w:tcPr>
            <w:tcW w:w="1141" w:type="dxa"/>
            <w:tcBorders>
              <w:top w:val="nil"/>
              <w:left w:val="nil"/>
              <w:bottom w:val="single" w:sz="4" w:space="0" w:color="auto"/>
              <w:right w:val="single" w:sz="4" w:space="0" w:color="auto"/>
            </w:tcBorders>
            <w:shd w:val="clear" w:color="auto" w:fill="auto"/>
            <w:noWrap/>
            <w:vAlign w:val="center"/>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p>
        </w:tc>
        <w:tc>
          <w:tcPr>
            <w:tcW w:w="1267" w:type="dxa"/>
            <w:tcBorders>
              <w:top w:val="nil"/>
              <w:left w:val="nil"/>
              <w:bottom w:val="single" w:sz="4" w:space="0" w:color="auto"/>
              <w:right w:val="single" w:sz="4" w:space="0" w:color="auto"/>
            </w:tcBorders>
            <w:shd w:val="clear" w:color="auto" w:fill="auto"/>
            <w:noWrap/>
            <w:vAlign w:val="center"/>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34,7</w:t>
            </w:r>
          </w:p>
        </w:tc>
        <w:tc>
          <w:tcPr>
            <w:tcW w:w="244" w:type="dxa"/>
            <w:vMerge/>
            <w:tcBorders>
              <w:left w:val="nil"/>
              <w:right w:val="single" w:sz="12" w:space="0" w:color="auto"/>
            </w:tcBorders>
            <w:shd w:val="clear" w:color="auto" w:fill="C9C9C9" w:themeFill="accent3" w:themeFillTint="99"/>
            <w:noWrap/>
            <w:vAlign w:val="center"/>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highlight w:val="lightGray"/>
                <w:lang w:val="ro-MD"/>
              </w:rPr>
            </w:pPr>
          </w:p>
        </w:tc>
        <w:tc>
          <w:tcPr>
            <w:tcW w:w="1131" w:type="dxa"/>
            <w:tcBorders>
              <w:top w:val="nil"/>
              <w:left w:val="single" w:sz="12" w:space="0" w:color="auto"/>
              <w:bottom w:val="single" w:sz="4" w:space="0" w:color="auto"/>
              <w:right w:val="single" w:sz="12" w:space="0" w:color="auto"/>
            </w:tcBorders>
            <w:shd w:val="clear" w:color="auto" w:fill="auto"/>
            <w:noWrap/>
            <w:vAlign w:val="center"/>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34,7</w:t>
            </w:r>
          </w:p>
        </w:tc>
        <w:tc>
          <w:tcPr>
            <w:tcW w:w="1173" w:type="dxa"/>
            <w:tcBorders>
              <w:top w:val="nil"/>
              <w:left w:val="nil"/>
              <w:bottom w:val="single" w:sz="8" w:space="0" w:color="auto"/>
              <w:right w:val="single" w:sz="8" w:space="0" w:color="auto"/>
            </w:tcBorders>
            <w:shd w:val="clear" w:color="auto" w:fill="auto"/>
            <w:noWrap/>
            <w:vAlign w:val="center"/>
          </w:tcPr>
          <w:p w:rsidR="00E67099" w:rsidRPr="00E67099" w:rsidRDefault="00E67099" w:rsidP="00E67099">
            <w:pPr>
              <w:spacing w:after="0"/>
              <w:jc w:val="right"/>
              <w:rPr>
                <w:rFonts w:ascii="Calibri Light" w:hAnsi="Calibri Light" w:cs="Calibri Light"/>
                <w:bCs/>
                <w:color w:val="000000"/>
                <w:sz w:val="20"/>
                <w:szCs w:val="20"/>
              </w:rPr>
            </w:pPr>
            <w:r w:rsidRPr="00E67099">
              <w:rPr>
                <w:rFonts w:ascii="Calibri Light" w:hAnsi="Calibri Light" w:cs="Calibri Light"/>
                <w:bCs/>
                <w:color w:val="000000"/>
                <w:sz w:val="20"/>
                <w:szCs w:val="20"/>
              </w:rPr>
              <w:t>11,8</w:t>
            </w:r>
          </w:p>
        </w:tc>
        <w:tc>
          <w:tcPr>
            <w:tcW w:w="1183" w:type="dxa"/>
            <w:tcBorders>
              <w:top w:val="nil"/>
              <w:left w:val="nil"/>
              <w:bottom w:val="single" w:sz="8" w:space="0" w:color="auto"/>
              <w:right w:val="single" w:sz="8" w:space="0" w:color="auto"/>
            </w:tcBorders>
            <w:shd w:val="clear" w:color="auto" w:fill="auto"/>
            <w:noWrap/>
            <w:vAlign w:val="center"/>
          </w:tcPr>
          <w:p w:rsidR="00E67099" w:rsidRPr="00E67099" w:rsidRDefault="00E67099" w:rsidP="00E67099">
            <w:pPr>
              <w:spacing w:after="0"/>
              <w:jc w:val="right"/>
              <w:rPr>
                <w:rFonts w:ascii="Calibri Light" w:hAnsi="Calibri Light" w:cs="Calibri Light"/>
                <w:bCs/>
                <w:color w:val="000000"/>
                <w:sz w:val="20"/>
                <w:szCs w:val="20"/>
              </w:rPr>
            </w:pPr>
            <w:r w:rsidRPr="00E67099">
              <w:rPr>
                <w:rFonts w:ascii="Calibri Light" w:hAnsi="Calibri Light" w:cs="Calibri Light"/>
                <w:bCs/>
                <w:color w:val="000000"/>
                <w:sz w:val="20"/>
                <w:szCs w:val="20"/>
              </w:rPr>
              <w:t>0,0</w:t>
            </w:r>
          </w:p>
        </w:tc>
        <w:tc>
          <w:tcPr>
            <w:tcW w:w="1085" w:type="dxa"/>
            <w:tcBorders>
              <w:top w:val="nil"/>
              <w:left w:val="nil"/>
              <w:bottom w:val="single" w:sz="8" w:space="0" w:color="auto"/>
              <w:right w:val="single" w:sz="8" w:space="0" w:color="auto"/>
            </w:tcBorders>
            <w:shd w:val="clear" w:color="auto" w:fill="auto"/>
            <w:noWrap/>
            <w:vAlign w:val="center"/>
          </w:tcPr>
          <w:p w:rsidR="00E67099" w:rsidRPr="00E67099" w:rsidRDefault="00E67099" w:rsidP="00E67099">
            <w:pPr>
              <w:spacing w:after="0"/>
              <w:jc w:val="right"/>
              <w:rPr>
                <w:rFonts w:ascii="Calibri Light" w:hAnsi="Calibri Light" w:cs="Calibri Light"/>
                <w:bCs/>
                <w:color w:val="000000"/>
                <w:sz w:val="20"/>
                <w:szCs w:val="20"/>
              </w:rPr>
            </w:pPr>
            <w:r w:rsidRPr="00E67099">
              <w:rPr>
                <w:rFonts w:ascii="Calibri Light" w:hAnsi="Calibri Light" w:cs="Calibri Light"/>
                <w:bCs/>
                <w:color w:val="000000"/>
                <w:sz w:val="20"/>
                <w:szCs w:val="20"/>
              </w:rPr>
              <w:t>11,8</w:t>
            </w:r>
          </w:p>
        </w:tc>
      </w:tr>
      <w:tr w:rsidR="00E67099" w:rsidRPr="00E67099" w:rsidTr="00A36731">
        <w:trPr>
          <w:gridAfter w:val="1"/>
          <w:wAfter w:w="80" w:type="dxa"/>
          <w:trHeight w:val="348"/>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E67099" w:rsidRPr="00E67099" w:rsidRDefault="00E67099" w:rsidP="00E67099">
            <w:pPr>
              <w:spacing w:after="0" w:line="240" w:lineRule="auto"/>
              <w:rPr>
                <w:rFonts w:asciiTheme="majorHAnsi" w:eastAsia="Times New Roman" w:hAnsiTheme="majorHAnsi" w:cstheme="majorHAnsi"/>
                <w:b/>
                <w:bCs/>
                <w:color w:val="000000"/>
                <w:sz w:val="20"/>
                <w:szCs w:val="20"/>
                <w:lang w:val="ro-MD"/>
              </w:rPr>
            </w:pPr>
            <w:r w:rsidRPr="00E67099">
              <w:rPr>
                <w:rFonts w:asciiTheme="majorHAnsi" w:eastAsia="Times New Roman" w:hAnsiTheme="majorHAnsi" w:cstheme="majorHAnsi"/>
                <w:b/>
                <w:bCs/>
                <w:color w:val="000000"/>
                <w:sz w:val="20"/>
                <w:szCs w:val="20"/>
                <w:lang w:val="ro-MD"/>
              </w:rPr>
              <w:t>II. Cheltuieli și active nefinanciare, total,</w:t>
            </w:r>
            <w:r w:rsidRPr="00E67099">
              <w:rPr>
                <w:rFonts w:asciiTheme="majorHAnsi" w:eastAsia="Times New Roman" w:hAnsiTheme="majorHAnsi" w:cstheme="majorHAnsi"/>
                <w:bCs/>
                <w:i/>
                <w:color w:val="000000"/>
                <w:sz w:val="20"/>
                <w:szCs w:val="20"/>
                <w:lang w:val="ro-MD"/>
              </w:rPr>
              <w:t xml:space="preserve"> inclusiv:</w:t>
            </w:r>
          </w:p>
        </w:tc>
        <w:tc>
          <w:tcPr>
            <w:tcW w:w="1136" w:type="dxa"/>
            <w:tcBorders>
              <w:top w:val="nil"/>
              <w:left w:val="nil"/>
              <w:bottom w:val="single" w:sz="4" w:space="0" w:color="auto"/>
              <w:right w:val="single" w:sz="12" w:space="0" w:color="auto"/>
            </w:tcBorders>
            <w:shd w:val="clear" w:color="auto" w:fill="auto"/>
            <w:noWrap/>
            <w:vAlign w:val="center"/>
          </w:tcPr>
          <w:p w:rsidR="00E67099" w:rsidRPr="00E67099" w:rsidRDefault="00E67099" w:rsidP="00E67099">
            <w:pPr>
              <w:spacing w:after="0" w:line="240" w:lineRule="auto"/>
              <w:jc w:val="right"/>
              <w:rPr>
                <w:rFonts w:asciiTheme="majorHAnsi" w:eastAsia="Times New Roman" w:hAnsiTheme="majorHAnsi" w:cstheme="majorHAnsi"/>
                <w:b/>
                <w:color w:val="000000"/>
                <w:sz w:val="20"/>
                <w:szCs w:val="20"/>
                <w:lang w:val="ro-MD"/>
              </w:rPr>
            </w:pPr>
            <w:r w:rsidRPr="00E67099">
              <w:rPr>
                <w:rFonts w:asciiTheme="majorHAnsi" w:eastAsia="Times New Roman" w:hAnsiTheme="majorHAnsi" w:cstheme="majorHAnsi"/>
                <w:b/>
                <w:color w:val="000000"/>
                <w:sz w:val="20"/>
                <w:szCs w:val="20"/>
                <w:lang w:val="ro-MD"/>
              </w:rPr>
              <w:t>47 664,2</w:t>
            </w:r>
          </w:p>
        </w:tc>
        <w:tc>
          <w:tcPr>
            <w:tcW w:w="1134" w:type="dxa"/>
            <w:tcBorders>
              <w:top w:val="nil"/>
              <w:left w:val="single" w:sz="12" w:space="0" w:color="auto"/>
              <w:bottom w:val="single" w:sz="4" w:space="0" w:color="auto"/>
              <w:right w:val="single" w:sz="4" w:space="0" w:color="auto"/>
            </w:tcBorders>
            <w:shd w:val="clear" w:color="auto" w:fill="auto"/>
            <w:noWrap/>
            <w:vAlign w:val="center"/>
          </w:tcPr>
          <w:p w:rsidR="00E67099" w:rsidRPr="00E67099" w:rsidRDefault="00E67099" w:rsidP="00E67099">
            <w:pPr>
              <w:spacing w:after="0" w:line="240" w:lineRule="auto"/>
              <w:jc w:val="right"/>
              <w:rPr>
                <w:rFonts w:asciiTheme="majorHAnsi" w:eastAsia="Times New Roman" w:hAnsiTheme="majorHAnsi" w:cstheme="majorHAnsi"/>
                <w:b/>
                <w:color w:val="000000"/>
                <w:sz w:val="20"/>
                <w:szCs w:val="20"/>
                <w:lang w:val="ro-MD"/>
              </w:rPr>
            </w:pPr>
            <w:r w:rsidRPr="00E67099">
              <w:rPr>
                <w:rFonts w:asciiTheme="majorHAnsi" w:eastAsia="Times New Roman" w:hAnsiTheme="majorHAnsi" w:cstheme="majorHAnsi"/>
                <w:b/>
                <w:color w:val="000000"/>
                <w:sz w:val="20"/>
                <w:szCs w:val="20"/>
                <w:lang w:val="ro-MD"/>
              </w:rPr>
              <w:t>x</w:t>
            </w:r>
          </w:p>
        </w:tc>
        <w:tc>
          <w:tcPr>
            <w:tcW w:w="1133" w:type="dxa"/>
            <w:tcBorders>
              <w:top w:val="nil"/>
              <w:left w:val="nil"/>
              <w:bottom w:val="single" w:sz="4" w:space="0" w:color="auto"/>
              <w:right w:val="single" w:sz="4" w:space="0" w:color="auto"/>
            </w:tcBorders>
            <w:shd w:val="clear" w:color="auto" w:fill="auto"/>
            <w:noWrap/>
            <w:vAlign w:val="center"/>
          </w:tcPr>
          <w:p w:rsidR="00E67099" w:rsidRPr="00E67099" w:rsidRDefault="00E67099" w:rsidP="00E67099">
            <w:pPr>
              <w:spacing w:after="0" w:line="240" w:lineRule="auto"/>
              <w:jc w:val="right"/>
              <w:rPr>
                <w:rFonts w:asciiTheme="majorHAnsi" w:eastAsia="Times New Roman" w:hAnsiTheme="majorHAnsi" w:cstheme="majorHAnsi"/>
                <w:b/>
                <w:color w:val="000000"/>
                <w:sz w:val="20"/>
                <w:szCs w:val="20"/>
                <w:lang w:val="ro-MD"/>
              </w:rPr>
            </w:pPr>
            <w:r w:rsidRPr="00E67099">
              <w:rPr>
                <w:rFonts w:asciiTheme="majorHAnsi" w:eastAsia="Times New Roman" w:hAnsiTheme="majorHAnsi" w:cstheme="majorHAnsi"/>
                <w:b/>
                <w:color w:val="000000"/>
                <w:sz w:val="20"/>
                <w:szCs w:val="20"/>
                <w:lang w:val="ro-MD"/>
              </w:rPr>
              <w:t>x</w:t>
            </w:r>
          </w:p>
        </w:tc>
        <w:tc>
          <w:tcPr>
            <w:tcW w:w="1141" w:type="dxa"/>
            <w:tcBorders>
              <w:top w:val="nil"/>
              <w:left w:val="nil"/>
              <w:bottom w:val="single" w:sz="4" w:space="0" w:color="auto"/>
              <w:right w:val="single" w:sz="4" w:space="0" w:color="auto"/>
            </w:tcBorders>
            <w:shd w:val="clear" w:color="auto" w:fill="auto"/>
            <w:noWrap/>
            <w:vAlign w:val="center"/>
          </w:tcPr>
          <w:p w:rsidR="00E67099" w:rsidRPr="00E67099" w:rsidRDefault="00E67099" w:rsidP="00E67099">
            <w:pPr>
              <w:spacing w:after="0" w:line="240" w:lineRule="auto"/>
              <w:jc w:val="right"/>
              <w:rPr>
                <w:rFonts w:asciiTheme="majorHAnsi" w:eastAsia="Times New Roman" w:hAnsiTheme="majorHAnsi" w:cstheme="majorHAnsi"/>
                <w:b/>
                <w:color w:val="000000"/>
                <w:sz w:val="20"/>
                <w:szCs w:val="20"/>
                <w:lang w:val="ro-MD"/>
              </w:rPr>
            </w:pPr>
            <w:r w:rsidRPr="00E67099">
              <w:rPr>
                <w:rFonts w:asciiTheme="majorHAnsi" w:eastAsia="Times New Roman" w:hAnsiTheme="majorHAnsi" w:cstheme="majorHAnsi"/>
                <w:b/>
                <w:color w:val="000000"/>
                <w:sz w:val="20"/>
                <w:szCs w:val="20"/>
                <w:lang w:val="ro-MD"/>
              </w:rPr>
              <w:t>x</w:t>
            </w:r>
          </w:p>
        </w:tc>
        <w:tc>
          <w:tcPr>
            <w:tcW w:w="1267" w:type="dxa"/>
            <w:tcBorders>
              <w:top w:val="nil"/>
              <w:left w:val="nil"/>
              <w:bottom w:val="single" w:sz="4" w:space="0" w:color="auto"/>
              <w:right w:val="single" w:sz="4" w:space="0" w:color="auto"/>
            </w:tcBorders>
            <w:shd w:val="clear" w:color="auto" w:fill="auto"/>
            <w:noWrap/>
            <w:vAlign w:val="center"/>
          </w:tcPr>
          <w:p w:rsidR="00E67099" w:rsidRPr="00E67099" w:rsidRDefault="00E67099" w:rsidP="00E67099">
            <w:pPr>
              <w:spacing w:after="0" w:line="240" w:lineRule="auto"/>
              <w:jc w:val="right"/>
              <w:rPr>
                <w:rFonts w:asciiTheme="majorHAnsi" w:eastAsia="Times New Roman" w:hAnsiTheme="majorHAnsi" w:cstheme="majorHAnsi"/>
                <w:b/>
                <w:color w:val="000000"/>
                <w:sz w:val="20"/>
                <w:szCs w:val="20"/>
                <w:lang w:val="ro-MD"/>
              </w:rPr>
            </w:pPr>
            <w:r w:rsidRPr="00E67099">
              <w:rPr>
                <w:rFonts w:asciiTheme="majorHAnsi" w:eastAsia="Times New Roman" w:hAnsiTheme="majorHAnsi" w:cstheme="majorHAnsi"/>
                <w:b/>
                <w:color w:val="000000"/>
                <w:sz w:val="20"/>
                <w:szCs w:val="20"/>
                <w:lang w:val="ro-MD"/>
              </w:rPr>
              <w:t>46 336,8</w:t>
            </w:r>
          </w:p>
        </w:tc>
        <w:tc>
          <w:tcPr>
            <w:tcW w:w="244" w:type="dxa"/>
            <w:vMerge/>
            <w:tcBorders>
              <w:left w:val="nil"/>
              <w:right w:val="single" w:sz="12" w:space="0" w:color="auto"/>
            </w:tcBorders>
            <w:shd w:val="clear" w:color="auto" w:fill="C9C9C9" w:themeFill="accent3" w:themeFillTint="99"/>
            <w:noWrap/>
            <w:vAlign w:val="center"/>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highlight w:val="lightGray"/>
                <w:lang w:val="ro-MD"/>
              </w:rPr>
            </w:pPr>
          </w:p>
        </w:tc>
        <w:tc>
          <w:tcPr>
            <w:tcW w:w="1131" w:type="dxa"/>
            <w:tcBorders>
              <w:top w:val="nil"/>
              <w:left w:val="single" w:sz="12" w:space="0" w:color="auto"/>
              <w:bottom w:val="single" w:sz="4" w:space="0" w:color="auto"/>
              <w:right w:val="single" w:sz="12" w:space="0" w:color="auto"/>
            </w:tcBorders>
            <w:shd w:val="clear" w:color="auto" w:fill="auto"/>
            <w:noWrap/>
            <w:vAlign w:val="center"/>
          </w:tcPr>
          <w:p w:rsidR="00E67099" w:rsidRPr="00E67099" w:rsidRDefault="00E67099" w:rsidP="00E67099">
            <w:pPr>
              <w:spacing w:after="0" w:line="240" w:lineRule="auto"/>
              <w:jc w:val="right"/>
              <w:rPr>
                <w:rFonts w:asciiTheme="majorHAnsi" w:eastAsia="Times New Roman" w:hAnsiTheme="majorHAnsi" w:cstheme="majorHAnsi"/>
                <w:b/>
                <w:color w:val="000000"/>
                <w:sz w:val="20"/>
                <w:szCs w:val="20"/>
                <w:lang w:val="ro-MD"/>
              </w:rPr>
            </w:pPr>
            <w:r w:rsidRPr="00E67099">
              <w:rPr>
                <w:rFonts w:asciiTheme="majorHAnsi" w:eastAsia="Times New Roman" w:hAnsiTheme="majorHAnsi" w:cstheme="majorHAnsi"/>
                <w:b/>
                <w:color w:val="000000"/>
                <w:sz w:val="20"/>
                <w:szCs w:val="20"/>
                <w:lang w:val="ro-MD"/>
              </w:rPr>
              <w:t>46 346,2</w:t>
            </w:r>
          </w:p>
        </w:tc>
        <w:tc>
          <w:tcPr>
            <w:tcW w:w="1173" w:type="dxa"/>
            <w:tcBorders>
              <w:top w:val="nil"/>
              <w:left w:val="nil"/>
              <w:bottom w:val="single" w:sz="8" w:space="0" w:color="auto"/>
              <w:right w:val="single" w:sz="8" w:space="0" w:color="auto"/>
            </w:tcBorders>
            <w:shd w:val="clear" w:color="auto" w:fill="auto"/>
            <w:noWrap/>
            <w:vAlign w:val="center"/>
          </w:tcPr>
          <w:p w:rsidR="00E67099" w:rsidRPr="00E67099" w:rsidRDefault="00E67099" w:rsidP="00E67099">
            <w:pPr>
              <w:spacing w:after="0"/>
              <w:jc w:val="right"/>
              <w:rPr>
                <w:rFonts w:ascii="Calibri Light" w:hAnsi="Calibri Light" w:cs="Calibri Light"/>
                <w:b/>
                <w:bCs/>
                <w:color w:val="000000"/>
                <w:sz w:val="20"/>
                <w:szCs w:val="20"/>
              </w:rPr>
            </w:pPr>
            <w:r w:rsidRPr="00E67099">
              <w:rPr>
                <w:rFonts w:ascii="Calibri Light" w:hAnsi="Calibri Light" w:cs="Calibri Light"/>
                <w:b/>
                <w:bCs/>
                <w:color w:val="000000"/>
                <w:sz w:val="20"/>
                <w:szCs w:val="20"/>
                <w:lang w:val="ro-MD"/>
              </w:rPr>
              <w:t>-1327,4</w:t>
            </w:r>
          </w:p>
        </w:tc>
        <w:tc>
          <w:tcPr>
            <w:tcW w:w="1183" w:type="dxa"/>
            <w:tcBorders>
              <w:top w:val="nil"/>
              <w:left w:val="nil"/>
              <w:bottom w:val="single" w:sz="8" w:space="0" w:color="auto"/>
              <w:right w:val="single" w:sz="8" w:space="0" w:color="auto"/>
            </w:tcBorders>
            <w:shd w:val="clear" w:color="auto" w:fill="auto"/>
            <w:noWrap/>
            <w:vAlign w:val="center"/>
          </w:tcPr>
          <w:p w:rsidR="00E67099" w:rsidRPr="00E67099" w:rsidRDefault="00E67099" w:rsidP="00E67099">
            <w:pPr>
              <w:spacing w:after="0"/>
              <w:jc w:val="right"/>
              <w:rPr>
                <w:rFonts w:ascii="Calibri Light" w:hAnsi="Calibri Light" w:cs="Calibri Light"/>
                <w:b/>
                <w:bCs/>
                <w:color w:val="000000"/>
                <w:sz w:val="20"/>
                <w:szCs w:val="20"/>
              </w:rPr>
            </w:pPr>
            <w:r w:rsidRPr="00E67099">
              <w:rPr>
                <w:rFonts w:ascii="Calibri Light" w:hAnsi="Calibri Light" w:cs="Calibri Light"/>
                <w:b/>
                <w:bCs/>
                <w:color w:val="000000"/>
                <w:sz w:val="20"/>
                <w:szCs w:val="20"/>
                <w:lang w:val="ro-MD"/>
              </w:rPr>
              <w:t>9,4</w:t>
            </w:r>
          </w:p>
        </w:tc>
        <w:tc>
          <w:tcPr>
            <w:tcW w:w="1085" w:type="dxa"/>
            <w:tcBorders>
              <w:top w:val="nil"/>
              <w:left w:val="nil"/>
              <w:bottom w:val="single" w:sz="8" w:space="0" w:color="auto"/>
              <w:right w:val="single" w:sz="8" w:space="0" w:color="auto"/>
            </w:tcBorders>
            <w:shd w:val="clear" w:color="auto" w:fill="auto"/>
            <w:noWrap/>
            <w:vAlign w:val="center"/>
          </w:tcPr>
          <w:p w:rsidR="00E67099" w:rsidRPr="00E67099" w:rsidRDefault="00E67099" w:rsidP="00E67099">
            <w:pPr>
              <w:spacing w:after="0"/>
              <w:jc w:val="right"/>
              <w:rPr>
                <w:rFonts w:ascii="Calibri Light" w:hAnsi="Calibri Light" w:cs="Calibri Light"/>
                <w:b/>
                <w:bCs/>
                <w:color w:val="000000"/>
                <w:sz w:val="20"/>
                <w:szCs w:val="20"/>
              </w:rPr>
            </w:pPr>
            <w:r w:rsidRPr="00E67099">
              <w:rPr>
                <w:rFonts w:ascii="Calibri Light" w:hAnsi="Calibri Light" w:cs="Calibri Light"/>
                <w:b/>
                <w:bCs/>
                <w:color w:val="000000"/>
                <w:sz w:val="20"/>
                <w:szCs w:val="20"/>
                <w:lang w:val="ro-MD"/>
              </w:rPr>
              <w:t>-1318</w:t>
            </w:r>
          </w:p>
        </w:tc>
      </w:tr>
      <w:tr w:rsidR="00E67099" w:rsidRPr="00E67099" w:rsidTr="00A36731">
        <w:trPr>
          <w:gridAfter w:val="1"/>
          <w:wAfter w:w="80" w:type="dxa"/>
          <w:trHeight w:val="221"/>
        </w:trPr>
        <w:tc>
          <w:tcPr>
            <w:tcW w:w="2975" w:type="dxa"/>
            <w:tcBorders>
              <w:top w:val="nil"/>
              <w:left w:val="single" w:sz="4" w:space="0" w:color="auto"/>
              <w:bottom w:val="single" w:sz="4" w:space="0" w:color="auto"/>
              <w:right w:val="single" w:sz="4" w:space="0" w:color="auto"/>
            </w:tcBorders>
            <w:shd w:val="clear" w:color="000000" w:fill="FFFFFF"/>
            <w:noWrap/>
            <w:vAlign w:val="center"/>
            <w:hideMark/>
          </w:tcPr>
          <w:p w:rsidR="00E67099" w:rsidRPr="00E67099" w:rsidRDefault="00E67099" w:rsidP="00E67099">
            <w:pPr>
              <w:spacing w:after="0" w:line="240" w:lineRule="auto"/>
              <w:rPr>
                <w:rFonts w:asciiTheme="majorHAnsi" w:eastAsia="Times New Roman" w:hAnsiTheme="majorHAnsi" w:cstheme="majorHAnsi"/>
                <w:bCs/>
                <w:color w:val="000000"/>
                <w:sz w:val="20"/>
                <w:szCs w:val="20"/>
                <w:lang w:val="ro-MD"/>
              </w:rPr>
            </w:pPr>
            <w:r w:rsidRPr="00E67099">
              <w:rPr>
                <w:rFonts w:asciiTheme="majorHAnsi" w:eastAsia="Times New Roman" w:hAnsiTheme="majorHAnsi" w:cstheme="majorHAnsi"/>
                <w:bCs/>
                <w:color w:val="000000"/>
                <w:sz w:val="20"/>
                <w:szCs w:val="20"/>
                <w:lang w:val="ro-MD"/>
              </w:rPr>
              <w:t>cheltuieli de personal</w:t>
            </w:r>
          </w:p>
        </w:tc>
        <w:tc>
          <w:tcPr>
            <w:tcW w:w="1136" w:type="dxa"/>
            <w:tcBorders>
              <w:top w:val="nil"/>
              <w:left w:val="nil"/>
              <w:bottom w:val="single" w:sz="4" w:space="0" w:color="auto"/>
              <w:right w:val="single" w:sz="12" w:space="0" w:color="auto"/>
            </w:tcBorders>
            <w:shd w:val="clear" w:color="000000" w:fill="FFFFFF"/>
            <w:noWrap/>
            <w:vAlign w:val="center"/>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7 226,7</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x</w:t>
            </w:r>
          </w:p>
        </w:tc>
        <w:tc>
          <w:tcPr>
            <w:tcW w:w="1133" w:type="dxa"/>
            <w:tcBorders>
              <w:top w:val="nil"/>
              <w:left w:val="nil"/>
              <w:bottom w:val="single" w:sz="4" w:space="0" w:color="auto"/>
              <w:right w:val="single" w:sz="4" w:space="0" w:color="auto"/>
            </w:tcBorders>
            <w:shd w:val="clear" w:color="000000" w:fill="FFFFFF"/>
            <w:noWrap/>
            <w:vAlign w:val="center"/>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7 006,3</w:t>
            </w:r>
          </w:p>
        </w:tc>
        <w:tc>
          <w:tcPr>
            <w:tcW w:w="1141" w:type="dxa"/>
            <w:tcBorders>
              <w:top w:val="nil"/>
              <w:left w:val="nil"/>
              <w:bottom w:val="single" w:sz="4" w:space="0" w:color="auto"/>
              <w:right w:val="single" w:sz="4" w:space="0" w:color="auto"/>
            </w:tcBorders>
            <w:shd w:val="clear" w:color="000000" w:fill="FFFFFF"/>
            <w:noWrap/>
            <w:vAlign w:val="center"/>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x</w:t>
            </w:r>
          </w:p>
        </w:tc>
        <w:tc>
          <w:tcPr>
            <w:tcW w:w="1267" w:type="dxa"/>
            <w:tcBorders>
              <w:top w:val="nil"/>
              <w:left w:val="nil"/>
              <w:bottom w:val="single" w:sz="4" w:space="0" w:color="auto"/>
              <w:right w:val="single" w:sz="4" w:space="0" w:color="auto"/>
            </w:tcBorders>
            <w:shd w:val="clear" w:color="000000" w:fill="FFFFFF"/>
            <w:noWrap/>
            <w:vAlign w:val="center"/>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7 281,0</w:t>
            </w:r>
          </w:p>
        </w:tc>
        <w:tc>
          <w:tcPr>
            <w:tcW w:w="244" w:type="dxa"/>
            <w:vMerge/>
            <w:tcBorders>
              <w:left w:val="nil"/>
              <w:right w:val="single" w:sz="12" w:space="0" w:color="auto"/>
            </w:tcBorders>
            <w:shd w:val="clear" w:color="auto" w:fill="C9C9C9" w:themeFill="accent3" w:themeFillTint="99"/>
            <w:noWrap/>
            <w:vAlign w:val="center"/>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highlight w:val="lightGray"/>
                <w:lang w:val="ro-MD"/>
              </w:rPr>
            </w:pPr>
          </w:p>
        </w:tc>
        <w:tc>
          <w:tcPr>
            <w:tcW w:w="1131" w:type="dxa"/>
            <w:tcBorders>
              <w:top w:val="nil"/>
              <w:left w:val="single" w:sz="12" w:space="0" w:color="auto"/>
              <w:bottom w:val="single" w:sz="4" w:space="0" w:color="auto"/>
              <w:right w:val="single" w:sz="12" w:space="0" w:color="auto"/>
            </w:tcBorders>
            <w:shd w:val="clear" w:color="000000" w:fill="FFFFFF"/>
            <w:noWrap/>
            <w:vAlign w:val="center"/>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6 781,4</w:t>
            </w:r>
          </w:p>
        </w:tc>
        <w:tc>
          <w:tcPr>
            <w:tcW w:w="1173" w:type="dxa"/>
            <w:tcBorders>
              <w:top w:val="nil"/>
              <w:left w:val="nil"/>
              <w:bottom w:val="single" w:sz="8" w:space="0" w:color="auto"/>
              <w:right w:val="single" w:sz="8" w:space="0" w:color="auto"/>
            </w:tcBorders>
            <w:shd w:val="clear" w:color="auto" w:fill="auto"/>
            <w:noWrap/>
            <w:vAlign w:val="center"/>
          </w:tcPr>
          <w:p w:rsidR="00E67099" w:rsidRPr="00E67099" w:rsidRDefault="00E67099" w:rsidP="00E67099">
            <w:pPr>
              <w:spacing w:after="0"/>
              <w:jc w:val="right"/>
              <w:rPr>
                <w:rFonts w:ascii="Calibri Light" w:hAnsi="Calibri Light" w:cs="Calibri Light"/>
                <w:bCs/>
                <w:color w:val="000000"/>
                <w:sz w:val="20"/>
                <w:szCs w:val="20"/>
              </w:rPr>
            </w:pPr>
            <w:r w:rsidRPr="00E67099">
              <w:rPr>
                <w:rFonts w:ascii="Calibri Light" w:hAnsi="Calibri Light" w:cs="Calibri Light"/>
                <w:bCs/>
                <w:color w:val="000000"/>
                <w:sz w:val="20"/>
                <w:szCs w:val="20"/>
                <w:lang w:val="ro-MD"/>
              </w:rPr>
              <w:t>54,3</w:t>
            </w:r>
          </w:p>
        </w:tc>
        <w:tc>
          <w:tcPr>
            <w:tcW w:w="1183" w:type="dxa"/>
            <w:tcBorders>
              <w:top w:val="nil"/>
              <w:left w:val="nil"/>
              <w:bottom w:val="single" w:sz="8" w:space="0" w:color="auto"/>
              <w:right w:val="single" w:sz="8" w:space="0" w:color="auto"/>
            </w:tcBorders>
            <w:shd w:val="clear" w:color="auto" w:fill="auto"/>
            <w:noWrap/>
            <w:vAlign w:val="center"/>
          </w:tcPr>
          <w:p w:rsidR="00E67099" w:rsidRPr="00E67099" w:rsidRDefault="00E67099" w:rsidP="00E67099">
            <w:pPr>
              <w:spacing w:after="0"/>
              <w:jc w:val="right"/>
              <w:rPr>
                <w:rFonts w:ascii="Calibri Light" w:hAnsi="Calibri Light" w:cs="Calibri Light"/>
                <w:bCs/>
                <w:color w:val="000000"/>
                <w:sz w:val="20"/>
                <w:szCs w:val="20"/>
              </w:rPr>
            </w:pPr>
            <w:r w:rsidRPr="00E67099">
              <w:rPr>
                <w:rFonts w:ascii="Calibri Light" w:hAnsi="Calibri Light" w:cs="Calibri Light"/>
                <w:bCs/>
                <w:color w:val="000000"/>
                <w:sz w:val="20"/>
                <w:szCs w:val="20"/>
                <w:lang w:val="ro-MD"/>
              </w:rPr>
              <w:t>-499,6</w:t>
            </w:r>
          </w:p>
        </w:tc>
        <w:tc>
          <w:tcPr>
            <w:tcW w:w="1085" w:type="dxa"/>
            <w:tcBorders>
              <w:top w:val="nil"/>
              <w:left w:val="nil"/>
              <w:bottom w:val="single" w:sz="8" w:space="0" w:color="auto"/>
              <w:right w:val="single" w:sz="8" w:space="0" w:color="auto"/>
            </w:tcBorders>
            <w:shd w:val="clear" w:color="auto" w:fill="auto"/>
            <w:noWrap/>
            <w:vAlign w:val="center"/>
          </w:tcPr>
          <w:p w:rsidR="00E67099" w:rsidRPr="00E67099" w:rsidRDefault="00E67099" w:rsidP="00E67099">
            <w:pPr>
              <w:spacing w:after="0"/>
              <w:jc w:val="right"/>
              <w:rPr>
                <w:rFonts w:ascii="Calibri Light" w:hAnsi="Calibri Light" w:cs="Calibri Light"/>
                <w:bCs/>
                <w:color w:val="000000"/>
                <w:sz w:val="20"/>
                <w:szCs w:val="20"/>
              </w:rPr>
            </w:pPr>
            <w:r w:rsidRPr="00E67099">
              <w:rPr>
                <w:rFonts w:ascii="Calibri Light" w:hAnsi="Calibri Light" w:cs="Calibri Light"/>
                <w:bCs/>
                <w:color w:val="000000"/>
                <w:sz w:val="20"/>
                <w:szCs w:val="20"/>
                <w:lang w:val="ro-MD"/>
              </w:rPr>
              <w:t>-445,3</w:t>
            </w:r>
          </w:p>
        </w:tc>
      </w:tr>
      <w:tr w:rsidR="00E67099" w:rsidRPr="00E67099" w:rsidTr="00A36731">
        <w:trPr>
          <w:gridAfter w:val="1"/>
          <w:wAfter w:w="80" w:type="dxa"/>
          <w:trHeight w:val="312"/>
        </w:trPr>
        <w:tc>
          <w:tcPr>
            <w:tcW w:w="2975" w:type="dxa"/>
            <w:tcBorders>
              <w:top w:val="nil"/>
              <w:left w:val="single" w:sz="4" w:space="0" w:color="auto"/>
              <w:bottom w:val="single" w:sz="4" w:space="0" w:color="auto"/>
              <w:right w:val="single" w:sz="4" w:space="0" w:color="auto"/>
            </w:tcBorders>
            <w:shd w:val="clear" w:color="000000" w:fill="FFFFFF"/>
            <w:noWrap/>
            <w:vAlign w:val="center"/>
          </w:tcPr>
          <w:p w:rsidR="00E67099" w:rsidRPr="00E67099" w:rsidRDefault="00E67099" w:rsidP="00E67099">
            <w:pPr>
              <w:spacing w:after="0" w:line="240" w:lineRule="auto"/>
              <w:rPr>
                <w:rFonts w:asciiTheme="majorHAnsi" w:eastAsia="Times New Roman" w:hAnsiTheme="majorHAnsi" w:cstheme="majorHAnsi"/>
                <w:bCs/>
                <w:color w:val="000000"/>
                <w:sz w:val="20"/>
                <w:szCs w:val="20"/>
                <w:lang w:val="ro-MD"/>
              </w:rPr>
            </w:pPr>
            <w:r w:rsidRPr="00E67099">
              <w:rPr>
                <w:rFonts w:asciiTheme="majorHAnsi" w:eastAsia="Times New Roman" w:hAnsiTheme="majorHAnsi" w:cstheme="majorHAnsi"/>
                <w:bCs/>
                <w:color w:val="000000"/>
                <w:sz w:val="20"/>
                <w:szCs w:val="20"/>
                <w:lang w:val="ro-MD"/>
              </w:rPr>
              <w:t>transferuri acordate în cadrul BPN</w:t>
            </w:r>
          </w:p>
        </w:tc>
        <w:tc>
          <w:tcPr>
            <w:tcW w:w="1136" w:type="dxa"/>
            <w:tcBorders>
              <w:top w:val="nil"/>
              <w:left w:val="nil"/>
              <w:bottom w:val="single" w:sz="4" w:space="0" w:color="auto"/>
              <w:right w:val="single" w:sz="12" w:space="0" w:color="auto"/>
            </w:tcBorders>
            <w:shd w:val="clear" w:color="000000" w:fill="FFFFFF"/>
            <w:noWrap/>
            <w:vAlign w:val="center"/>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22 555,4</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x</w:t>
            </w:r>
          </w:p>
        </w:tc>
        <w:tc>
          <w:tcPr>
            <w:tcW w:w="1133" w:type="dxa"/>
            <w:tcBorders>
              <w:top w:val="nil"/>
              <w:left w:val="nil"/>
              <w:bottom w:val="single" w:sz="4" w:space="0" w:color="auto"/>
              <w:right w:val="single" w:sz="4" w:space="0" w:color="auto"/>
            </w:tcBorders>
            <w:shd w:val="clear" w:color="000000" w:fill="FFFFFF"/>
            <w:noWrap/>
            <w:vAlign w:val="center"/>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22 860,8</w:t>
            </w:r>
          </w:p>
        </w:tc>
        <w:tc>
          <w:tcPr>
            <w:tcW w:w="1141" w:type="dxa"/>
            <w:tcBorders>
              <w:top w:val="nil"/>
              <w:left w:val="nil"/>
              <w:bottom w:val="single" w:sz="4" w:space="0" w:color="auto"/>
              <w:right w:val="single" w:sz="4" w:space="0" w:color="auto"/>
            </w:tcBorders>
            <w:shd w:val="clear" w:color="000000" w:fill="FFFFFF"/>
            <w:noWrap/>
            <w:vAlign w:val="center"/>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x</w:t>
            </w:r>
          </w:p>
        </w:tc>
        <w:tc>
          <w:tcPr>
            <w:tcW w:w="1267" w:type="dxa"/>
            <w:tcBorders>
              <w:top w:val="nil"/>
              <w:left w:val="nil"/>
              <w:bottom w:val="single" w:sz="4" w:space="0" w:color="auto"/>
              <w:right w:val="single" w:sz="4" w:space="0" w:color="auto"/>
            </w:tcBorders>
            <w:shd w:val="clear" w:color="000000" w:fill="FFFFFF"/>
            <w:noWrap/>
            <w:vAlign w:val="center"/>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22 929,7</w:t>
            </w:r>
          </w:p>
        </w:tc>
        <w:tc>
          <w:tcPr>
            <w:tcW w:w="244" w:type="dxa"/>
            <w:vMerge/>
            <w:tcBorders>
              <w:left w:val="nil"/>
              <w:right w:val="single" w:sz="12" w:space="0" w:color="auto"/>
            </w:tcBorders>
            <w:shd w:val="clear" w:color="auto" w:fill="C9C9C9" w:themeFill="accent3" w:themeFillTint="99"/>
            <w:noWrap/>
            <w:vAlign w:val="center"/>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highlight w:val="lightGray"/>
                <w:lang w:val="ro-MD"/>
              </w:rPr>
            </w:pPr>
          </w:p>
        </w:tc>
        <w:tc>
          <w:tcPr>
            <w:tcW w:w="1131" w:type="dxa"/>
            <w:tcBorders>
              <w:top w:val="nil"/>
              <w:left w:val="single" w:sz="12" w:space="0" w:color="auto"/>
              <w:bottom w:val="single" w:sz="4" w:space="0" w:color="auto"/>
              <w:right w:val="single" w:sz="12" w:space="0" w:color="auto"/>
            </w:tcBorders>
            <w:shd w:val="clear" w:color="000000" w:fill="FFFFFF"/>
            <w:noWrap/>
            <w:vAlign w:val="center"/>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23 729,97</w:t>
            </w:r>
          </w:p>
        </w:tc>
        <w:tc>
          <w:tcPr>
            <w:tcW w:w="1173" w:type="dxa"/>
            <w:tcBorders>
              <w:top w:val="nil"/>
              <w:left w:val="nil"/>
              <w:bottom w:val="single" w:sz="8" w:space="0" w:color="auto"/>
              <w:right w:val="single" w:sz="8" w:space="0" w:color="auto"/>
            </w:tcBorders>
            <w:shd w:val="clear" w:color="auto" w:fill="auto"/>
            <w:noWrap/>
            <w:vAlign w:val="center"/>
          </w:tcPr>
          <w:p w:rsidR="00E67099" w:rsidRPr="00E67099" w:rsidRDefault="00E67099" w:rsidP="00E67099">
            <w:pPr>
              <w:spacing w:after="0"/>
              <w:jc w:val="right"/>
              <w:rPr>
                <w:rFonts w:ascii="Calibri Light" w:hAnsi="Calibri Light" w:cs="Calibri Light"/>
                <w:bCs/>
                <w:color w:val="000000"/>
                <w:sz w:val="20"/>
                <w:szCs w:val="20"/>
              </w:rPr>
            </w:pPr>
            <w:r w:rsidRPr="00E67099">
              <w:rPr>
                <w:rFonts w:ascii="Calibri Light" w:hAnsi="Calibri Light" w:cs="Calibri Light"/>
                <w:bCs/>
                <w:color w:val="000000"/>
                <w:sz w:val="20"/>
                <w:szCs w:val="20"/>
                <w:lang w:val="ro-MD"/>
              </w:rPr>
              <w:t>374,3</w:t>
            </w:r>
          </w:p>
        </w:tc>
        <w:tc>
          <w:tcPr>
            <w:tcW w:w="1183" w:type="dxa"/>
            <w:tcBorders>
              <w:top w:val="nil"/>
              <w:left w:val="nil"/>
              <w:bottom w:val="single" w:sz="8" w:space="0" w:color="auto"/>
              <w:right w:val="single" w:sz="8" w:space="0" w:color="auto"/>
            </w:tcBorders>
            <w:shd w:val="clear" w:color="auto" w:fill="auto"/>
            <w:noWrap/>
            <w:vAlign w:val="center"/>
          </w:tcPr>
          <w:p w:rsidR="00E67099" w:rsidRPr="00E67099" w:rsidRDefault="00E67099" w:rsidP="00E67099">
            <w:pPr>
              <w:spacing w:after="0"/>
              <w:jc w:val="right"/>
              <w:rPr>
                <w:rFonts w:ascii="Calibri Light" w:hAnsi="Calibri Light" w:cs="Calibri Light"/>
                <w:bCs/>
                <w:color w:val="000000"/>
                <w:sz w:val="20"/>
                <w:szCs w:val="20"/>
              </w:rPr>
            </w:pPr>
            <w:r w:rsidRPr="00E67099">
              <w:rPr>
                <w:rFonts w:ascii="Calibri Light" w:hAnsi="Calibri Light" w:cs="Calibri Light"/>
                <w:bCs/>
                <w:color w:val="000000"/>
                <w:sz w:val="20"/>
                <w:szCs w:val="20"/>
                <w:lang w:val="ro-MD"/>
              </w:rPr>
              <w:t>800,27</w:t>
            </w:r>
          </w:p>
        </w:tc>
        <w:tc>
          <w:tcPr>
            <w:tcW w:w="1085" w:type="dxa"/>
            <w:tcBorders>
              <w:top w:val="nil"/>
              <w:left w:val="nil"/>
              <w:bottom w:val="single" w:sz="8" w:space="0" w:color="auto"/>
              <w:right w:val="single" w:sz="8" w:space="0" w:color="auto"/>
            </w:tcBorders>
            <w:shd w:val="clear" w:color="auto" w:fill="auto"/>
            <w:noWrap/>
            <w:vAlign w:val="center"/>
          </w:tcPr>
          <w:p w:rsidR="00E67099" w:rsidRPr="00E67099" w:rsidRDefault="00E67099" w:rsidP="00E67099">
            <w:pPr>
              <w:spacing w:after="0"/>
              <w:jc w:val="right"/>
              <w:rPr>
                <w:rFonts w:ascii="Calibri Light" w:hAnsi="Calibri Light" w:cs="Calibri Light"/>
                <w:bCs/>
                <w:color w:val="000000"/>
                <w:sz w:val="20"/>
                <w:szCs w:val="20"/>
              </w:rPr>
            </w:pPr>
            <w:r w:rsidRPr="00E67099">
              <w:rPr>
                <w:rFonts w:ascii="Calibri Light" w:hAnsi="Calibri Light" w:cs="Calibri Light"/>
                <w:bCs/>
                <w:color w:val="000000"/>
                <w:sz w:val="20"/>
                <w:szCs w:val="20"/>
                <w:lang w:val="ro-MD"/>
              </w:rPr>
              <w:t>1174,57</w:t>
            </w:r>
          </w:p>
        </w:tc>
      </w:tr>
      <w:tr w:rsidR="00E67099" w:rsidRPr="00E67099" w:rsidTr="00A36731">
        <w:trPr>
          <w:gridAfter w:val="1"/>
          <w:wAfter w:w="80" w:type="dxa"/>
          <w:trHeight w:val="312"/>
        </w:trPr>
        <w:tc>
          <w:tcPr>
            <w:tcW w:w="2975" w:type="dxa"/>
            <w:tcBorders>
              <w:top w:val="nil"/>
              <w:left w:val="single" w:sz="4" w:space="0" w:color="auto"/>
              <w:bottom w:val="single" w:sz="4" w:space="0" w:color="auto"/>
              <w:right w:val="single" w:sz="4" w:space="0" w:color="auto"/>
            </w:tcBorders>
            <w:shd w:val="clear" w:color="000000" w:fill="FFFFFF"/>
            <w:noWrap/>
            <w:vAlign w:val="center"/>
          </w:tcPr>
          <w:p w:rsidR="00E67099" w:rsidRPr="00E67099" w:rsidRDefault="00E67099" w:rsidP="00E67099">
            <w:pPr>
              <w:spacing w:after="0" w:line="240" w:lineRule="auto"/>
              <w:rPr>
                <w:rFonts w:asciiTheme="majorHAnsi" w:eastAsia="Times New Roman" w:hAnsiTheme="majorHAnsi" w:cstheme="majorHAnsi"/>
                <w:bCs/>
                <w:color w:val="000000"/>
                <w:sz w:val="20"/>
                <w:szCs w:val="20"/>
                <w:lang w:val="ro-MD"/>
              </w:rPr>
            </w:pPr>
            <w:r w:rsidRPr="00E67099">
              <w:rPr>
                <w:rFonts w:asciiTheme="majorHAnsi" w:eastAsia="Times New Roman" w:hAnsiTheme="majorHAnsi" w:cstheme="majorHAnsi"/>
                <w:bCs/>
                <w:color w:val="000000"/>
                <w:sz w:val="20"/>
                <w:szCs w:val="20"/>
                <w:lang w:val="ro-MD"/>
              </w:rPr>
              <w:t>investiții capitale în active materiale în curs de execuție</w:t>
            </w:r>
          </w:p>
        </w:tc>
        <w:tc>
          <w:tcPr>
            <w:tcW w:w="1136" w:type="dxa"/>
            <w:tcBorders>
              <w:top w:val="nil"/>
              <w:left w:val="nil"/>
              <w:bottom w:val="single" w:sz="4" w:space="0" w:color="auto"/>
              <w:right w:val="single" w:sz="12" w:space="0" w:color="auto"/>
            </w:tcBorders>
            <w:shd w:val="clear" w:color="000000" w:fill="FFFFFF"/>
            <w:noWrap/>
            <w:vAlign w:val="center"/>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2 374,2</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x</w:t>
            </w:r>
          </w:p>
        </w:tc>
        <w:tc>
          <w:tcPr>
            <w:tcW w:w="1133" w:type="dxa"/>
            <w:tcBorders>
              <w:top w:val="nil"/>
              <w:left w:val="nil"/>
              <w:bottom w:val="single" w:sz="4" w:space="0" w:color="auto"/>
              <w:right w:val="single" w:sz="4" w:space="0" w:color="auto"/>
            </w:tcBorders>
            <w:shd w:val="clear" w:color="000000" w:fill="FFFFFF"/>
            <w:noWrap/>
            <w:vAlign w:val="center"/>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x</w:t>
            </w:r>
          </w:p>
        </w:tc>
        <w:tc>
          <w:tcPr>
            <w:tcW w:w="1141" w:type="dxa"/>
            <w:tcBorders>
              <w:top w:val="nil"/>
              <w:left w:val="nil"/>
              <w:bottom w:val="single" w:sz="4" w:space="0" w:color="auto"/>
              <w:right w:val="single" w:sz="4" w:space="0" w:color="auto"/>
            </w:tcBorders>
            <w:shd w:val="clear" w:color="000000" w:fill="FFFFFF"/>
            <w:noWrap/>
            <w:vAlign w:val="center"/>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x</w:t>
            </w:r>
          </w:p>
        </w:tc>
        <w:tc>
          <w:tcPr>
            <w:tcW w:w="1267" w:type="dxa"/>
            <w:tcBorders>
              <w:top w:val="nil"/>
              <w:left w:val="nil"/>
              <w:bottom w:val="single" w:sz="4" w:space="0" w:color="auto"/>
              <w:right w:val="single" w:sz="4" w:space="0" w:color="auto"/>
            </w:tcBorders>
            <w:shd w:val="clear" w:color="000000" w:fill="FFFFFF"/>
            <w:noWrap/>
            <w:vAlign w:val="center"/>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1 665,4</w:t>
            </w:r>
          </w:p>
        </w:tc>
        <w:tc>
          <w:tcPr>
            <w:tcW w:w="244" w:type="dxa"/>
            <w:vMerge/>
            <w:tcBorders>
              <w:left w:val="nil"/>
              <w:right w:val="single" w:sz="12" w:space="0" w:color="auto"/>
            </w:tcBorders>
            <w:shd w:val="clear" w:color="auto" w:fill="C9C9C9" w:themeFill="accent3" w:themeFillTint="99"/>
            <w:noWrap/>
            <w:vAlign w:val="center"/>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highlight w:val="lightGray"/>
                <w:lang w:val="ro-MD"/>
              </w:rPr>
            </w:pPr>
          </w:p>
        </w:tc>
        <w:tc>
          <w:tcPr>
            <w:tcW w:w="1131" w:type="dxa"/>
            <w:tcBorders>
              <w:top w:val="nil"/>
              <w:left w:val="single" w:sz="12" w:space="0" w:color="auto"/>
              <w:bottom w:val="single" w:sz="4" w:space="0" w:color="auto"/>
              <w:right w:val="single" w:sz="12" w:space="0" w:color="auto"/>
            </w:tcBorders>
            <w:shd w:val="clear" w:color="000000" w:fill="FFFFFF"/>
            <w:noWrap/>
            <w:vAlign w:val="center"/>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1 665,4</w:t>
            </w:r>
          </w:p>
        </w:tc>
        <w:tc>
          <w:tcPr>
            <w:tcW w:w="1173" w:type="dxa"/>
            <w:tcBorders>
              <w:top w:val="nil"/>
              <w:left w:val="nil"/>
              <w:bottom w:val="single" w:sz="8" w:space="0" w:color="auto"/>
              <w:right w:val="single" w:sz="8" w:space="0" w:color="auto"/>
            </w:tcBorders>
            <w:shd w:val="clear" w:color="auto" w:fill="auto"/>
            <w:noWrap/>
            <w:vAlign w:val="center"/>
          </w:tcPr>
          <w:p w:rsidR="00E67099" w:rsidRPr="00E67099" w:rsidRDefault="00E67099" w:rsidP="00E67099">
            <w:pPr>
              <w:spacing w:after="0"/>
              <w:jc w:val="right"/>
              <w:rPr>
                <w:rFonts w:ascii="Calibri Light" w:hAnsi="Calibri Light" w:cs="Calibri Light"/>
                <w:bCs/>
                <w:color w:val="000000"/>
                <w:sz w:val="20"/>
                <w:szCs w:val="20"/>
              </w:rPr>
            </w:pPr>
            <w:r w:rsidRPr="00E67099">
              <w:rPr>
                <w:rFonts w:ascii="Calibri Light" w:hAnsi="Calibri Light" w:cs="Calibri Light"/>
                <w:bCs/>
                <w:color w:val="000000"/>
                <w:sz w:val="20"/>
                <w:szCs w:val="20"/>
                <w:lang w:val="ro-MD"/>
              </w:rPr>
              <w:t>-708,8</w:t>
            </w:r>
          </w:p>
        </w:tc>
        <w:tc>
          <w:tcPr>
            <w:tcW w:w="1183" w:type="dxa"/>
            <w:tcBorders>
              <w:top w:val="nil"/>
              <w:left w:val="nil"/>
              <w:bottom w:val="single" w:sz="8" w:space="0" w:color="auto"/>
              <w:right w:val="single" w:sz="8" w:space="0" w:color="auto"/>
            </w:tcBorders>
            <w:shd w:val="clear" w:color="auto" w:fill="auto"/>
            <w:noWrap/>
            <w:vAlign w:val="center"/>
          </w:tcPr>
          <w:p w:rsidR="00E67099" w:rsidRPr="00E67099" w:rsidRDefault="00E67099" w:rsidP="00E67099">
            <w:pPr>
              <w:spacing w:after="0"/>
              <w:jc w:val="right"/>
              <w:rPr>
                <w:rFonts w:ascii="Calibri Light" w:hAnsi="Calibri Light" w:cs="Calibri Light"/>
                <w:bCs/>
                <w:color w:val="000000"/>
                <w:sz w:val="20"/>
                <w:szCs w:val="20"/>
              </w:rPr>
            </w:pPr>
            <w:r w:rsidRPr="00E67099">
              <w:rPr>
                <w:rFonts w:ascii="Calibri Light" w:hAnsi="Calibri Light" w:cs="Calibri Light"/>
                <w:bCs/>
                <w:color w:val="000000"/>
                <w:sz w:val="20"/>
                <w:szCs w:val="20"/>
                <w:lang w:val="ro-MD"/>
              </w:rPr>
              <w:t>0</w:t>
            </w:r>
          </w:p>
        </w:tc>
        <w:tc>
          <w:tcPr>
            <w:tcW w:w="1085" w:type="dxa"/>
            <w:tcBorders>
              <w:top w:val="nil"/>
              <w:left w:val="nil"/>
              <w:bottom w:val="single" w:sz="8" w:space="0" w:color="auto"/>
              <w:right w:val="single" w:sz="8" w:space="0" w:color="auto"/>
            </w:tcBorders>
            <w:shd w:val="clear" w:color="auto" w:fill="auto"/>
            <w:noWrap/>
            <w:vAlign w:val="center"/>
          </w:tcPr>
          <w:p w:rsidR="00E67099" w:rsidRPr="00E67099" w:rsidRDefault="00E67099" w:rsidP="00E67099">
            <w:pPr>
              <w:spacing w:after="0"/>
              <w:jc w:val="right"/>
              <w:rPr>
                <w:rFonts w:ascii="Calibri Light" w:hAnsi="Calibri Light" w:cs="Calibri Light"/>
                <w:bCs/>
                <w:color w:val="000000"/>
                <w:sz w:val="20"/>
                <w:szCs w:val="20"/>
              </w:rPr>
            </w:pPr>
            <w:r w:rsidRPr="00E67099">
              <w:rPr>
                <w:rFonts w:ascii="Calibri Light" w:hAnsi="Calibri Light" w:cs="Calibri Light"/>
                <w:bCs/>
                <w:color w:val="000000"/>
                <w:sz w:val="20"/>
                <w:szCs w:val="20"/>
                <w:lang w:val="ro-MD"/>
              </w:rPr>
              <w:t>-708,8</w:t>
            </w:r>
          </w:p>
        </w:tc>
      </w:tr>
      <w:tr w:rsidR="00E67099" w:rsidRPr="00E67099" w:rsidTr="00A36731">
        <w:trPr>
          <w:gridAfter w:val="1"/>
          <w:wAfter w:w="80" w:type="dxa"/>
          <w:trHeight w:val="312"/>
        </w:trPr>
        <w:tc>
          <w:tcPr>
            <w:tcW w:w="2975" w:type="dxa"/>
            <w:tcBorders>
              <w:top w:val="nil"/>
              <w:left w:val="single" w:sz="4" w:space="0" w:color="auto"/>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rPr>
                <w:rFonts w:asciiTheme="majorHAnsi" w:eastAsia="Times New Roman" w:hAnsiTheme="majorHAnsi" w:cstheme="majorHAnsi"/>
                <w:b/>
                <w:bCs/>
                <w:color w:val="000000"/>
                <w:sz w:val="20"/>
                <w:szCs w:val="20"/>
                <w:lang w:val="ro-MD"/>
              </w:rPr>
            </w:pPr>
            <w:r w:rsidRPr="00E67099">
              <w:rPr>
                <w:rFonts w:asciiTheme="majorHAnsi" w:eastAsia="Times New Roman" w:hAnsiTheme="majorHAnsi" w:cstheme="majorHAnsi"/>
                <w:b/>
                <w:bCs/>
                <w:color w:val="000000"/>
                <w:sz w:val="20"/>
                <w:szCs w:val="20"/>
                <w:lang w:val="ro-MD"/>
              </w:rPr>
              <w:t>III. Sold bugetar</w:t>
            </w:r>
          </w:p>
        </w:tc>
        <w:tc>
          <w:tcPr>
            <w:tcW w:w="1136" w:type="dxa"/>
            <w:tcBorders>
              <w:top w:val="nil"/>
              <w:left w:val="nil"/>
              <w:bottom w:val="single" w:sz="4" w:space="0" w:color="auto"/>
              <w:right w:val="single" w:sz="12" w:space="0" w:color="auto"/>
            </w:tcBorders>
            <w:shd w:val="clear" w:color="auto" w:fill="auto"/>
            <w:noWrap/>
            <w:vAlign w:val="center"/>
          </w:tcPr>
          <w:p w:rsidR="00E67099" w:rsidRPr="00E67099" w:rsidRDefault="00E67099" w:rsidP="00E67099">
            <w:pPr>
              <w:spacing w:after="0" w:line="240" w:lineRule="auto"/>
              <w:jc w:val="right"/>
              <w:rPr>
                <w:rFonts w:asciiTheme="majorHAnsi" w:eastAsia="Times New Roman" w:hAnsiTheme="majorHAnsi" w:cstheme="majorHAnsi"/>
                <w:b/>
                <w:color w:val="000000"/>
                <w:sz w:val="20"/>
                <w:szCs w:val="20"/>
                <w:lang w:val="ro-MD"/>
              </w:rPr>
            </w:pPr>
            <w:r w:rsidRPr="00E67099">
              <w:rPr>
                <w:rFonts w:asciiTheme="majorHAnsi" w:eastAsia="Times New Roman" w:hAnsiTheme="majorHAnsi" w:cstheme="majorHAnsi"/>
                <w:b/>
                <w:color w:val="000000"/>
                <w:sz w:val="20"/>
                <w:szCs w:val="20"/>
                <w:lang w:val="ro-MD"/>
              </w:rPr>
              <w:t>-5 538,7</w:t>
            </w:r>
          </w:p>
        </w:tc>
        <w:tc>
          <w:tcPr>
            <w:tcW w:w="1134" w:type="dxa"/>
            <w:tcBorders>
              <w:top w:val="nil"/>
              <w:left w:val="single" w:sz="12" w:space="0" w:color="auto"/>
              <w:bottom w:val="single" w:sz="4" w:space="0" w:color="auto"/>
              <w:right w:val="single" w:sz="4" w:space="0" w:color="auto"/>
            </w:tcBorders>
            <w:shd w:val="clear" w:color="auto" w:fill="auto"/>
            <w:noWrap/>
            <w:vAlign w:val="center"/>
          </w:tcPr>
          <w:p w:rsidR="00E67099" w:rsidRPr="00E67099" w:rsidRDefault="00E67099" w:rsidP="00E67099">
            <w:pPr>
              <w:spacing w:after="0" w:line="240" w:lineRule="auto"/>
              <w:jc w:val="right"/>
              <w:rPr>
                <w:rFonts w:asciiTheme="majorHAnsi" w:eastAsia="Times New Roman" w:hAnsiTheme="majorHAnsi" w:cstheme="majorHAnsi"/>
                <w:b/>
                <w:color w:val="000000"/>
                <w:sz w:val="20"/>
                <w:szCs w:val="20"/>
                <w:lang w:val="ro-MD"/>
              </w:rPr>
            </w:pPr>
            <w:r w:rsidRPr="00E67099">
              <w:rPr>
                <w:rFonts w:asciiTheme="majorHAnsi" w:eastAsia="Times New Roman" w:hAnsiTheme="majorHAnsi" w:cstheme="majorHAnsi"/>
                <w:b/>
                <w:color w:val="000000"/>
                <w:sz w:val="20"/>
                <w:szCs w:val="20"/>
                <w:lang w:val="ro-MD"/>
              </w:rPr>
              <w:t>x</w:t>
            </w:r>
          </w:p>
        </w:tc>
        <w:tc>
          <w:tcPr>
            <w:tcW w:w="1133" w:type="dxa"/>
            <w:tcBorders>
              <w:top w:val="nil"/>
              <w:left w:val="nil"/>
              <w:bottom w:val="single" w:sz="4" w:space="0" w:color="auto"/>
              <w:right w:val="single" w:sz="4" w:space="0" w:color="auto"/>
            </w:tcBorders>
            <w:shd w:val="clear" w:color="auto" w:fill="auto"/>
            <w:noWrap/>
            <w:vAlign w:val="center"/>
          </w:tcPr>
          <w:p w:rsidR="00E67099" w:rsidRPr="00E67099" w:rsidRDefault="00E67099" w:rsidP="00E67099">
            <w:pPr>
              <w:spacing w:after="0" w:line="240" w:lineRule="auto"/>
              <w:jc w:val="right"/>
              <w:rPr>
                <w:rFonts w:asciiTheme="majorHAnsi" w:eastAsia="Times New Roman" w:hAnsiTheme="majorHAnsi" w:cstheme="majorHAnsi"/>
                <w:b/>
                <w:color w:val="000000"/>
                <w:sz w:val="20"/>
                <w:szCs w:val="20"/>
                <w:lang w:val="ro-MD"/>
              </w:rPr>
            </w:pPr>
            <w:r w:rsidRPr="00E67099">
              <w:rPr>
                <w:rFonts w:asciiTheme="majorHAnsi" w:eastAsia="Times New Roman" w:hAnsiTheme="majorHAnsi" w:cstheme="majorHAnsi"/>
                <w:b/>
                <w:color w:val="000000"/>
                <w:sz w:val="20"/>
                <w:szCs w:val="20"/>
                <w:lang w:val="ro-MD"/>
              </w:rPr>
              <w:t>x</w:t>
            </w:r>
          </w:p>
        </w:tc>
        <w:tc>
          <w:tcPr>
            <w:tcW w:w="1141" w:type="dxa"/>
            <w:tcBorders>
              <w:top w:val="nil"/>
              <w:left w:val="nil"/>
              <w:bottom w:val="single" w:sz="4" w:space="0" w:color="auto"/>
              <w:right w:val="single" w:sz="4" w:space="0" w:color="auto"/>
            </w:tcBorders>
            <w:shd w:val="clear" w:color="auto" w:fill="auto"/>
            <w:noWrap/>
            <w:vAlign w:val="center"/>
          </w:tcPr>
          <w:p w:rsidR="00E67099" w:rsidRPr="00E67099" w:rsidRDefault="00E67099" w:rsidP="00E67099">
            <w:pPr>
              <w:spacing w:after="0" w:line="240" w:lineRule="auto"/>
              <w:jc w:val="right"/>
              <w:rPr>
                <w:rFonts w:asciiTheme="majorHAnsi" w:eastAsia="Times New Roman" w:hAnsiTheme="majorHAnsi" w:cstheme="majorHAnsi"/>
                <w:b/>
                <w:color w:val="000000"/>
                <w:sz w:val="20"/>
                <w:szCs w:val="20"/>
                <w:lang w:val="ro-MD"/>
              </w:rPr>
            </w:pPr>
            <w:r w:rsidRPr="00E67099">
              <w:rPr>
                <w:rFonts w:asciiTheme="majorHAnsi" w:eastAsia="Times New Roman" w:hAnsiTheme="majorHAnsi" w:cstheme="majorHAnsi"/>
                <w:b/>
                <w:color w:val="000000"/>
                <w:sz w:val="20"/>
                <w:szCs w:val="20"/>
                <w:lang w:val="ro-MD"/>
              </w:rPr>
              <w:t>x</w:t>
            </w:r>
          </w:p>
        </w:tc>
        <w:tc>
          <w:tcPr>
            <w:tcW w:w="1267" w:type="dxa"/>
            <w:tcBorders>
              <w:top w:val="nil"/>
              <w:left w:val="nil"/>
              <w:bottom w:val="single" w:sz="4" w:space="0" w:color="auto"/>
              <w:right w:val="single" w:sz="4" w:space="0" w:color="auto"/>
            </w:tcBorders>
            <w:shd w:val="clear" w:color="auto" w:fill="auto"/>
            <w:noWrap/>
            <w:vAlign w:val="center"/>
          </w:tcPr>
          <w:p w:rsidR="00E67099" w:rsidRPr="00E67099" w:rsidRDefault="00E67099" w:rsidP="00E67099">
            <w:pPr>
              <w:spacing w:after="0" w:line="240" w:lineRule="auto"/>
              <w:jc w:val="right"/>
              <w:rPr>
                <w:rFonts w:asciiTheme="majorHAnsi" w:eastAsia="Times New Roman" w:hAnsiTheme="majorHAnsi" w:cstheme="majorHAnsi"/>
                <w:b/>
                <w:color w:val="000000"/>
                <w:sz w:val="20"/>
                <w:szCs w:val="20"/>
                <w:lang w:val="ro-MD"/>
              </w:rPr>
            </w:pPr>
            <w:r w:rsidRPr="00E67099">
              <w:rPr>
                <w:rFonts w:asciiTheme="majorHAnsi" w:eastAsia="Times New Roman" w:hAnsiTheme="majorHAnsi" w:cstheme="majorHAnsi"/>
                <w:b/>
                <w:color w:val="000000"/>
                <w:sz w:val="20"/>
                <w:szCs w:val="20"/>
                <w:lang w:val="ro-MD"/>
              </w:rPr>
              <w:t>-5 703,3</w:t>
            </w:r>
          </w:p>
        </w:tc>
        <w:tc>
          <w:tcPr>
            <w:tcW w:w="244" w:type="dxa"/>
            <w:vMerge/>
            <w:tcBorders>
              <w:left w:val="nil"/>
              <w:right w:val="single" w:sz="12" w:space="0" w:color="auto"/>
            </w:tcBorders>
            <w:shd w:val="clear" w:color="auto" w:fill="C9C9C9" w:themeFill="accent3" w:themeFillTint="99"/>
            <w:noWrap/>
            <w:vAlign w:val="center"/>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highlight w:val="lightGray"/>
                <w:lang w:val="ro-MD"/>
              </w:rPr>
            </w:pPr>
          </w:p>
        </w:tc>
        <w:tc>
          <w:tcPr>
            <w:tcW w:w="1131" w:type="dxa"/>
            <w:tcBorders>
              <w:top w:val="nil"/>
              <w:left w:val="single" w:sz="12" w:space="0" w:color="auto"/>
              <w:bottom w:val="single" w:sz="4" w:space="0" w:color="auto"/>
              <w:right w:val="single" w:sz="12" w:space="0" w:color="auto"/>
            </w:tcBorders>
            <w:shd w:val="clear" w:color="auto" w:fill="auto"/>
            <w:noWrap/>
            <w:vAlign w:val="center"/>
          </w:tcPr>
          <w:p w:rsidR="00E67099" w:rsidRPr="00E67099" w:rsidRDefault="00E67099" w:rsidP="00E67099">
            <w:pPr>
              <w:spacing w:after="0" w:line="240" w:lineRule="auto"/>
              <w:jc w:val="right"/>
              <w:rPr>
                <w:rFonts w:asciiTheme="majorHAnsi" w:eastAsia="Times New Roman" w:hAnsiTheme="majorHAnsi" w:cstheme="majorHAnsi"/>
                <w:b/>
                <w:color w:val="000000"/>
                <w:sz w:val="20"/>
                <w:szCs w:val="20"/>
                <w:lang w:val="ro-MD"/>
              </w:rPr>
            </w:pPr>
            <w:r w:rsidRPr="00E67099">
              <w:rPr>
                <w:rFonts w:asciiTheme="majorHAnsi" w:eastAsia="Times New Roman" w:hAnsiTheme="majorHAnsi" w:cstheme="majorHAnsi"/>
                <w:b/>
                <w:color w:val="000000"/>
                <w:sz w:val="20"/>
                <w:szCs w:val="20"/>
                <w:lang w:val="ro-MD"/>
              </w:rPr>
              <w:t>-5 703,3</w:t>
            </w:r>
          </w:p>
        </w:tc>
        <w:tc>
          <w:tcPr>
            <w:tcW w:w="1173" w:type="dxa"/>
            <w:tcBorders>
              <w:top w:val="nil"/>
              <w:left w:val="nil"/>
              <w:bottom w:val="single" w:sz="8" w:space="0" w:color="auto"/>
              <w:right w:val="single" w:sz="8" w:space="0" w:color="auto"/>
            </w:tcBorders>
            <w:shd w:val="clear" w:color="auto" w:fill="auto"/>
            <w:noWrap/>
            <w:vAlign w:val="center"/>
          </w:tcPr>
          <w:p w:rsidR="00E67099" w:rsidRPr="00E67099" w:rsidRDefault="00E67099" w:rsidP="00E67099">
            <w:pPr>
              <w:spacing w:after="0"/>
              <w:jc w:val="right"/>
              <w:rPr>
                <w:rFonts w:ascii="Calibri Light" w:hAnsi="Calibri Light" w:cs="Calibri Light"/>
                <w:b/>
                <w:bCs/>
                <w:color w:val="000000"/>
                <w:sz w:val="20"/>
                <w:szCs w:val="20"/>
              </w:rPr>
            </w:pPr>
            <w:r w:rsidRPr="00E67099">
              <w:rPr>
                <w:rFonts w:ascii="Calibri Light" w:hAnsi="Calibri Light" w:cs="Calibri Light"/>
                <w:b/>
                <w:bCs/>
                <w:color w:val="000000"/>
                <w:sz w:val="20"/>
                <w:szCs w:val="20"/>
                <w:lang w:val="ro-MD"/>
              </w:rPr>
              <w:t>-164,6</w:t>
            </w:r>
          </w:p>
        </w:tc>
        <w:tc>
          <w:tcPr>
            <w:tcW w:w="1183" w:type="dxa"/>
            <w:tcBorders>
              <w:top w:val="nil"/>
              <w:left w:val="nil"/>
              <w:bottom w:val="single" w:sz="8" w:space="0" w:color="auto"/>
              <w:right w:val="single" w:sz="8" w:space="0" w:color="auto"/>
            </w:tcBorders>
            <w:shd w:val="clear" w:color="auto" w:fill="auto"/>
            <w:noWrap/>
            <w:vAlign w:val="center"/>
          </w:tcPr>
          <w:p w:rsidR="00E67099" w:rsidRPr="00E67099" w:rsidRDefault="00E67099" w:rsidP="00E67099">
            <w:pPr>
              <w:spacing w:after="0"/>
              <w:jc w:val="right"/>
              <w:rPr>
                <w:rFonts w:ascii="Calibri Light" w:hAnsi="Calibri Light" w:cs="Calibri Light"/>
                <w:b/>
                <w:bCs/>
                <w:color w:val="000000"/>
                <w:sz w:val="20"/>
                <w:szCs w:val="20"/>
              </w:rPr>
            </w:pPr>
            <w:r w:rsidRPr="00E67099">
              <w:rPr>
                <w:rFonts w:ascii="Calibri Light" w:hAnsi="Calibri Light" w:cs="Calibri Light"/>
                <w:b/>
                <w:bCs/>
                <w:color w:val="000000"/>
                <w:sz w:val="20"/>
                <w:szCs w:val="20"/>
                <w:lang w:val="ro-MD"/>
              </w:rPr>
              <w:t>0</w:t>
            </w:r>
          </w:p>
        </w:tc>
        <w:tc>
          <w:tcPr>
            <w:tcW w:w="1085" w:type="dxa"/>
            <w:tcBorders>
              <w:top w:val="nil"/>
              <w:left w:val="nil"/>
              <w:bottom w:val="single" w:sz="8" w:space="0" w:color="auto"/>
              <w:right w:val="single" w:sz="8" w:space="0" w:color="auto"/>
            </w:tcBorders>
            <w:shd w:val="clear" w:color="auto" w:fill="auto"/>
            <w:noWrap/>
            <w:vAlign w:val="center"/>
          </w:tcPr>
          <w:p w:rsidR="00E67099" w:rsidRPr="00E67099" w:rsidRDefault="00E67099" w:rsidP="00E67099">
            <w:pPr>
              <w:spacing w:after="0"/>
              <w:jc w:val="right"/>
              <w:rPr>
                <w:rFonts w:ascii="Calibri Light" w:hAnsi="Calibri Light" w:cs="Calibri Light"/>
                <w:b/>
                <w:bCs/>
                <w:color w:val="000000"/>
                <w:sz w:val="20"/>
                <w:szCs w:val="20"/>
              </w:rPr>
            </w:pPr>
            <w:r w:rsidRPr="00E67099">
              <w:rPr>
                <w:rFonts w:ascii="Calibri Light" w:hAnsi="Calibri Light" w:cs="Calibri Light"/>
                <w:b/>
                <w:bCs/>
                <w:color w:val="000000"/>
                <w:sz w:val="20"/>
                <w:szCs w:val="20"/>
                <w:lang w:val="ro-MD"/>
              </w:rPr>
              <w:t>-164,6</w:t>
            </w:r>
          </w:p>
        </w:tc>
      </w:tr>
      <w:tr w:rsidR="00E67099" w:rsidRPr="00E67099" w:rsidTr="00A36731">
        <w:trPr>
          <w:gridAfter w:val="1"/>
          <w:wAfter w:w="80" w:type="dxa"/>
          <w:trHeight w:val="336"/>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E67099" w:rsidRPr="00E67099" w:rsidRDefault="00E67099" w:rsidP="00E67099">
            <w:pPr>
              <w:spacing w:after="0" w:line="240" w:lineRule="auto"/>
              <w:rPr>
                <w:rFonts w:asciiTheme="majorHAnsi" w:eastAsia="Times New Roman" w:hAnsiTheme="majorHAnsi" w:cstheme="majorHAnsi"/>
                <w:b/>
                <w:bCs/>
                <w:color w:val="000000"/>
                <w:sz w:val="20"/>
                <w:szCs w:val="20"/>
                <w:lang w:val="ro-MD"/>
              </w:rPr>
            </w:pPr>
            <w:r w:rsidRPr="00E67099">
              <w:rPr>
                <w:rFonts w:asciiTheme="majorHAnsi" w:eastAsia="Times New Roman" w:hAnsiTheme="majorHAnsi" w:cstheme="majorHAnsi"/>
                <w:b/>
                <w:bCs/>
                <w:color w:val="000000"/>
                <w:sz w:val="20"/>
                <w:szCs w:val="20"/>
                <w:lang w:val="ro-MD"/>
              </w:rPr>
              <w:t xml:space="preserve">IV. Sursele de finanțare, </w:t>
            </w:r>
            <w:r w:rsidRPr="00E67099">
              <w:rPr>
                <w:rFonts w:asciiTheme="majorHAnsi" w:eastAsia="Times New Roman" w:hAnsiTheme="majorHAnsi" w:cstheme="majorHAnsi"/>
                <w:bCs/>
                <w:i/>
                <w:color w:val="000000"/>
                <w:sz w:val="20"/>
                <w:szCs w:val="20"/>
                <w:lang w:val="ro-MD"/>
              </w:rPr>
              <w:t>inclusiv:</w:t>
            </w:r>
          </w:p>
        </w:tc>
        <w:tc>
          <w:tcPr>
            <w:tcW w:w="1136" w:type="dxa"/>
            <w:tcBorders>
              <w:top w:val="nil"/>
              <w:left w:val="nil"/>
              <w:bottom w:val="single" w:sz="4" w:space="0" w:color="auto"/>
              <w:right w:val="single" w:sz="12" w:space="0" w:color="auto"/>
            </w:tcBorders>
            <w:shd w:val="clear" w:color="auto" w:fill="auto"/>
            <w:noWrap/>
            <w:vAlign w:val="center"/>
          </w:tcPr>
          <w:p w:rsidR="00E67099" w:rsidRPr="00E67099" w:rsidRDefault="00E67099" w:rsidP="00E67099">
            <w:pPr>
              <w:spacing w:after="0" w:line="240" w:lineRule="auto"/>
              <w:jc w:val="right"/>
              <w:rPr>
                <w:rFonts w:asciiTheme="majorHAnsi" w:eastAsia="Times New Roman" w:hAnsiTheme="majorHAnsi" w:cstheme="majorHAnsi"/>
                <w:b/>
                <w:color w:val="000000"/>
                <w:sz w:val="20"/>
                <w:szCs w:val="20"/>
                <w:lang w:val="ro-MD"/>
              </w:rPr>
            </w:pPr>
            <w:r w:rsidRPr="00E67099">
              <w:rPr>
                <w:rFonts w:asciiTheme="majorHAnsi" w:eastAsia="Times New Roman" w:hAnsiTheme="majorHAnsi" w:cstheme="majorHAnsi"/>
                <w:b/>
                <w:color w:val="000000"/>
                <w:sz w:val="20"/>
                <w:szCs w:val="20"/>
                <w:lang w:val="ro-MD"/>
              </w:rPr>
              <w:t>5 538,7</w:t>
            </w:r>
          </w:p>
        </w:tc>
        <w:tc>
          <w:tcPr>
            <w:tcW w:w="1134" w:type="dxa"/>
            <w:tcBorders>
              <w:top w:val="nil"/>
              <w:left w:val="single" w:sz="12" w:space="0" w:color="auto"/>
              <w:bottom w:val="single" w:sz="4" w:space="0" w:color="auto"/>
              <w:right w:val="single" w:sz="4" w:space="0" w:color="auto"/>
            </w:tcBorders>
            <w:shd w:val="clear" w:color="auto" w:fill="auto"/>
            <w:noWrap/>
            <w:vAlign w:val="center"/>
          </w:tcPr>
          <w:p w:rsidR="00E67099" w:rsidRPr="00E67099" w:rsidRDefault="00E67099" w:rsidP="00E67099">
            <w:pPr>
              <w:spacing w:after="0" w:line="240" w:lineRule="auto"/>
              <w:jc w:val="right"/>
              <w:rPr>
                <w:rFonts w:asciiTheme="majorHAnsi" w:eastAsia="Times New Roman" w:hAnsiTheme="majorHAnsi" w:cstheme="majorHAnsi"/>
                <w:b/>
                <w:color w:val="000000"/>
                <w:sz w:val="20"/>
                <w:szCs w:val="20"/>
                <w:lang w:val="ro-MD"/>
              </w:rPr>
            </w:pPr>
            <w:r w:rsidRPr="00E67099">
              <w:rPr>
                <w:rFonts w:asciiTheme="majorHAnsi" w:eastAsia="Times New Roman" w:hAnsiTheme="majorHAnsi" w:cstheme="majorHAnsi"/>
                <w:b/>
                <w:color w:val="000000"/>
                <w:sz w:val="20"/>
                <w:szCs w:val="20"/>
                <w:lang w:val="ro-MD"/>
              </w:rPr>
              <w:t>x</w:t>
            </w:r>
          </w:p>
        </w:tc>
        <w:tc>
          <w:tcPr>
            <w:tcW w:w="1133" w:type="dxa"/>
            <w:tcBorders>
              <w:top w:val="nil"/>
              <w:left w:val="nil"/>
              <w:bottom w:val="single" w:sz="4" w:space="0" w:color="auto"/>
              <w:right w:val="single" w:sz="4" w:space="0" w:color="auto"/>
            </w:tcBorders>
            <w:shd w:val="clear" w:color="auto" w:fill="auto"/>
            <w:noWrap/>
            <w:vAlign w:val="center"/>
          </w:tcPr>
          <w:p w:rsidR="00E67099" w:rsidRPr="00E67099" w:rsidRDefault="00E67099" w:rsidP="00E67099">
            <w:pPr>
              <w:spacing w:after="0" w:line="240" w:lineRule="auto"/>
              <w:jc w:val="right"/>
              <w:rPr>
                <w:rFonts w:asciiTheme="majorHAnsi" w:eastAsia="Times New Roman" w:hAnsiTheme="majorHAnsi" w:cstheme="majorHAnsi"/>
                <w:b/>
                <w:color w:val="000000"/>
                <w:sz w:val="20"/>
                <w:szCs w:val="20"/>
                <w:lang w:val="ro-MD"/>
              </w:rPr>
            </w:pPr>
            <w:r w:rsidRPr="00E67099">
              <w:rPr>
                <w:rFonts w:asciiTheme="majorHAnsi" w:eastAsia="Times New Roman" w:hAnsiTheme="majorHAnsi" w:cstheme="majorHAnsi"/>
                <w:b/>
                <w:color w:val="000000"/>
                <w:sz w:val="20"/>
                <w:szCs w:val="20"/>
                <w:lang w:val="ro-MD"/>
              </w:rPr>
              <w:t>x</w:t>
            </w:r>
          </w:p>
        </w:tc>
        <w:tc>
          <w:tcPr>
            <w:tcW w:w="1141" w:type="dxa"/>
            <w:tcBorders>
              <w:top w:val="nil"/>
              <w:left w:val="nil"/>
              <w:bottom w:val="single" w:sz="4" w:space="0" w:color="auto"/>
              <w:right w:val="single" w:sz="4" w:space="0" w:color="auto"/>
            </w:tcBorders>
            <w:shd w:val="clear" w:color="auto" w:fill="auto"/>
            <w:noWrap/>
            <w:vAlign w:val="center"/>
          </w:tcPr>
          <w:p w:rsidR="00E67099" w:rsidRPr="00E67099" w:rsidRDefault="00E67099" w:rsidP="00E67099">
            <w:pPr>
              <w:spacing w:after="0" w:line="240" w:lineRule="auto"/>
              <w:jc w:val="right"/>
              <w:rPr>
                <w:rFonts w:asciiTheme="majorHAnsi" w:eastAsia="Times New Roman" w:hAnsiTheme="majorHAnsi" w:cstheme="majorHAnsi"/>
                <w:b/>
                <w:color w:val="000000"/>
                <w:sz w:val="20"/>
                <w:szCs w:val="20"/>
                <w:lang w:val="ro-MD"/>
              </w:rPr>
            </w:pPr>
            <w:r w:rsidRPr="00E67099">
              <w:rPr>
                <w:rFonts w:asciiTheme="majorHAnsi" w:eastAsia="Times New Roman" w:hAnsiTheme="majorHAnsi" w:cstheme="majorHAnsi"/>
                <w:b/>
                <w:color w:val="000000"/>
                <w:sz w:val="20"/>
                <w:szCs w:val="20"/>
                <w:lang w:val="ro-MD"/>
              </w:rPr>
              <w:t>x</w:t>
            </w:r>
          </w:p>
        </w:tc>
        <w:tc>
          <w:tcPr>
            <w:tcW w:w="1267" w:type="dxa"/>
            <w:tcBorders>
              <w:top w:val="nil"/>
              <w:left w:val="nil"/>
              <w:bottom w:val="single" w:sz="4" w:space="0" w:color="auto"/>
              <w:right w:val="single" w:sz="4" w:space="0" w:color="auto"/>
            </w:tcBorders>
            <w:shd w:val="clear" w:color="auto" w:fill="auto"/>
            <w:noWrap/>
            <w:vAlign w:val="center"/>
          </w:tcPr>
          <w:p w:rsidR="00E67099" w:rsidRPr="00E67099" w:rsidRDefault="00E67099" w:rsidP="00E67099">
            <w:pPr>
              <w:spacing w:after="0" w:line="240" w:lineRule="auto"/>
              <w:jc w:val="right"/>
              <w:rPr>
                <w:rFonts w:asciiTheme="majorHAnsi" w:eastAsia="Times New Roman" w:hAnsiTheme="majorHAnsi" w:cstheme="majorHAnsi"/>
                <w:b/>
                <w:color w:val="000000"/>
                <w:sz w:val="20"/>
                <w:szCs w:val="20"/>
                <w:lang w:val="ro-MD"/>
              </w:rPr>
            </w:pPr>
            <w:r w:rsidRPr="00E67099">
              <w:rPr>
                <w:rFonts w:asciiTheme="majorHAnsi" w:eastAsia="Times New Roman" w:hAnsiTheme="majorHAnsi" w:cstheme="majorHAnsi"/>
                <w:b/>
                <w:color w:val="000000"/>
                <w:sz w:val="20"/>
                <w:szCs w:val="20"/>
                <w:lang w:val="ro-MD"/>
              </w:rPr>
              <w:t>5 703,3</w:t>
            </w:r>
          </w:p>
        </w:tc>
        <w:tc>
          <w:tcPr>
            <w:tcW w:w="244" w:type="dxa"/>
            <w:vMerge/>
            <w:tcBorders>
              <w:left w:val="nil"/>
              <w:right w:val="single" w:sz="12" w:space="0" w:color="auto"/>
            </w:tcBorders>
            <w:shd w:val="clear" w:color="auto" w:fill="C9C9C9" w:themeFill="accent3" w:themeFillTint="99"/>
            <w:noWrap/>
            <w:vAlign w:val="center"/>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highlight w:val="lightGray"/>
                <w:lang w:val="ro-MD"/>
              </w:rPr>
            </w:pPr>
          </w:p>
        </w:tc>
        <w:tc>
          <w:tcPr>
            <w:tcW w:w="1131" w:type="dxa"/>
            <w:tcBorders>
              <w:top w:val="nil"/>
              <w:left w:val="single" w:sz="12" w:space="0" w:color="auto"/>
              <w:bottom w:val="single" w:sz="4" w:space="0" w:color="auto"/>
              <w:right w:val="single" w:sz="12" w:space="0" w:color="auto"/>
            </w:tcBorders>
            <w:shd w:val="clear" w:color="auto" w:fill="auto"/>
            <w:noWrap/>
            <w:vAlign w:val="center"/>
          </w:tcPr>
          <w:p w:rsidR="00E67099" w:rsidRPr="00E67099" w:rsidRDefault="00E67099" w:rsidP="00E67099">
            <w:pPr>
              <w:spacing w:after="0" w:line="240" w:lineRule="auto"/>
              <w:jc w:val="right"/>
              <w:rPr>
                <w:rFonts w:asciiTheme="majorHAnsi" w:eastAsia="Times New Roman" w:hAnsiTheme="majorHAnsi" w:cstheme="majorHAnsi"/>
                <w:b/>
                <w:color w:val="000000"/>
                <w:sz w:val="20"/>
                <w:szCs w:val="20"/>
                <w:lang w:val="ro-MD"/>
              </w:rPr>
            </w:pPr>
            <w:r w:rsidRPr="00E67099">
              <w:rPr>
                <w:rFonts w:asciiTheme="majorHAnsi" w:eastAsia="Times New Roman" w:hAnsiTheme="majorHAnsi" w:cstheme="majorHAnsi"/>
                <w:b/>
                <w:color w:val="000000"/>
                <w:sz w:val="20"/>
                <w:szCs w:val="20"/>
                <w:lang w:val="ro-MD"/>
              </w:rPr>
              <w:t>5 703,3</w:t>
            </w:r>
          </w:p>
        </w:tc>
        <w:tc>
          <w:tcPr>
            <w:tcW w:w="1173" w:type="dxa"/>
            <w:tcBorders>
              <w:top w:val="nil"/>
              <w:left w:val="nil"/>
              <w:bottom w:val="single" w:sz="8" w:space="0" w:color="auto"/>
              <w:right w:val="single" w:sz="8" w:space="0" w:color="auto"/>
            </w:tcBorders>
            <w:shd w:val="clear" w:color="auto" w:fill="auto"/>
            <w:noWrap/>
            <w:vAlign w:val="center"/>
          </w:tcPr>
          <w:p w:rsidR="00E67099" w:rsidRPr="00E67099" w:rsidRDefault="00E67099" w:rsidP="00E67099">
            <w:pPr>
              <w:spacing w:after="0"/>
              <w:jc w:val="right"/>
              <w:rPr>
                <w:rFonts w:ascii="Calibri Light" w:hAnsi="Calibri Light" w:cs="Calibri Light"/>
                <w:b/>
                <w:bCs/>
                <w:color w:val="000000"/>
                <w:sz w:val="20"/>
                <w:szCs w:val="20"/>
              </w:rPr>
            </w:pPr>
            <w:r w:rsidRPr="00E67099">
              <w:rPr>
                <w:rFonts w:ascii="Calibri Light" w:hAnsi="Calibri Light" w:cs="Calibri Light"/>
                <w:b/>
                <w:bCs/>
                <w:color w:val="000000"/>
                <w:sz w:val="20"/>
                <w:szCs w:val="20"/>
                <w:lang w:val="ro-MD"/>
              </w:rPr>
              <w:t>164,6</w:t>
            </w:r>
          </w:p>
        </w:tc>
        <w:tc>
          <w:tcPr>
            <w:tcW w:w="1183" w:type="dxa"/>
            <w:tcBorders>
              <w:top w:val="nil"/>
              <w:left w:val="nil"/>
              <w:bottom w:val="single" w:sz="8" w:space="0" w:color="auto"/>
              <w:right w:val="single" w:sz="8" w:space="0" w:color="auto"/>
            </w:tcBorders>
            <w:shd w:val="clear" w:color="auto" w:fill="auto"/>
            <w:noWrap/>
            <w:vAlign w:val="center"/>
          </w:tcPr>
          <w:p w:rsidR="00E67099" w:rsidRPr="00E67099" w:rsidRDefault="00E67099" w:rsidP="00E67099">
            <w:pPr>
              <w:spacing w:after="0"/>
              <w:jc w:val="right"/>
              <w:rPr>
                <w:rFonts w:ascii="Calibri Light" w:hAnsi="Calibri Light" w:cs="Calibri Light"/>
                <w:b/>
                <w:bCs/>
                <w:color w:val="000000"/>
                <w:sz w:val="20"/>
                <w:szCs w:val="20"/>
              </w:rPr>
            </w:pPr>
            <w:r w:rsidRPr="00E67099">
              <w:rPr>
                <w:rFonts w:ascii="Calibri Light" w:hAnsi="Calibri Light" w:cs="Calibri Light"/>
                <w:b/>
                <w:bCs/>
                <w:color w:val="000000"/>
                <w:sz w:val="20"/>
                <w:szCs w:val="20"/>
                <w:lang w:val="ro-MD"/>
              </w:rPr>
              <w:t>0</w:t>
            </w:r>
          </w:p>
        </w:tc>
        <w:tc>
          <w:tcPr>
            <w:tcW w:w="1085" w:type="dxa"/>
            <w:tcBorders>
              <w:top w:val="nil"/>
              <w:left w:val="nil"/>
              <w:bottom w:val="single" w:sz="8" w:space="0" w:color="auto"/>
              <w:right w:val="single" w:sz="8" w:space="0" w:color="auto"/>
            </w:tcBorders>
            <w:shd w:val="clear" w:color="auto" w:fill="auto"/>
            <w:noWrap/>
            <w:vAlign w:val="center"/>
          </w:tcPr>
          <w:p w:rsidR="00E67099" w:rsidRPr="00E67099" w:rsidRDefault="00E67099" w:rsidP="00E67099">
            <w:pPr>
              <w:spacing w:after="0"/>
              <w:jc w:val="right"/>
              <w:rPr>
                <w:rFonts w:ascii="Calibri Light" w:hAnsi="Calibri Light" w:cs="Calibri Light"/>
                <w:b/>
                <w:bCs/>
                <w:color w:val="000000"/>
                <w:sz w:val="20"/>
                <w:szCs w:val="20"/>
              </w:rPr>
            </w:pPr>
            <w:r w:rsidRPr="00E67099">
              <w:rPr>
                <w:rFonts w:ascii="Calibri Light" w:hAnsi="Calibri Light" w:cs="Calibri Light"/>
                <w:b/>
                <w:bCs/>
                <w:color w:val="000000"/>
                <w:sz w:val="20"/>
                <w:szCs w:val="20"/>
                <w:lang w:val="ro-MD"/>
              </w:rPr>
              <w:t>164,6</w:t>
            </w:r>
          </w:p>
        </w:tc>
      </w:tr>
      <w:tr w:rsidR="00E67099" w:rsidRPr="00E67099" w:rsidTr="00A36731">
        <w:trPr>
          <w:gridAfter w:val="1"/>
          <w:wAfter w:w="80" w:type="dxa"/>
          <w:trHeight w:val="312"/>
        </w:trPr>
        <w:tc>
          <w:tcPr>
            <w:tcW w:w="2975" w:type="dxa"/>
            <w:tcBorders>
              <w:top w:val="nil"/>
              <w:left w:val="single" w:sz="4" w:space="0" w:color="auto"/>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rPr>
                <w:rFonts w:asciiTheme="majorHAnsi" w:eastAsia="Times New Roman" w:hAnsiTheme="majorHAnsi" w:cstheme="majorHAnsi"/>
                <w:bCs/>
                <w:color w:val="000000"/>
                <w:sz w:val="20"/>
                <w:szCs w:val="20"/>
                <w:lang w:val="ro-MD"/>
              </w:rPr>
            </w:pPr>
            <w:r w:rsidRPr="00E67099">
              <w:rPr>
                <w:rFonts w:asciiTheme="majorHAnsi" w:eastAsia="Times New Roman" w:hAnsiTheme="majorHAnsi" w:cstheme="majorHAnsi"/>
                <w:bCs/>
                <w:color w:val="000000"/>
                <w:sz w:val="20"/>
                <w:szCs w:val="20"/>
                <w:lang w:val="ro-MD"/>
              </w:rPr>
              <w:t>creanțe interne</w:t>
            </w:r>
          </w:p>
        </w:tc>
        <w:tc>
          <w:tcPr>
            <w:tcW w:w="1136" w:type="dxa"/>
            <w:tcBorders>
              <w:top w:val="nil"/>
              <w:left w:val="nil"/>
              <w:bottom w:val="single" w:sz="4" w:space="0" w:color="auto"/>
              <w:right w:val="single" w:sz="12" w:space="0" w:color="auto"/>
            </w:tcBorders>
            <w:shd w:val="clear" w:color="auto" w:fill="auto"/>
            <w:noWrap/>
            <w:vAlign w:val="center"/>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228,1</w:t>
            </w:r>
          </w:p>
        </w:tc>
        <w:tc>
          <w:tcPr>
            <w:tcW w:w="1134" w:type="dxa"/>
            <w:tcBorders>
              <w:top w:val="nil"/>
              <w:left w:val="single" w:sz="12" w:space="0" w:color="auto"/>
              <w:bottom w:val="single" w:sz="4" w:space="0" w:color="auto"/>
              <w:right w:val="single" w:sz="4" w:space="0" w:color="auto"/>
            </w:tcBorders>
            <w:shd w:val="clear" w:color="auto" w:fill="auto"/>
            <w:noWrap/>
            <w:vAlign w:val="center"/>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x</w:t>
            </w:r>
          </w:p>
        </w:tc>
        <w:tc>
          <w:tcPr>
            <w:tcW w:w="1133" w:type="dxa"/>
            <w:tcBorders>
              <w:top w:val="nil"/>
              <w:left w:val="nil"/>
              <w:bottom w:val="single" w:sz="4" w:space="0" w:color="auto"/>
              <w:right w:val="single" w:sz="4" w:space="0" w:color="auto"/>
            </w:tcBorders>
            <w:shd w:val="clear" w:color="auto" w:fill="auto"/>
            <w:noWrap/>
            <w:vAlign w:val="center"/>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x</w:t>
            </w:r>
          </w:p>
        </w:tc>
        <w:tc>
          <w:tcPr>
            <w:tcW w:w="1141" w:type="dxa"/>
            <w:tcBorders>
              <w:top w:val="nil"/>
              <w:left w:val="nil"/>
              <w:bottom w:val="single" w:sz="4" w:space="0" w:color="auto"/>
              <w:right w:val="single" w:sz="4" w:space="0" w:color="auto"/>
            </w:tcBorders>
            <w:shd w:val="clear" w:color="auto" w:fill="auto"/>
            <w:noWrap/>
            <w:vAlign w:val="center"/>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x</w:t>
            </w:r>
          </w:p>
        </w:tc>
        <w:tc>
          <w:tcPr>
            <w:tcW w:w="1267" w:type="dxa"/>
            <w:tcBorders>
              <w:top w:val="nil"/>
              <w:left w:val="nil"/>
              <w:bottom w:val="single" w:sz="4" w:space="0" w:color="auto"/>
              <w:right w:val="single" w:sz="4" w:space="0" w:color="auto"/>
            </w:tcBorders>
            <w:shd w:val="clear" w:color="auto" w:fill="auto"/>
            <w:noWrap/>
            <w:vAlign w:val="center"/>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871,8</w:t>
            </w:r>
          </w:p>
        </w:tc>
        <w:tc>
          <w:tcPr>
            <w:tcW w:w="244" w:type="dxa"/>
            <w:vMerge/>
            <w:tcBorders>
              <w:left w:val="nil"/>
              <w:right w:val="single" w:sz="12" w:space="0" w:color="auto"/>
            </w:tcBorders>
            <w:shd w:val="clear" w:color="auto" w:fill="C9C9C9" w:themeFill="accent3" w:themeFillTint="99"/>
            <w:noWrap/>
            <w:vAlign w:val="center"/>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highlight w:val="lightGray"/>
                <w:lang w:val="ro-MD"/>
              </w:rPr>
            </w:pPr>
          </w:p>
        </w:tc>
        <w:tc>
          <w:tcPr>
            <w:tcW w:w="1131" w:type="dxa"/>
            <w:tcBorders>
              <w:top w:val="nil"/>
              <w:left w:val="single" w:sz="12" w:space="0" w:color="auto"/>
              <w:bottom w:val="single" w:sz="4" w:space="0" w:color="auto"/>
              <w:right w:val="single" w:sz="12" w:space="0" w:color="auto"/>
            </w:tcBorders>
            <w:shd w:val="clear" w:color="auto" w:fill="auto"/>
            <w:noWrap/>
            <w:vAlign w:val="center"/>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871,8</w:t>
            </w:r>
          </w:p>
        </w:tc>
        <w:tc>
          <w:tcPr>
            <w:tcW w:w="1173" w:type="dxa"/>
            <w:tcBorders>
              <w:top w:val="nil"/>
              <w:left w:val="nil"/>
              <w:bottom w:val="single" w:sz="8" w:space="0" w:color="auto"/>
              <w:right w:val="single" w:sz="8" w:space="0" w:color="auto"/>
            </w:tcBorders>
            <w:shd w:val="clear" w:color="auto" w:fill="auto"/>
            <w:noWrap/>
            <w:vAlign w:val="center"/>
          </w:tcPr>
          <w:p w:rsidR="00E67099" w:rsidRPr="00E67099" w:rsidRDefault="00E67099" w:rsidP="00E67099">
            <w:pPr>
              <w:spacing w:after="0"/>
              <w:jc w:val="right"/>
              <w:rPr>
                <w:rFonts w:ascii="Calibri Light" w:hAnsi="Calibri Light" w:cs="Calibri Light"/>
                <w:bCs/>
                <w:color w:val="000000"/>
                <w:sz w:val="20"/>
                <w:szCs w:val="20"/>
              </w:rPr>
            </w:pPr>
            <w:r w:rsidRPr="00E67099">
              <w:rPr>
                <w:rFonts w:ascii="Calibri Light" w:hAnsi="Calibri Light" w:cs="Calibri Light"/>
                <w:bCs/>
                <w:color w:val="000000"/>
                <w:sz w:val="20"/>
                <w:szCs w:val="20"/>
                <w:lang w:val="ro-MD"/>
              </w:rPr>
              <w:t>643,7</w:t>
            </w:r>
          </w:p>
        </w:tc>
        <w:tc>
          <w:tcPr>
            <w:tcW w:w="1183" w:type="dxa"/>
            <w:tcBorders>
              <w:top w:val="nil"/>
              <w:left w:val="nil"/>
              <w:bottom w:val="single" w:sz="8" w:space="0" w:color="auto"/>
              <w:right w:val="single" w:sz="8" w:space="0" w:color="auto"/>
            </w:tcBorders>
            <w:shd w:val="clear" w:color="auto" w:fill="auto"/>
            <w:noWrap/>
            <w:vAlign w:val="center"/>
          </w:tcPr>
          <w:p w:rsidR="00E67099" w:rsidRPr="00E67099" w:rsidRDefault="00E67099" w:rsidP="00E67099">
            <w:pPr>
              <w:spacing w:after="0"/>
              <w:jc w:val="right"/>
              <w:rPr>
                <w:rFonts w:ascii="Calibri Light" w:hAnsi="Calibri Light" w:cs="Calibri Light"/>
                <w:bCs/>
                <w:color w:val="000000"/>
                <w:sz w:val="20"/>
                <w:szCs w:val="20"/>
              </w:rPr>
            </w:pPr>
            <w:r w:rsidRPr="00E67099">
              <w:rPr>
                <w:rFonts w:ascii="Calibri Light" w:hAnsi="Calibri Light" w:cs="Calibri Light"/>
                <w:bCs/>
                <w:color w:val="000000"/>
                <w:sz w:val="20"/>
                <w:szCs w:val="20"/>
                <w:lang w:val="ro-MD"/>
              </w:rPr>
              <w:t>0</w:t>
            </w:r>
          </w:p>
        </w:tc>
        <w:tc>
          <w:tcPr>
            <w:tcW w:w="1085" w:type="dxa"/>
            <w:tcBorders>
              <w:top w:val="nil"/>
              <w:left w:val="nil"/>
              <w:bottom w:val="single" w:sz="8" w:space="0" w:color="auto"/>
              <w:right w:val="single" w:sz="8" w:space="0" w:color="auto"/>
            </w:tcBorders>
            <w:shd w:val="clear" w:color="auto" w:fill="auto"/>
            <w:noWrap/>
            <w:vAlign w:val="center"/>
          </w:tcPr>
          <w:p w:rsidR="00E67099" w:rsidRPr="00E67099" w:rsidRDefault="00E67099" w:rsidP="00E67099">
            <w:pPr>
              <w:spacing w:after="0"/>
              <w:jc w:val="right"/>
              <w:rPr>
                <w:rFonts w:ascii="Calibri Light" w:hAnsi="Calibri Light" w:cs="Calibri Light"/>
                <w:bCs/>
                <w:color w:val="000000"/>
                <w:sz w:val="20"/>
                <w:szCs w:val="20"/>
              </w:rPr>
            </w:pPr>
            <w:r w:rsidRPr="00E67099">
              <w:rPr>
                <w:rFonts w:ascii="Calibri Light" w:hAnsi="Calibri Light" w:cs="Calibri Light"/>
                <w:bCs/>
                <w:color w:val="000000"/>
                <w:sz w:val="20"/>
                <w:szCs w:val="20"/>
                <w:lang w:val="ro-MD"/>
              </w:rPr>
              <w:t>643,7</w:t>
            </w:r>
          </w:p>
        </w:tc>
      </w:tr>
      <w:tr w:rsidR="00E67099" w:rsidRPr="00E67099" w:rsidTr="00A36731">
        <w:trPr>
          <w:gridAfter w:val="1"/>
          <w:wAfter w:w="80" w:type="dxa"/>
          <w:trHeight w:val="312"/>
        </w:trPr>
        <w:tc>
          <w:tcPr>
            <w:tcW w:w="2975" w:type="dxa"/>
            <w:tcBorders>
              <w:top w:val="nil"/>
              <w:left w:val="single" w:sz="4" w:space="0" w:color="auto"/>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rPr>
                <w:rFonts w:asciiTheme="majorHAnsi" w:eastAsia="Times New Roman" w:hAnsiTheme="majorHAnsi" w:cstheme="majorHAnsi"/>
                <w:bCs/>
                <w:color w:val="000000"/>
                <w:sz w:val="20"/>
                <w:szCs w:val="20"/>
                <w:lang w:val="ro-MD"/>
              </w:rPr>
            </w:pPr>
            <w:r w:rsidRPr="00E67099">
              <w:rPr>
                <w:rFonts w:asciiTheme="majorHAnsi" w:eastAsia="Times New Roman" w:hAnsiTheme="majorHAnsi" w:cstheme="majorHAnsi"/>
                <w:bCs/>
                <w:color w:val="000000"/>
                <w:sz w:val="20"/>
                <w:szCs w:val="20"/>
                <w:lang w:val="ro-MD"/>
              </w:rPr>
              <w:t>creanțe externe</w:t>
            </w:r>
          </w:p>
        </w:tc>
        <w:tc>
          <w:tcPr>
            <w:tcW w:w="1136" w:type="dxa"/>
            <w:tcBorders>
              <w:top w:val="nil"/>
              <w:left w:val="nil"/>
              <w:bottom w:val="single" w:sz="4" w:space="0" w:color="auto"/>
              <w:right w:val="single" w:sz="12" w:space="0" w:color="auto"/>
            </w:tcBorders>
            <w:shd w:val="clear" w:color="auto" w:fill="auto"/>
            <w:noWrap/>
            <w:vAlign w:val="center"/>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1 151,3</w:t>
            </w:r>
          </w:p>
        </w:tc>
        <w:tc>
          <w:tcPr>
            <w:tcW w:w="1134" w:type="dxa"/>
            <w:tcBorders>
              <w:top w:val="nil"/>
              <w:left w:val="single" w:sz="12" w:space="0" w:color="auto"/>
              <w:bottom w:val="single" w:sz="4" w:space="0" w:color="auto"/>
              <w:right w:val="single" w:sz="4" w:space="0" w:color="auto"/>
            </w:tcBorders>
            <w:shd w:val="clear" w:color="auto" w:fill="auto"/>
            <w:noWrap/>
            <w:vAlign w:val="center"/>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x</w:t>
            </w:r>
          </w:p>
        </w:tc>
        <w:tc>
          <w:tcPr>
            <w:tcW w:w="1133" w:type="dxa"/>
            <w:tcBorders>
              <w:top w:val="nil"/>
              <w:left w:val="nil"/>
              <w:bottom w:val="single" w:sz="4" w:space="0" w:color="auto"/>
              <w:right w:val="single" w:sz="4" w:space="0" w:color="auto"/>
            </w:tcBorders>
            <w:shd w:val="clear" w:color="auto" w:fill="auto"/>
            <w:noWrap/>
            <w:vAlign w:val="center"/>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x</w:t>
            </w:r>
          </w:p>
        </w:tc>
        <w:tc>
          <w:tcPr>
            <w:tcW w:w="1141" w:type="dxa"/>
            <w:tcBorders>
              <w:top w:val="nil"/>
              <w:left w:val="nil"/>
              <w:bottom w:val="single" w:sz="4" w:space="0" w:color="auto"/>
              <w:right w:val="single" w:sz="4" w:space="0" w:color="auto"/>
            </w:tcBorders>
            <w:shd w:val="clear" w:color="auto" w:fill="auto"/>
            <w:noWrap/>
            <w:vAlign w:val="center"/>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x</w:t>
            </w:r>
          </w:p>
        </w:tc>
        <w:tc>
          <w:tcPr>
            <w:tcW w:w="1267" w:type="dxa"/>
            <w:tcBorders>
              <w:top w:val="nil"/>
              <w:left w:val="nil"/>
              <w:bottom w:val="single" w:sz="4" w:space="0" w:color="auto"/>
              <w:right w:val="single" w:sz="4" w:space="0" w:color="auto"/>
            </w:tcBorders>
            <w:shd w:val="clear" w:color="auto" w:fill="auto"/>
            <w:noWrap/>
            <w:vAlign w:val="center"/>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5,98</w:t>
            </w:r>
          </w:p>
        </w:tc>
        <w:tc>
          <w:tcPr>
            <w:tcW w:w="244" w:type="dxa"/>
            <w:vMerge/>
            <w:tcBorders>
              <w:left w:val="nil"/>
              <w:right w:val="single" w:sz="12" w:space="0" w:color="auto"/>
            </w:tcBorders>
            <w:shd w:val="clear" w:color="auto" w:fill="C9C9C9" w:themeFill="accent3" w:themeFillTint="99"/>
            <w:noWrap/>
            <w:vAlign w:val="center"/>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highlight w:val="lightGray"/>
                <w:lang w:val="ro-MD"/>
              </w:rPr>
            </w:pPr>
          </w:p>
        </w:tc>
        <w:tc>
          <w:tcPr>
            <w:tcW w:w="1131" w:type="dxa"/>
            <w:tcBorders>
              <w:top w:val="nil"/>
              <w:left w:val="single" w:sz="12" w:space="0" w:color="auto"/>
              <w:bottom w:val="single" w:sz="4" w:space="0" w:color="auto"/>
              <w:right w:val="single" w:sz="12" w:space="0" w:color="auto"/>
            </w:tcBorders>
            <w:shd w:val="clear" w:color="auto" w:fill="auto"/>
            <w:noWrap/>
            <w:vAlign w:val="center"/>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5,98</w:t>
            </w:r>
          </w:p>
        </w:tc>
        <w:tc>
          <w:tcPr>
            <w:tcW w:w="1173" w:type="dxa"/>
            <w:tcBorders>
              <w:top w:val="nil"/>
              <w:left w:val="nil"/>
              <w:bottom w:val="single" w:sz="8" w:space="0" w:color="auto"/>
              <w:right w:val="single" w:sz="8" w:space="0" w:color="auto"/>
            </w:tcBorders>
            <w:shd w:val="clear" w:color="auto" w:fill="auto"/>
            <w:noWrap/>
            <w:vAlign w:val="center"/>
          </w:tcPr>
          <w:p w:rsidR="00E67099" w:rsidRPr="00E67099" w:rsidRDefault="00E67099" w:rsidP="00E67099">
            <w:pPr>
              <w:spacing w:after="0"/>
              <w:jc w:val="right"/>
              <w:rPr>
                <w:rFonts w:ascii="Calibri Light" w:hAnsi="Calibri Light" w:cs="Calibri Light"/>
                <w:bCs/>
                <w:color w:val="000000"/>
                <w:sz w:val="20"/>
                <w:szCs w:val="20"/>
              </w:rPr>
            </w:pPr>
            <w:r w:rsidRPr="00E67099">
              <w:rPr>
                <w:rFonts w:ascii="Calibri Light" w:hAnsi="Calibri Light" w:cs="Calibri Light"/>
                <w:bCs/>
                <w:color w:val="000000"/>
                <w:sz w:val="20"/>
                <w:szCs w:val="20"/>
                <w:lang w:val="ro-MD"/>
              </w:rPr>
              <w:t>-1145,3</w:t>
            </w:r>
          </w:p>
        </w:tc>
        <w:tc>
          <w:tcPr>
            <w:tcW w:w="1183" w:type="dxa"/>
            <w:tcBorders>
              <w:top w:val="nil"/>
              <w:left w:val="nil"/>
              <w:bottom w:val="single" w:sz="8" w:space="0" w:color="auto"/>
              <w:right w:val="single" w:sz="8" w:space="0" w:color="auto"/>
            </w:tcBorders>
            <w:shd w:val="clear" w:color="auto" w:fill="auto"/>
            <w:noWrap/>
            <w:vAlign w:val="center"/>
          </w:tcPr>
          <w:p w:rsidR="00E67099" w:rsidRPr="00E67099" w:rsidRDefault="00E67099" w:rsidP="00E67099">
            <w:pPr>
              <w:spacing w:after="0"/>
              <w:jc w:val="right"/>
              <w:rPr>
                <w:rFonts w:ascii="Calibri Light" w:hAnsi="Calibri Light" w:cs="Calibri Light"/>
                <w:bCs/>
                <w:color w:val="000000"/>
                <w:sz w:val="20"/>
                <w:szCs w:val="20"/>
              </w:rPr>
            </w:pPr>
            <w:r w:rsidRPr="00E67099">
              <w:rPr>
                <w:rFonts w:ascii="Calibri Light" w:hAnsi="Calibri Light" w:cs="Calibri Light"/>
                <w:bCs/>
                <w:color w:val="000000"/>
                <w:sz w:val="20"/>
                <w:szCs w:val="20"/>
                <w:lang w:val="ro-MD"/>
              </w:rPr>
              <w:t>0</w:t>
            </w:r>
          </w:p>
        </w:tc>
        <w:tc>
          <w:tcPr>
            <w:tcW w:w="1085" w:type="dxa"/>
            <w:tcBorders>
              <w:top w:val="nil"/>
              <w:left w:val="nil"/>
              <w:bottom w:val="single" w:sz="8" w:space="0" w:color="auto"/>
              <w:right w:val="single" w:sz="8" w:space="0" w:color="auto"/>
            </w:tcBorders>
            <w:shd w:val="clear" w:color="auto" w:fill="auto"/>
            <w:noWrap/>
            <w:vAlign w:val="center"/>
          </w:tcPr>
          <w:p w:rsidR="00E67099" w:rsidRPr="00E67099" w:rsidRDefault="00E67099" w:rsidP="00E67099">
            <w:pPr>
              <w:spacing w:after="0"/>
              <w:jc w:val="right"/>
              <w:rPr>
                <w:rFonts w:ascii="Calibri Light" w:hAnsi="Calibri Light" w:cs="Calibri Light"/>
                <w:bCs/>
                <w:color w:val="000000"/>
                <w:sz w:val="20"/>
                <w:szCs w:val="20"/>
              </w:rPr>
            </w:pPr>
            <w:r w:rsidRPr="00E67099">
              <w:rPr>
                <w:rFonts w:ascii="Calibri Light" w:hAnsi="Calibri Light" w:cs="Calibri Light"/>
                <w:bCs/>
                <w:color w:val="000000"/>
                <w:sz w:val="20"/>
                <w:szCs w:val="20"/>
                <w:lang w:val="ro-MD"/>
              </w:rPr>
              <w:t>-1145,3</w:t>
            </w:r>
          </w:p>
        </w:tc>
      </w:tr>
      <w:tr w:rsidR="00E67099" w:rsidRPr="00E67099" w:rsidTr="00A36731">
        <w:trPr>
          <w:gridAfter w:val="1"/>
          <w:wAfter w:w="80" w:type="dxa"/>
          <w:trHeight w:val="155"/>
        </w:trPr>
        <w:tc>
          <w:tcPr>
            <w:tcW w:w="2975" w:type="dxa"/>
            <w:tcBorders>
              <w:top w:val="nil"/>
              <w:left w:val="single" w:sz="4" w:space="0" w:color="auto"/>
              <w:bottom w:val="single" w:sz="4" w:space="0" w:color="auto"/>
              <w:right w:val="single" w:sz="4" w:space="0" w:color="auto"/>
            </w:tcBorders>
            <w:shd w:val="clear" w:color="auto" w:fill="auto"/>
            <w:noWrap/>
            <w:vAlign w:val="center"/>
            <w:hideMark/>
          </w:tcPr>
          <w:p w:rsidR="00E67099" w:rsidRPr="00E67099" w:rsidRDefault="00E67099" w:rsidP="00E67099">
            <w:pPr>
              <w:spacing w:after="0" w:line="240" w:lineRule="auto"/>
              <w:rPr>
                <w:rFonts w:asciiTheme="majorHAnsi" w:eastAsia="Times New Roman" w:hAnsiTheme="majorHAnsi" w:cstheme="majorHAnsi"/>
                <w:bCs/>
                <w:color w:val="000000"/>
                <w:sz w:val="20"/>
                <w:szCs w:val="20"/>
                <w:lang w:val="ro-MD"/>
              </w:rPr>
            </w:pPr>
            <w:r w:rsidRPr="00E67099">
              <w:rPr>
                <w:rFonts w:asciiTheme="majorHAnsi" w:eastAsia="Times New Roman" w:hAnsiTheme="majorHAnsi" w:cstheme="majorHAnsi"/>
                <w:bCs/>
                <w:color w:val="000000"/>
                <w:sz w:val="20"/>
                <w:szCs w:val="20"/>
                <w:lang w:val="ro-MD"/>
              </w:rPr>
              <w:t>Datorii</w:t>
            </w:r>
          </w:p>
        </w:tc>
        <w:tc>
          <w:tcPr>
            <w:tcW w:w="1136" w:type="dxa"/>
            <w:tcBorders>
              <w:top w:val="nil"/>
              <w:left w:val="nil"/>
              <w:bottom w:val="single" w:sz="4" w:space="0" w:color="auto"/>
              <w:right w:val="single" w:sz="12" w:space="0" w:color="auto"/>
            </w:tcBorders>
            <w:shd w:val="clear" w:color="auto" w:fill="auto"/>
            <w:noWrap/>
            <w:vAlign w:val="center"/>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6 729,4</w:t>
            </w:r>
          </w:p>
        </w:tc>
        <w:tc>
          <w:tcPr>
            <w:tcW w:w="1134" w:type="dxa"/>
            <w:tcBorders>
              <w:top w:val="nil"/>
              <w:left w:val="single" w:sz="12" w:space="0" w:color="auto"/>
              <w:bottom w:val="single" w:sz="4" w:space="0" w:color="auto"/>
              <w:right w:val="single" w:sz="4" w:space="0" w:color="auto"/>
            </w:tcBorders>
            <w:shd w:val="clear" w:color="auto" w:fill="auto"/>
            <w:noWrap/>
            <w:vAlign w:val="center"/>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x</w:t>
            </w:r>
          </w:p>
        </w:tc>
        <w:tc>
          <w:tcPr>
            <w:tcW w:w="1133" w:type="dxa"/>
            <w:tcBorders>
              <w:top w:val="nil"/>
              <w:left w:val="nil"/>
              <w:bottom w:val="single" w:sz="4" w:space="0" w:color="auto"/>
              <w:right w:val="single" w:sz="4" w:space="0" w:color="auto"/>
            </w:tcBorders>
            <w:shd w:val="clear" w:color="auto" w:fill="auto"/>
            <w:noWrap/>
            <w:vAlign w:val="center"/>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x</w:t>
            </w:r>
          </w:p>
        </w:tc>
        <w:tc>
          <w:tcPr>
            <w:tcW w:w="1141" w:type="dxa"/>
            <w:tcBorders>
              <w:top w:val="nil"/>
              <w:left w:val="nil"/>
              <w:bottom w:val="single" w:sz="4" w:space="0" w:color="auto"/>
              <w:right w:val="single" w:sz="4" w:space="0" w:color="auto"/>
            </w:tcBorders>
            <w:shd w:val="clear" w:color="auto" w:fill="auto"/>
            <w:noWrap/>
            <w:vAlign w:val="center"/>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x</w:t>
            </w:r>
          </w:p>
        </w:tc>
        <w:tc>
          <w:tcPr>
            <w:tcW w:w="1267" w:type="dxa"/>
            <w:tcBorders>
              <w:top w:val="nil"/>
              <w:left w:val="nil"/>
              <w:bottom w:val="single" w:sz="4" w:space="0" w:color="auto"/>
              <w:right w:val="single" w:sz="4" w:space="0" w:color="auto"/>
            </w:tcBorders>
            <w:shd w:val="clear" w:color="auto" w:fill="auto"/>
            <w:noWrap/>
            <w:vAlign w:val="center"/>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4 466,1</w:t>
            </w:r>
          </w:p>
        </w:tc>
        <w:tc>
          <w:tcPr>
            <w:tcW w:w="244" w:type="dxa"/>
            <w:vMerge/>
            <w:tcBorders>
              <w:left w:val="nil"/>
              <w:right w:val="single" w:sz="12" w:space="0" w:color="auto"/>
            </w:tcBorders>
            <w:shd w:val="clear" w:color="auto" w:fill="C9C9C9" w:themeFill="accent3" w:themeFillTint="99"/>
            <w:noWrap/>
            <w:vAlign w:val="center"/>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highlight w:val="lightGray"/>
                <w:lang w:val="ro-MD"/>
              </w:rPr>
            </w:pPr>
          </w:p>
        </w:tc>
        <w:tc>
          <w:tcPr>
            <w:tcW w:w="1131" w:type="dxa"/>
            <w:tcBorders>
              <w:top w:val="nil"/>
              <w:left w:val="single" w:sz="12" w:space="0" w:color="auto"/>
              <w:bottom w:val="single" w:sz="4" w:space="0" w:color="auto"/>
              <w:right w:val="single" w:sz="12" w:space="0" w:color="auto"/>
            </w:tcBorders>
            <w:shd w:val="clear" w:color="auto" w:fill="auto"/>
            <w:noWrap/>
            <w:vAlign w:val="center"/>
          </w:tcPr>
          <w:p w:rsidR="00E67099" w:rsidRPr="00E67099" w:rsidRDefault="00E67099" w:rsidP="00E67099">
            <w:pPr>
              <w:spacing w:after="0" w:line="240" w:lineRule="auto"/>
              <w:jc w:val="right"/>
              <w:rPr>
                <w:rFonts w:asciiTheme="majorHAnsi" w:eastAsia="Times New Roman" w:hAnsiTheme="majorHAnsi" w:cstheme="majorHAnsi"/>
                <w:color w:val="000000"/>
                <w:sz w:val="20"/>
                <w:szCs w:val="20"/>
                <w:lang w:val="ro-MD"/>
              </w:rPr>
            </w:pPr>
            <w:r w:rsidRPr="00E67099">
              <w:rPr>
                <w:rFonts w:asciiTheme="majorHAnsi" w:eastAsia="Times New Roman" w:hAnsiTheme="majorHAnsi" w:cstheme="majorHAnsi"/>
                <w:color w:val="000000"/>
                <w:sz w:val="20"/>
                <w:szCs w:val="20"/>
                <w:lang w:val="ro-MD"/>
              </w:rPr>
              <w:t>4 466,1</w:t>
            </w:r>
          </w:p>
        </w:tc>
        <w:tc>
          <w:tcPr>
            <w:tcW w:w="1173" w:type="dxa"/>
            <w:tcBorders>
              <w:top w:val="nil"/>
              <w:left w:val="nil"/>
              <w:bottom w:val="single" w:sz="8" w:space="0" w:color="auto"/>
              <w:right w:val="single" w:sz="8" w:space="0" w:color="auto"/>
            </w:tcBorders>
            <w:shd w:val="clear" w:color="auto" w:fill="auto"/>
            <w:noWrap/>
            <w:vAlign w:val="center"/>
          </w:tcPr>
          <w:p w:rsidR="00E67099" w:rsidRPr="00E67099" w:rsidRDefault="00E67099" w:rsidP="00E67099">
            <w:pPr>
              <w:spacing w:after="0"/>
              <w:jc w:val="right"/>
              <w:rPr>
                <w:rFonts w:ascii="Calibri Light" w:hAnsi="Calibri Light" w:cs="Calibri Light"/>
                <w:bCs/>
                <w:color w:val="000000"/>
                <w:sz w:val="20"/>
                <w:szCs w:val="20"/>
              </w:rPr>
            </w:pPr>
            <w:r w:rsidRPr="00E67099">
              <w:rPr>
                <w:rFonts w:ascii="Calibri Light" w:hAnsi="Calibri Light" w:cs="Calibri Light"/>
                <w:bCs/>
                <w:color w:val="000000"/>
                <w:sz w:val="20"/>
                <w:szCs w:val="20"/>
                <w:lang w:val="ro-MD"/>
              </w:rPr>
              <w:t>-2263,3</w:t>
            </w:r>
          </w:p>
        </w:tc>
        <w:tc>
          <w:tcPr>
            <w:tcW w:w="1183" w:type="dxa"/>
            <w:tcBorders>
              <w:top w:val="nil"/>
              <w:left w:val="nil"/>
              <w:bottom w:val="single" w:sz="8" w:space="0" w:color="auto"/>
              <w:right w:val="single" w:sz="8" w:space="0" w:color="auto"/>
            </w:tcBorders>
            <w:shd w:val="clear" w:color="auto" w:fill="auto"/>
            <w:noWrap/>
            <w:vAlign w:val="center"/>
          </w:tcPr>
          <w:p w:rsidR="00E67099" w:rsidRPr="00E67099" w:rsidRDefault="00E67099" w:rsidP="00E67099">
            <w:pPr>
              <w:spacing w:after="0"/>
              <w:jc w:val="right"/>
              <w:rPr>
                <w:rFonts w:ascii="Calibri Light" w:hAnsi="Calibri Light" w:cs="Calibri Light"/>
                <w:bCs/>
                <w:color w:val="000000"/>
                <w:sz w:val="20"/>
                <w:szCs w:val="20"/>
              </w:rPr>
            </w:pPr>
            <w:r w:rsidRPr="00E67099">
              <w:rPr>
                <w:rFonts w:ascii="Calibri Light" w:hAnsi="Calibri Light" w:cs="Calibri Light"/>
                <w:bCs/>
                <w:color w:val="000000"/>
                <w:sz w:val="20"/>
                <w:szCs w:val="20"/>
                <w:lang w:val="ro-MD"/>
              </w:rPr>
              <w:t>0</w:t>
            </w:r>
          </w:p>
        </w:tc>
        <w:tc>
          <w:tcPr>
            <w:tcW w:w="1085" w:type="dxa"/>
            <w:tcBorders>
              <w:top w:val="nil"/>
              <w:left w:val="nil"/>
              <w:bottom w:val="single" w:sz="8" w:space="0" w:color="auto"/>
              <w:right w:val="single" w:sz="8" w:space="0" w:color="auto"/>
            </w:tcBorders>
            <w:shd w:val="clear" w:color="auto" w:fill="auto"/>
            <w:noWrap/>
            <w:vAlign w:val="center"/>
          </w:tcPr>
          <w:p w:rsidR="00E67099" w:rsidRPr="00E67099" w:rsidRDefault="00E67099" w:rsidP="00E67099">
            <w:pPr>
              <w:spacing w:after="0"/>
              <w:jc w:val="right"/>
              <w:rPr>
                <w:rFonts w:ascii="Calibri Light" w:hAnsi="Calibri Light" w:cs="Calibri Light"/>
                <w:bCs/>
                <w:color w:val="000000"/>
                <w:sz w:val="20"/>
                <w:szCs w:val="20"/>
              </w:rPr>
            </w:pPr>
            <w:r w:rsidRPr="00E67099">
              <w:rPr>
                <w:rFonts w:ascii="Calibri Light" w:hAnsi="Calibri Light" w:cs="Calibri Light"/>
                <w:bCs/>
                <w:color w:val="000000"/>
                <w:sz w:val="20"/>
                <w:szCs w:val="20"/>
                <w:lang w:val="ro-MD"/>
              </w:rPr>
              <w:t>-2263,3</w:t>
            </w:r>
          </w:p>
        </w:tc>
      </w:tr>
      <w:tr w:rsidR="00E67099" w:rsidRPr="00E67099" w:rsidTr="00A36731">
        <w:trPr>
          <w:gridAfter w:val="1"/>
          <w:wAfter w:w="80" w:type="dxa"/>
          <w:trHeight w:val="312"/>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E67099" w:rsidRPr="00E67099" w:rsidRDefault="00E67099" w:rsidP="00E67099">
            <w:pPr>
              <w:spacing w:after="0" w:line="240" w:lineRule="auto"/>
              <w:rPr>
                <w:rFonts w:asciiTheme="majorHAnsi" w:eastAsia="Times New Roman" w:hAnsiTheme="majorHAnsi" w:cstheme="majorHAnsi"/>
                <w:b/>
                <w:bCs/>
                <w:color w:val="000000"/>
                <w:sz w:val="20"/>
                <w:szCs w:val="20"/>
                <w:lang w:val="ro-MD"/>
              </w:rPr>
            </w:pPr>
            <w:r w:rsidRPr="00E67099">
              <w:rPr>
                <w:rFonts w:asciiTheme="majorHAnsi" w:eastAsia="Times New Roman" w:hAnsiTheme="majorHAnsi" w:cstheme="majorHAnsi"/>
                <w:b/>
                <w:bCs/>
                <w:color w:val="000000"/>
                <w:sz w:val="20"/>
                <w:szCs w:val="20"/>
                <w:lang w:val="ro-MD"/>
              </w:rPr>
              <w:t>modificarea soldului de mijloace bănești</w:t>
            </w:r>
          </w:p>
        </w:tc>
        <w:tc>
          <w:tcPr>
            <w:tcW w:w="1136" w:type="dxa"/>
            <w:tcBorders>
              <w:top w:val="nil"/>
              <w:left w:val="nil"/>
              <w:bottom w:val="single" w:sz="4" w:space="0" w:color="auto"/>
              <w:right w:val="single" w:sz="12" w:space="0" w:color="auto"/>
            </w:tcBorders>
            <w:shd w:val="clear" w:color="auto" w:fill="auto"/>
            <w:noWrap/>
            <w:vAlign w:val="center"/>
          </w:tcPr>
          <w:p w:rsidR="00E67099" w:rsidRPr="00E67099" w:rsidRDefault="00E67099" w:rsidP="00E67099">
            <w:pPr>
              <w:spacing w:after="0" w:line="240" w:lineRule="auto"/>
              <w:jc w:val="right"/>
              <w:rPr>
                <w:rFonts w:asciiTheme="majorHAnsi" w:eastAsia="Times New Roman" w:hAnsiTheme="majorHAnsi" w:cstheme="majorHAnsi"/>
                <w:b/>
                <w:color w:val="000000"/>
                <w:sz w:val="20"/>
                <w:szCs w:val="20"/>
                <w:lang w:val="ro-MD"/>
              </w:rPr>
            </w:pPr>
            <w:r w:rsidRPr="00E67099">
              <w:rPr>
                <w:rFonts w:asciiTheme="majorHAnsi" w:eastAsia="Times New Roman" w:hAnsiTheme="majorHAnsi" w:cstheme="majorHAnsi"/>
                <w:b/>
                <w:color w:val="000000"/>
                <w:sz w:val="20"/>
                <w:szCs w:val="20"/>
                <w:lang w:val="ro-MD"/>
              </w:rPr>
              <w:t>-314,1</w:t>
            </w:r>
          </w:p>
        </w:tc>
        <w:tc>
          <w:tcPr>
            <w:tcW w:w="1134" w:type="dxa"/>
            <w:tcBorders>
              <w:top w:val="nil"/>
              <w:left w:val="single" w:sz="12" w:space="0" w:color="auto"/>
              <w:bottom w:val="single" w:sz="4" w:space="0" w:color="auto"/>
              <w:right w:val="single" w:sz="4" w:space="0" w:color="auto"/>
            </w:tcBorders>
            <w:shd w:val="clear" w:color="auto" w:fill="auto"/>
            <w:noWrap/>
            <w:vAlign w:val="center"/>
          </w:tcPr>
          <w:p w:rsidR="00E67099" w:rsidRPr="00E67099" w:rsidRDefault="00E67099" w:rsidP="00E67099">
            <w:pPr>
              <w:spacing w:after="0" w:line="240" w:lineRule="auto"/>
              <w:jc w:val="right"/>
              <w:rPr>
                <w:rFonts w:asciiTheme="majorHAnsi" w:eastAsia="Times New Roman" w:hAnsiTheme="majorHAnsi" w:cstheme="majorHAnsi"/>
                <w:b/>
                <w:color w:val="000000"/>
                <w:sz w:val="20"/>
                <w:szCs w:val="20"/>
                <w:lang w:val="ro-MD"/>
              </w:rPr>
            </w:pPr>
            <w:r w:rsidRPr="00E67099">
              <w:rPr>
                <w:rFonts w:asciiTheme="majorHAnsi" w:eastAsia="Times New Roman" w:hAnsiTheme="majorHAnsi" w:cstheme="majorHAnsi"/>
                <w:b/>
                <w:color w:val="000000"/>
                <w:sz w:val="20"/>
                <w:szCs w:val="20"/>
                <w:lang w:val="ro-MD"/>
              </w:rPr>
              <w:t>x</w:t>
            </w:r>
          </w:p>
        </w:tc>
        <w:tc>
          <w:tcPr>
            <w:tcW w:w="1133" w:type="dxa"/>
            <w:tcBorders>
              <w:top w:val="nil"/>
              <w:left w:val="nil"/>
              <w:bottom w:val="single" w:sz="4" w:space="0" w:color="auto"/>
              <w:right w:val="single" w:sz="4" w:space="0" w:color="auto"/>
            </w:tcBorders>
            <w:shd w:val="clear" w:color="auto" w:fill="auto"/>
            <w:noWrap/>
            <w:vAlign w:val="center"/>
          </w:tcPr>
          <w:p w:rsidR="00E67099" w:rsidRPr="00E67099" w:rsidRDefault="00E67099" w:rsidP="00E67099">
            <w:pPr>
              <w:spacing w:after="0" w:line="240" w:lineRule="auto"/>
              <w:jc w:val="right"/>
              <w:rPr>
                <w:rFonts w:asciiTheme="majorHAnsi" w:eastAsia="Times New Roman" w:hAnsiTheme="majorHAnsi" w:cstheme="majorHAnsi"/>
                <w:b/>
                <w:color w:val="000000"/>
                <w:sz w:val="20"/>
                <w:szCs w:val="20"/>
                <w:lang w:val="ro-MD"/>
              </w:rPr>
            </w:pPr>
            <w:r w:rsidRPr="00E67099">
              <w:rPr>
                <w:rFonts w:asciiTheme="majorHAnsi" w:eastAsia="Times New Roman" w:hAnsiTheme="majorHAnsi" w:cstheme="majorHAnsi"/>
                <w:b/>
                <w:color w:val="000000"/>
                <w:sz w:val="20"/>
                <w:szCs w:val="20"/>
                <w:lang w:val="ro-MD"/>
              </w:rPr>
              <w:t>x</w:t>
            </w:r>
          </w:p>
        </w:tc>
        <w:tc>
          <w:tcPr>
            <w:tcW w:w="1141" w:type="dxa"/>
            <w:tcBorders>
              <w:top w:val="nil"/>
              <w:left w:val="nil"/>
              <w:bottom w:val="single" w:sz="4" w:space="0" w:color="auto"/>
              <w:right w:val="single" w:sz="4" w:space="0" w:color="auto"/>
            </w:tcBorders>
            <w:shd w:val="clear" w:color="auto" w:fill="auto"/>
            <w:noWrap/>
            <w:vAlign w:val="center"/>
          </w:tcPr>
          <w:p w:rsidR="00E67099" w:rsidRPr="00E67099" w:rsidRDefault="00E67099" w:rsidP="00E67099">
            <w:pPr>
              <w:spacing w:after="0" w:line="240" w:lineRule="auto"/>
              <w:jc w:val="right"/>
              <w:rPr>
                <w:rFonts w:asciiTheme="majorHAnsi" w:eastAsia="Times New Roman" w:hAnsiTheme="majorHAnsi" w:cstheme="majorHAnsi"/>
                <w:b/>
                <w:color w:val="000000"/>
                <w:sz w:val="20"/>
                <w:szCs w:val="20"/>
                <w:lang w:val="ro-MD"/>
              </w:rPr>
            </w:pPr>
            <w:r w:rsidRPr="00E67099">
              <w:rPr>
                <w:rFonts w:asciiTheme="majorHAnsi" w:eastAsia="Times New Roman" w:hAnsiTheme="majorHAnsi" w:cstheme="majorHAnsi"/>
                <w:b/>
                <w:color w:val="000000"/>
                <w:sz w:val="20"/>
                <w:szCs w:val="20"/>
                <w:lang w:val="ro-MD"/>
              </w:rPr>
              <w:t>x</w:t>
            </w:r>
          </w:p>
        </w:tc>
        <w:tc>
          <w:tcPr>
            <w:tcW w:w="1267" w:type="dxa"/>
            <w:tcBorders>
              <w:top w:val="nil"/>
              <w:left w:val="nil"/>
              <w:bottom w:val="single" w:sz="4" w:space="0" w:color="auto"/>
              <w:right w:val="single" w:sz="4" w:space="0" w:color="auto"/>
            </w:tcBorders>
            <w:shd w:val="clear" w:color="auto" w:fill="auto"/>
            <w:noWrap/>
            <w:vAlign w:val="center"/>
          </w:tcPr>
          <w:p w:rsidR="00E67099" w:rsidRPr="00E67099" w:rsidRDefault="00E67099" w:rsidP="00E67099">
            <w:pPr>
              <w:spacing w:after="0" w:line="240" w:lineRule="auto"/>
              <w:jc w:val="right"/>
              <w:rPr>
                <w:rFonts w:asciiTheme="majorHAnsi" w:eastAsia="Times New Roman" w:hAnsiTheme="majorHAnsi" w:cstheme="majorHAnsi"/>
                <w:b/>
                <w:color w:val="000000"/>
                <w:sz w:val="20"/>
                <w:szCs w:val="20"/>
                <w:lang w:val="ro-MD"/>
              </w:rPr>
            </w:pPr>
            <w:r w:rsidRPr="00E67099">
              <w:rPr>
                <w:rFonts w:asciiTheme="majorHAnsi" w:eastAsia="Times New Roman" w:hAnsiTheme="majorHAnsi" w:cstheme="majorHAnsi"/>
                <w:b/>
                <w:color w:val="000000"/>
                <w:sz w:val="20"/>
                <w:szCs w:val="20"/>
                <w:lang w:val="ro-MD"/>
              </w:rPr>
              <w:t>1 119,8</w:t>
            </w:r>
          </w:p>
        </w:tc>
        <w:tc>
          <w:tcPr>
            <w:tcW w:w="244" w:type="dxa"/>
            <w:vMerge/>
            <w:tcBorders>
              <w:left w:val="nil"/>
              <w:right w:val="single" w:sz="12" w:space="0" w:color="auto"/>
            </w:tcBorders>
            <w:shd w:val="clear" w:color="auto" w:fill="C9C9C9" w:themeFill="accent3" w:themeFillTint="99"/>
            <w:noWrap/>
            <w:vAlign w:val="center"/>
          </w:tcPr>
          <w:p w:rsidR="00E67099" w:rsidRPr="00E67099" w:rsidRDefault="00E67099" w:rsidP="00E67099">
            <w:pPr>
              <w:spacing w:after="0" w:line="240" w:lineRule="auto"/>
              <w:jc w:val="right"/>
              <w:rPr>
                <w:rFonts w:asciiTheme="majorHAnsi" w:eastAsia="Times New Roman" w:hAnsiTheme="majorHAnsi" w:cstheme="majorHAnsi"/>
                <w:b/>
                <w:color w:val="000000"/>
                <w:sz w:val="20"/>
                <w:szCs w:val="20"/>
                <w:highlight w:val="lightGray"/>
                <w:lang w:val="ro-MD"/>
              </w:rPr>
            </w:pPr>
          </w:p>
        </w:tc>
        <w:tc>
          <w:tcPr>
            <w:tcW w:w="1131" w:type="dxa"/>
            <w:tcBorders>
              <w:top w:val="nil"/>
              <w:left w:val="single" w:sz="12" w:space="0" w:color="auto"/>
              <w:bottom w:val="single" w:sz="4" w:space="0" w:color="auto"/>
              <w:right w:val="single" w:sz="12" w:space="0" w:color="auto"/>
            </w:tcBorders>
            <w:shd w:val="clear" w:color="auto" w:fill="auto"/>
            <w:noWrap/>
            <w:vAlign w:val="center"/>
          </w:tcPr>
          <w:p w:rsidR="00E67099" w:rsidRPr="00E67099" w:rsidRDefault="00E67099" w:rsidP="00E67099">
            <w:pPr>
              <w:spacing w:after="0" w:line="240" w:lineRule="auto"/>
              <w:jc w:val="right"/>
              <w:rPr>
                <w:rFonts w:asciiTheme="majorHAnsi" w:eastAsia="Times New Roman" w:hAnsiTheme="majorHAnsi" w:cstheme="majorHAnsi"/>
                <w:b/>
                <w:color w:val="000000"/>
                <w:sz w:val="20"/>
                <w:szCs w:val="20"/>
                <w:lang w:val="ro-MD"/>
              </w:rPr>
            </w:pPr>
            <w:r w:rsidRPr="00E67099">
              <w:rPr>
                <w:rFonts w:asciiTheme="majorHAnsi" w:eastAsia="Times New Roman" w:hAnsiTheme="majorHAnsi" w:cstheme="majorHAnsi"/>
                <w:b/>
                <w:color w:val="000000"/>
                <w:sz w:val="20"/>
                <w:szCs w:val="20"/>
                <w:lang w:val="ro-MD"/>
              </w:rPr>
              <w:t>1 119,8</w:t>
            </w:r>
          </w:p>
        </w:tc>
        <w:tc>
          <w:tcPr>
            <w:tcW w:w="1173" w:type="dxa"/>
            <w:tcBorders>
              <w:top w:val="nil"/>
              <w:left w:val="nil"/>
              <w:bottom w:val="single" w:sz="8" w:space="0" w:color="auto"/>
              <w:right w:val="single" w:sz="8" w:space="0" w:color="auto"/>
            </w:tcBorders>
            <w:shd w:val="clear" w:color="auto" w:fill="auto"/>
            <w:noWrap/>
            <w:vAlign w:val="center"/>
          </w:tcPr>
          <w:p w:rsidR="00E67099" w:rsidRPr="00E67099" w:rsidRDefault="00E67099" w:rsidP="00E67099">
            <w:pPr>
              <w:spacing w:after="0"/>
              <w:jc w:val="right"/>
              <w:rPr>
                <w:rFonts w:ascii="Calibri Light" w:hAnsi="Calibri Light" w:cs="Calibri Light"/>
                <w:b/>
                <w:bCs/>
                <w:color w:val="000000"/>
                <w:sz w:val="20"/>
                <w:szCs w:val="20"/>
              </w:rPr>
            </w:pPr>
            <w:r w:rsidRPr="00E67099">
              <w:rPr>
                <w:rFonts w:ascii="Calibri Light" w:hAnsi="Calibri Light" w:cs="Calibri Light"/>
                <w:b/>
                <w:bCs/>
                <w:color w:val="000000"/>
                <w:sz w:val="20"/>
                <w:szCs w:val="20"/>
                <w:lang w:val="ro-MD"/>
              </w:rPr>
              <w:t>1433,9</w:t>
            </w:r>
          </w:p>
        </w:tc>
        <w:tc>
          <w:tcPr>
            <w:tcW w:w="1183" w:type="dxa"/>
            <w:tcBorders>
              <w:top w:val="nil"/>
              <w:left w:val="nil"/>
              <w:bottom w:val="single" w:sz="8" w:space="0" w:color="auto"/>
              <w:right w:val="single" w:sz="8" w:space="0" w:color="auto"/>
            </w:tcBorders>
            <w:shd w:val="clear" w:color="auto" w:fill="auto"/>
            <w:noWrap/>
            <w:vAlign w:val="center"/>
          </w:tcPr>
          <w:p w:rsidR="00E67099" w:rsidRPr="00E67099" w:rsidRDefault="00E67099" w:rsidP="00E67099">
            <w:pPr>
              <w:spacing w:after="0"/>
              <w:jc w:val="right"/>
              <w:rPr>
                <w:rFonts w:ascii="Calibri Light" w:hAnsi="Calibri Light" w:cs="Calibri Light"/>
                <w:b/>
                <w:bCs/>
                <w:color w:val="000000"/>
                <w:sz w:val="20"/>
                <w:szCs w:val="20"/>
              </w:rPr>
            </w:pPr>
            <w:r w:rsidRPr="00E67099">
              <w:rPr>
                <w:rFonts w:ascii="Calibri Light" w:hAnsi="Calibri Light" w:cs="Calibri Light"/>
                <w:b/>
                <w:bCs/>
                <w:color w:val="000000"/>
                <w:sz w:val="20"/>
                <w:szCs w:val="20"/>
                <w:lang w:val="ro-MD"/>
              </w:rPr>
              <w:t>0</w:t>
            </w:r>
          </w:p>
        </w:tc>
        <w:tc>
          <w:tcPr>
            <w:tcW w:w="1085" w:type="dxa"/>
            <w:tcBorders>
              <w:top w:val="nil"/>
              <w:left w:val="nil"/>
              <w:bottom w:val="single" w:sz="8" w:space="0" w:color="auto"/>
              <w:right w:val="single" w:sz="8" w:space="0" w:color="auto"/>
            </w:tcBorders>
            <w:shd w:val="clear" w:color="auto" w:fill="auto"/>
            <w:noWrap/>
            <w:vAlign w:val="center"/>
          </w:tcPr>
          <w:p w:rsidR="00E67099" w:rsidRPr="00E67099" w:rsidRDefault="00E67099" w:rsidP="00E67099">
            <w:pPr>
              <w:spacing w:after="0"/>
              <w:jc w:val="right"/>
              <w:rPr>
                <w:rFonts w:ascii="Calibri Light" w:hAnsi="Calibri Light" w:cs="Calibri Light"/>
                <w:b/>
                <w:bCs/>
                <w:color w:val="000000"/>
                <w:sz w:val="20"/>
                <w:szCs w:val="20"/>
              </w:rPr>
            </w:pPr>
            <w:r w:rsidRPr="00E67099">
              <w:rPr>
                <w:rFonts w:ascii="Calibri Light" w:hAnsi="Calibri Light" w:cs="Calibri Light"/>
                <w:b/>
                <w:bCs/>
                <w:color w:val="000000"/>
                <w:sz w:val="20"/>
                <w:szCs w:val="20"/>
                <w:lang w:val="ro-MD"/>
              </w:rPr>
              <w:t>1433,9</w:t>
            </w:r>
          </w:p>
        </w:tc>
      </w:tr>
      <w:tr w:rsidR="00E67099" w:rsidRPr="00E67099" w:rsidTr="00A36731">
        <w:trPr>
          <w:trHeight w:val="288"/>
        </w:trPr>
        <w:tc>
          <w:tcPr>
            <w:tcW w:w="13682" w:type="dxa"/>
            <w:gridSpan w:val="12"/>
            <w:tcBorders>
              <w:top w:val="single" w:sz="4" w:space="0" w:color="auto"/>
              <w:left w:val="nil"/>
              <w:bottom w:val="nil"/>
              <w:right w:val="nil"/>
            </w:tcBorders>
            <w:shd w:val="clear" w:color="auto" w:fill="auto"/>
            <w:noWrap/>
            <w:vAlign w:val="bottom"/>
            <w:hideMark/>
          </w:tcPr>
          <w:p w:rsidR="00E67099" w:rsidRPr="00E67099" w:rsidRDefault="00E67099" w:rsidP="00E67099">
            <w:pPr>
              <w:spacing w:after="0" w:line="240" w:lineRule="auto"/>
              <w:rPr>
                <w:rFonts w:asciiTheme="majorHAnsi" w:eastAsia="Times New Roman" w:hAnsiTheme="majorHAnsi" w:cstheme="majorHAnsi"/>
                <w:b/>
                <w:bCs/>
                <w:i/>
                <w:iCs/>
                <w:color w:val="000000"/>
                <w:sz w:val="20"/>
                <w:szCs w:val="20"/>
                <w:lang w:val="ro-MD"/>
              </w:rPr>
            </w:pPr>
            <w:r w:rsidRPr="00E67099">
              <w:rPr>
                <w:rFonts w:asciiTheme="majorHAnsi" w:eastAsia="Times New Roman" w:hAnsiTheme="majorHAnsi" w:cstheme="majorHAnsi"/>
                <w:b/>
                <w:bCs/>
                <w:i/>
                <w:iCs/>
                <w:color w:val="000000"/>
                <w:sz w:val="20"/>
                <w:szCs w:val="20"/>
                <w:lang w:val="ro-MD"/>
              </w:rPr>
              <w:t>Sursă:</w:t>
            </w:r>
            <w:r w:rsidRPr="00E67099">
              <w:rPr>
                <w:rFonts w:asciiTheme="majorHAnsi" w:eastAsia="Times New Roman" w:hAnsiTheme="majorHAnsi" w:cstheme="majorHAnsi"/>
                <w:i/>
                <w:iCs/>
                <w:color w:val="000000"/>
                <w:sz w:val="20"/>
                <w:szCs w:val="20"/>
                <w:lang w:val="ro-MD"/>
              </w:rPr>
              <w:t xml:space="preserve"> Legea bugetului de stat pentru anul 2019, Raportul privind executarea bugetului de stat conform clasificației economice la situația din 31.12.2019.</w:t>
            </w:r>
          </w:p>
        </w:tc>
      </w:tr>
    </w:tbl>
    <w:p w:rsidR="00E67099" w:rsidRPr="00E67099" w:rsidRDefault="00E67099" w:rsidP="002B136D">
      <w:pPr>
        <w:spacing w:after="0" w:line="240" w:lineRule="auto"/>
        <w:rPr>
          <w:rFonts w:asciiTheme="majorHAnsi" w:hAnsiTheme="majorHAnsi" w:cstheme="majorHAnsi"/>
          <w:b/>
          <w:i/>
          <w:sz w:val="24"/>
          <w:szCs w:val="24"/>
        </w:rPr>
      </w:pPr>
    </w:p>
    <w:sectPr w:rsidR="00E67099" w:rsidRPr="00E67099" w:rsidSect="00422E79">
      <w:pgSz w:w="15840" w:h="12240" w:orient="landscape"/>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3AE" w:rsidRDefault="00B733AE" w:rsidP="00254AC0">
      <w:pPr>
        <w:spacing w:after="0" w:line="240" w:lineRule="auto"/>
      </w:pPr>
      <w:r>
        <w:separator/>
      </w:r>
    </w:p>
  </w:endnote>
  <w:endnote w:type="continuationSeparator" w:id="0">
    <w:p w:rsidR="00B733AE" w:rsidRDefault="00B733AE" w:rsidP="00254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1693408"/>
      <w:docPartObj>
        <w:docPartGallery w:val="Page Numbers (Bottom of Page)"/>
        <w:docPartUnique/>
      </w:docPartObj>
    </w:sdtPr>
    <w:sdtEndPr>
      <w:rPr>
        <w:noProof/>
      </w:rPr>
    </w:sdtEndPr>
    <w:sdtContent>
      <w:p w:rsidR="00254AC0" w:rsidRDefault="00254AC0">
        <w:pPr>
          <w:pStyle w:val="a4"/>
          <w:jc w:val="right"/>
        </w:pPr>
        <w:r>
          <w:fldChar w:fldCharType="begin"/>
        </w:r>
        <w:r>
          <w:instrText xml:space="preserve"> PAGE   \* MERGEFORMAT </w:instrText>
        </w:r>
        <w:r>
          <w:fldChar w:fldCharType="separate"/>
        </w:r>
        <w:r w:rsidR="00B733AE">
          <w:rPr>
            <w:noProof/>
          </w:rPr>
          <w:t>1</w:t>
        </w:r>
        <w:r>
          <w:rPr>
            <w:noProof/>
          </w:rPr>
          <w:fldChar w:fldCharType="end"/>
        </w:r>
      </w:p>
    </w:sdtContent>
  </w:sdt>
  <w:p w:rsidR="00254AC0" w:rsidRDefault="00254AC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4475075"/>
      <w:docPartObj>
        <w:docPartGallery w:val="Page Numbers (Bottom of Page)"/>
        <w:docPartUnique/>
      </w:docPartObj>
    </w:sdtPr>
    <w:sdtEndPr>
      <w:rPr>
        <w:noProof/>
      </w:rPr>
    </w:sdtEndPr>
    <w:sdtContent>
      <w:p w:rsidR="00E67099" w:rsidRDefault="00E67099">
        <w:pPr>
          <w:pStyle w:val="a4"/>
          <w:jc w:val="right"/>
        </w:pPr>
        <w:r>
          <w:fldChar w:fldCharType="begin"/>
        </w:r>
        <w:r>
          <w:instrText xml:space="preserve"> PAGE   \* MERGEFORMAT </w:instrText>
        </w:r>
        <w:r>
          <w:fldChar w:fldCharType="separate"/>
        </w:r>
        <w:r w:rsidR="003F6EE9">
          <w:rPr>
            <w:noProof/>
          </w:rPr>
          <w:t>3</w:t>
        </w:r>
        <w:r>
          <w:rPr>
            <w:noProof/>
          </w:rPr>
          <w:fldChar w:fldCharType="end"/>
        </w:r>
      </w:p>
    </w:sdtContent>
  </w:sdt>
  <w:p w:rsidR="00E67099" w:rsidRDefault="00E6709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3AE" w:rsidRDefault="00B733AE" w:rsidP="00254AC0">
      <w:pPr>
        <w:spacing w:after="0" w:line="240" w:lineRule="auto"/>
      </w:pPr>
      <w:r>
        <w:separator/>
      </w:r>
    </w:p>
  </w:footnote>
  <w:footnote w:type="continuationSeparator" w:id="0">
    <w:p w:rsidR="00B733AE" w:rsidRDefault="00B733AE" w:rsidP="00254AC0">
      <w:pPr>
        <w:spacing w:after="0" w:line="240" w:lineRule="auto"/>
      </w:pPr>
      <w:r>
        <w:continuationSeparator/>
      </w:r>
    </w:p>
  </w:footnote>
  <w:footnote w:id="1">
    <w:p w:rsidR="00254AC0" w:rsidRPr="00031A82" w:rsidRDefault="00254AC0" w:rsidP="00254AC0">
      <w:pPr>
        <w:pStyle w:val="a6"/>
        <w:jc w:val="both"/>
        <w:rPr>
          <w:rFonts w:asciiTheme="majorHAnsi" w:hAnsiTheme="majorHAnsi" w:cstheme="majorHAnsi"/>
          <w:sz w:val="16"/>
          <w:szCs w:val="16"/>
          <w:lang w:val="ro-MD"/>
        </w:rPr>
      </w:pPr>
      <w:r w:rsidRPr="00031A82">
        <w:rPr>
          <w:rStyle w:val="a8"/>
          <w:rFonts w:asciiTheme="majorHAnsi" w:hAnsiTheme="majorHAnsi" w:cstheme="majorHAnsi"/>
          <w:sz w:val="16"/>
          <w:szCs w:val="16"/>
          <w:lang w:val="ro-MD"/>
        </w:rPr>
        <w:footnoteRef/>
      </w:r>
      <w:r w:rsidRPr="00031A82">
        <w:rPr>
          <w:rFonts w:asciiTheme="majorHAnsi" w:hAnsiTheme="majorHAnsi" w:cstheme="majorHAnsi"/>
          <w:sz w:val="16"/>
          <w:szCs w:val="16"/>
          <w:lang w:val="ro-MD"/>
        </w:rPr>
        <w:t xml:space="preserve"> Art.31 din Legea finanțelor publice și responsabilității bugetar-fiscale nr.181 din 25.07.2014.</w:t>
      </w:r>
    </w:p>
  </w:footnote>
  <w:footnote w:id="2">
    <w:p w:rsidR="00254AC0" w:rsidRPr="00CA601A" w:rsidRDefault="00254AC0" w:rsidP="00254AC0">
      <w:pPr>
        <w:pStyle w:val="a6"/>
        <w:jc w:val="both"/>
        <w:rPr>
          <w:rFonts w:asciiTheme="majorHAnsi" w:hAnsiTheme="majorHAnsi" w:cstheme="majorHAnsi"/>
          <w:sz w:val="16"/>
          <w:szCs w:val="16"/>
        </w:rPr>
      </w:pPr>
      <w:r w:rsidRPr="00491493">
        <w:rPr>
          <w:rStyle w:val="a8"/>
          <w:rFonts w:asciiTheme="majorHAnsi" w:hAnsiTheme="majorHAnsi" w:cstheme="majorHAnsi"/>
          <w:sz w:val="16"/>
          <w:szCs w:val="16"/>
          <w:lang w:val="ro-MD"/>
        </w:rPr>
        <w:footnoteRef/>
      </w:r>
      <w:r w:rsidRPr="00491493">
        <w:rPr>
          <w:rFonts w:asciiTheme="majorHAnsi" w:hAnsiTheme="majorHAnsi" w:cstheme="majorHAnsi"/>
          <w:sz w:val="16"/>
          <w:szCs w:val="16"/>
          <w:lang w:val="ro-MD"/>
        </w:rPr>
        <w:t xml:space="preserve"> </w:t>
      </w:r>
      <w:r w:rsidRPr="00491493">
        <w:rPr>
          <w:rFonts w:asciiTheme="majorHAnsi" w:hAnsiTheme="majorHAnsi" w:cstheme="majorHAnsi"/>
          <w:sz w:val="16"/>
          <w:szCs w:val="16"/>
          <w:lang w:val="ro-RO"/>
        </w:rPr>
        <w:t>Hotărârea Curții de Conturi nr.2 din 24.01.2020 „Cu privire la Cadrul Declarațiilor Profesionale ale INTOSAI”.</w:t>
      </w:r>
    </w:p>
  </w:footnote>
  <w:footnote w:id="3">
    <w:p w:rsidR="00254AC0" w:rsidRPr="003F2F18" w:rsidRDefault="00254AC0" w:rsidP="00254AC0">
      <w:pPr>
        <w:pStyle w:val="a6"/>
        <w:jc w:val="both"/>
        <w:rPr>
          <w:rFonts w:asciiTheme="majorHAnsi" w:hAnsiTheme="majorHAnsi" w:cstheme="majorHAnsi"/>
          <w:sz w:val="16"/>
          <w:szCs w:val="16"/>
          <w:lang w:val="ro-RO"/>
        </w:rPr>
      </w:pPr>
      <w:r w:rsidRPr="003F2F18">
        <w:rPr>
          <w:rStyle w:val="a8"/>
          <w:rFonts w:asciiTheme="majorHAnsi" w:hAnsiTheme="majorHAnsi" w:cstheme="majorHAnsi"/>
          <w:sz w:val="16"/>
          <w:szCs w:val="16"/>
          <w:lang w:val="ro-RO"/>
        </w:rPr>
        <w:footnoteRef/>
      </w:r>
      <w:r w:rsidRPr="003F2F18">
        <w:rPr>
          <w:rFonts w:asciiTheme="majorHAnsi" w:hAnsiTheme="majorHAnsi" w:cstheme="majorHAnsi"/>
          <w:sz w:val="16"/>
          <w:szCs w:val="16"/>
          <w:lang w:val="ro-RO"/>
        </w:rPr>
        <w:t xml:space="preserve"> </w:t>
      </w:r>
      <w:r w:rsidRPr="003F2F18">
        <w:rPr>
          <w:rFonts w:asciiTheme="majorHAnsi" w:eastAsia="Calibri" w:hAnsiTheme="majorHAnsi" w:cstheme="majorHAnsi"/>
          <w:sz w:val="16"/>
          <w:szCs w:val="16"/>
          <w:lang w:val="ro-RO"/>
        </w:rPr>
        <w:t xml:space="preserve">Ordinul ministrului finanțelor nr.18 din 27.01.2020 „Cu privire la modificarea ordinului nr.44 din 12.02.2018 cu privire la structura, componența și formatul formularelor la Raportul anual privind executarea bugetului de stat” </w:t>
      </w:r>
      <w:r w:rsidRPr="003F2F18">
        <w:rPr>
          <w:rFonts w:asciiTheme="majorHAnsi" w:hAnsiTheme="majorHAnsi" w:cstheme="majorHAnsi"/>
          <w:sz w:val="16"/>
          <w:szCs w:val="16"/>
          <w:lang w:val="ro-RO"/>
        </w:rPr>
        <w:t xml:space="preserve">(în continuare </w:t>
      </w:r>
      <w:r>
        <w:rPr>
          <w:rFonts w:asciiTheme="majorHAnsi" w:hAnsiTheme="majorHAnsi" w:cstheme="majorHAnsi"/>
          <w:sz w:val="16"/>
          <w:szCs w:val="16"/>
          <w:lang w:val="ro-RO"/>
        </w:rPr>
        <w:t>–</w:t>
      </w:r>
      <w:r w:rsidRPr="003F2F18">
        <w:rPr>
          <w:rFonts w:asciiTheme="majorHAnsi" w:hAnsiTheme="majorHAnsi" w:cstheme="majorHAnsi"/>
          <w:sz w:val="16"/>
          <w:szCs w:val="16"/>
          <w:lang w:val="ro-RO"/>
        </w:rPr>
        <w:t xml:space="preserve"> Ordinul MF nr.18 din 27.01.2020)</w:t>
      </w:r>
      <w:r w:rsidRPr="003F2F18">
        <w:rPr>
          <w:rFonts w:asciiTheme="majorHAnsi" w:eastAsia="Calibri" w:hAnsiTheme="majorHAnsi" w:cstheme="majorHAnsi"/>
          <w:sz w:val="16"/>
          <w:szCs w:val="16"/>
          <w:lang w:val="ro-RO"/>
        </w:rPr>
        <w:t>.</w:t>
      </w:r>
      <w:r w:rsidRPr="00AB221E">
        <w:rPr>
          <w:rFonts w:asciiTheme="majorHAnsi" w:eastAsia="Times New Roman" w:hAnsiTheme="majorHAnsi" w:cstheme="majorHAnsi"/>
          <w:sz w:val="24"/>
          <w:szCs w:val="24"/>
          <w:lang w:val="ro-MD"/>
        </w:rPr>
        <w:t xml:space="preserve"> </w:t>
      </w:r>
      <w:r w:rsidRPr="00AB221E">
        <w:rPr>
          <w:rFonts w:asciiTheme="majorHAnsi" w:eastAsia="Calibri" w:hAnsiTheme="majorHAnsi" w:cstheme="majorHAnsi"/>
          <w:sz w:val="16"/>
          <w:szCs w:val="16"/>
          <w:lang w:val="ro-MD"/>
        </w:rPr>
        <w:t xml:space="preserve">Ținând cont </w:t>
      </w:r>
      <w:r>
        <w:rPr>
          <w:rFonts w:asciiTheme="majorHAnsi" w:eastAsia="Calibri" w:hAnsiTheme="majorHAnsi" w:cstheme="majorHAnsi"/>
          <w:sz w:val="16"/>
          <w:szCs w:val="16"/>
          <w:lang w:val="ro-MD"/>
        </w:rPr>
        <w:t xml:space="preserve">de faptul </w:t>
      </w:r>
      <w:r w:rsidRPr="00AB221E">
        <w:rPr>
          <w:rFonts w:asciiTheme="majorHAnsi" w:eastAsia="Calibri" w:hAnsiTheme="majorHAnsi" w:cstheme="majorHAnsi"/>
          <w:sz w:val="16"/>
          <w:szCs w:val="16"/>
          <w:lang w:val="ro-MD"/>
        </w:rPr>
        <w:t xml:space="preserve">că anexele la </w:t>
      </w:r>
      <w:r>
        <w:rPr>
          <w:rFonts w:asciiTheme="majorHAnsi" w:eastAsia="Calibri" w:hAnsiTheme="majorHAnsi" w:cstheme="majorHAnsi"/>
          <w:sz w:val="16"/>
          <w:szCs w:val="16"/>
          <w:lang w:val="ro-MD"/>
        </w:rPr>
        <w:t>L</w:t>
      </w:r>
      <w:r w:rsidRPr="00AB221E">
        <w:rPr>
          <w:rFonts w:asciiTheme="majorHAnsi" w:eastAsia="Calibri" w:hAnsiTheme="majorHAnsi" w:cstheme="majorHAnsi"/>
          <w:sz w:val="16"/>
          <w:szCs w:val="16"/>
          <w:lang w:val="ro-MD"/>
        </w:rPr>
        <w:t>egea bugetului de stat pe anul 2019 au fost modificate, respectiv a fost modificată și componența rapoartelor.</w:t>
      </w:r>
    </w:p>
  </w:footnote>
  <w:footnote w:id="4">
    <w:p w:rsidR="00254AC0" w:rsidRPr="00BC747B" w:rsidRDefault="00254AC0" w:rsidP="00254AC0">
      <w:pPr>
        <w:pStyle w:val="a6"/>
        <w:jc w:val="both"/>
        <w:rPr>
          <w:rFonts w:asciiTheme="majorHAnsi" w:hAnsiTheme="majorHAnsi" w:cstheme="majorHAnsi"/>
          <w:sz w:val="16"/>
          <w:szCs w:val="16"/>
        </w:rPr>
      </w:pPr>
      <w:r w:rsidRPr="00BC747B">
        <w:rPr>
          <w:rStyle w:val="a8"/>
          <w:rFonts w:asciiTheme="majorHAnsi" w:hAnsiTheme="majorHAnsi" w:cstheme="majorHAnsi"/>
          <w:sz w:val="16"/>
          <w:szCs w:val="16"/>
        </w:rPr>
        <w:footnoteRef/>
      </w:r>
      <w:r w:rsidRPr="00BC747B">
        <w:rPr>
          <w:rFonts w:asciiTheme="majorHAnsi" w:hAnsiTheme="majorHAnsi" w:cstheme="majorHAnsi"/>
          <w:sz w:val="16"/>
          <w:szCs w:val="16"/>
        </w:rPr>
        <w:t xml:space="preserve"> </w:t>
      </w:r>
      <w:r w:rsidRPr="00BC747B">
        <w:rPr>
          <w:rFonts w:asciiTheme="majorHAnsi" w:hAnsiTheme="majorHAnsi" w:cstheme="majorHAnsi"/>
          <w:bCs/>
          <w:iCs/>
          <w:sz w:val="16"/>
          <w:szCs w:val="16"/>
        </w:rPr>
        <w:t>C</w:t>
      </w:r>
      <w:r w:rsidRPr="00BC747B">
        <w:rPr>
          <w:rFonts w:asciiTheme="majorHAnsi" w:hAnsiTheme="majorHAnsi" w:cstheme="majorHAnsi"/>
          <w:sz w:val="16"/>
          <w:szCs w:val="16"/>
          <w:lang w:val="ro-MD"/>
        </w:rPr>
        <w:t xml:space="preserve">onform art.29 din Legea nr.181 din 25.07.2014 și </w:t>
      </w:r>
      <w:r w:rsidRPr="00BC747B">
        <w:rPr>
          <w:rFonts w:asciiTheme="majorHAnsi" w:hAnsiTheme="majorHAnsi" w:cstheme="majorHAnsi"/>
          <w:bCs/>
          <w:sz w:val="16"/>
          <w:szCs w:val="16"/>
          <w:lang w:val="ro-MD"/>
        </w:rPr>
        <w:t>pct.4.2.3 și pct.4.3.5 din Ordinul MF nr.216 din 28.12.2015</w:t>
      </w:r>
      <w:r w:rsidRPr="00BC747B">
        <w:rPr>
          <w:rStyle w:val="a8"/>
          <w:rFonts w:asciiTheme="majorHAnsi" w:hAnsiTheme="majorHAnsi" w:cstheme="majorHAnsi"/>
          <w:bCs/>
          <w:sz w:val="16"/>
          <w:szCs w:val="16"/>
          <w:lang w:val="ro-MD"/>
        </w:rPr>
        <w:footnoteRef/>
      </w:r>
      <w:r w:rsidRPr="00BC747B">
        <w:rPr>
          <w:rFonts w:asciiTheme="majorHAnsi" w:hAnsiTheme="majorHAnsi" w:cstheme="majorHAnsi"/>
          <w:sz w:val="16"/>
          <w:szCs w:val="16"/>
          <w:lang w:val="ro-MD"/>
        </w:rPr>
        <w:t>, cheltuielile bugetare includ ,,</w:t>
      </w:r>
      <w:r w:rsidRPr="00BC747B">
        <w:rPr>
          <w:rFonts w:asciiTheme="majorHAnsi" w:hAnsiTheme="majorHAnsi" w:cstheme="majorHAnsi"/>
          <w:i/>
          <w:sz w:val="16"/>
          <w:szCs w:val="16"/>
          <w:lang w:val="ro-MD"/>
        </w:rPr>
        <w:t>subvenții</w:t>
      </w:r>
      <w:r w:rsidR="00BC747B">
        <w:rPr>
          <w:rFonts w:asciiTheme="majorHAnsi" w:hAnsiTheme="majorHAnsi" w:cstheme="majorHAnsi"/>
          <w:i/>
          <w:sz w:val="16"/>
          <w:szCs w:val="16"/>
          <w:lang w:val="ro-MD"/>
        </w:rPr>
        <w:t xml:space="preserve">” </w:t>
      </w:r>
      <w:r w:rsidRPr="00BC747B">
        <w:rPr>
          <w:rFonts w:asciiTheme="majorHAnsi" w:hAnsiTheme="majorHAnsi" w:cstheme="majorHAnsi"/>
          <w:bCs/>
          <w:sz w:val="16"/>
          <w:szCs w:val="16"/>
          <w:lang w:val="ro-MD"/>
        </w:rPr>
        <w:t>iar</w:t>
      </w:r>
      <w:r w:rsidRPr="00BC747B">
        <w:rPr>
          <w:rFonts w:asciiTheme="majorHAnsi" w:hAnsiTheme="majorHAnsi" w:cstheme="majorHAnsi"/>
          <w:sz w:val="16"/>
          <w:szCs w:val="16"/>
          <w:lang w:val="ro-MD"/>
        </w:rPr>
        <w:t xml:space="preserve"> potrivit pct.3.2.1</w:t>
      </w:r>
      <w:r w:rsidRPr="00BC747B">
        <w:rPr>
          <w:rFonts w:asciiTheme="majorHAnsi" w:hAnsiTheme="majorHAnsi" w:cstheme="majorHAnsi"/>
          <w:bCs/>
          <w:sz w:val="16"/>
          <w:szCs w:val="16"/>
          <w:lang w:val="ro-MD"/>
        </w:rPr>
        <w:t xml:space="preserve"> din Ordinul MF nr.216 din 28.12.2015, clasa 2 „cheltuieli” cuprinde doar </w:t>
      </w:r>
      <w:r w:rsidRPr="00BC747B">
        <w:rPr>
          <w:rFonts w:asciiTheme="majorHAnsi" w:hAnsiTheme="majorHAnsi" w:cstheme="majorHAnsi"/>
          <w:bCs/>
          <w:i/>
          <w:sz w:val="16"/>
          <w:szCs w:val="16"/>
          <w:lang w:val="ro-MD"/>
        </w:rPr>
        <w:t>subclasa 25 „Subsidii”.</w:t>
      </w:r>
    </w:p>
  </w:footnote>
  <w:footnote w:id="5">
    <w:p w:rsidR="00254AC0" w:rsidRPr="00BC747B" w:rsidRDefault="00254AC0" w:rsidP="00254AC0">
      <w:pPr>
        <w:spacing w:after="0" w:line="240" w:lineRule="auto"/>
        <w:jc w:val="both"/>
        <w:rPr>
          <w:rFonts w:asciiTheme="majorHAnsi" w:eastAsia="Times New Roman" w:hAnsiTheme="majorHAnsi" w:cstheme="majorHAnsi"/>
          <w:sz w:val="16"/>
          <w:szCs w:val="16"/>
          <w:lang w:val="ro-MD"/>
        </w:rPr>
      </w:pPr>
      <w:r w:rsidRPr="00BC747B">
        <w:rPr>
          <w:rStyle w:val="a8"/>
          <w:rFonts w:asciiTheme="majorHAnsi" w:hAnsiTheme="majorHAnsi" w:cstheme="majorHAnsi"/>
          <w:sz w:val="16"/>
          <w:szCs w:val="16"/>
        </w:rPr>
        <w:footnoteRef/>
      </w:r>
      <w:r w:rsidRPr="00BC747B">
        <w:rPr>
          <w:rFonts w:asciiTheme="majorHAnsi" w:hAnsiTheme="majorHAnsi" w:cstheme="majorHAnsi"/>
          <w:sz w:val="16"/>
          <w:szCs w:val="16"/>
        </w:rPr>
        <w:t xml:space="preserve"> </w:t>
      </w:r>
      <w:r w:rsidRPr="00BC747B">
        <w:rPr>
          <w:rFonts w:asciiTheme="majorHAnsi" w:eastAsia="Times New Roman" w:hAnsiTheme="majorHAnsi" w:cstheme="majorHAnsi"/>
          <w:bCs/>
          <w:sz w:val="16"/>
          <w:szCs w:val="16"/>
          <w:lang w:val="ro-MD"/>
        </w:rPr>
        <w:t xml:space="preserve">Conform Ordinului MF nr.208 din 24.12.2015, </w:t>
      </w:r>
      <w:r w:rsidRPr="00BC747B">
        <w:rPr>
          <w:rFonts w:asciiTheme="majorHAnsi" w:eastAsia="Times New Roman" w:hAnsiTheme="majorHAnsi" w:cstheme="majorHAnsi"/>
          <w:bCs/>
          <w:i/>
          <w:sz w:val="16"/>
          <w:szCs w:val="16"/>
          <w:u w:val="single"/>
          <w:lang w:val="ro-MD"/>
        </w:rPr>
        <w:t>s</w:t>
      </w:r>
      <w:r w:rsidRPr="00BC747B">
        <w:rPr>
          <w:rFonts w:asciiTheme="majorHAnsi" w:eastAsia="Times New Roman" w:hAnsiTheme="majorHAnsi" w:cstheme="majorHAnsi"/>
          <w:i/>
          <w:sz w:val="16"/>
          <w:szCs w:val="16"/>
          <w:u w:val="single"/>
          <w:lang w:val="ro-MD"/>
        </w:rPr>
        <w:t xml:space="preserve">ubsidii </w:t>
      </w:r>
      <w:r w:rsidRPr="00BC747B">
        <w:rPr>
          <w:rFonts w:asciiTheme="majorHAnsi" w:eastAsia="Times New Roman" w:hAnsiTheme="majorHAnsi" w:cstheme="majorHAnsi"/>
          <w:i/>
          <w:sz w:val="16"/>
          <w:szCs w:val="16"/>
          <w:lang w:val="ro-MD"/>
        </w:rPr>
        <w:t>- reprezintă plăți nerambursabile achitate întreprinderilor producătoare sau prestatoare de servicii, cu scopul de a influența procesul de producere sau prețurile de livrare”.</w:t>
      </w:r>
      <w:r w:rsidRPr="00BC747B">
        <w:rPr>
          <w:rFonts w:asciiTheme="majorHAnsi" w:eastAsia="Times New Roman" w:hAnsiTheme="majorHAnsi" w:cstheme="majorHAnsi"/>
          <w:sz w:val="16"/>
          <w:szCs w:val="16"/>
          <w:lang w:val="ro-MD"/>
        </w:rPr>
        <w:t xml:space="preserve"> Subsidiile includ transferurile către întreprinderile de stat pentru compensarea pierderilor suportate de către acestea în procesul de producție ca rezultat al menținerii prețurilor la un nivel mai jos de costuri atunci când politicile economice și sociale au fost stabilite de stat, pentru compensarea parțială a contribuțiilor de asigurări sociale de stat obligatorii, pentru procurarea utilajului și materiei prime. </w:t>
      </w:r>
    </w:p>
  </w:footnote>
  <w:footnote w:id="6">
    <w:p w:rsidR="00254AC0" w:rsidRPr="00BC747B" w:rsidRDefault="00254AC0" w:rsidP="00254AC0">
      <w:pPr>
        <w:pStyle w:val="a6"/>
        <w:rPr>
          <w:rFonts w:asciiTheme="majorHAnsi" w:hAnsiTheme="majorHAnsi" w:cstheme="majorHAnsi"/>
          <w:sz w:val="16"/>
          <w:szCs w:val="16"/>
          <w:lang w:val="ro-MD"/>
        </w:rPr>
      </w:pPr>
      <w:r w:rsidRPr="00BC747B">
        <w:rPr>
          <w:rStyle w:val="a8"/>
          <w:rFonts w:asciiTheme="majorHAnsi" w:hAnsiTheme="majorHAnsi" w:cstheme="majorHAnsi"/>
          <w:sz w:val="16"/>
          <w:szCs w:val="16"/>
          <w:lang w:val="ro-MD"/>
        </w:rPr>
        <w:footnoteRef/>
      </w:r>
      <w:r w:rsidRPr="00BC747B">
        <w:rPr>
          <w:rFonts w:asciiTheme="majorHAnsi" w:hAnsiTheme="majorHAnsi" w:cstheme="majorHAnsi"/>
          <w:sz w:val="16"/>
          <w:szCs w:val="16"/>
          <w:lang w:val="ro-MD"/>
        </w:rPr>
        <w:t xml:space="preserve"> Informația cu privire la executarea subsidiilor acordate din buget este anexă la Raportul narativ.</w:t>
      </w:r>
    </w:p>
  </w:footnote>
  <w:footnote w:id="7">
    <w:p w:rsidR="00254AC0" w:rsidRPr="00BC747B" w:rsidRDefault="00254AC0" w:rsidP="00254AC0">
      <w:pPr>
        <w:pStyle w:val="a6"/>
        <w:jc w:val="both"/>
        <w:rPr>
          <w:rFonts w:asciiTheme="majorHAnsi" w:hAnsiTheme="majorHAnsi" w:cstheme="majorHAnsi"/>
          <w:sz w:val="16"/>
          <w:szCs w:val="16"/>
          <w:lang w:val="ro-MD"/>
        </w:rPr>
      </w:pPr>
      <w:r w:rsidRPr="00BC747B">
        <w:rPr>
          <w:rStyle w:val="a8"/>
          <w:rFonts w:asciiTheme="majorHAnsi" w:hAnsiTheme="majorHAnsi" w:cstheme="majorHAnsi"/>
          <w:sz w:val="16"/>
          <w:szCs w:val="16"/>
          <w:lang w:val="ro-MD"/>
        </w:rPr>
        <w:footnoteRef/>
      </w:r>
      <w:r w:rsidRPr="00BC747B">
        <w:rPr>
          <w:rFonts w:asciiTheme="majorHAnsi" w:hAnsiTheme="majorHAnsi" w:cstheme="majorHAnsi"/>
          <w:sz w:val="16"/>
          <w:szCs w:val="16"/>
          <w:lang w:val="ro-MD"/>
        </w:rPr>
        <w:t xml:space="preserve"> IP Serviciul Național Unic pentru Apelurile de Urgență – 80,7 mil. lei, IP Oficiul Național al Viei și Vinului – 23,5 mil. lei, IP „Teleradio Moldova” – 122,7 mil. lei.</w:t>
      </w:r>
    </w:p>
  </w:footnote>
  <w:footnote w:id="8">
    <w:p w:rsidR="00254AC0" w:rsidRPr="00031A82" w:rsidRDefault="00254AC0" w:rsidP="00254AC0">
      <w:pPr>
        <w:pStyle w:val="a6"/>
        <w:jc w:val="both"/>
        <w:rPr>
          <w:rFonts w:ascii="Times New Roman" w:hAnsi="Times New Roman" w:cs="Times New Roman"/>
          <w:sz w:val="16"/>
          <w:szCs w:val="16"/>
          <w:lang w:val="ro-MD"/>
        </w:rPr>
      </w:pPr>
      <w:r w:rsidRPr="00BC747B">
        <w:rPr>
          <w:rStyle w:val="a8"/>
          <w:rFonts w:asciiTheme="majorHAnsi" w:hAnsiTheme="majorHAnsi" w:cstheme="majorHAnsi"/>
          <w:sz w:val="16"/>
          <w:szCs w:val="16"/>
        </w:rPr>
        <w:footnoteRef/>
      </w:r>
      <w:r w:rsidRPr="00BC747B">
        <w:rPr>
          <w:rFonts w:asciiTheme="majorHAnsi" w:hAnsiTheme="majorHAnsi" w:cstheme="majorHAnsi"/>
          <w:sz w:val="16"/>
          <w:szCs w:val="16"/>
        </w:rPr>
        <w:t xml:space="preserve"> </w:t>
      </w:r>
      <w:r w:rsidRPr="00BC747B">
        <w:rPr>
          <w:rFonts w:asciiTheme="majorHAnsi" w:hAnsiTheme="majorHAnsi" w:cstheme="majorHAnsi"/>
          <w:sz w:val="16"/>
          <w:szCs w:val="16"/>
          <w:lang w:val="ro-MD"/>
        </w:rPr>
        <w:t>Proiectul „Programul de reziliență rurală (IFAD VII), Proiectul Programul rural de reziliență economico-climatică incluzivă (IFAD VI), Proiectul „Agricultura Competitivă”, Proiectul „Ameliorarea competitivității II”, Proiectul „Îmbunătățirea politicii de ocupare pentru unele categorii de persoane”.</w:t>
      </w:r>
    </w:p>
  </w:footnote>
  <w:footnote w:id="9">
    <w:p w:rsidR="00254AC0" w:rsidRPr="00021109" w:rsidRDefault="00254AC0" w:rsidP="00021109">
      <w:pPr>
        <w:pStyle w:val="a6"/>
        <w:jc w:val="both"/>
        <w:rPr>
          <w:rFonts w:asciiTheme="majorHAnsi" w:hAnsiTheme="majorHAnsi" w:cstheme="majorHAnsi"/>
          <w:sz w:val="16"/>
          <w:szCs w:val="16"/>
        </w:rPr>
      </w:pPr>
      <w:r w:rsidRPr="00021109">
        <w:rPr>
          <w:rStyle w:val="a8"/>
          <w:rFonts w:asciiTheme="majorHAnsi" w:hAnsiTheme="majorHAnsi" w:cstheme="majorHAnsi"/>
          <w:sz w:val="16"/>
          <w:szCs w:val="16"/>
        </w:rPr>
        <w:footnoteRef/>
      </w:r>
      <w:r w:rsidRPr="00021109">
        <w:rPr>
          <w:rFonts w:asciiTheme="majorHAnsi" w:hAnsiTheme="majorHAnsi" w:cstheme="majorHAnsi"/>
          <w:sz w:val="16"/>
          <w:szCs w:val="16"/>
        </w:rPr>
        <w:t xml:space="preserve"> </w:t>
      </w:r>
      <w:r w:rsidRPr="00021109">
        <w:rPr>
          <w:rFonts w:asciiTheme="majorHAnsi" w:hAnsiTheme="majorHAnsi" w:cstheme="majorHAnsi"/>
          <w:sz w:val="16"/>
          <w:szCs w:val="16"/>
          <w:lang w:val="ro-MD"/>
        </w:rPr>
        <w:t>Programul de atragere a remitenților în economie „PARE 1+1”, Programul-pilot „Femei în afaceri”, Programul ,„START pentru TINERI”, Programul pentru susținerea de stat a dezvoltării sectorului Întreprinderilor mici și mijlocii, dezvoltarea rețelei incubatoarelor de afaceri, Fondul de Garantare a afacerilor în sectorul rural, Programul „Prima casă”.</w:t>
      </w:r>
    </w:p>
  </w:footnote>
  <w:footnote w:id="10">
    <w:p w:rsidR="00254AC0" w:rsidRPr="00021109" w:rsidRDefault="00254AC0" w:rsidP="00021109">
      <w:pPr>
        <w:pStyle w:val="a6"/>
        <w:jc w:val="both"/>
        <w:rPr>
          <w:rFonts w:asciiTheme="majorHAnsi" w:hAnsiTheme="majorHAnsi" w:cstheme="majorHAnsi"/>
          <w:sz w:val="16"/>
          <w:szCs w:val="16"/>
        </w:rPr>
      </w:pPr>
      <w:r w:rsidRPr="00021109">
        <w:rPr>
          <w:rStyle w:val="a8"/>
          <w:rFonts w:asciiTheme="majorHAnsi" w:hAnsiTheme="majorHAnsi" w:cstheme="majorHAnsi"/>
          <w:sz w:val="16"/>
          <w:szCs w:val="16"/>
        </w:rPr>
        <w:footnoteRef/>
      </w:r>
      <w:r w:rsidRPr="00021109">
        <w:rPr>
          <w:rFonts w:asciiTheme="majorHAnsi" w:hAnsiTheme="majorHAnsi" w:cstheme="majorHAnsi"/>
          <w:sz w:val="16"/>
          <w:szCs w:val="16"/>
        </w:rPr>
        <w:t xml:space="preserve"> S</w:t>
      </w:r>
      <w:r w:rsidRPr="00021109">
        <w:rPr>
          <w:rFonts w:asciiTheme="majorHAnsi" w:hAnsiTheme="majorHAnsi" w:cstheme="majorHAnsi"/>
          <w:sz w:val="16"/>
          <w:szCs w:val="16"/>
          <w:lang w:val="ro-MD"/>
        </w:rPr>
        <w:t>crisoarea de solicitare nr.2400-01/26 din 18.09.2019; Ordinul de plată nr.715 din 10.10.2019.</w:t>
      </w:r>
    </w:p>
  </w:footnote>
  <w:footnote w:id="11">
    <w:p w:rsidR="00254AC0" w:rsidRPr="00021109" w:rsidRDefault="00254AC0" w:rsidP="00021109">
      <w:pPr>
        <w:pStyle w:val="a6"/>
        <w:jc w:val="both"/>
        <w:rPr>
          <w:rFonts w:asciiTheme="majorHAnsi" w:hAnsiTheme="majorHAnsi" w:cstheme="majorHAnsi"/>
          <w:sz w:val="16"/>
          <w:szCs w:val="16"/>
        </w:rPr>
      </w:pPr>
      <w:r w:rsidRPr="00021109">
        <w:rPr>
          <w:rStyle w:val="a8"/>
          <w:rFonts w:asciiTheme="majorHAnsi" w:hAnsiTheme="majorHAnsi" w:cstheme="majorHAnsi"/>
          <w:sz w:val="16"/>
          <w:szCs w:val="16"/>
        </w:rPr>
        <w:footnoteRef/>
      </w:r>
      <w:r w:rsidRPr="00021109">
        <w:rPr>
          <w:rFonts w:asciiTheme="majorHAnsi" w:hAnsiTheme="majorHAnsi" w:cstheme="majorHAnsi"/>
          <w:sz w:val="16"/>
          <w:szCs w:val="16"/>
        </w:rPr>
        <w:t xml:space="preserve"> </w:t>
      </w:r>
      <w:r w:rsidRPr="00021109">
        <w:rPr>
          <w:rFonts w:asciiTheme="majorHAnsi" w:hAnsiTheme="majorHAnsi" w:cstheme="majorHAnsi"/>
          <w:sz w:val="16"/>
          <w:szCs w:val="16"/>
          <w:lang w:val="ro-MD"/>
        </w:rPr>
        <w:t>Banca finanțatoare transferă trimestrial către ODIMM comisioanele de garantare colectate de la beneficiari (0,5% anual din soldul garanției de stat) pentru fiecare contract de credit acordat persoanelor fizice în cadrul Programului de stat „Prima casă”.</w:t>
      </w:r>
      <w:r w:rsidRPr="00021109">
        <w:rPr>
          <w:rFonts w:asciiTheme="majorHAnsi" w:eastAsia="Times New Roman" w:hAnsiTheme="majorHAnsi" w:cstheme="majorHAnsi"/>
          <w:sz w:val="16"/>
          <w:szCs w:val="16"/>
          <w:lang w:val="ro-MD"/>
        </w:rPr>
        <w:t xml:space="preserve"> Creditorul transferă trimestrial, în termen de 40 de zile calendaristice de la finele trimestrului de gestiune, comisionul pentru garanția de stat la contul ODIMM.</w:t>
      </w:r>
    </w:p>
  </w:footnote>
  <w:footnote w:id="12">
    <w:p w:rsidR="00254AC0" w:rsidRPr="00021109" w:rsidRDefault="00254AC0" w:rsidP="00021109">
      <w:pPr>
        <w:pStyle w:val="a6"/>
        <w:jc w:val="both"/>
        <w:rPr>
          <w:rFonts w:asciiTheme="majorHAnsi" w:hAnsiTheme="majorHAnsi" w:cstheme="majorHAnsi"/>
          <w:sz w:val="16"/>
          <w:szCs w:val="16"/>
          <w:lang w:val="ro-MD"/>
        </w:rPr>
      </w:pPr>
      <w:r w:rsidRPr="00021109">
        <w:rPr>
          <w:rStyle w:val="a8"/>
          <w:rFonts w:asciiTheme="majorHAnsi" w:hAnsiTheme="majorHAnsi" w:cstheme="majorHAnsi"/>
          <w:sz w:val="16"/>
          <w:szCs w:val="16"/>
          <w:lang w:val="ro-MD"/>
        </w:rPr>
        <w:footnoteRef/>
      </w:r>
      <w:r w:rsidRPr="00021109">
        <w:rPr>
          <w:rFonts w:asciiTheme="majorHAnsi" w:hAnsiTheme="majorHAnsi" w:cstheme="majorHAnsi"/>
          <w:sz w:val="16"/>
          <w:szCs w:val="16"/>
          <w:lang w:val="ro-MD"/>
        </w:rPr>
        <w:t xml:space="preserve"> Legea nr.419-XVI din 22.12.2006 cu privire la datoria sectorului public, garanțiile de stat și recreditarea de stat.</w:t>
      </w:r>
    </w:p>
  </w:footnote>
  <w:footnote w:id="13">
    <w:p w:rsidR="00254AC0" w:rsidRPr="00021109" w:rsidRDefault="00254AC0" w:rsidP="00021109">
      <w:pPr>
        <w:pStyle w:val="a6"/>
        <w:jc w:val="both"/>
        <w:rPr>
          <w:rFonts w:asciiTheme="majorHAnsi" w:hAnsiTheme="majorHAnsi" w:cstheme="majorHAnsi"/>
          <w:sz w:val="16"/>
          <w:szCs w:val="16"/>
          <w:lang w:val="ro-MD"/>
        </w:rPr>
      </w:pPr>
      <w:r w:rsidRPr="00021109">
        <w:rPr>
          <w:rStyle w:val="a8"/>
          <w:rFonts w:asciiTheme="majorHAnsi" w:hAnsiTheme="majorHAnsi" w:cstheme="majorHAnsi"/>
          <w:sz w:val="16"/>
          <w:szCs w:val="16"/>
          <w:lang w:val="ro-MD"/>
        </w:rPr>
        <w:footnoteRef/>
      </w:r>
      <w:r w:rsidRPr="00021109">
        <w:rPr>
          <w:rFonts w:asciiTheme="majorHAnsi" w:hAnsiTheme="majorHAnsi" w:cstheme="majorHAnsi"/>
          <w:sz w:val="16"/>
          <w:szCs w:val="16"/>
          <w:lang w:val="ro-MD"/>
        </w:rPr>
        <w:t xml:space="preserve"> Legea nr.293 din 21.12.2017 </w:t>
      </w:r>
      <w:r w:rsidRPr="00021109">
        <w:rPr>
          <w:rFonts w:asciiTheme="majorHAnsi" w:eastAsia="Times New Roman" w:hAnsiTheme="majorHAnsi" w:cstheme="majorHAnsi"/>
          <w:sz w:val="16"/>
          <w:szCs w:val="16"/>
          <w:lang w:val="ro-MD"/>
        </w:rPr>
        <w:t>privind unele măsuri în vederea implementării Programului de stat „Prima casă”.</w:t>
      </w:r>
    </w:p>
  </w:footnote>
  <w:footnote w:id="14">
    <w:p w:rsidR="00254AC0" w:rsidRPr="00021109" w:rsidRDefault="00254AC0" w:rsidP="00021109">
      <w:pPr>
        <w:pStyle w:val="a6"/>
        <w:jc w:val="both"/>
        <w:rPr>
          <w:rFonts w:asciiTheme="majorHAnsi" w:hAnsiTheme="majorHAnsi" w:cstheme="majorHAnsi"/>
          <w:sz w:val="16"/>
          <w:szCs w:val="16"/>
          <w:lang w:val="ro-MD"/>
        </w:rPr>
      </w:pPr>
      <w:r w:rsidRPr="00021109">
        <w:rPr>
          <w:rStyle w:val="a8"/>
          <w:rFonts w:asciiTheme="majorHAnsi" w:hAnsiTheme="majorHAnsi" w:cstheme="majorHAnsi"/>
          <w:sz w:val="16"/>
          <w:szCs w:val="16"/>
          <w:lang w:val="ro-MD"/>
        </w:rPr>
        <w:footnoteRef/>
      </w:r>
      <w:r w:rsidRPr="00021109">
        <w:rPr>
          <w:rFonts w:asciiTheme="majorHAnsi" w:hAnsiTheme="majorHAnsi" w:cstheme="majorHAnsi"/>
          <w:sz w:val="16"/>
          <w:szCs w:val="16"/>
          <w:lang w:val="ro-MD"/>
        </w:rPr>
        <w:t xml:space="preserve"> </w:t>
      </w:r>
      <w:r w:rsidRPr="00021109">
        <w:rPr>
          <w:rFonts w:asciiTheme="majorHAnsi" w:eastAsia="Times New Roman" w:hAnsiTheme="majorHAnsi" w:cstheme="majorHAnsi"/>
          <w:sz w:val="16"/>
          <w:szCs w:val="16"/>
          <w:lang w:val="ro-MD"/>
        </w:rPr>
        <w:t>Art.3 lit. c) din Legea BS pentru anul 2019, în BS au fost aprobate  pentru implementarea Strategiei de reformă a administrației publice</w:t>
      </w:r>
      <w:r w:rsidRPr="00021109">
        <w:rPr>
          <w:rStyle w:val="a8"/>
          <w:rFonts w:asciiTheme="majorHAnsi" w:eastAsia="Times New Roman" w:hAnsiTheme="majorHAnsi" w:cstheme="majorHAnsi"/>
          <w:sz w:val="16"/>
          <w:szCs w:val="16"/>
          <w:lang w:val="ro-MD"/>
        </w:rPr>
        <w:footnoteRef/>
      </w:r>
      <w:r w:rsidRPr="00021109">
        <w:rPr>
          <w:rFonts w:asciiTheme="majorHAnsi" w:eastAsia="Times New Roman" w:hAnsiTheme="majorHAnsi" w:cstheme="majorHAnsi"/>
          <w:sz w:val="16"/>
          <w:szCs w:val="16"/>
          <w:lang w:val="ro-MD"/>
        </w:rPr>
        <w:t xml:space="preserve"> (inclusiv cheltuieli de personal) în sumă de 140,0 mil. lei, la rectificare au fost micșorate cu 131,0 mil. lei (9,0 mil. lei).</w:t>
      </w:r>
    </w:p>
  </w:footnote>
  <w:footnote w:id="15">
    <w:p w:rsidR="00254AC0" w:rsidRPr="00021109" w:rsidRDefault="00254AC0" w:rsidP="00021109">
      <w:pPr>
        <w:spacing w:after="0" w:line="240" w:lineRule="auto"/>
        <w:jc w:val="both"/>
        <w:rPr>
          <w:rFonts w:asciiTheme="majorHAnsi" w:eastAsia="Times New Roman" w:hAnsiTheme="majorHAnsi" w:cstheme="majorHAnsi"/>
          <w:sz w:val="16"/>
          <w:szCs w:val="16"/>
          <w:lang w:val="ro-MD"/>
        </w:rPr>
      </w:pPr>
      <w:r w:rsidRPr="00021109">
        <w:rPr>
          <w:rStyle w:val="a8"/>
          <w:rFonts w:asciiTheme="majorHAnsi" w:hAnsiTheme="majorHAnsi" w:cstheme="majorHAnsi"/>
          <w:sz w:val="16"/>
          <w:szCs w:val="16"/>
        </w:rPr>
        <w:footnoteRef/>
      </w:r>
      <w:r w:rsidRPr="00021109">
        <w:rPr>
          <w:rFonts w:asciiTheme="majorHAnsi" w:hAnsiTheme="majorHAnsi" w:cstheme="majorHAnsi"/>
          <w:sz w:val="16"/>
          <w:szCs w:val="16"/>
        </w:rPr>
        <w:t xml:space="preserve"> </w:t>
      </w:r>
      <w:r w:rsidRPr="00021109">
        <w:rPr>
          <w:rFonts w:asciiTheme="majorHAnsi" w:eastAsia="Times New Roman" w:hAnsiTheme="majorHAnsi" w:cstheme="majorHAnsi"/>
          <w:sz w:val="16"/>
          <w:szCs w:val="16"/>
          <w:lang w:val="ro-MD"/>
        </w:rPr>
        <w:t>Strategia privind reforma administrației publice pentru anii 2016-2020 (HG nr.911 din 25.07.2016).</w:t>
      </w:r>
    </w:p>
  </w:footnote>
  <w:footnote w:id="16">
    <w:p w:rsidR="00254AC0" w:rsidRPr="00907321" w:rsidRDefault="00254AC0" w:rsidP="00021109">
      <w:pPr>
        <w:pStyle w:val="a6"/>
        <w:jc w:val="both"/>
        <w:rPr>
          <w:rFonts w:asciiTheme="majorHAnsi" w:hAnsiTheme="majorHAnsi" w:cstheme="majorHAnsi"/>
          <w:sz w:val="16"/>
          <w:szCs w:val="16"/>
          <w:lang w:val="ro-MD"/>
        </w:rPr>
      </w:pPr>
      <w:r w:rsidRPr="00021109">
        <w:rPr>
          <w:rStyle w:val="a8"/>
          <w:rFonts w:asciiTheme="majorHAnsi" w:hAnsiTheme="majorHAnsi" w:cstheme="majorHAnsi"/>
          <w:sz w:val="16"/>
          <w:szCs w:val="16"/>
          <w:lang w:val="ro-MD"/>
        </w:rPr>
        <w:footnoteRef/>
      </w:r>
      <w:r w:rsidRPr="00021109">
        <w:rPr>
          <w:rFonts w:asciiTheme="majorHAnsi" w:hAnsiTheme="majorHAnsi" w:cstheme="majorHAnsi"/>
          <w:sz w:val="16"/>
          <w:szCs w:val="16"/>
          <w:lang w:val="ro-MD"/>
        </w:rPr>
        <w:t xml:space="preserve"> HG nr.27 din 18.01.2019 Cu privire la repartizarea mijloacelor financiare”.</w:t>
      </w:r>
    </w:p>
  </w:footnote>
  <w:footnote w:id="17">
    <w:p w:rsidR="00254AC0" w:rsidRPr="001646B2" w:rsidRDefault="00254AC0" w:rsidP="00254AC0">
      <w:pPr>
        <w:pStyle w:val="a6"/>
        <w:jc w:val="both"/>
        <w:rPr>
          <w:rFonts w:asciiTheme="majorHAnsi" w:hAnsiTheme="majorHAnsi" w:cstheme="majorHAnsi"/>
          <w:sz w:val="16"/>
          <w:szCs w:val="16"/>
          <w:lang w:val="ro-RO"/>
        </w:rPr>
      </w:pPr>
      <w:r w:rsidRPr="009921A2">
        <w:rPr>
          <w:rStyle w:val="a8"/>
          <w:rFonts w:asciiTheme="majorHAnsi" w:hAnsiTheme="majorHAnsi" w:cstheme="majorHAnsi"/>
          <w:sz w:val="16"/>
          <w:szCs w:val="16"/>
          <w:lang w:val="ro-RO"/>
        </w:rPr>
        <w:footnoteRef/>
      </w:r>
      <w:r w:rsidRPr="001646B2">
        <w:rPr>
          <w:rFonts w:asciiTheme="majorHAnsi" w:hAnsiTheme="majorHAnsi" w:cstheme="majorHAnsi"/>
          <w:sz w:val="16"/>
          <w:szCs w:val="16"/>
          <w:lang w:val="ro-RO"/>
        </w:rPr>
        <w:t xml:space="preserve"> </w:t>
      </w:r>
      <w:r>
        <w:rPr>
          <w:rFonts w:asciiTheme="majorHAnsi" w:hAnsiTheme="majorHAnsi" w:cstheme="majorHAnsi"/>
          <w:sz w:val="16"/>
          <w:szCs w:val="16"/>
          <w:lang w:val="ro-RO"/>
        </w:rPr>
        <w:t>Conform a</w:t>
      </w:r>
      <w:r w:rsidRPr="001646B2">
        <w:rPr>
          <w:rFonts w:asciiTheme="majorHAnsi" w:hAnsiTheme="majorHAnsi" w:cstheme="majorHAnsi"/>
          <w:sz w:val="16"/>
          <w:szCs w:val="16"/>
          <w:lang w:val="ro-RO"/>
        </w:rPr>
        <w:t>rt.30 din Legea nr.181 din 25.07.2014</w:t>
      </w:r>
      <w:r>
        <w:rPr>
          <w:rFonts w:asciiTheme="majorHAnsi" w:hAnsiTheme="majorHAnsi" w:cstheme="majorHAnsi"/>
          <w:sz w:val="16"/>
          <w:szCs w:val="16"/>
          <w:lang w:val="ro-RO"/>
        </w:rPr>
        <w:t>,</w:t>
      </w:r>
      <w:r w:rsidRPr="009921A2">
        <w:rPr>
          <w:rFonts w:asciiTheme="majorHAnsi" w:hAnsiTheme="majorHAnsi" w:cstheme="majorHAnsi"/>
          <w:i/>
          <w:sz w:val="16"/>
          <w:szCs w:val="16"/>
          <w:lang w:val="ro-RO"/>
        </w:rPr>
        <w:t xml:space="preserve"> „</w:t>
      </w:r>
      <w:r w:rsidRPr="001646B2">
        <w:rPr>
          <w:rFonts w:asciiTheme="majorHAnsi" w:hAnsiTheme="majorHAnsi" w:cstheme="majorHAnsi"/>
          <w:sz w:val="16"/>
          <w:szCs w:val="16"/>
          <w:lang w:val="ro-RO"/>
        </w:rPr>
        <w:t>sursele de finanțare a bugetului sunt operațiuni cu instrumente ale datoriei; operațiuni aferente vânzării și privatizării patrimoniului public; operațiuni cu soldurile în conturile bugetului; alte operațiuni cu activele financiare și cu datoriile bugetului”.</w:t>
      </w:r>
    </w:p>
  </w:footnote>
  <w:footnote w:id="18">
    <w:p w:rsidR="00254AC0" w:rsidRPr="00420A5B" w:rsidRDefault="00254AC0" w:rsidP="00254AC0">
      <w:pPr>
        <w:pStyle w:val="a6"/>
        <w:jc w:val="both"/>
        <w:rPr>
          <w:rFonts w:asciiTheme="majorHAnsi" w:hAnsiTheme="majorHAnsi" w:cstheme="majorHAnsi"/>
          <w:sz w:val="16"/>
          <w:szCs w:val="16"/>
          <w:lang w:val="ro-MD"/>
        </w:rPr>
      </w:pPr>
      <w:r w:rsidRPr="00895D0F">
        <w:rPr>
          <w:rStyle w:val="a8"/>
          <w:rFonts w:asciiTheme="majorHAnsi" w:hAnsiTheme="majorHAnsi" w:cstheme="majorHAnsi"/>
          <w:sz w:val="16"/>
          <w:szCs w:val="16"/>
          <w:lang w:val="ro-MD"/>
        </w:rPr>
        <w:footnoteRef/>
      </w:r>
      <w:r w:rsidRPr="00895D0F">
        <w:rPr>
          <w:rFonts w:asciiTheme="majorHAnsi" w:hAnsiTheme="majorHAnsi" w:cstheme="majorHAnsi"/>
          <w:sz w:val="16"/>
          <w:szCs w:val="16"/>
          <w:lang w:val="ro-MD"/>
        </w:rPr>
        <w:t xml:space="preserve"> </w:t>
      </w:r>
      <w:r w:rsidRPr="00895D0F">
        <w:rPr>
          <w:rFonts w:asciiTheme="majorHAnsi" w:eastAsia="Times New Roman" w:hAnsiTheme="majorHAnsi" w:cstheme="majorHAnsi"/>
          <w:sz w:val="16"/>
          <w:szCs w:val="16"/>
          <w:lang w:val="ro-MD"/>
        </w:rPr>
        <w:t xml:space="preserve">HG nr.51 din 30.01.2019 </w:t>
      </w:r>
      <w:r>
        <w:rPr>
          <w:rFonts w:asciiTheme="majorHAnsi" w:eastAsia="Times New Roman" w:hAnsiTheme="majorHAnsi" w:cstheme="majorHAnsi"/>
          <w:sz w:val="16"/>
          <w:szCs w:val="16"/>
          <w:lang w:val="ro-MD"/>
        </w:rPr>
        <w:t>„C</w:t>
      </w:r>
      <w:r w:rsidRPr="00895D0F">
        <w:rPr>
          <w:rFonts w:asciiTheme="majorHAnsi" w:eastAsia="Times New Roman" w:hAnsiTheme="majorHAnsi" w:cstheme="majorHAnsi"/>
          <w:sz w:val="16"/>
          <w:szCs w:val="16"/>
          <w:lang w:val="ro-MD"/>
        </w:rPr>
        <w:t>u privire la cumpărarea și deetatizarea acțiunilor nou-emise de banca de importanță sistemică B.C. „Moldindconbank” S.A.”</w:t>
      </w:r>
      <w:r>
        <w:rPr>
          <w:rFonts w:asciiTheme="majorHAnsi" w:eastAsia="Times New Roman" w:hAnsiTheme="majorHAnsi" w:cstheme="majorHAnsi"/>
          <w:sz w:val="16"/>
          <w:szCs w:val="16"/>
          <w:lang w:val="ro-MD"/>
        </w:rPr>
        <w:t>.</w:t>
      </w:r>
    </w:p>
  </w:footnote>
  <w:footnote w:id="19">
    <w:p w:rsidR="00254AC0" w:rsidRPr="00D5617D" w:rsidRDefault="00254AC0" w:rsidP="00254AC0">
      <w:pPr>
        <w:pStyle w:val="a6"/>
        <w:jc w:val="both"/>
        <w:rPr>
          <w:rFonts w:asciiTheme="majorHAnsi" w:hAnsiTheme="majorHAnsi" w:cstheme="majorHAnsi"/>
          <w:sz w:val="16"/>
          <w:szCs w:val="16"/>
          <w:lang w:val="ro-MD"/>
        </w:rPr>
      </w:pPr>
      <w:r w:rsidRPr="00D5617D">
        <w:rPr>
          <w:rStyle w:val="a8"/>
          <w:rFonts w:asciiTheme="majorHAnsi" w:hAnsiTheme="majorHAnsi" w:cstheme="majorHAnsi"/>
          <w:sz w:val="16"/>
          <w:szCs w:val="16"/>
          <w:lang w:val="ro-MD"/>
        </w:rPr>
        <w:footnoteRef/>
      </w:r>
      <w:r w:rsidRPr="00D5617D">
        <w:rPr>
          <w:rFonts w:asciiTheme="majorHAnsi" w:hAnsiTheme="majorHAnsi" w:cstheme="majorHAnsi"/>
          <w:sz w:val="16"/>
          <w:szCs w:val="16"/>
          <w:lang w:val="ro-MD"/>
        </w:rPr>
        <w:t xml:space="preserve"> Din contul împrumutului acordat de Banca Europeană de Investiții în cadrul Proiectului de achiziție a locomotivelor și de restructurare a infrastructurii feroviare.</w:t>
      </w:r>
    </w:p>
  </w:footnote>
  <w:footnote w:id="20">
    <w:p w:rsidR="00254AC0" w:rsidRPr="000E0C85" w:rsidRDefault="00254AC0" w:rsidP="009B1C89">
      <w:pPr>
        <w:pStyle w:val="a6"/>
        <w:jc w:val="both"/>
        <w:rPr>
          <w:rFonts w:asciiTheme="majorHAnsi" w:hAnsiTheme="majorHAnsi" w:cstheme="majorHAnsi"/>
          <w:sz w:val="16"/>
          <w:szCs w:val="16"/>
          <w:lang w:val="ro-MD"/>
        </w:rPr>
      </w:pPr>
      <w:r w:rsidRPr="0028017D">
        <w:rPr>
          <w:rStyle w:val="a8"/>
          <w:rFonts w:asciiTheme="majorHAnsi" w:hAnsiTheme="majorHAnsi" w:cstheme="majorHAnsi"/>
          <w:sz w:val="16"/>
          <w:szCs w:val="16"/>
          <w:lang w:val="ro-MD"/>
        </w:rPr>
        <w:footnoteRef/>
      </w:r>
      <w:r w:rsidRPr="0028017D">
        <w:rPr>
          <w:rFonts w:asciiTheme="majorHAnsi" w:hAnsiTheme="majorHAnsi" w:cstheme="majorHAnsi"/>
          <w:sz w:val="16"/>
          <w:szCs w:val="16"/>
          <w:lang w:val="ro-MD"/>
        </w:rPr>
        <w:t xml:space="preserve"> Pct. 10 din HG nr.407 din 25.04.2018 „</w:t>
      </w:r>
      <w:r>
        <w:rPr>
          <w:rFonts w:asciiTheme="majorHAnsi" w:hAnsiTheme="majorHAnsi" w:cstheme="majorHAnsi"/>
          <w:sz w:val="16"/>
          <w:szCs w:val="16"/>
          <w:lang w:val="ro-MD"/>
        </w:rPr>
        <w:t>C</w:t>
      </w:r>
      <w:r w:rsidRPr="0028017D">
        <w:rPr>
          <w:rFonts w:asciiTheme="majorHAnsi" w:hAnsiTheme="majorHAnsi" w:cstheme="majorHAnsi"/>
          <w:sz w:val="16"/>
          <w:szCs w:val="16"/>
          <w:lang w:val="ro-MD"/>
        </w:rPr>
        <w:t>u privire la aprobarea obiectivelor și condițiilor parteneriatului public-privat pentru proiectarea și construcția arenei polivalente de interes național, precum și a cerințelor generale la selectarea partenerului privat”. Solicitarea nr.08/2-09/1446 din 21.03.2019, ordinul de plată nr.1 din 08.04.2019.</w:t>
      </w:r>
    </w:p>
  </w:footnote>
  <w:footnote w:id="21">
    <w:p w:rsidR="00254AC0" w:rsidRPr="009921A2" w:rsidRDefault="00254AC0" w:rsidP="009B1C89">
      <w:pPr>
        <w:pStyle w:val="a6"/>
        <w:jc w:val="both"/>
        <w:rPr>
          <w:rFonts w:asciiTheme="majorHAnsi" w:hAnsiTheme="majorHAnsi" w:cstheme="majorHAnsi"/>
        </w:rPr>
      </w:pPr>
      <w:r w:rsidRPr="009921A2">
        <w:rPr>
          <w:rStyle w:val="a8"/>
          <w:rFonts w:asciiTheme="majorHAnsi" w:hAnsiTheme="majorHAnsi" w:cstheme="majorHAnsi"/>
          <w:sz w:val="16"/>
          <w:szCs w:val="16"/>
          <w:lang w:val="ro-MD"/>
        </w:rPr>
        <w:footnoteRef/>
      </w:r>
      <w:r w:rsidRPr="009921A2">
        <w:rPr>
          <w:rFonts w:asciiTheme="majorHAnsi" w:hAnsiTheme="majorHAnsi" w:cstheme="majorHAnsi"/>
          <w:sz w:val="16"/>
          <w:szCs w:val="16"/>
          <w:lang w:val="ro-MD"/>
        </w:rPr>
        <w:t xml:space="preserve"> </w:t>
      </w:r>
      <w:r w:rsidRPr="0028017D">
        <w:rPr>
          <w:rFonts w:asciiTheme="majorHAnsi" w:hAnsiTheme="majorHAnsi" w:cstheme="majorHAnsi"/>
          <w:color w:val="000000"/>
          <w:sz w:val="16"/>
          <w:szCs w:val="16"/>
          <w:lang w:val="ro-MD"/>
        </w:rPr>
        <w:t>Conform Legii nr.48/2017 privind Agenția de Recuperare a Bunurilor Infracționale și HG nr.</w:t>
      </w:r>
      <w:r w:rsidRPr="000E0C85">
        <w:rPr>
          <w:rFonts w:asciiTheme="majorHAnsi" w:hAnsiTheme="majorHAnsi" w:cstheme="majorHAnsi"/>
          <w:color w:val="000000"/>
          <w:sz w:val="16"/>
          <w:szCs w:val="16"/>
          <w:lang w:val="ro-MD"/>
        </w:rPr>
        <w:t xml:space="preserve">684/2018 </w:t>
      </w:r>
      <w:r>
        <w:rPr>
          <w:rFonts w:asciiTheme="majorHAnsi" w:hAnsiTheme="majorHAnsi" w:cstheme="majorHAnsi"/>
          <w:color w:val="000000"/>
          <w:sz w:val="16"/>
          <w:szCs w:val="16"/>
          <w:lang w:val="ro-MD"/>
        </w:rPr>
        <w:t>„P</w:t>
      </w:r>
      <w:r w:rsidRPr="000E0C85">
        <w:rPr>
          <w:rFonts w:asciiTheme="majorHAnsi" w:hAnsiTheme="majorHAnsi" w:cstheme="majorHAnsi"/>
          <w:color w:val="000000"/>
          <w:sz w:val="16"/>
          <w:szCs w:val="16"/>
          <w:lang w:val="ro-MD"/>
        </w:rPr>
        <w:t>entru aprobarea Regulamentului cu privire la evaluarea, administrarea și valorificarea bunurilor infracționale (sechestrate)</w:t>
      </w:r>
      <w:r>
        <w:rPr>
          <w:rFonts w:asciiTheme="majorHAnsi" w:hAnsiTheme="majorHAnsi" w:cstheme="majorHAnsi"/>
          <w:color w:val="000000"/>
          <w:sz w:val="16"/>
          <w:szCs w:val="16"/>
          <w:lang w:val="ro-MD"/>
        </w:rPr>
        <w:t>”</w:t>
      </w:r>
      <w:r w:rsidRPr="000E0C85">
        <w:rPr>
          <w:rFonts w:asciiTheme="majorHAnsi" w:hAnsiTheme="majorHAnsi" w:cstheme="majorHAnsi"/>
          <w:color w:val="000000"/>
          <w:sz w:val="16"/>
          <w:szCs w:val="16"/>
          <w:lang w:val="ro-MD"/>
        </w:rPr>
        <w:t>.</w:t>
      </w:r>
    </w:p>
  </w:footnote>
  <w:footnote w:id="22">
    <w:p w:rsidR="00254AC0" w:rsidRPr="00792026" w:rsidRDefault="00254AC0" w:rsidP="009B1C89">
      <w:pPr>
        <w:pStyle w:val="a6"/>
        <w:jc w:val="both"/>
        <w:rPr>
          <w:rFonts w:asciiTheme="majorHAnsi" w:hAnsiTheme="majorHAnsi" w:cstheme="majorHAnsi"/>
          <w:sz w:val="16"/>
          <w:szCs w:val="16"/>
          <w:lang w:val="ro-MD"/>
        </w:rPr>
      </w:pPr>
      <w:r w:rsidRPr="0028017D">
        <w:rPr>
          <w:rStyle w:val="a8"/>
          <w:rFonts w:asciiTheme="majorHAnsi" w:hAnsiTheme="majorHAnsi" w:cstheme="majorHAnsi"/>
          <w:sz w:val="16"/>
          <w:szCs w:val="16"/>
          <w:lang w:val="ro-MD"/>
        </w:rPr>
        <w:footnoteRef/>
      </w:r>
      <w:r w:rsidRPr="0028017D">
        <w:rPr>
          <w:rFonts w:asciiTheme="majorHAnsi" w:hAnsiTheme="majorHAnsi" w:cstheme="majorHAnsi"/>
          <w:sz w:val="16"/>
          <w:szCs w:val="16"/>
          <w:lang w:val="ro-MD"/>
        </w:rPr>
        <w:t xml:space="preserve"> </w:t>
      </w:r>
      <w:r w:rsidRPr="0028017D">
        <w:rPr>
          <w:rFonts w:asciiTheme="majorHAnsi" w:hAnsiTheme="majorHAnsi" w:cstheme="majorHAnsi"/>
          <w:b/>
          <w:sz w:val="16"/>
          <w:szCs w:val="16"/>
          <w:lang w:val="ro-MD"/>
        </w:rPr>
        <w:t>Notă:</w:t>
      </w:r>
      <w:r w:rsidRPr="000E0C85">
        <w:rPr>
          <w:rFonts w:asciiTheme="majorHAnsi" w:hAnsiTheme="majorHAnsi" w:cstheme="majorHAnsi"/>
          <w:sz w:val="16"/>
          <w:szCs w:val="16"/>
          <w:lang w:val="ro-MD"/>
        </w:rPr>
        <w:t xml:space="preserve"> Pe parcursul misiunii de audit în Raportul privind executarea BS în anul 2019 (nota narativă) a fost corectat soldul mijloacelor</w:t>
      </w:r>
      <w:r w:rsidRPr="00792026">
        <w:rPr>
          <w:rFonts w:asciiTheme="majorHAnsi" w:hAnsiTheme="majorHAnsi" w:cstheme="majorHAnsi"/>
          <w:sz w:val="16"/>
          <w:szCs w:val="16"/>
          <w:lang w:val="ro-MD"/>
        </w:rPr>
        <w:t xml:space="preserve"> bănești reflectat eronat.</w:t>
      </w:r>
    </w:p>
  </w:footnote>
  <w:footnote w:id="23">
    <w:p w:rsidR="009F634F" w:rsidRPr="00F87C95" w:rsidRDefault="009F634F" w:rsidP="009F634F">
      <w:pPr>
        <w:pStyle w:val="a6"/>
        <w:jc w:val="both"/>
        <w:rPr>
          <w:rFonts w:asciiTheme="majorHAnsi" w:hAnsiTheme="majorHAnsi" w:cstheme="majorHAnsi"/>
          <w:sz w:val="16"/>
          <w:szCs w:val="16"/>
          <w:lang w:val="ro-MD"/>
        </w:rPr>
      </w:pPr>
      <w:r w:rsidRPr="00AF7FF2">
        <w:rPr>
          <w:rStyle w:val="a8"/>
          <w:rFonts w:asciiTheme="majorHAnsi" w:hAnsiTheme="majorHAnsi" w:cstheme="majorHAnsi"/>
          <w:sz w:val="16"/>
          <w:szCs w:val="16"/>
          <w:lang w:val="ro-MD"/>
        </w:rPr>
        <w:footnoteRef/>
      </w:r>
      <w:r w:rsidRPr="00AF7FF2">
        <w:rPr>
          <w:rFonts w:asciiTheme="majorHAnsi" w:hAnsiTheme="majorHAnsi" w:cstheme="majorHAnsi"/>
          <w:sz w:val="16"/>
          <w:szCs w:val="16"/>
          <w:lang w:val="ro-MD"/>
        </w:rPr>
        <w:t xml:space="preserve"> </w:t>
      </w:r>
      <w:r w:rsidRPr="00F87C95">
        <w:rPr>
          <w:rFonts w:asciiTheme="majorHAnsi" w:hAnsiTheme="majorHAnsi" w:cstheme="majorHAnsi"/>
          <w:sz w:val="16"/>
          <w:szCs w:val="16"/>
          <w:lang w:val="ro-MD"/>
        </w:rPr>
        <w:t>Legea nr.178 din 26.07.2018 cu privire la modificarea unor acte legislative</w:t>
      </w:r>
      <w:r w:rsidRPr="003835BD">
        <w:rPr>
          <w:rFonts w:asciiTheme="majorHAnsi" w:hAnsiTheme="majorHAnsi" w:cstheme="majorHAnsi"/>
          <w:sz w:val="16"/>
          <w:szCs w:val="16"/>
          <w:lang w:val="ro-MD"/>
        </w:rPr>
        <w:t xml:space="preserve"> (în vigoare din 1 octombrie 2018)</w:t>
      </w:r>
      <w:r>
        <w:rPr>
          <w:rFonts w:asciiTheme="majorHAnsi" w:hAnsiTheme="majorHAnsi" w:cstheme="majorHAnsi"/>
          <w:sz w:val="16"/>
          <w:szCs w:val="16"/>
          <w:lang w:val="ro-MD"/>
        </w:rPr>
        <w:t>.</w:t>
      </w:r>
    </w:p>
  </w:footnote>
  <w:footnote w:id="24">
    <w:p w:rsidR="009F634F" w:rsidRPr="00F87C95" w:rsidRDefault="009F634F" w:rsidP="009F634F">
      <w:pPr>
        <w:pStyle w:val="a6"/>
        <w:jc w:val="both"/>
        <w:rPr>
          <w:rFonts w:asciiTheme="majorHAnsi" w:hAnsiTheme="majorHAnsi" w:cstheme="majorHAnsi"/>
          <w:sz w:val="16"/>
          <w:szCs w:val="16"/>
          <w:lang w:val="ro-MD"/>
        </w:rPr>
      </w:pPr>
      <w:r w:rsidRPr="00AF7FF2">
        <w:rPr>
          <w:rStyle w:val="a8"/>
          <w:rFonts w:asciiTheme="majorHAnsi" w:hAnsiTheme="majorHAnsi" w:cstheme="majorHAnsi"/>
          <w:sz w:val="16"/>
          <w:szCs w:val="16"/>
          <w:lang w:val="ro-MD"/>
        </w:rPr>
        <w:footnoteRef/>
      </w:r>
      <w:r w:rsidRPr="00AF7FF2">
        <w:rPr>
          <w:rFonts w:asciiTheme="majorHAnsi" w:hAnsiTheme="majorHAnsi" w:cstheme="majorHAnsi"/>
          <w:sz w:val="16"/>
          <w:szCs w:val="16"/>
          <w:lang w:val="ro-MD"/>
        </w:rPr>
        <w:t xml:space="preserve"> </w:t>
      </w:r>
      <w:r w:rsidRPr="00F87C95">
        <w:rPr>
          <w:rFonts w:asciiTheme="majorHAnsi" w:hAnsiTheme="majorHAnsi" w:cstheme="majorHAnsi"/>
          <w:sz w:val="16"/>
          <w:szCs w:val="16"/>
          <w:lang w:val="ro-MD"/>
        </w:rPr>
        <w:t>Legea nr.288 din 15.12.2017 cu privire la modificarea și completarea unor acte legislative</w:t>
      </w:r>
      <w:r>
        <w:rPr>
          <w:rFonts w:asciiTheme="majorHAnsi" w:hAnsiTheme="majorHAnsi" w:cstheme="majorHAnsi"/>
          <w:sz w:val="16"/>
          <w:szCs w:val="16"/>
          <w:lang w:val="ro-MD"/>
        </w:rPr>
        <w:t>.</w:t>
      </w:r>
    </w:p>
  </w:footnote>
  <w:footnote w:id="25">
    <w:p w:rsidR="009F634F" w:rsidRPr="008B4CA8" w:rsidRDefault="009F634F" w:rsidP="009F634F">
      <w:pPr>
        <w:pStyle w:val="a6"/>
        <w:rPr>
          <w:rFonts w:asciiTheme="majorHAnsi" w:hAnsiTheme="majorHAnsi" w:cstheme="majorHAnsi"/>
          <w:sz w:val="18"/>
          <w:szCs w:val="18"/>
          <w:lang w:val="ro-MD"/>
        </w:rPr>
      </w:pPr>
      <w:r w:rsidRPr="00672E87">
        <w:rPr>
          <w:rStyle w:val="a8"/>
          <w:rFonts w:asciiTheme="majorHAnsi" w:hAnsiTheme="majorHAnsi" w:cstheme="majorHAnsi"/>
          <w:sz w:val="16"/>
          <w:szCs w:val="16"/>
          <w:lang w:val="ro-MD"/>
        </w:rPr>
        <w:footnoteRef/>
      </w:r>
      <w:r w:rsidRPr="00672E87">
        <w:rPr>
          <w:rFonts w:asciiTheme="majorHAnsi" w:hAnsiTheme="majorHAnsi" w:cstheme="majorHAnsi"/>
          <w:sz w:val="16"/>
          <w:szCs w:val="16"/>
          <w:lang w:val="ro-MD"/>
        </w:rPr>
        <w:t xml:space="preserve"> Legea nr.139 din 19.07.2018 cu privire la eficiența energetică.</w:t>
      </w:r>
    </w:p>
  </w:footnote>
  <w:footnote w:id="26">
    <w:p w:rsidR="009F634F" w:rsidRPr="00815B7D" w:rsidRDefault="009F634F" w:rsidP="009F634F">
      <w:pPr>
        <w:pStyle w:val="a6"/>
        <w:jc w:val="both"/>
        <w:rPr>
          <w:rFonts w:asciiTheme="majorHAnsi" w:hAnsiTheme="majorHAnsi" w:cstheme="majorHAnsi"/>
          <w:sz w:val="16"/>
          <w:szCs w:val="16"/>
          <w:lang w:val="ro-MD"/>
        </w:rPr>
      </w:pPr>
      <w:r w:rsidRPr="00815B7D">
        <w:rPr>
          <w:rStyle w:val="a8"/>
          <w:rFonts w:asciiTheme="majorHAnsi" w:hAnsiTheme="majorHAnsi" w:cstheme="majorHAnsi"/>
          <w:sz w:val="16"/>
          <w:szCs w:val="16"/>
          <w:lang w:val="ro-MD"/>
        </w:rPr>
        <w:footnoteRef/>
      </w:r>
      <w:r w:rsidRPr="00815B7D">
        <w:rPr>
          <w:rFonts w:asciiTheme="majorHAnsi" w:hAnsiTheme="majorHAnsi" w:cstheme="majorHAnsi"/>
          <w:sz w:val="16"/>
          <w:szCs w:val="16"/>
          <w:lang w:val="ro-MD"/>
        </w:rPr>
        <w:t xml:space="preserve"> Pct.3.9.1 din Normele metodologice privind executarea de casă a bugetelor componente ale bugetului public național prin sistemul trezorerial al Ministerului Finanțelor, aprobate prin Ordinul ministrului finanțelor nr.215 din 28.12.2015</w:t>
      </w:r>
      <w:r>
        <w:rPr>
          <w:rFonts w:asciiTheme="majorHAnsi" w:hAnsiTheme="majorHAnsi" w:cstheme="majorHAnsi"/>
          <w:sz w:val="16"/>
          <w:szCs w:val="16"/>
          <w:lang w:val="ro-MD"/>
        </w:rPr>
        <w:t>:</w:t>
      </w:r>
      <w:r w:rsidRPr="00815B7D">
        <w:rPr>
          <w:rFonts w:asciiTheme="majorHAnsi" w:hAnsiTheme="majorHAnsi" w:cstheme="majorHAnsi"/>
          <w:sz w:val="16"/>
          <w:szCs w:val="16"/>
          <w:lang w:val="ro-MD"/>
        </w:rPr>
        <w:t xml:space="preserve"> </w:t>
      </w:r>
      <w:r>
        <w:rPr>
          <w:rFonts w:asciiTheme="majorHAnsi" w:hAnsiTheme="majorHAnsi" w:cstheme="majorHAnsi"/>
          <w:i/>
          <w:sz w:val="16"/>
          <w:szCs w:val="16"/>
          <w:lang w:val="ro-MD"/>
        </w:rPr>
        <w:t>„</w:t>
      </w:r>
      <w:r w:rsidRPr="00815B7D">
        <w:rPr>
          <w:rFonts w:asciiTheme="majorHAnsi" w:hAnsiTheme="majorHAnsi" w:cstheme="majorHAnsi"/>
          <w:i/>
          <w:sz w:val="16"/>
          <w:szCs w:val="16"/>
          <w:lang w:val="ro-MD"/>
        </w:rPr>
        <w:t>În scopul corectitudinii întocmirii rapoartelor lunare privind executarea bugetului de stat, Direcția Trezoreria de Stat şi Trezoreriile Regionale ale Ministerului Finanțelor prezintă administratorilor de venit în a zecea zi a lunii următoare perioadei de gestiune în format electronic scanat Registrul veniturilor bugetului de stat (Forma FI-006) semnat de persoanele împuternicite, cu aplicare ştampilei. Registrul menționat se perfectează cumulativ de la începutul anului.”</w:t>
      </w:r>
    </w:p>
  </w:footnote>
  <w:footnote w:id="27">
    <w:p w:rsidR="009F634F" w:rsidRPr="00AF7FF2" w:rsidRDefault="009F634F" w:rsidP="009F634F">
      <w:pPr>
        <w:pStyle w:val="a6"/>
        <w:jc w:val="both"/>
        <w:rPr>
          <w:lang w:val="ro-RO"/>
        </w:rPr>
      </w:pPr>
      <w:r w:rsidRPr="00AF7FF2">
        <w:rPr>
          <w:rStyle w:val="a8"/>
          <w:rFonts w:asciiTheme="majorHAnsi" w:hAnsiTheme="majorHAnsi" w:cstheme="majorHAnsi"/>
          <w:sz w:val="16"/>
          <w:szCs w:val="16"/>
        </w:rPr>
        <w:footnoteRef/>
      </w:r>
      <w:r w:rsidRPr="00AF7FF2">
        <w:rPr>
          <w:rFonts w:asciiTheme="majorHAnsi" w:hAnsiTheme="majorHAnsi" w:cstheme="majorHAnsi"/>
          <w:sz w:val="16"/>
          <w:szCs w:val="16"/>
          <w:lang w:val="ro-RO"/>
        </w:rPr>
        <w:t xml:space="preserve"> Art.2 din Legea nr.181 din 25.07.2014.</w:t>
      </w:r>
    </w:p>
  </w:footnote>
  <w:footnote w:id="28">
    <w:p w:rsidR="009F634F" w:rsidRPr="00AF7FF2" w:rsidRDefault="009F634F" w:rsidP="009F634F">
      <w:pPr>
        <w:pStyle w:val="a6"/>
        <w:jc w:val="both"/>
        <w:rPr>
          <w:rFonts w:asciiTheme="majorHAnsi" w:hAnsiTheme="majorHAnsi" w:cstheme="majorHAnsi"/>
          <w:sz w:val="16"/>
          <w:szCs w:val="16"/>
          <w:lang w:val="ro-RO"/>
        </w:rPr>
      </w:pPr>
      <w:r w:rsidRPr="00AF7FF2">
        <w:rPr>
          <w:rStyle w:val="a8"/>
          <w:rFonts w:asciiTheme="majorHAnsi" w:hAnsiTheme="majorHAnsi" w:cstheme="majorHAnsi"/>
          <w:sz w:val="16"/>
          <w:szCs w:val="16"/>
        </w:rPr>
        <w:footnoteRef/>
      </w:r>
      <w:r w:rsidRPr="00AF7FF2">
        <w:rPr>
          <w:rFonts w:asciiTheme="majorHAnsi" w:hAnsiTheme="majorHAnsi" w:cstheme="majorHAnsi"/>
          <w:sz w:val="16"/>
          <w:szCs w:val="16"/>
          <w:lang w:val="ro-RO"/>
        </w:rPr>
        <w:t xml:space="preserve"> Pct.3.9.1 din Normele metodologice privind executarea de casă a bugetelor componente ale bugetului public național prin sistemul trezorerial al Ministerului Finanțelor, aprobate prin Ordinul ministrului finanțelor nr.215 din 28.12.2015.</w:t>
      </w:r>
    </w:p>
  </w:footnote>
  <w:footnote w:id="29">
    <w:p w:rsidR="009F634F" w:rsidRPr="00F8179E" w:rsidRDefault="009F634F" w:rsidP="009F634F">
      <w:pPr>
        <w:pStyle w:val="a6"/>
        <w:jc w:val="both"/>
        <w:rPr>
          <w:rFonts w:asciiTheme="majorHAnsi" w:hAnsiTheme="majorHAnsi" w:cstheme="majorHAnsi"/>
          <w:sz w:val="16"/>
          <w:szCs w:val="16"/>
          <w:lang w:val="ro-MD"/>
        </w:rPr>
      </w:pPr>
      <w:r w:rsidRPr="00F8179E">
        <w:rPr>
          <w:rStyle w:val="a8"/>
          <w:rFonts w:asciiTheme="majorHAnsi" w:hAnsiTheme="majorHAnsi" w:cstheme="majorHAnsi"/>
          <w:sz w:val="16"/>
          <w:szCs w:val="16"/>
          <w:lang w:val="ro-MD"/>
        </w:rPr>
        <w:footnoteRef/>
      </w:r>
      <w:r w:rsidRPr="00F8179E">
        <w:rPr>
          <w:rFonts w:asciiTheme="majorHAnsi" w:hAnsiTheme="majorHAnsi" w:cstheme="majorHAnsi"/>
          <w:sz w:val="16"/>
          <w:szCs w:val="16"/>
          <w:lang w:val="ro-MD"/>
        </w:rPr>
        <w:t xml:space="preserve"> Organizația de Dezvoltare Industriala a Națiunilor Unite (UNIDO), Organizația internațională a Muncii, </w:t>
      </w:r>
      <w:r>
        <w:rPr>
          <w:rFonts w:asciiTheme="majorHAnsi" w:hAnsiTheme="majorHAnsi" w:cstheme="majorHAnsi"/>
          <w:sz w:val="16"/>
          <w:szCs w:val="16"/>
          <w:lang w:val="ro-MD"/>
        </w:rPr>
        <w:t>Banca Europeană</w:t>
      </w:r>
      <w:r w:rsidRPr="00F8179E">
        <w:rPr>
          <w:rFonts w:asciiTheme="majorHAnsi" w:hAnsiTheme="majorHAnsi" w:cstheme="majorHAnsi"/>
          <w:sz w:val="16"/>
          <w:szCs w:val="16"/>
          <w:lang w:val="ro-MD"/>
        </w:rPr>
        <w:t xml:space="preserve"> de Investiții, Fondul Global de Mediu, Guvernul Austriei</w:t>
      </w:r>
      <w:r>
        <w:rPr>
          <w:rFonts w:asciiTheme="majorHAnsi" w:hAnsiTheme="majorHAnsi" w:cstheme="majorHAnsi"/>
          <w:sz w:val="16"/>
          <w:szCs w:val="16"/>
          <w:lang w:val="ro-MD"/>
        </w:rPr>
        <w:t xml:space="preserve">, </w:t>
      </w:r>
      <w:r w:rsidRPr="00166BF7">
        <w:rPr>
          <w:rFonts w:asciiTheme="majorHAnsi" w:hAnsiTheme="majorHAnsi" w:cstheme="majorHAnsi"/>
          <w:sz w:val="16"/>
          <w:szCs w:val="16"/>
          <w:lang w:val="ro-MD"/>
        </w:rPr>
        <w:t>Corporația</w:t>
      </w:r>
      <w:r>
        <w:rPr>
          <w:rFonts w:asciiTheme="majorHAnsi" w:hAnsiTheme="majorHAnsi" w:cstheme="majorHAnsi"/>
          <w:sz w:val="16"/>
          <w:szCs w:val="16"/>
          <w:lang w:val="ro-MD"/>
        </w:rPr>
        <w:t xml:space="preserve"> Financiară Nordică</w:t>
      </w:r>
      <w:r w:rsidRPr="00166BF7">
        <w:rPr>
          <w:rFonts w:asciiTheme="majorHAnsi" w:hAnsiTheme="majorHAnsi" w:cstheme="majorHAnsi"/>
          <w:sz w:val="16"/>
          <w:szCs w:val="16"/>
          <w:lang w:val="ro-MD"/>
        </w:rPr>
        <w:t xml:space="preserve"> de Mediu (NEFCO)</w:t>
      </w:r>
      <w:r>
        <w:rPr>
          <w:rFonts w:asciiTheme="majorHAnsi" w:hAnsiTheme="majorHAnsi" w:cstheme="majorHAnsi"/>
          <w:sz w:val="16"/>
          <w:szCs w:val="16"/>
          <w:lang w:val="ro-MD"/>
        </w:rPr>
        <w:t>.</w:t>
      </w:r>
    </w:p>
  </w:footnote>
  <w:footnote w:id="30">
    <w:p w:rsidR="00E67099" w:rsidRPr="00206053" w:rsidRDefault="00E67099" w:rsidP="00E67099">
      <w:pPr>
        <w:pStyle w:val="a6"/>
        <w:rPr>
          <w:rFonts w:asciiTheme="majorHAnsi" w:hAnsiTheme="majorHAnsi" w:cstheme="majorHAnsi"/>
          <w:sz w:val="16"/>
          <w:szCs w:val="16"/>
          <w:lang w:val="ro-RO"/>
        </w:rPr>
      </w:pPr>
      <w:r w:rsidRPr="00206053">
        <w:rPr>
          <w:rStyle w:val="a8"/>
          <w:rFonts w:asciiTheme="majorHAnsi" w:hAnsiTheme="majorHAnsi" w:cstheme="majorHAnsi"/>
          <w:sz w:val="16"/>
          <w:szCs w:val="16"/>
          <w:lang w:val="ro-RO"/>
        </w:rPr>
        <w:footnoteRef/>
      </w:r>
      <w:r w:rsidRPr="00206053">
        <w:rPr>
          <w:rFonts w:asciiTheme="majorHAnsi" w:hAnsiTheme="majorHAnsi" w:cstheme="majorHAnsi"/>
          <w:sz w:val="16"/>
          <w:szCs w:val="16"/>
          <w:lang w:val="ro-RO"/>
        </w:rPr>
        <w:t xml:space="preserve"> Noțiunea </w:t>
      </w:r>
      <w:r w:rsidRPr="00206053">
        <w:rPr>
          <w:rFonts w:asciiTheme="majorHAnsi" w:hAnsiTheme="majorHAnsi" w:cstheme="majorHAnsi"/>
          <w:i/>
          <w:sz w:val="16"/>
          <w:szCs w:val="16"/>
          <w:lang w:val="ro-RO"/>
        </w:rPr>
        <w:t>cheltuieli</w:t>
      </w:r>
      <w:r w:rsidRPr="00206053">
        <w:rPr>
          <w:rFonts w:asciiTheme="majorHAnsi" w:hAnsiTheme="majorHAnsi" w:cstheme="majorHAnsi"/>
          <w:sz w:val="16"/>
          <w:szCs w:val="16"/>
          <w:lang w:val="ro-RO"/>
        </w:rPr>
        <w:t xml:space="preserve"> va include totalul CBE 2 „Cheltuieli” și CBE 3 „Active financiare”.</w:t>
      </w:r>
    </w:p>
  </w:footnote>
  <w:footnote w:id="31">
    <w:p w:rsidR="00E67099" w:rsidRPr="00220455" w:rsidRDefault="00E67099" w:rsidP="00E67099">
      <w:pPr>
        <w:pStyle w:val="a6"/>
        <w:jc w:val="both"/>
        <w:rPr>
          <w:rFonts w:asciiTheme="majorHAnsi" w:hAnsiTheme="majorHAnsi" w:cstheme="majorHAnsi"/>
          <w:sz w:val="16"/>
          <w:szCs w:val="16"/>
          <w:lang w:val="ro-RO"/>
        </w:rPr>
      </w:pPr>
      <w:r w:rsidRPr="00220455">
        <w:rPr>
          <w:rStyle w:val="a8"/>
          <w:rFonts w:asciiTheme="majorHAnsi" w:hAnsiTheme="majorHAnsi" w:cstheme="majorHAnsi"/>
          <w:sz w:val="16"/>
          <w:szCs w:val="16"/>
          <w:lang w:val="ro-RO"/>
        </w:rPr>
        <w:footnoteRef/>
      </w:r>
      <w:r w:rsidRPr="00220455">
        <w:rPr>
          <w:rFonts w:asciiTheme="majorHAnsi" w:hAnsiTheme="majorHAnsi" w:cstheme="majorHAnsi"/>
          <w:sz w:val="16"/>
          <w:szCs w:val="16"/>
          <w:lang w:val="ro-RO"/>
        </w:rPr>
        <w:t xml:space="preserve"> </w:t>
      </w:r>
      <w:r w:rsidRPr="00220455">
        <w:rPr>
          <w:rFonts w:asciiTheme="majorHAnsi" w:eastAsia="Times New Roman" w:hAnsiTheme="majorHAnsi" w:cstheme="majorHAnsi"/>
          <w:sz w:val="16"/>
          <w:szCs w:val="16"/>
          <w:lang w:val="ro-RO"/>
        </w:rPr>
        <w:t>Conform Ordinului MF nr.208 din 24.12.2015, granturile reprezintă transferuri nerambursabile de la un nivel al administrației publice la altul, către organizații internaționale sau către guvernele altor state, precum și din contul proiectelor finanțate din surse externe. Granturile sunt transferuri cu caracter voluntar și pot fi în formă de mijloace bănești, în natură sau în formă de anulare a obligațiilor comune între debitor și creditor, când se transferă datoria de la o instituție către alta.</w:t>
      </w:r>
    </w:p>
  </w:footnote>
  <w:footnote w:id="32">
    <w:p w:rsidR="00E67099" w:rsidRPr="00220455" w:rsidRDefault="00E67099" w:rsidP="00E67099">
      <w:pPr>
        <w:pStyle w:val="a6"/>
        <w:rPr>
          <w:rFonts w:asciiTheme="majorHAnsi" w:hAnsiTheme="majorHAnsi" w:cstheme="majorHAnsi"/>
          <w:sz w:val="16"/>
          <w:szCs w:val="16"/>
        </w:rPr>
      </w:pPr>
      <w:r w:rsidRPr="00220455">
        <w:rPr>
          <w:rStyle w:val="a8"/>
          <w:rFonts w:asciiTheme="majorHAnsi" w:hAnsiTheme="majorHAnsi" w:cstheme="majorHAnsi"/>
          <w:sz w:val="16"/>
          <w:szCs w:val="16"/>
          <w:lang w:val="ro-MD"/>
        </w:rPr>
        <w:footnoteRef/>
      </w:r>
      <w:r w:rsidRPr="00220455">
        <w:rPr>
          <w:rFonts w:asciiTheme="majorHAnsi" w:hAnsiTheme="majorHAnsi" w:cstheme="majorHAnsi"/>
          <w:sz w:val="16"/>
          <w:szCs w:val="16"/>
          <w:lang w:val="ro-MD"/>
        </w:rPr>
        <w:t xml:space="preserve"> Legea nr.270 din 23.11.2018 privind sistemul unitar de salarizare în sectorul bugetar.</w:t>
      </w:r>
    </w:p>
  </w:footnote>
  <w:footnote w:id="33">
    <w:p w:rsidR="00E67099" w:rsidRPr="008F6021" w:rsidRDefault="00E67099" w:rsidP="00E67099">
      <w:pPr>
        <w:pStyle w:val="a6"/>
        <w:rPr>
          <w:rFonts w:asciiTheme="majorHAnsi" w:hAnsiTheme="majorHAnsi" w:cstheme="majorHAnsi"/>
          <w:sz w:val="16"/>
          <w:szCs w:val="16"/>
          <w:lang w:val="ro-MD"/>
        </w:rPr>
      </w:pPr>
      <w:r w:rsidRPr="005D3E79">
        <w:rPr>
          <w:rStyle w:val="a8"/>
          <w:rFonts w:asciiTheme="majorHAnsi" w:hAnsiTheme="majorHAnsi" w:cstheme="majorHAnsi"/>
          <w:sz w:val="16"/>
          <w:szCs w:val="16"/>
          <w:lang w:val="ro-MD"/>
        </w:rPr>
        <w:footnoteRef/>
      </w:r>
      <w:r w:rsidRPr="005D3E79">
        <w:rPr>
          <w:rFonts w:asciiTheme="majorHAnsi" w:hAnsiTheme="majorHAnsi" w:cstheme="majorHAnsi"/>
          <w:sz w:val="16"/>
          <w:szCs w:val="16"/>
          <w:lang w:val="ro-MD"/>
        </w:rPr>
        <w:t xml:space="preserve"> Art.3</w:t>
      </w:r>
      <w:r w:rsidRPr="008F6021">
        <w:rPr>
          <w:rFonts w:asciiTheme="majorHAnsi" w:hAnsiTheme="majorHAnsi" w:cstheme="majorHAnsi"/>
          <w:sz w:val="16"/>
          <w:szCs w:val="16"/>
          <w:lang w:val="ro-MD"/>
        </w:rPr>
        <w:t xml:space="preserve"> lit. g) din Legea bugetului de stat pentru anul 2019.</w:t>
      </w:r>
    </w:p>
  </w:footnote>
  <w:footnote w:id="34">
    <w:p w:rsidR="00E67099" w:rsidRPr="008F6021" w:rsidRDefault="00E67099" w:rsidP="00E67099">
      <w:pPr>
        <w:pStyle w:val="a6"/>
        <w:rPr>
          <w:sz w:val="16"/>
          <w:szCs w:val="16"/>
          <w:lang w:val="ro-MD"/>
        </w:rPr>
      </w:pPr>
      <w:r w:rsidRPr="005D3E79">
        <w:rPr>
          <w:rStyle w:val="a8"/>
          <w:rFonts w:asciiTheme="majorHAnsi" w:hAnsiTheme="majorHAnsi" w:cstheme="majorHAnsi"/>
          <w:sz w:val="16"/>
          <w:szCs w:val="16"/>
        </w:rPr>
        <w:footnoteRef/>
      </w:r>
      <w:r w:rsidRPr="005D3E79">
        <w:rPr>
          <w:rFonts w:asciiTheme="majorHAnsi" w:hAnsiTheme="majorHAnsi" w:cstheme="majorHAnsi"/>
          <w:sz w:val="16"/>
          <w:szCs w:val="16"/>
        </w:rPr>
        <w:t xml:space="preserve"> </w:t>
      </w:r>
      <w:r w:rsidRPr="005D3E79">
        <w:rPr>
          <w:rFonts w:asciiTheme="majorHAnsi" w:hAnsiTheme="majorHAnsi" w:cstheme="majorHAnsi"/>
          <w:sz w:val="16"/>
          <w:szCs w:val="16"/>
          <w:lang w:val="ro-MD"/>
        </w:rPr>
        <w:t>Art.3 lit. a) din Legea bugetului de stat pentru anul 2019.</w:t>
      </w:r>
    </w:p>
  </w:footnote>
  <w:footnote w:id="35">
    <w:p w:rsidR="00E67099" w:rsidRPr="005137A8" w:rsidRDefault="00E67099" w:rsidP="00E67099">
      <w:pPr>
        <w:pStyle w:val="a6"/>
        <w:rPr>
          <w:rFonts w:asciiTheme="majorHAnsi" w:hAnsiTheme="majorHAnsi" w:cstheme="majorHAnsi"/>
          <w:sz w:val="16"/>
          <w:szCs w:val="16"/>
          <w:lang w:val="ro-MD"/>
        </w:rPr>
      </w:pPr>
      <w:r w:rsidRPr="005918ED">
        <w:rPr>
          <w:rStyle w:val="a8"/>
          <w:rFonts w:asciiTheme="majorHAnsi" w:hAnsiTheme="majorHAnsi" w:cstheme="majorHAnsi"/>
          <w:sz w:val="16"/>
          <w:szCs w:val="16"/>
          <w:lang w:val="ro-MD"/>
        </w:rPr>
        <w:footnoteRef/>
      </w:r>
      <w:r w:rsidRPr="005918ED">
        <w:rPr>
          <w:rFonts w:asciiTheme="majorHAnsi" w:hAnsiTheme="majorHAnsi" w:cstheme="majorHAnsi"/>
          <w:sz w:val="16"/>
          <w:szCs w:val="16"/>
          <w:lang w:val="ro-MD"/>
        </w:rPr>
        <w:t xml:space="preserve"> Inițial aprobat transferuri la BASS – 8 575,3 mil. </w:t>
      </w:r>
      <w:r>
        <w:rPr>
          <w:rFonts w:asciiTheme="majorHAnsi" w:hAnsiTheme="majorHAnsi" w:cstheme="majorHAnsi"/>
          <w:sz w:val="16"/>
          <w:szCs w:val="16"/>
          <w:lang w:val="ro-MD"/>
        </w:rPr>
        <w:t>lei</w:t>
      </w:r>
      <w:r w:rsidRPr="005918ED">
        <w:rPr>
          <w:rFonts w:asciiTheme="majorHAnsi" w:hAnsiTheme="majorHAnsi" w:cstheme="majorHAnsi"/>
          <w:sz w:val="16"/>
          <w:szCs w:val="16"/>
          <w:lang w:val="ro-MD"/>
        </w:rPr>
        <w:t xml:space="preserve">, la 11.03.2019 rectificat transferuri la BASS – 8 880,7 mil. </w:t>
      </w:r>
      <w:r>
        <w:rPr>
          <w:rFonts w:asciiTheme="majorHAnsi" w:hAnsiTheme="majorHAnsi" w:cstheme="majorHAnsi"/>
          <w:sz w:val="16"/>
          <w:szCs w:val="16"/>
          <w:lang w:val="ro-MD"/>
        </w:rPr>
        <w:t>lei</w:t>
      </w:r>
      <w:r w:rsidRPr="005918ED">
        <w:rPr>
          <w:rFonts w:asciiTheme="majorHAnsi" w:hAnsiTheme="majorHAnsi" w:cstheme="majorHAnsi"/>
          <w:sz w:val="16"/>
          <w:szCs w:val="16"/>
          <w:lang w:val="ro-MD"/>
        </w:rPr>
        <w:t>.</w:t>
      </w:r>
    </w:p>
  </w:footnote>
  <w:footnote w:id="36">
    <w:p w:rsidR="00E67099" w:rsidRPr="001B7D63" w:rsidRDefault="00E67099" w:rsidP="00E67099">
      <w:pPr>
        <w:tabs>
          <w:tab w:val="left" w:pos="851"/>
        </w:tabs>
        <w:spacing w:after="0" w:line="276" w:lineRule="auto"/>
        <w:jc w:val="both"/>
        <w:rPr>
          <w:rFonts w:asciiTheme="majorHAnsi" w:eastAsia="Times New Roman" w:hAnsiTheme="majorHAnsi" w:cstheme="majorHAnsi"/>
          <w:sz w:val="16"/>
          <w:szCs w:val="16"/>
        </w:rPr>
      </w:pPr>
      <w:r w:rsidRPr="001B7D63">
        <w:rPr>
          <w:rStyle w:val="a8"/>
          <w:rFonts w:asciiTheme="majorHAnsi" w:hAnsiTheme="majorHAnsi" w:cstheme="majorHAnsi"/>
          <w:sz w:val="16"/>
          <w:szCs w:val="16"/>
        </w:rPr>
        <w:footnoteRef/>
      </w:r>
      <w:r w:rsidRPr="001B7D63">
        <w:rPr>
          <w:rFonts w:asciiTheme="majorHAnsi" w:hAnsiTheme="majorHAnsi" w:cstheme="majorHAnsi"/>
          <w:sz w:val="16"/>
          <w:szCs w:val="16"/>
        </w:rPr>
        <w:t xml:space="preserve"> </w:t>
      </w:r>
      <w:r w:rsidRPr="001B7D63">
        <w:rPr>
          <w:rFonts w:asciiTheme="majorHAnsi" w:eastAsia="Times New Roman" w:hAnsiTheme="majorHAnsi" w:cstheme="majorHAnsi"/>
          <w:sz w:val="16"/>
          <w:szCs w:val="16"/>
        </w:rPr>
        <w:t>Legea nr.27 din 11.03.2019 pentru modificarea Legii BS pentru anul 2019</w:t>
      </w:r>
      <w:r>
        <w:rPr>
          <w:rFonts w:asciiTheme="majorHAnsi" w:eastAsia="Times New Roman" w:hAnsiTheme="majorHAnsi" w:cstheme="majorHAnsi"/>
          <w:sz w:val="16"/>
          <w:szCs w:val="16"/>
        </w:rPr>
        <w:t>.</w:t>
      </w:r>
      <w:r w:rsidRPr="001B7D63">
        <w:rPr>
          <w:rFonts w:asciiTheme="majorHAnsi" w:eastAsia="Times New Roman" w:hAnsiTheme="majorHAnsi" w:cstheme="majorHAnsi"/>
          <w:sz w:val="16"/>
          <w:szCs w:val="16"/>
        </w:rPr>
        <w:t xml:space="preserve"> </w:t>
      </w:r>
    </w:p>
  </w:footnote>
  <w:footnote w:id="37">
    <w:p w:rsidR="00E67099" w:rsidRPr="0084773B" w:rsidRDefault="00E67099" w:rsidP="00E67099">
      <w:pPr>
        <w:pStyle w:val="a6"/>
        <w:rPr>
          <w:rFonts w:asciiTheme="majorHAnsi" w:hAnsiTheme="majorHAnsi" w:cstheme="majorHAnsi"/>
          <w:color w:val="000000" w:themeColor="text1"/>
          <w:sz w:val="16"/>
          <w:szCs w:val="16"/>
          <w:lang w:val="ro-MD"/>
        </w:rPr>
      </w:pPr>
      <w:r w:rsidRPr="0084773B">
        <w:rPr>
          <w:rStyle w:val="a8"/>
          <w:rFonts w:asciiTheme="majorHAnsi" w:hAnsiTheme="majorHAnsi" w:cstheme="majorHAnsi"/>
          <w:color w:val="000000" w:themeColor="text1"/>
          <w:sz w:val="16"/>
          <w:szCs w:val="16"/>
        </w:rPr>
        <w:footnoteRef/>
      </w:r>
      <w:r w:rsidRPr="0084773B">
        <w:rPr>
          <w:rFonts w:asciiTheme="majorHAnsi" w:hAnsiTheme="majorHAnsi" w:cstheme="majorHAnsi"/>
          <w:color w:val="000000" w:themeColor="text1"/>
          <w:sz w:val="16"/>
          <w:szCs w:val="16"/>
        </w:rPr>
        <w:t xml:space="preserve"> </w:t>
      </w:r>
      <w:r w:rsidRPr="0084773B">
        <w:rPr>
          <w:rFonts w:asciiTheme="majorHAnsi" w:hAnsiTheme="majorHAnsi" w:cstheme="majorHAnsi"/>
          <w:color w:val="000000" w:themeColor="text1"/>
          <w:sz w:val="16"/>
          <w:szCs w:val="16"/>
          <w:lang w:val="ro-RO"/>
        </w:rPr>
        <w:t xml:space="preserve">Art.3 lit. a) </w:t>
      </w:r>
      <w:r>
        <w:rPr>
          <w:rFonts w:asciiTheme="majorHAnsi" w:hAnsiTheme="majorHAnsi" w:cstheme="majorHAnsi"/>
          <w:color w:val="000000" w:themeColor="text1"/>
          <w:sz w:val="16"/>
          <w:szCs w:val="16"/>
          <w:lang w:val="ro-RO"/>
        </w:rPr>
        <w:t>din</w:t>
      </w:r>
      <w:r w:rsidRPr="0084773B">
        <w:rPr>
          <w:rFonts w:asciiTheme="majorHAnsi" w:hAnsiTheme="majorHAnsi" w:cstheme="majorHAnsi"/>
          <w:color w:val="000000" w:themeColor="text1"/>
          <w:sz w:val="16"/>
          <w:szCs w:val="16"/>
          <w:lang w:val="ro-RO"/>
        </w:rPr>
        <w:t xml:space="preserve"> Leg</w:t>
      </w:r>
      <w:r>
        <w:rPr>
          <w:rFonts w:asciiTheme="majorHAnsi" w:hAnsiTheme="majorHAnsi" w:cstheme="majorHAnsi"/>
          <w:color w:val="000000" w:themeColor="text1"/>
          <w:sz w:val="16"/>
          <w:szCs w:val="16"/>
          <w:lang w:val="ro-RO"/>
        </w:rPr>
        <w:t>ea</w:t>
      </w:r>
      <w:r w:rsidRPr="0084773B">
        <w:rPr>
          <w:rFonts w:asciiTheme="majorHAnsi" w:hAnsiTheme="majorHAnsi" w:cstheme="majorHAnsi"/>
          <w:color w:val="000000" w:themeColor="text1"/>
          <w:sz w:val="16"/>
          <w:szCs w:val="16"/>
          <w:lang w:val="ro-RO"/>
        </w:rPr>
        <w:t xml:space="preserve"> bugetului de stat pentru anul 2019 nr.303 din 30.11.2018.</w:t>
      </w:r>
    </w:p>
  </w:footnote>
  <w:footnote w:id="38">
    <w:p w:rsidR="00E67099" w:rsidRPr="0084773B" w:rsidRDefault="00E67099" w:rsidP="00E67099">
      <w:pPr>
        <w:pStyle w:val="4"/>
        <w:shd w:val="clear" w:color="auto" w:fill="FFFFFF"/>
        <w:spacing w:before="0"/>
        <w:rPr>
          <w:rFonts w:cstheme="majorHAnsi"/>
          <w:b/>
          <w:bCs/>
          <w:i w:val="0"/>
          <w:color w:val="000000" w:themeColor="text1"/>
          <w:sz w:val="16"/>
          <w:szCs w:val="16"/>
          <w:lang w:val="ro-MD"/>
        </w:rPr>
      </w:pPr>
      <w:r w:rsidRPr="0084773B">
        <w:rPr>
          <w:rStyle w:val="a8"/>
          <w:rFonts w:cstheme="majorHAnsi"/>
          <w:i w:val="0"/>
          <w:color w:val="000000" w:themeColor="text1"/>
          <w:sz w:val="16"/>
          <w:szCs w:val="16"/>
        </w:rPr>
        <w:footnoteRef/>
      </w:r>
      <w:r w:rsidRPr="0084773B">
        <w:rPr>
          <w:rFonts w:cstheme="majorHAnsi"/>
          <w:i w:val="0"/>
          <w:color w:val="000000" w:themeColor="text1"/>
          <w:sz w:val="16"/>
          <w:szCs w:val="16"/>
        </w:rPr>
        <w:t xml:space="preserve"> </w:t>
      </w:r>
      <w:r w:rsidRPr="0084773B">
        <w:rPr>
          <w:rFonts w:cstheme="majorHAnsi"/>
          <w:i w:val="0"/>
          <w:color w:val="000000" w:themeColor="text1"/>
          <w:sz w:val="16"/>
          <w:szCs w:val="16"/>
          <w:lang w:val="ro-MD"/>
        </w:rPr>
        <w:t>Legea nr.112 din 04.09.2019 privind modificarea Legii bugetului de stat pentru anul 2019 nr. 303</w:t>
      </w:r>
      <w:r w:rsidRPr="0084773B">
        <w:rPr>
          <w:rFonts w:cstheme="majorHAnsi"/>
          <w:i w:val="0"/>
          <w:color w:val="000000" w:themeColor="text1"/>
          <w:sz w:val="16"/>
          <w:szCs w:val="16"/>
        </w:rPr>
        <w:t>/2018</w:t>
      </w:r>
      <w:r w:rsidRPr="0084773B">
        <w:rPr>
          <w:rFonts w:cstheme="majorHAnsi"/>
          <w:i w:val="0"/>
          <w:color w:val="000000" w:themeColor="text1"/>
          <w:sz w:val="16"/>
          <w:szCs w:val="16"/>
          <w:lang w:val="ro-MD"/>
        </w:rPr>
        <w:t>.</w:t>
      </w:r>
    </w:p>
  </w:footnote>
  <w:footnote w:id="39">
    <w:p w:rsidR="00E67099" w:rsidRPr="001F44C3" w:rsidRDefault="00E67099" w:rsidP="00E67099">
      <w:pPr>
        <w:pStyle w:val="a6"/>
        <w:jc w:val="both"/>
        <w:rPr>
          <w:rFonts w:asciiTheme="majorHAnsi" w:hAnsiTheme="majorHAnsi" w:cstheme="majorHAnsi"/>
          <w:color w:val="000000" w:themeColor="text1"/>
          <w:sz w:val="16"/>
          <w:szCs w:val="16"/>
          <w:lang w:val="ro-MD"/>
        </w:rPr>
      </w:pPr>
      <w:r w:rsidRPr="001F44C3">
        <w:rPr>
          <w:rStyle w:val="a8"/>
          <w:rFonts w:asciiTheme="majorHAnsi" w:hAnsiTheme="majorHAnsi" w:cstheme="majorHAnsi"/>
          <w:color w:val="000000" w:themeColor="text1"/>
          <w:sz w:val="16"/>
          <w:szCs w:val="16"/>
          <w:lang w:val="ro-MD"/>
        </w:rPr>
        <w:footnoteRef/>
      </w:r>
      <w:r w:rsidRPr="001F44C3">
        <w:rPr>
          <w:rFonts w:asciiTheme="majorHAnsi" w:hAnsiTheme="majorHAnsi" w:cstheme="majorHAnsi"/>
          <w:color w:val="000000" w:themeColor="text1"/>
          <w:sz w:val="16"/>
          <w:szCs w:val="16"/>
          <w:lang w:val="ro-MD"/>
        </w:rPr>
        <w:t xml:space="preserve"> Hotărârile Guvernului nr.498 din 23.10.2019, nr.560 din 19.11.2019, nr.594 din 27.11.2019, nr.639 din 11.12.2019.</w:t>
      </w:r>
    </w:p>
  </w:footnote>
  <w:footnote w:id="40">
    <w:p w:rsidR="00E67099" w:rsidRPr="001F44C3" w:rsidRDefault="00E67099" w:rsidP="00E67099">
      <w:pPr>
        <w:pStyle w:val="a6"/>
        <w:jc w:val="both"/>
        <w:rPr>
          <w:rFonts w:asciiTheme="majorHAnsi" w:hAnsiTheme="majorHAnsi" w:cstheme="majorHAnsi"/>
          <w:sz w:val="16"/>
          <w:szCs w:val="16"/>
          <w:lang w:val="ro-MD"/>
        </w:rPr>
      </w:pPr>
      <w:r w:rsidRPr="001F44C3">
        <w:rPr>
          <w:rStyle w:val="a8"/>
          <w:rFonts w:asciiTheme="majorHAnsi" w:hAnsiTheme="majorHAnsi" w:cstheme="majorHAnsi"/>
          <w:color w:val="000000" w:themeColor="text1"/>
          <w:sz w:val="16"/>
          <w:szCs w:val="16"/>
          <w:lang w:val="ro-MD"/>
        </w:rPr>
        <w:footnoteRef/>
      </w:r>
      <w:r w:rsidRPr="001F44C3">
        <w:rPr>
          <w:rFonts w:asciiTheme="majorHAnsi" w:hAnsiTheme="majorHAnsi" w:cstheme="majorHAnsi"/>
          <w:color w:val="000000" w:themeColor="text1"/>
          <w:sz w:val="16"/>
          <w:szCs w:val="16"/>
          <w:lang w:val="ro-MD"/>
        </w:rPr>
        <w:t xml:space="preserve"> </w:t>
      </w:r>
      <w:r w:rsidRPr="001F44C3">
        <w:rPr>
          <w:rFonts w:asciiTheme="majorHAnsi" w:hAnsiTheme="majorHAnsi" w:cstheme="majorHAnsi"/>
          <w:color w:val="000000" w:themeColor="text1"/>
          <w:sz w:val="16"/>
          <w:szCs w:val="16"/>
          <w:shd w:val="clear" w:color="auto" w:fill="FFFFFF"/>
          <w:lang w:val="ro-MD"/>
        </w:rPr>
        <w:t xml:space="preserve">Compensații persoanelor supuse represiunilor politice și compensații unice pentru conectarea la conducta de gaze naturale a unor categorii de populație din mediul rural – 2,9 </w:t>
      </w:r>
      <w:r w:rsidRPr="001F44C3">
        <w:rPr>
          <w:rFonts w:asciiTheme="majorHAnsi" w:hAnsiTheme="majorHAnsi" w:cstheme="majorHAnsi"/>
          <w:color w:val="000000" w:themeColor="text1"/>
          <w:sz w:val="16"/>
          <w:szCs w:val="16"/>
          <w:lang w:val="ro-MD"/>
        </w:rPr>
        <w:t xml:space="preserve">mil. lei; </w:t>
      </w:r>
      <w:r>
        <w:rPr>
          <w:rFonts w:asciiTheme="majorHAnsi" w:hAnsiTheme="majorHAnsi" w:cstheme="majorHAnsi"/>
          <w:color w:val="000000" w:themeColor="text1"/>
          <w:sz w:val="16"/>
          <w:szCs w:val="16"/>
          <w:lang w:val="ro-MD"/>
        </w:rPr>
        <w:t>a</w:t>
      </w:r>
      <w:r w:rsidRPr="001F44C3">
        <w:rPr>
          <w:rFonts w:asciiTheme="majorHAnsi" w:hAnsiTheme="majorHAnsi" w:cstheme="majorHAnsi"/>
          <w:color w:val="000000" w:themeColor="text1"/>
          <w:sz w:val="16"/>
          <w:szCs w:val="16"/>
          <w:lang w:val="ro-MD"/>
        </w:rPr>
        <w:t xml:space="preserve">ctivități de reintegrare a țării – 12,3 mil. lei; </w:t>
      </w:r>
      <w:r>
        <w:rPr>
          <w:rFonts w:asciiTheme="majorHAnsi" w:hAnsiTheme="majorHAnsi" w:cstheme="majorHAnsi"/>
          <w:color w:val="000000" w:themeColor="text1"/>
          <w:sz w:val="16"/>
          <w:szCs w:val="16"/>
          <w:lang w:val="ro-MD"/>
        </w:rPr>
        <w:t>i</w:t>
      </w:r>
      <w:r w:rsidRPr="001F44C3">
        <w:rPr>
          <w:rFonts w:asciiTheme="majorHAnsi" w:hAnsiTheme="majorHAnsi" w:cstheme="majorHAnsi"/>
          <w:color w:val="000000" w:themeColor="text1"/>
          <w:sz w:val="16"/>
          <w:szCs w:val="16"/>
          <w:lang w:val="ro-MD"/>
        </w:rPr>
        <w:t xml:space="preserve">ndemnizații unice pentru construcția sau procurarea spațiului locativ – 2,1 mil. lei; </w:t>
      </w:r>
      <w:r>
        <w:rPr>
          <w:rFonts w:asciiTheme="majorHAnsi" w:hAnsiTheme="majorHAnsi" w:cstheme="majorHAnsi"/>
          <w:color w:val="000000" w:themeColor="text1"/>
          <w:sz w:val="16"/>
          <w:szCs w:val="16"/>
          <w:lang w:val="ro-MD"/>
        </w:rPr>
        <w:t>s</w:t>
      </w:r>
      <w:r w:rsidRPr="001F44C3">
        <w:rPr>
          <w:rFonts w:asciiTheme="majorHAnsi" w:hAnsiTheme="majorHAnsi" w:cstheme="majorHAnsi"/>
          <w:color w:val="000000" w:themeColor="text1"/>
          <w:sz w:val="16"/>
          <w:szCs w:val="16"/>
          <w:lang w:val="ro-MD"/>
        </w:rPr>
        <w:t xml:space="preserve">usținerea programului de granturi pentru inițiativele tinerilor la nivel local – 0,2 mil. lei. </w:t>
      </w:r>
    </w:p>
  </w:footnote>
  <w:footnote w:id="41">
    <w:p w:rsidR="00E67099" w:rsidRPr="001F44C3" w:rsidRDefault="00E67099" w:rsidP="00E67099">
      <w:pPr>
        <w:pStyle w:val="a6"/>
        <w:jc w:val="both"/>
        <w:rPr>
          <w:rStyle w:val="a8"/>
          <w:rFonts w:asciiTheme="majorHAnsi" w:hAnsiTheme="majorHAnsi" w:cstheme="majorHAnsi"/>
          <w:sz w:val="16"/>
          <w:szCs w:val="16"/>
          <w:lang w:val="ro-MD"/>
        </w:rPr>
      </w:pPr>
      <w:r w:rsidRPr="001F44C3">
        <w:rPr>
          <w:rStyle w:val="a8"/>
          <w:rFonts w:asciiTheme="majorHAnsi" w:hAnsiTheme="majorHAnsi" w:cstheme="majorHAnsi"/>
          <w:sz w:val="16"/>
          <w:szCs w:val="16"/>
          <w:lang w:val="ro-MD"/>
        </w:rPr>
        <w:footnoteRef/>
      </w:r>
      <w:r w:rsidRPr="001F44C3">
        <w:rPr>
          <w:rFonts w:asciiTheme="majorHAnsi" w:hAnsiTheme="majorHAnsi" w:cstheme="majorHAnsi"/>
          <w:sz w:val="16"/>
          <w:szCs w:val="16"/>
          <w:lang w:val="ro-MD"/>
        </w:rPr>
        <w:t xml:space="preserve"> Art.11 din Legea nr.397-XV din 16.10.2003 privind finanțele publice locale.</w:t>
      </w:r>
      <w:r w:rsidRPr="001F44C3">
        <w:rPr>
          <w:rStyle w:val="a8"/>
          <w:rFonts w:asciiTheme="majorHAnsi" w:hAnsiTheme="majorHAnsi" w:cstheme="majorHAnsi"/>
          <w:sz w:val="16"/>
          <w:szCs w:val="16"/>
          <w:lang w:val="ro-MD"/>
        </w:rPr>
        <w:t xml:space="preserve"> </w:t>
      </w:r>
    </w:p>
  </w:footnote>
  <w:footnote w:id="42">
    <w:p w:rsidR="00E67099" w:rsidRPr="001F44C3" w:rsidRDefault="00E67099" w:rsidP="00E67099">
      <w:pPr>
        <w:pStyle w:val="a6"/>
        <w:jc w:val="both"/>
        <w:rPr>
          <w:rFonts w:asciiTheme="majorHAnsi" w:hAnsiTheme="majorHAnsi" w:cstheme="majorHAnsi"/>
          <w:sz w:val="16"/>
          <w:szCs w:val="16"/>
          <w:vertAlign w:val="superscript"/>
          <w:lang w:val="ro-MD"/>
        </w:rPr>
      </w:pPr>
      <w:r w:rsidRPr="001F44C3">
        <w:rPr>
          <w:rStyle w:val="a8"/>
          <w:rFonts w:asciiTheme="majorHAnsi" w:hAnsiTheme="majorHAnsi" w:cstheme="majorHAnsi"/>
          <w:sz w:val="16"/>
          <w:szCs w:val="16"/>
        </w:rPr>
        <w:footnoteRef/>
      </w:r>
      <w:r w:rsidRPr="001F44C3">
        <w:rPr>
          <w:rFonts w:asciiTheme="majorHAnsi" w:hAnsiTheme="majorHAnsi" w:cstheme="majorHAnsi"/>
          <w:sz w:val="16"/>
          <w:szCs w:val="16"/>
        </w:rPr>
        <w:t xml:space="preserve"> </w:t>
      </w:r>
      <w:r w:rsidRPr="001F44C3">
        <w:rPr>
          <w:rFonts w:asciiTheme="majorHAnsi" w:hAnsiTheme="majorHAnsi" w:cstheme="majorHAnsi"/>
          <w:sz w:val="16"/>
          <w:szCs w:val="16"/>
          <w:lang w:val="ro-MD"/>
        </w:rPr>
        <w:t>Art.12 din Legea nr.397-XV din 16.10.2003 privind finanțele publice locale.</w:t>
      </w:r>
      <w:r w:rsidRPr="001F44C3">
        <w:rPr>
          <w:rStyle w:val="a8"/>
          <w:rFonts w:asciiTheme="majorHAnsi" w:hAnsiTheme="majorHAnsi" w:cstheme="majorHAnsi"/>
          <w:sz w:val="16"/>
          <w:szCs w:val="16"/>
          <w:lang w:val="ro-MD"/>
        </w:rPr>
        <w:t xml:space="preserve"> </w:t>
      </w:r>
    </w:p>
  </w:footnote>
  <w:footnote w:id="43">
    <w:p w:rsidR="00E67099" w:rsidRPr="001F44C3" w:rsidRDefault="00E67099" w:rsidP="00E67099">
      <w:pPr>
        <w:pStyle w:val="a6"/>
        <w:jc w:val="both"/>
        <w:rPr>
          <w:rFonts w:asciiTheme="majorHAnsi" w:hAnsiTheme="majorHAnsi" w:cstheme="majorHAnsi"/>
          <w:sz w:val="16"/>
          <w:szCs w:val="16"/>
          <w:lang w:val="ro-MD"/>
        </w:rPr>
      </w:pPr>
      <w:r w:rsidRPr="001F44C3">
        <w:rPr>
          <w:rStyle w:val="a8"/>
          <w:rFonts w:asciiTheme="majorHAnsi" w:hAnsiTheme="majorHAnsi" w:cstheme="majorHAnsi"/>
          <w:sz w:val="16"/>
          <w:szCs w:val="16"/>
          <w:lang w:val="ro-MD"/>
        </w:rPr>
        <w:footnoteRef/>
      </w:r>
      <w:r w:rsidRPr="001F44C3">
        <w:rPr>
          <w:rFonts w:asciiTheme="majorHAnsi" w:hAnsiTheme="majorHAnsi" w:cstheme="majorHAnsi"/>
          <w:sz w:val="16"/>
          <w:szCs w:val="16"/>
          <w:lang w:val="ro-MD"/>
        </w:rPr>
        <w:t xml:space="preserve"> Anexa nr.7</w:t>
      </w:r>
      <w:r>
        <w:rPr>
          <w:rFonts w:asciiTheme="majorHAnsi" w:hAnsiTheme="majorHAnsi" w:cstheme="majorHAnsi"/>
          <w:sz w:val="16"/>
          <w:szCs w:val="16"/>
          <w:lang w:val="ro-MD"/>
        </w:rPr>
        <w:t xml:space="preserve">. </w:t>
      </w:r>
      <w:r w:rsidRPr="001F44C3">
        <w:rPr>
          <w:rFonts w:asciiTheme="majorHAnsi" w:hAnsiTheme="majorHAnsi" w:cstheme="majorHAnsi"/>
          <w:sz w:val="16"/>
          <w:szCs w:val="16"/>
          <w:lang w:val="ro-MD"/>
        </w:rPr>
        <w:t>Volumul transferurilor de la bugetul de stat către bugetele locale la Legea bugetului de stat pentru anul 2019 nr.303/2018</w:t>
      </w:r>
      <w:r>
        <w:rPr>
          <w:rFonts w:asciiTheme="majorHAnsi" w:hAnsiTheme="majorHAnsi" w:cstheme="majorHAnsi"/>
          <w:sz w:val="16"/>
          <w:szCs w:val="16"/>
          <w:lang w:val="ro-MD"/>
        </w:rPr>
        <w:t>.</w:t>
      </w:r>
    </w:p>
  </w:footnote>
  <w:footnote w:id="44">
    <w:p w:rsidR="00E67099" w:rsidRPr="001F44C3" w:rsidRDefault="00E67099" w:rsidP="000B7434">
      <w:pPr>
        <w:pStyle w:val="a6"/>
        <w:jc w:val="both"/>
        <w:rPr>
          <w:rFonts w:asciiTheme="majorHAnsi" w:hAnsiTheme="majorHAnsi" w:cstheme="majorHAnsi"/>
          <w:sz w:val="16"/>
          <w:szCs w:val="16"/>
          <w:lang w:val="ro-MD"/>
        </w:rPr>
      </w:pPr>
      <w:r w:rsidRPr="001F44C3">
        <w:rPr>
          <w:rStyle w:val="a8"/>
          <w:rFonts w:asciiTheme="majorHAnsi" w:hAnsiTheme="majorHAnsi" w:cstheme="majorHAnsi"/>
          <w:sz w:val="16"/>
          <w:szCs w:val="16"/>
        </w:rPr>
        <w:footnoteRef/>
      </w:r>
      <w:r w:rsidRPr="001F44C3">
        <w:rPr>
          <w:rFonts w:asciiTheme="majorHAnsi" w:hAnsiTheme="majorHAnsi" w:cstheme="majorHAnsi"/>
          <w:sz w:val="16"/>
          <w:szCs w:val="16"/>
        </w:rPr>
        <w:t xml:space="preserve"> </w:t>
      </w:r>
      <w:r w:rsidRPr="001F44C3">
        <w:rPr>
          <w:rFonts w:asciiTheme="majorHAnsi" w:hAnsiTheme="majorHAnsi" w:cstheme="majorHAnsi"/>
          <w:sz w:val="16"/>
          <w:szCs w:val="16"/>
          <w:lang w:val="ro-RO"/>
        </w:rPr>
        <w:t>Art. IV din Legea nr.267 din 01.11.2013 pentru modificarea și completarea unor acte legislative.</w:t>
      </w:r>
    </w:p>
  </w:footnote>
  <w:footnote w:id="45">
    <w:p w:rsidR="00E67099" w:rsidRPr="00111780" w:rsidRDefault="00E67099" w:rsidP="000B7434">
      <w:pPr>
        <w:pStyle w:val="a6"/>
        <w:ind w:left="142" w:hanging="142"/>
        <w:jc w:val="both"/>
        <w:rPr>
          <w:rFonts w:asciiTheme="majorHAnsi" w:hAnsiTheme="majorHAnsi" w:cstheme="majorHAnsi"/>
          <w:sz w:val="16"/>
          <w:szCs w:val="16"/>
          <w:lang w:val="ro-MD"/>
        </w:rPr>
      </w:pPr>
      <w:r w:rsidRPr="000B7434">
        <w:rPr>
          <w:rStyle w:val="a8"/>
          <w:rFonts w:asciiTheme="majorHAnsi" w:hAnsiTheme="majorHAnsi" w:cstheme="majorHAnsi"/>
          <w:sz w:val="16"/>
          <w:szCs w:val="16"/>
        </w:rPr>
        <w:footnoteRef/>
      </w:r>
      <w:r w:rsidRPr="000B7434">
        <w:rPr>
          <w:rFonts w:asciiTheme="majorHAnsi" w:hAnsiTheme="majorHAnsi" w:cstheme="majorHAnsi"/>
          <w:sz w:val="16"/>
          <w:szCs w:val="16"/>
        </w:rPr>
        <w:t xml:space="preserve"> </w:t>
      </w:r>
      <w:r w:rsidR="000B7434" w:rsidRPr="000B7434">
        <w:rPr>
          <w:rFonts w:asciiTheme="majorHAnsi" w:hAnsiTheme="majorHAnsi" w:cstheme="majorHAnsi"/>
          <w:sz w:val="16"/>
          <w:szCs w:val="16"/>
          <w:lang w:val="ro-RO"/>
        </w:rPr>
        <w:t>Art.17 al Legii bugetului de stat pentru anul 2017 nr.279​ din 16.12.2016; art.18 al Legii bugetului de stat pentru anul 2018 nr.289 din 15.12.2017; art.19 al legii bugetului de stat pentru anul 2019 nr.303 din 30.11.2018</w:t>
      </w:r>
      <w:r w:rsidR="00EB170A">
        <w:rPr>
          <w:rFonts w:asciiTheme="majorHAnsi" w:hAnsiTheme="majorHAnsi" w:cstheme="majorHAnsi"/>
          <w:sz w:val="16"/>
          <w:szCs w:val="16"/>
          <w:lang w:val="ro-RO"/>
        </w:rPr>
        <w:t>.</w:t>
      </w:r>
    </w:p>
  </w:footnote>
  <w:footnote w:id="46">
    <w:p w:rsidR="00E67099" w:rsidRPr="00E85E98" w:rsidRDefault="00E67099" w:rsidP="000B7434">
      <w:pPr>
        <w:pStyle w:val="a6"/>
        <w:jc w:val="both"/>
        <w:rPr>
          <w:rFonts w:asciiTheme="majorHAnsi" w:hAnsiTheme="majorHAnsi" w:cstheme="majorHAnsi"/>
          <w:sz w:val="16"/>
          <w:szCs w:val="16"/>
          <w:lang w:val="ro-MD"/>
        </w:rPr>
      </w:pPr>
      <w:r w:rsidRPr="00E85E98">
        <w:rPr>
          <w:rStyle w:val="a8"/>
          <w:rFonts w:asciiTheme="majorHAnsi" w:hAnsiTheme="majorHAnsi" w:cstheme="majorHAnsi"/>
          <w:sz w:val="16"/>
          <w:szCs w:val="16"/>
          <w:lang w:val="ro-MD"/>
        </w:rPr>
        <w:footnoteRef/>
      </w:r>
      <w:r w:rsidRPr="00E85E98">
        <w:rPr>
          <w:rFonts w:asciiTheme="majorHAnsi" w:hAnsiTheme="majorHAnsi" w:cstheme="majorHAnsi"/>
          <w:sz w:val="16"/>
          <w:szCs w:val="16"/>
          <w:lang w:val="ro-MD"/>
        </w:rPr>
        <w:t xml:space="preserve">  Legea bugetului de stat pentru anul 2019 nr.303 din 30.11.2018.</w:t>
      </w:r>
    </w:p>
  </w:footnote>
  <w:footnote w:id="47">
    <w:p w:rsidR="00E67099" w:rsidRPr="00E85E98" w:rsidRDefault="00E67099" w:rsidP="000B7434">
      <w:pPr>
        <w:pStyle w:val="a6"/>
        <w:jc w:val="both"/>
        <w:rPr>
          <w:rFonts w:asciiTheme="majorHAnsi" w:hAnsiTheme="majorHAnsi" w:cstheme="majorHAnsi"/>
          <w:sz w:val="16"/>
          <w:szCs w:val="16"/>
          <w:lang w:val="ro-MD"/>
        </w:rPr>
      </w:pPr>
      <w:r w:rsidRPr="00E85E98">
        <w:rPr>
          <w:rStyle w:val="a8"/>
          <w:rFonts w:asciiTheme="majorHAnsi" w:hAnsiTheme="majorHAnsi" w:cstheme="majorHAnsi"/>
          <w:sz w:val="16"/>
          <w:szCs w:val="16"/>
          <w:lang w:val="ro-MD"/>
        </w:rPr>
        <w:footnoteRef/>
      </w:r>
      <w:r w:rsidRPr="00E85E98">
        <w:rPr>
          <w:rFonts w:asciiTheme="majorHAnsi" w:hAnsiTheme="majorHAnsi" w:cstheme="majorHAnsi"/>
          <w:sz w:val="16"/>
          <w:szCs w:val="16"/>
          <w:lang w:val="ro-MD"/>
        </w:rPr>
        <w:t xml:space="preserve"> Legea nr.112 din 04.09.2019 privind modificarea Legii bugetului de stat pentru anul 2019 nr.303/2018.</w:t>
      </w:r>
    </w:p>
  </w:footnote>
  <w:footnote w:id="48">
    <w:p w:rsidR="00E67099" w:rsidRPr="00220455" w:rsidRDefault="00E67099" w:rsidP="00E67099">
      <w:pPr>
        <w:pStyle w:val="a6"/>
        <w:jc w:val="both"/>
        <w:rPr>
          <w:rFonts w:asciiTheme="majorHAnsi" w:hAnsiTheme="majorHAnsi" w:cstheme="majorHAnsi"/>
          <w:sz w:val="16"/>
          <w:szCs w:val="16"/>
          <w:lang w:val="ro-MD"/>
        </w:rPr>
      </w:pPr>
      <w:r w:rsidRPr="00220455">
        <w:rPr>
          <w:rStyle w:val="a8"/>
          <w:rFonts w:asciiTheme="majorHAnsi" w:hAnsiTheme="majorHAnsi" w:cstheme="majorHAnsi"/>
          <w:sz w:val="16"/>
          <w:szCs w:val="16"/>
          <w:lang w:val="ro-MD"/>
        </w:rPr>
        <w:footnoteRef/>
      </w:r>
      <w:r w:rsidRPr="00220455">
        <w:rPr>
          <w:rFonts w:asciiTheme="majorHAnsi" w:hAnsiTheme="majorHAnsi" w:cstheme="majorHAnsi"/>
          <w:sz w:val="16"/>
          <w:szCs w:val="16"/>
          <w:lang w:val="ro-MD"/>
        </w:rPr>
        <w:t xml:space="preserve"> </w:t>
      </w:r>
      <w:r w:rsidRPr="00E85E98">
        <w:rPr>
          <w:rFonts w:asciiTheme="majorHAnsi" w:hAnsiTheme="majorHAnsi" w:cstheme="majorHAnsi"/>
          <w:sz w:val="16"/>
          <w:szCs w:val="16"/>
          <w:lang w:val="ro-MD"/>
        </w:rPr>
        <w:t>Ministerul Finanțelor - 1 proiect (0,15 mil. lei), Ministerul Justiției - 4 proiecte (10,1 mil. lei), Ministerul Afacerilor Interne - 6 proiecte (61,3 mil. lei), Ministerul Afacerilor Externe și Integrării Europene - 1 proiect (3,0 mil. lei), Ministerul Economiei și Infrastructurii - 1 proiect (7,9 mil. lei), Ministerul Agriculturi</w:t>
      </w:r>
      <w:r w:rsidRPr="00DC49C7">
        <w:rPr>
          <w:rFonts w:asciiTheme="majorHAnsi" w:hAnsiTheme="majorHAnsi" w:cstheme="majorHAnsi"/>
          <w:sz w:val="16"/>
          <w:szCs w:val="16"/>
          <w:lang w:val="ro-MD"/>
        </w:rPr>
        <w:t>i, Dezvoltării Regionale și Mediului - 4 proiecte (20,4 mil. lei), Ministerul Educației, Culturii și Cercetării - 1 proiect (3,0 mil. lei), Ministerul Sănătății, Muncii și Protecției Sociale - 1 proiect (1,7 mil. lei), Fondul de Investiții Sociale - 1 proiect (3,0 mil. lei)</w:t>
      </w:r>
      <w:r>
        <w:rPr>
          <w:rFonts w:asciiTheme="majorHAnsi" w:hAnsiTheme="majorHAnsi" w:cstheme="majorHAnsi"/>
          <w:sz w:val="16"/>
          <w:szCs w:val="16"/>
          <w:lang w:val="ro-MD"/>
        </w:rPr>
        <w:t>.</w:t>
      </w:r>
    </w:p>
  </w:footnote>
  <w:footnote w:id="49">
    <w:p w:rsidR="00E67099" w:rsidRPr="00220455" w:rsidRDefault="00E67099" w:rsidP="00E67099">
      <w:pPr>
        <w:pStyle w:val="a6"/>
        <w:jc w:val="both"/>
        <w:rPr>
          <w:rFonts w:asciiTheme="majorHAnsi" w:hAnsiTheme="majorHAnsi" w:cstheme="majorHAnsi"/>
          <w:sz w:val="16"/>
          <w:szCs w:val="16"/>
          <w:lang w:val="ro-MD"/>
        </w:rPr>
      </w:pPr>
      <w:r w:rsidRPr="00220455">
        <w:rPr>
          <w:rStyle w:val="a8"/>
          <w:rFonts w:asciiTheme="majorHAnsi" w:hAnsiTheme="majorHAnsi" w:cstheme="majorHAnsi"/>
          <w:sz w:val="16"/>
          <w:szCs w:val="16"/>
          <w:lang w:val="ro-MD"/>
        </w:rPr>
        <w:footnoteRef/>
      </w:r>
      <w:r w:rsidRPr="00220455">
        <w:rPr>
          <w:rFonts w:asciiTheme="majorHAnsi" w:hAnsiTheme="majorHAnsi" w:cstheme="majorHAnsi"/>
          <w:sz w:val="16"/>
          <w:szCs w:val="16"/>
          <w:lang w:val="ro-MD"/>
        </w:rPr>
        <w:t xml:space="preserve"> </w:t>
      </w:r>
      <w:r w:rsidRPr="00E85E98">
        <w:rPr>
          <w:rFonts w:asciiTheme="majorHAnsi" w:hAnsiTheme="majorHAnsi" w:cstheme="majorHAnsi"/>
          <w:sz w:val="16"/>
          <w:szCs w:val="16"/>
          <w:lang w:val="ro-MD"/>
        </w:rPr>
        <w:t>Ministerul Justiției – 4 proiecte (10,1 mil. lei), Ministerul Economiei și Infrastructurii – 1 proiect (7,9 mil. lei)</w:t>
      </w:r>
      <w:r>
        <w:rPr>
          <w:rFonts w:asciiTheme="majorHAnsi" w:hAnsiTheme="majorHAnsi" w:cstheme="majorHAnsi"/>
          <w:sz w:val="16"/>
          <w:szCs w:val="16"/>
          <w:lang w:val="ro-MD"/>
        </w:rPr>
        <w:t>.</w:t>
      </w:r>
    </w:p>
  </w:footnote>
  <w:footnote w:id="50">
    <w:p w:rsidR="00E67099" w:rsidRPr="00220455" w:rsidRDefault="00E67099" w:rsidP="00E67099">
      <w:pPr>
        <w:pStyle w:val="a6"/>
        <w:jc w:val="both"/>
        <w:rPr>
          <w:rFonts w:asciiTheme="majorHAnsi" w:hAnsiTheme="majorHAnsi" w:cstheme="majorHAnsi"/>
          <w:sz w:val="16"/>
          <w:szCs w:val="16"/>
          <w:lang w:val="ro-MD"/>
        </w:rPr>
      </w:pPr>
      <w:r w:rsidRPr="00220455">
        <w:rPr>
          <w:rStyle w:val="a8"/>
          <w:rFonts w:asciiTheme="majorHAnsi" w:hAnsiTheme="majorHAnsi" w:cstheme="majorHAnsi"/>
          <w:sz w:val="16"/>
          <w:szCs w:val="16"/>
          <w:lang w:val="ro-MD"/>
        </w:rPr>
        <w:footnoteRef/>
      </w:r>
      <w:r w:rsidRPr="00220455">
        <w:rPr>
          <w:rFonts w:asciiTheme="majorHAnsi" w:hAnsiTheme="majorHAnsi" w:cstheme="majorHAnsi"/>
          <w:sz w:val="16"/>
          <w:szCs w:val="16"/>
          <w:lang w:val="ro-MD"/>
        </w:rPr>
        <w:t xml:space="preserve"> </w:t>
      </w:r>
      <w:r w:rsidRPr="00E85E98">
        <w:rPr>
          <w:rFonts w:asciiTheme="majorHAnsi" w:hAnsiTheme="majorHAnsi" w:cstheme="majorHAnsi"/>
          <w:sz w:val="16"/>
          <w:szCs w:val="16"/>
          <w:lang w:val="ro-MD"/>
        </w:rPr>
        <w:t>Construcția sediului pentru trei subdiviziuni operative ale Inspectoratului Național de Investigații, str. Bucuriei nr. 14, municipiul Chișinău; Construcția magistralei de comunicații și operaționalizarea Centrului de Cooperare Transfrontalieră Lipcani, raionul Briceni; Reconstrucția sediilor sectoarelor Poliției de Frontieră Brânza (raionul Cahul), Stoianovca (raionul</w:t>
      </w:r>
      <w:r w:rsidRPr="00545AC5">
        <w:rPr>
          <w:rFonts w:asciiTheme="majorHAnsi" w:hAnsiTheme="majorHAnsi" w:cstheme="majorHAnsi"/>
          <w:sz w:val="16"/>
          <w:szCs w:val="16"/>
          <w:lang w:val="ro-MD"/>
        </w:rPr>
        <w:t xml:space="preserve"> Cantemir), Toceni (raionul Cantemir), Valea Mare (raionul Ungheni)</w:t>
      </w:r>
      <w:r>
        <w:rPr>
          <w:rFonts w:asciiTheme="majorHAnsi" w:hAnsiTheme="majorHAnsi" w:cstheme="majorHAnsi"/>
          <w:sz w:val="16"/>
          <w:szCs w:val="16"/>
          <w:lang w:val="ro-MD"/>
        </w:rPr>
        <w:t>.</w:t>
      </w:r>
    </w:p>
  </w:footnote>
  <w:footnote w:id="51">
    <w:p w:rsidR="00E67099" w:rsidRPr="00220455" w:rsidRDefault="00E67099" w:rsidP="00E67099">
      <w:pPr>
        <w:pStyle w:val="a6"/>
        <w:jc w:val="both"/>
        <w:rPr>
          <w:rFonts w:asciiTheme="majorHAnsi" w:hAnsiTheme="majorHAnsi" w:cstheme="majorHAnsi"/>
          <w:sz w:val="16"/>
          <w:szCs w:val="16"/>
          <w:lang w:val="ro-MD"/>
        </w:rPr>
      </w:pPr>
      <w:r w:rsidRPr="00220455">
        <w:rPr>
          <w:rStyle w:val="a8"/>
          <w:rFonts w:asciiTheme="majorHAnsi" w:hAnsiTheme="majorHAnsi" w:cstheme="majorHAnsi"/>
          <w:sz w:val="16"/>
          <w:szCs w:val="16"/>
          <w:lang w:val="ro-MD"/>
        </w:rPr>
        <w:footnoteRef/>
      </w:r>
      <w:r w:rsidRPr="00220455">
        <w:rPr>
          <w:rFonts w:asciiTheme="majorHAnsi" w:hAnsiTheme="majorHAnsi" w:cstheme="majorHAnsi"/>
          <w:sz w:val="16"/>
          <w:szCs w:val="16"/>
          <w:lang w:val="ro-MD"/>
        </w:rPr>
        <w:t xml:space="preserve"> </w:t>
      </w:r>
      <w:r w:rsidRPr="00E85E98">
        <w:rPr>
          <w:rFonts w:asciiTheme="majorHAnsi" w:hAnsiTheme="majorHAnsi" w:cstheme="majorHAnsi"/>
          <w:sz w:val="16"/>
          <w:szCs w:val="16"/>
          <w:lang w:val="ro-MD"/>
        </w:rPr>
        <w:t>Construcția sediilor pentru judecătoriile Cahul, Căușeni, Hâncești, Orhei</w:t>
      </w:r>
      <w:r>
        <w:rPr>
          <w:rFonts w:asciiTheme="majorHAnsi" w:hAnsiTheme="majorHAnsi" w:cstheme="majorHAnsi"/>
          <w:sz w:val="16"/>
          <w:szCs w:val="16"/>
          <w:lang w:val="ro-MD"/>
        </w:rPr>
        <w:t>.</w:t>
      </w:r>
    </w:p>
  </w:footnote>
  <w:footnote w:id="52">
    <w:p w:rsidR="00E67099" w:rsidRPr="00220455" w:rsidRDefault="00E67099" w:rsidP="00E67099">
      <w:pPr>
        <w:pStyle w:val="a6"/>
        <w:jc w:val="both"/>
        <w:rPr>
          <w:rFonts w:asciiTheme="majorHAnsi" w:hAnsiTheme="majorHAnsi" w:cstheme="majorHAnsi"/>
          <w:sz w:val="16"/>
          <w:szCs w:val="16"/>
          <w:lang w:val="ro-MD"/>
        </w:rPr>
      </w:pPr>
      <w:r w:rsidRPr="00220455">
        <w:rPr>
          <w:rStyle w:val="a8"/>
          <w:rFonts w:asciiTheme="majorHAnsi" w:hAnsiTheme="majorHAnsi" w:cstheme="majorHAnsi"/>
          <w:sz w:val="16"/>
          <w:szCs w:val="16"/>
          <w:lang w:val="ro-MD"/>
        </w:rPr>
        <w:footnoteRef/>
      </w:r>
      <w:r w:rsidRPr="00220455">
        <w:rPr>
          <w:rFonts w:asciiTheme="majorHAnsi" w:hAnsiTheme="majorHAnsi" w:cstheme="majorHAnsi"/>
          <w:sz w:val="16"/>
          <w:szCs w:val="16"/>
          <w:lang w:val="ro-MD"/>
        </w:rPr>
        <w:t xml:space="preserve"> </w:t>
      </w:r>
      <w:r w:rsidRPr="00E85E98">
        <w:rPr>
          <w:rFonts w:asciiTheme="majorHAnsi" w:hAnsiTheme="majorHAnsi" w:cstheme="majorHAnsi"/>
          <w:sz w:val="16"/>
          <w:szCs w:val="16"/>
          <w:lang w:val="ro-MD"/>
        </w:rPr>
        <w:t>Proiectul „</w:t>
      </w:r>
      <w:r w:rsidRPr="00E85E98">
        <w:rPr>
          <w:rFonts w:asciiTheme="majorHAnsi" w:eastAsia="Times New Roman" w:hAnsiTheme="majorHAnsi" w:cstheme="majorHAnsi"/>
          <w:iCs/>
          <w:sz w:val="16"/>
          <w:szCs w:val="16"/>
          <w:lang w:val="ro-MD" w:eastAsia="ru-RU"/>
        </w:rPr>
        <w:t xml:space="preserve">Studiul de fezabilitate al interconectării asincrone a rețelelor electrice din Republica Moldova </w:t>
      </w:r>
      <w:r>
        <w:rPr>
          <w:rFonts w:asciiTheme="majorHAnsi" w:eastAsia="Times New Roman" w:hAnsiTheme="majorHAnsi" w:cstheme="majorHAnsi"/>
          <w:iCs/>
          <w:sz w:val="16"/>
          <w:szCs w:val="16"/>
          <w:lang w:val="ro-MD" w:eastAsia="ru-RU"/>
        </w:rPr>
        <w:t>ș</w:t>
      </w:r>
      <w:r w:rsidRPr="00545AC5">
        <w:rPr>
          <w:rFonts w:asciiTheme="majorHAnsi" w:eastAsia="Times New Roman" w:hAnsiTheme="majorHAnsi" w:cstheme="majorHAnsi"/>
          <w:iCs/>
          <w:sz w:val="16"/>
          <w:szCs w:val="16"/>
          <w:lang w:val="ro-MD" w:eastAsia="ru-RU"/>
        </w:rPr>
        <w:t>i Rom</w:t>
      </w:r>
      <w:r>
        <w:rPr>
          <w:rFonts w:asciiTheme="majorHAnsi" w:eastAsia="Times New Roman" w:hAnsiTheme="majorHAnsi" w:cstheme="majorHAnsi"/>
          <w:iCs/>
          <w:sz w:val="16"/>
          <w:szCs w:val="16"/>
          <w:lang w:val="ro-MD" w:eastAsia="ru-RU"/>
        </w:rPr>
        <w:t>â</w:t>
      </w:r>
      <w:r w:rsidRPr="00545AC5">
        <w:rPr>
          <w:rFonts w:asciiTheme="majorHAnsi" w:eastAsia="Times New Roman" w:hAnsiTheme="majorHAnsi" w:cstheme="majorHAnsi"/>
          <w:iCs/>
          <w:sz w:val="16"/>
          <w:szCs w:val="16"/>
          <w:lang w:val="ro-MD" w:eastAsia="ru-RU"/>
        </w:rPr>
        <w:t>nia”</w:t>
      </w:r>
      <w:r>
        <w:rPr>
          <w:rFonts w:asciiTheme="majorHAnsi" w:eastAsia="Times New Roman" w:hAnsiTheme="majorHAnsi" w:cstheme="majorHAnsi"/>
          <w:iCs/>
          <w:sz w:val="16"/>
          <w:szCs w:val="16"/>
          <w:lang w:val="ro-MD" w:eastAsia="ru-RU"/>
        </w:rPr>
        <w:t>.</w:t>
      </w:r>
    </w:p>
  </w:footnote>
  <w:footnote w:id="53">
    <w:p w:rsidR="00E67099" w:rsidRPr="00220455" w:rsidRDefault="00E67099" w:rsidP="00E67099">
      <w:pPr>
        <w:pStyle w:val="a6"/>
        <w:jc w:val="both"/>
        <w:rPr>
          <w:rFonts w:asciiTheme="majorHAnsi" w:hAnsiTheme="majorHAnsi" w:cstheme="majorHAnsi"/>
          <w:sz w:val="16"/>
          <w:szCs w:val="16"/>
        </w:rPr>
      </w:pPr>
      <w:r w:rsidRPr="00220455">
        <w:rPr>
          <w:rStyle w:val="a8"/>
          <w:rFonts w:asciiTheme="majorHAnsi" w:hAnsiTheme="majorHAnsi" w:cstheme="majorHAnsi"/>
          <w:sz w:val="16"/>
          <w:szCs w:val="16"/>
          <w:lang w:val="ro-MD"/>
        </w:rPr>
        <w:footnoteRef/>
      </w:r>
      <w:r w:rsidRPr="00220455">
        <w:rPr>
          <w:rFonts w:asciiTheme="majorHAnsi" w:hAnsiTheme="majorHAnsi" w:cstheme="majorHAnsi"/>
          <w:sz w:val="16"/>
          <w:szCs w:val="16"/>
          <w:lang w:val="ro-MD"/>
        </w:rPr>
        <w:t xml:space="preserve"> </w:t>
      </w:r>
      <w:r w:rsidRPr="00E85E98">
        <w:rPr>
          <w:rFonts w:asciiTheme="majorHAnsi" w:eastAsia="Times New Roman" w:hAnsiTheme="majorHAnsi" w:cstheme="majorHAnsi"/>
          <w:color w:val="000000"/>
          <w:sz w:val="16"/>
          <w:szCs w:val="16"/>
          <w:lang w:val="ro-MD"/>
        </w:rPr>
        <w:t>Construcția complexului Ambasadei Republicii Moldova în Republica Belarus, orașul Minsk; Construcția clădirilor Clinicii veterinare a Universității Agrare de Stat din Moldova</w:t>
      </w:r>
      <w:r>
        <w:rPr>
          <w:rFonts w:asciiTheme="majorHAnsi" w:eastAsia="Times New Roman" w:hAnsiTheme="majorHAnsi" w:cstheme="majorHAnsi"/>
          <w:color w:val="000000"/>
          <w:sz w:val="16"/>
          <w:szCs w:val="16"/>
          <w:lang w:val="ro-MD"/>
        </w:rPr>
        <w:t>.</w:t>
      </w:r>
    </w:p>
  </w:footnote>
  <w:footnote w:id="54">
    <w:p w:rsidR="00E67099" w:rsidRPr="00917C6D" w:rsidRDefault="00E67099" w:rsidP="00E67099">
      <w:pPr>
        <w:pStyle w:val="a6"/>
        <w:jc w:val="both"/>
        <w:rPr>
          <w:rFonts w:asciiTheme="majorHAnsi" w:hAnsiTheme="majorHAnsi" w:cstheme="majorHAnsi"/>
          <w:sz w:val="16"/>
          <w:szCs w:val="16"/>
          <w:lang w:val="ro-MD"/>
        </w:rPr>
      </w:pPr>
      <w:r w:rsidRPr="00917C6D">
        <w:rPr>
          <w:rStyle w:val="a8"/>
          <w:rFonts w:asciiTheme="majorHAnsi" w:hAnsiTheme="majorHAnsi" w:cstheme="majorHAnsi"/>
          <w:sz w:val="16"/>
          <w:szCs w:val="16"/>
          <w:lang w:val="ro-MD"/>
        </w:rPr>
        <w:footnoteRef/>
      </w:r>
      <w:r w:rsidRPr="00917C6D">
        <w:rPr>
          <w:rFonts w:asciiTheme="majorHAnsi" w:hAnsiTheme="majorHAnsi" w:cstheme="majorHAnsi"/>
          <w:sz w:val="16"/>
          <w:szCs w:val="16"/>
          <w:lang w:val="ro-MD"/>
        </w:rPr>
        <w:t xml:space="preserve"> HG nr.1029 din 19.12.2013 </w:t>
      </w:r>
      <w:r>
        <w:rPr>
          <w:rFonts w:asciiTheme="majorHAnsi" w:hAnsiTheme="majorHAnsi" w:cstheme="majorHAnsi"/>
          <w:sz w:val="16"/>
          <w:szCs w:val="16"/>
          <w:lang w:val="ro-MD"/>
        </w:rPr>
        <w:t>„C</w:t>
      </w:r>
      <w:r w:rsidRPr="00917C6D">
        <w:rPr>
          <w:rFonts w:asciiTheme="majorHAnsi" w:hAnsiTheme="majorHAnsi" w:cstheme="majorHAnsi"/>
          <w:sz w:val="16"/>
          <w:szCs w:val="16"/>
          <w:lang w:val="ro-MD"/>
        </w:rPr>
        <w:t>u privire la investițiile capitale publice</w:t>
      </w:r>
      <w:r>
        <w:rPr>
          <w:rFonts w:asciiTheme="majorHAnsi" w:hAnsiTheme="majorHAnsi" w:cstheme="majorHAnsi"/>
          <w:sz w:val="16"/>
          <w:szCs w:val="16"/>
          <w:lang w:val="ro-MD"/>
        </w:rPr>
        <w:t>”</w:t>
      </w:r>
      <w:r w:rsidRPr="00917C6D">
        <w:rPr>
          <w:rFonts w:asciiTheme="majorHAnsi" w:hAnsiTheme="majorHAnsi" w:cstheme="majorHAnsi"/>
          <w:sz w:val="16"/>
          <w:szCs w:val="16"/>
          <w:lang w:val="ro-MD"/>
        </w:rPr>
        <w:t>, Ordinul MF nr.185 din 03.11.2015</w:t>
      </w:r>
      <w:r>
        <w:rPr>
          <w:rFonts w:asciiTheme="majorHAnsi" w:hAnsiTheme="majorHAnsi" w:cstheme="majorHAnsi"/>
          <w:sz w:val="16"/>
          <w:szCs w:val="16"/>
          <w:lang w:val="ro-MD"/>
        </w:rPr>
        <w:t>.</w:t>
      </w:r>
    </w:p>
  </w:footnote>
  <w:footnote w:id="55">
    <w:p w:rsidR="00E67099" w:rsidRPr="00917C6D" w:rsidRDefault="00E67099" w:rsidP="00E67099">
      <w:pPr>
        <w:pStyle w:val="a6"/>
        <w:jc w:val="both"/>
        <w:rPr>
          <w:rFonts w:asciiTheme="majorHAnsi" w:hAnsiTheme="majorHAnsi" w:cstheme="majorHAnsi"/>
          <w:sz w:val="16"/>
          <w:szCs w:val="16"/>
          <w:lang w:val="ro-MD"/>
        </w:rPr>
      </w:pPr>
      <w:r w:rsidRPr="00917C6D">
        <w:rPr>
          <w:rStyle w:val="a8"/>
          <w:rFonts w:asciiTheme="majorHAnsi" w:hAnsiTheme="majorHAnsi" w:cstheme="majorHAnsi"/>
          <w:sz w:val="16"/>
          <w:szCs w:val="16"/>
          <w:lang w:val="ro-MD"/>
        </w:rPr>
        <w:footnoteRef/>
      </w:r>
      <w:r w:rsidRPr="00917C6D">
        <w:rPr>
          <w:rFonts w:asciiTheme="majorHAnsi" w:hAnsiTheme="majorHAnsi" w:cstheme="majorHAnsi"/>
          <w:sz w:val="16"/>
          <w:szCs w:val="16"/>
          <w:lang w:val="ro-MD"/>
        </w:rPr>
        <w:t xml:space="preserve"> Pct.39 </w:t>
      </w:r>
      <w:r>
        <w:rPr>
          <w:rFonts w:asciiTheme="majorHAnsi" w:hAnsiTheme="majorHAnsi" w:cstheme="majorHAnsi"/>
          <w:sz w:val="16"/>
          <w:szCs w:val="16"/>
          <w:lang w:val="ro-MD"/>
        </w:rPr>
        <w:t>din</w:t>
      </w:r>
      <w:r w:rsidRPr="00917C6D">
        <w:rPr>
          <w:rFonts w:asciiTheme="majorHAnsi" w:hAnsiTheme="majorHAnsi" w:cstheme="majorHAnsi"/>
          <w:sz w:val="16"/>
          <w:szCs w:val="16"/>
          <w:lang w:val="ro-MD"/>
        </w:rPr>
        <w:t xml:space="preserve"> Regulamentul cu privire la proiectele de investiții capitale publice</w:t>
      </w:r>
      <w:r>
        <w:rPr>
          <w:rFonts w:asciiTheme="majorHAnsi" w:hAnsiTheme="majorHAnsi" w:cstheme="majorHAnsi"/>
          <w:sz w:val="16"/>
          <w:szCs w:val="16"/>
          <w:lang w:val="ro-MD"/>
        </w:rPr>
        <w:t>,</w:t>
      </w:r>
      <w:r w:rsidRPr="00917C6D">
        <w:rPr>
          <w:rFonts w:asciiTheme="majorHAnsi" w:hAnsiTheme="majorHAnsi" w:cstheme="majorHAnsi"/>
          <w:sz w:val="16"/>
          <w:szCs w:val="16"/>
          <w:lang w:val="ro-MD"/>
        </w:rPr>
        <w:t xml:space="preserve"> aprobat prin H</w:t>
      </w:r>
      <w:r>
        <w:rPr>
          <w:rFonts w:asciiTheme="majorHAnsi" w:hAnsiTheme="majorHAnsi" w:cstheme="majorHAnsi"/>
          <w:sz w:val="16"/>
          <w:szCs w:val="16"/>
          <w:lang w:val="ro-MD"/>
        </w:rPr>
        <w:t>G</w:t>
      </w:r>
      <w:r w:rsidRPr="00917C6D">
        <w:rPr>
          <w:rFonts w:asciiTheme="majorHAnsi" w:hAnsiTheme="majorHAnsi" w:cstheme="majorHAnsi"/>
          <w:sz w:val="16"/>
          <w:szCs w:val="16"/>
          <w:lang w:val="ro-MD"/>
        </w:rPr>
        <w:t xml:space="preserve"> nr.1029 din 19.12.2013 </w:t>
      </w:r>
      <w:r>
        <w:rPr>
          <w:rFonts w:asciiTheme="majorHAnsi" w:hAnsiTheme="majorHAnsi" w:cstheme="majorHAnsi"/>
          <w:sz w:val="16"/>
          <w:szCs w:val="16"/>
          <w:lang w:val="ro-MD"/>
        </w:rPr>
        <w:t>„C</w:t>
      </w:r>
      <w:r w:rsidRPr="00917C6D">
        <w:rPr>
          <w:rFonts w:asciiTheme="majorHAnsi" w:hAnsiTheme="majorHAnsi" w:cstheme="majorHAnsi"/>
          <w:sz w:val="16"/>
          <w:szCs w:val="16"/>
          <w:lang w:val="ro-MD"/>
        </w:rPr>
        <w:t>u privire la investițiile capitale publice</w:t>
      </w:r>
      <w:r>
        <w:rPr>
          <w:rFonts w:asciiTheme="majorHAnsi" w:hAnsiTheme="majorHAnsi" w:cstheme="majorHAnsi"/>
          <w:sz w:val="16"/>
          <w:szCs w:val="16"/>
          <w:lang w:val="ro-MD"/>
        </w:rPr>
        <w:t xml:space="preserve">” (în continuare – </w:t>
      </w:r>
      <w:r w:rsidRPr="00917C6D">
        <w:rPr>
          <w:rFonts w:asciiTheme="majorHAnsi" w:hAnsiTheme="majorHAnsi" w:cstheme="majorHAnsi"/>
          <w:sz w:val="16"/>
          <w:szCs w:val="16"/>
          <w:lang w:val="ro-MD"/>
        </w:rPr>
        <w:t>Regulamentul cu privire la proiectele de investiții capitale publice</w:t>
      </w:r>
      <w:r>
        <w:rPr>
          <w:rFonts w:asciiTheme="majorHAnsi" w:hAnsiTheme="majorHAnsi" w:cstheme="majorHAnsi"/>
          <w:sz w:val="16"/>
          <w:szCs w:val="16"/>
          <w:lang w:val="ro-MD"/>
        </w:rPr>
        <w:t>).</w:t>
      </w:r>
    </w:p>
  </w:footnote>
  <w:footnote w:id="56">
    <w:p w:rsidR="00E67099" w:rsidRPr="00917C6D" w:rsidRDefault="00E67099" w:rsidP="00E67099">
      <w:pPr>
        <w:pStyle w:val="a6"/>
        <w:jc w:val="both"/>
        <w:rPr>
          <w:rFonts w:asciiTheme="majorHAnsi" w:hAnsiTheme="majorHAnsi" w:cstheme="majorHAnsi"/>
          <w:sz w:val="16"/>
          <w:szCs w:val="16"/>
          <w:lang w:val="ro-MD"/>
        </w:rPr>
      </w:pPr>
      <w:r w:rsidRPr="00917C6D">
        <w:rPr>
          <w:rStyle w:val="a8"/>
          <w:rFonts w:asciiTheme="majorHAnsi" w:hAnsiTheme="majorHAnsi" w:cstheme="majorHAnsi"/>
          <w:sz w:val="16"/>
          <w:szCs w:val="16"/>
          <w:lang w:val="ro-MD"/>
        </w:rPr>
        <w:footnoteRef/>
      </w:r>
      <w:r w:rsidRPr="00917C6D">
        <w:rPr>
          <w:rFonts w:asciiTheme="majorHAnsi" w:hAnsiTheme="majorHAnsi" w:cstheme="majorHAnsi"/>
          <w:sz w:val="16"/>
          <w:szCs w:val="16"/>
          <w:lang w:val="ro-MD"/>
        </w:rPr>
        <w:t xml:space="preserve"> Pct.40 </w:t>
      </w:r>
      <w:r>
        <w:rPr>
          <w:rFonts w:asciiTheme="majorHAnsi" w:hAnsiTheme="majorHAnsi" w:cstheme="majorHAnsi"/>
          <w:sz w:val="16"/>
          <w:szCs w:val="16"/>
          <w:lang w:val="ro-MD"/>
        </w:rPr>
        <w:t>din</w:t>
      </w:r>
      <w:r w:rsidRPr="00917C6D">
        <w:rPr>
          <w:rFonts w:asciiTheme="majorHAnsi" w:hAnsiTheme="majorHAnsi" w:cstheme="majorHAnsi"/>
          <w:sz w:val="16"/>
          <w:szCs w:val="16"/>
          <w:lang w:val="ro-MD"/>
        </w:rPr>
        <w:t xml:space="preserve"> Regulamentul cu privire la proiectele de investiții capitale publice</w:t>
      </w:r>
      <w:r>
        <w:rPr>
          <w:rFonts w:asciiTheme="majorHAnsi" w:hAnsiTheme="majorHAnsi" w:cstheme="majorHAnsi"/>
          <w:sz w:val="16"/>
          <w:szCs w:val="16"/>
          <w:lang w:val="ro-MD"/>
        </w:rPr>
        <w:t>.</w:t>
      </w:r>
    </w:p>
  </w:footnote>
  <w:footnote w:id="57">
    <w:p w:rsidR="00E67099" w:rsidRPr="00917C6D" w:rsidRDefault="00E67099" w:rsidP="00E67099">
      <w:pPr>
        <w:pStyle w:val="a6"/>
        <w:jc w:val="both"/>
        <w:rPr>
          <w:rFonts w:asciiTheme="majorHAnsi" w:hAnsiTheme="majorHAnsi" w:cstheme="majorHAnsi"/>
          <w:lang w:val="ro-MD"/>
        </w:rPr>
      </w:pPr>
      <w:r w:rsidRPr="00917C6D">
        <w:rPr>
          <w:rStyle w:val="a8"/>
          <w:rFonts w:asciiTheme="majorHAnsi" w:hAnsiTheme="majorHAnsi" w:cstheme="majorHAnsi"/>
          <w:sz w:val="16"/>
          <w:szCs w:val="16"/>
          <w:lang w:val="ro-MD"/>
        </w:rPr>
        <w:footnoteRef/>
      </w:r>
      <w:r w:rsidRPr="00917C6D">
        <w:rPr>
          <w:rFonts w:asciiTheme="majorHAnsi" w:hAnsiTheme="majorHAnsi" w:cstheme="majorHAnsi"/>
          <w:sz w:val="16"/>
          <w:szCs w:val="16"/>
          <w:lang w:val="ro-MD"/>
        </w:rPr>
        <w:t xml:space="preserve"> Pct.30 </w:t>
      </w:r>
      <w:r>
        <w:rPr>
          <w:rFonts w:asciiTheme="majorHAnsi" w:hAnsiTheme="majorHAnsi" w:cstheme="majorHAnsi"/>
          <w:sz w:val="16"/>
          <w:szCs w:val="16"/>
          <w:lang w:val="ro-MD"/>
        </w:rPr>
        <w:t>din</w:t>
      </w:r>
      <w:r w:rsidRPr="00917C6D">
        <w:rPr>
          <w:rFonts w:asciiTheme="majorHAnsi" w:hAnsiTheme="majorHAnsi" w:cstheme="majorHAnsi"/>
          <w:sz w:val="16"/>
          <w:szCs w:val="16"/>
          <w:lang w:val="ro-MD"/>
        </w:rPr>
        <w:t xml:space="preserve"> Regulamentul cu privire la proiectele de investiții capitale publice</w:t>
      </w:r>
      <w:r>
        <w:rPr>
          <w:rFonts w:asciiTheme="majorHAnsi" w:hAnsiTheme="majorHAnsi" w:cstheme="majorHAnsi"/>
          <w:sz w:val="16"/>
          <w:szCs w:val="16"/>
          <w:lang w:val="ro-MD"/>
        </w:rPr>
        <w:t>.</w:t>
      </w:r>
    </w:p>
  </w:footnote>
  <w:footnote w:id="58">
    <w:p w:rsidR="00E67099" w:rsidRPr="00917C6D" w:rsidRDefault="00E67099" w:rsidP="00E67099">
      <w:pPr>
        <w:pStyle w:val="a6"/>
        <w:jc w:val="both"/>
        <w:rPr>
          <w:rFonts w:asciiTheme="majorHAnsi" w:hAnsiTheme="majorHAnsi" w:cstheme="majorHAnsi"/>
          <w:sz w:val="16"/>
          <w:szCs w:val="16"/>
          <w:lang w:val="ro-MD"/>
        </w:rPr>
      </w:pPr>
      <w:r w:rsidRPr="00917C6D">
        <w:rPr>
          <w:rStyle w:val="a8"/>
          <w:rFonts w:asciiTheme="majorHAnsi" w:hAnsiTheme="majorHAnsi" w:cstheme="majorHAnsi"/>
          <w:sz w:val="16"/>
          <w:szCs w:val="16"/>
          <w:lang w:val="ro-MD"/>
        </w:rPr>
        <w:footnoteRef/>
      </w:r>
      <w:r w:rsidRPr="00917C6D">
        <w:rPr>
          <w:rFonts w:asciiTheme="majorHAnsi" w:hAnsiTheme="majorHAnsi" w:cstheme="majorHAnsi"/>
          <w:sz w:val="16"/>
          <w:szCs w:val="16"/>
          <w:lang w:val="ro-MD"/>
        </w:rPr>
        <w:t xml:space="preserve"> Pct.44 </w:t>
      </w:r>
      <w:r>
        <w:rPr>
          <w:rFonts w:asciiTheme="majorHAnsi" w:hAnsiTheme="majorHAnsi" w:cstheme="majorHAnsi"/>
          <w:sz w:val="16"/>
          <w:szCs w:val="16"/>
          <w:lang w:val="ro-MD"/>
        </w:rPr>
        <w:t>din</w:t>
      </w:r>
      <w:r w:rsidRPr="00917C6D">
        <w:rPr>
          <w:rFonts w:asciiTheme="majorHAnsi" w:hAnsiTheme="majorHAnsi" w:cstheme="majorHAnsi"/>
          <w:sz w:val="16"/>
          <w:szCs w:val="16"/>
          <w:lang w:val="ro-MD"/>
        </w:rPr>
        <w:t xml:space="preserve"> Instrucțiun</w:t>
      </w:r>
      <w:r>
        <w:rPr>
          <w:rFonts w:asciiTheme="majorHAnsi" w:hAnsiTheme="majorHAnsi" w:cstheme="majorHAnsi"/>
          <w:sz w:val="16"/>
          <w:szCs w:val="16"/>
          <w:lang w:val="ro-MD"/>
        </w:rPr>
        <w:t>ea</w:t>
      </w:r>
      <w:r w:rsidRPr="00917C6D">
        <w:rPr>
          <w:rFonts w:asciiTheme="majorHAnsi" w:hAnsiTheme="majorHAnsi" w:cstheme="majorHAnsi"/>
          <w:sz w:val="16"/>
          <w:szCs w:val="16"/>
          <w:lang w:val="ro-MD"/>
        </w:rPr>
        <w:t xml:space="preserve"> privind managementul proiectelor de investiții capitale</w:t>
      </w:r>
      <w:r>
        <w:rPr>
          <w:rFonts w:asciiTheme="majorHAnsi" w:hAnsiTheme="majorHAnsi" w:cstheme="majorHAnsi"/>
          <w:sz w:val="16"/>
          <w:szCs w:val="16"/>
          <w:lang w:val="ro-MD"/>
        </w:rPr>
        <w:t>,</w:t>
      </w:r>
      <w:r w:rsidRPr="00917C6D">
        <w:rPr>
          <w:rFonts w:asciiTheme="majorHAnsi" w:hAnsiTheme="majorHAnsi" w:cstheme="majorHAnsi"/>
          <w:sz w:val="16"/>
          <w:szCs w:val="16"/>
          <w:lang w:val="ro-MD"/>
        </w:rPr>
        <w:t xml:space="preserve"> aprobat</w:t>
      </w:r>
      <w:r>
        <w:rPr>
          <w:rFonts w:asciiTheme="majorHAnsi" w:hAnsiTheme="majorHAnsi" w:cstheme="majorHAnsi"/>
          <w:sz w:val="16"/>
          <w:szCs w:val="16"/>
          <w:lang w:val="ro-MD"/>
        </w:rPr>
        <w:t>ă</w:t>
      </w:r>
      <w:r w:rsidRPr="00917C6D">
        <w:rPr>
          <w:rFonts w:asciiTheme="majorHAnsi" w:hAnsiTheme="majorHAnsi" w:cstheme="majorHAnsi"/>
          <w:sz w:val="16"/>
          <w:szCs w:val="16"/>
          <w:lang w:val="ro-MD"/>
        </w:rPr>
        <w:t xml:space="preserve"> prin Ordinul M</w:t>
      </w:r>
      <w:r>
        <w:rPr>
          <w:rFonts w:asciiTheme="majorHAnsi" w:hAnsiTheme="majorHAnsi" w:cstheme="majorHAnsi"/>
          <w:sz w:val="16"/>
          <w:szCs w:val="16"/>
          <w:lang w:val="ro-MD"/>
        </w:rPr>
        <w:t>F</w:t>
      </w:r>
      <w:r w:rsidRPr="00917C6D">
        <w:rPr>
          <w:rFonts w:asciiTheme="majorHAnsi" w:hAnsiTheme="majorHAnsi" w:cstheme="majorHAnsi"/>
          <w:sz w:val="16"/>
          <w:szCs w:val="16"/>
          <w:lang w:val="ro-MD"/>
        </w:rPr>
        <w:t xml:space="preserve"> nr.185 din 03.11.2015</w:t>
      </w:r>
      <w:r>
        <w:rPr>
          <w:rFonts w:asciiTheme="majorHAnsi" w:hAnsiTheme="majorHAnsi" w:cstheme="majorHAnsi"/>
          <w:sz w:val="16"/>
          <w:szCs w:val="16"/>
          <w:lang w:val="ro-MD"/>
        </w:rPr>
        <w:t>.</w:t>
      </w:r>
    </w:p>
  </w:footnote>
  <w:footnote w:id="59">
    <w:p w:rsidR="00E67099" w:rsidRDefault="00E67099" w:rsidP="00E67099">
      <w:pPr>
        <w:pStyle w:val="a6"/>
        <w:jc w:val="both"/>
      </w:pPr>
      <w:r w:rsidRPr="00917C6D">
        <w:rPr>
          <w:rStyle w:val="a8"/>
          <w:rFonts w:asciiTheme="majorHAnsi" w:hAnsiTheme="majorHAnsi" w:cstheme="majorHAnsi"/>
          <w:sz w:val="16"/>
          <w:szCs w:val="16"/>
          <w:lang w:val="ro-MD"/>
        </w:rPr>
        <w:footnoteRef/>
      </w:r>
      <w:r w:rsidRPr="00917C6D">
        <w:rPr>
          <w:rFonts w:asciiTheme="majorHAnsi" w:hAnsiTheme="majorHAnsi" w:cstheme="majorHAnsi"/>
          <w:sz w:val="16"/>
          <w:szCs w:val="16"/>
          <w:lang w:val="ro-MD"/>
        </w:rPr>
        <w:t xml:space="preserve"> Pct.2 </w:t>
      </w:r>
      <w:r>
        <w:rPr>
          <w:rFonts w:asciiTheme="majorHAnsi" w:hAnsiTheme="majorHAnsi" w:cstheme="majorHAnsi"/>
          <w:sz w:val="16"/>
          <w:szCs w:val="16"/>
          <w:lang w:val="ro-MD"/>
        </w:rPr>
        <w:t>din</w:t>
      </w:r>
      <w:r w:rsidRPr="00917C6D">
        <w:rPr>
          <w:rFonts w:asciiTheme="majorHAnsi" w:hAnsiTheme="majorHAnsi" w:cstheme="majorHAnsi"/>
          <w:sz w:val="16"/>
          <w:szCs w:val="16"/>
          <w:lang w:val="ro-MD"/>
        </w:rPr>
        <w:t xml:space="preserve"> Regulamentul cu privire la proiectele de investiții capitale publice</w:t>
      </w:r>
      <w:r>
        <w:rPr>
          <w:rFonts w:asciiTheme="majorHAnsi" w:hAnsiTheme="majorHAnsi" w:cstheme="majorHAnsi"/>
          <w:sz w:val="16"/>
          <w:szCs w:val="16"/>
          <w:lang w:val="ro-MD"/>
        </w:rPr>
        <w:t>.</w:t>
      </w:r>
    </w:p>
  </w:footnote>
  <w:footnote w:id="60">
    <w:p w:rsidR="00E67099" w:rsidRPr="00491493" w:rsidRDefault="00E67099" w:rsidP="00E67099">
      <w:pPr>
        <w:pStyle w:val="a6"/>
        <w:jc w:val="both"/>
        <w:rPr>
          <w:rFonts w:asciiTheme="majorHAnsi" w:hAnsiTheme="majorHAnsi" w:cstheme="majorHAnsi"/>
          <w:sz w:val="16"/>
          <w:szCs w:val="16"/>
          <w:lang w:val="ro-MD"/>
        </w:rPr>
      </w:pPr>
      <w:r w:rsidRPr="00491493">
        <w:rPr>
          <w:rStyle w:val="a8"/>
          <w:rFonts w:asciiTheme="majorHAnsi" w:hAnsiTheme="majorHAnsi" w:cstheme="majorHAnsi"/>
          <w:sz w:val="16"/>
          <w:szCs w:val="16"/>
        </w:rPr>
        <w:footnoteRef/>
      </w:r>
      <w:r w:rsidRPr="00491493">
        <w:rPr>
          <w:rFonts w:asciiTheme="majorHAnsi" w:hAnsiTheme="majorHAnsi" w:cstheme="majorHAnsi"/>
          <w:sz w:val="16"/>
          <w:szCs w:val="16"/>
          <w:lang w:val="ro-MD"/>
        </w:rPr>
        <w:t xml:space="preserve"> MADRM, MSMPS, MA, MEI, MAEIE, MF, MAI, MECC, MJ, Agenția </w:t>
      </w:r>
      <w:r>
        <w:rPr>
          <w:rFonts w:asciiTheme="majorHAnsi" w:hAnsiTheme="majorHAnsi" w:cstheme="majorHAnsi"/>
          <w:sz w:val="16"/>
          <w:szCs w:val="16"/>
          <w:lang w:val="ro-MD"/>
        </w:rPr>
        <w:t>„</w:t>
      </w:r>
      <w:r w:rsidRPr="00491493">
        <w:rPr>
          <w:rFonts w:asciiTheme="majorHAnsi" w:hAnsiTheme="majorHAnsi" w:cstheme="majorHAnsi"/>
          <w:sz w:val="16"/>
          <w:szCs w:val="16"/>
          <w:lang w:val="ro-MD"/>
        </w:rPr>
        <w:t>Moldsilva</w:t>
      </w:r>
      <w:r>
        <w:rPr>
          <w:rFonts w:asciiTheme="majorHAnsi" w:hAnsiTheme="majorHAnsi" w:cstheme="majorHAnsi"/>
          <w:sz w:val="16"/>
          <w:szCs w:val="16"/>
          <w:lang w:val="ro-MD"/>
        </w:rPr>
        <w:t>”</w:t>
      </w:r>
      <w:r w:rsidRPr="00491493">
        <w:rPr>
          <w:rFonts w:asciiTheme="majorHAnsi" w:hAnsiTheme="majorHAnsi" w:cstheme="majorHAnsi"/>
          <w:sz w:val="16"/>
          <w:szCs w:val="16"/>
          <w:lang w:val="ro-MD"/>
        </w:rPr>
        <w:t xml:space="preserve"> (org.1)</w:t>
      </w:r>
      <w:r>
        <w:rPr>
          <w:rFonts w:asciiTheme="majorHAnsi" w:hAnsiTheme="majorHAnsi" w:cstheme="majorHAnsi"/>
          <w:sz w:val="16"/>
          <w:szCs w:val="16"/>
          <w:lang w:val="ro-MD"/>
        </w:rPr>
        <w:t>.</w:t>
      </w:r>
    </w:p>
  </w:footnote>
  <w:footnote w:id="61">
    <w:p w:rsidR="00E67099" w:rsidRPr="008E59A8" w:rsidRDefault="00E67099" w:rsidP="00E67099">
      <w:pPr>
        <w:pStyle w:val="a6"/>
        <w:jc w:val="both"/>
        <w:rPr>
          <w:rFonts w:asciiTheme="majorHAnsi" w:hAnsiTheme="majorHAnsi" w:cstheme="majorHAnsi"/>
          <w:sz w:val="18"/>
          <w:szCs w:val="18"/>
          <w:lang w:val="ro-MD"/>
        </w:rPr>
      </w:pPr>
      <w:r w:rsidRPr="00EC3B95">
        <w:rPr>
          <w:rStyle w:val="a8"/>
          <w:rFonts w:asciiTheme="majorHAnsi" w:hAnsiTheme="majorHAnsi" w:cstheme="majorHAnsi"/>
          <w:sz w:val="16"/>
          <w:szCs w:val="16"/>
          <w:lang w:val="ro-MD"/>
        </w:rPr>
        <w:footnoteRef/>
      </w:r>
      <w:r w:rsidRPr="00EC3B95">
        <w:rPr>
          <w:rFonts w:asciiTheme="majorHAnsi" w:hAnsiTheme="majorHAnsi" w:cstheme="majorHAnsi"/>
          <w:sz w:val="16"/>
          <w:szCs w:val="16"/>
          <w:lang w:val="ro-MD"/>
        </w:rPr>
        <w:t xml:space="preserve"> HG nr.212 din 03.04.2019 </w:t>
      </w:r>
      <w:r>
        <w:rPr>
          <w:rFonts w:asciiTheme="majorHAnsi" w:hAnsiTheme="majorHAnsi" w:cstheme="majorHAnsi"/>
          <w:sz w:val="16"/>
          <w:szCs w:val="16"/>
          <w:lang w:val="ro-MD"/>
        </w:rPr>
        <w:t>„C</w:t>
      </w:r>
      <w:r w:rsidRPr="00EC3B95">
        <w:rPr>
          <w:rFonts w:asciiTheme="majorHAnsi" w:hAnsiTheme="majorHAnsi" w:cstheme="majorHAnsi"/>
          <w:sz w:val="16"/>
          <w:szCs w:val="16"/>
          <w:lang w:val="ro-MD"/>
        </w:rPr>
        <w:t>u privire la aprobarea Programului activităților de reintegrare a țării pentru anul 2019”.</w:t>
      </w:r>
    </w:p>
  </w:footnote>
  <w:footnote w:id="62">
    <w:p w:rsidR="00E67099" w:rsidRPr="00586B16" w:rsidRDefault="00E67099" w:rsidP="00E67099">
      <w:pPr>
        <w:pStyle w:val="a6"/>
        <w:jc w:val="both"/>
        <w:rPr>
          <w:rFonts w:asciiTheme="majorHAnsi" w:hAnsiTheme="majorHAnsi" w:cstheme="majorHAnsi"/>
          <w:sz w:val="16"/>
          <w:szCs w:val="16"/>
          <w:lang w:val="ro-MD"/>
        </w:rPr>
      </w:pPr>
      <w:r w:rsidRPr="00586B16">
        <w:rPr>
          <w:rStyle w:val="a8"/>
          <w:rFonts w:asciiTheme="majorHAnsi" w:hAnsiTheme="majorHAnsi" w:cstheme="majorHAnsi"/>
          <w:sz w:val="16"/>
          <w:szCs w:val="16"/>
          <w:lang w:val="ro-MD"/>
        </w:rPr>
        <w:footnoteRef/>
      </w:r>
      <w:r w:rsidRPr="00586B16">
        <w:rPr>
          <w:rFonts w:asciiTheme="majorHAnsi" w:hAnsiTheme="majorHAnsi" w:cstheme="majorHAnsi"/>
          <w:sz w:val="16"/>
          <w:szCs w:val="16"/>
          <w:lang w:val="ro-MD"/>
        </w:rPr>
        <w:t xml:space="preserve"> Legea nr.229 din 23.09.2010 privind controlul financiar public intern.</w:t>
      </w:r>
    </w:p>
  </w:footnote>
  <w:footnote w:id="63">
    <w:p w:rsidR="00E67099" w:rsidRPr="0084773B" w:rsidRDefault="00E67099" w:rsidP="00E67099">
      <w:pPr>
        <w:pStyle w:val="a6"/>
        <w:jc w:val="both"/>
        <w:rPr>
          <w:rFonts w:asciiTheme="majorHAnsi" w:hAnsiTheme="majorHAnsi" w:cstheme="majorHAnsi"/>
          <w:color w:val="000000" w:themeColor="text1"/>
          <w:sz w:val="16"/>
          <w:szCs w:val="16"/>
          <w:lang w:val="ro-MD"/>
        </w:rPr>
      </w:pPr>
      <w:r w:rsidRPr="0084773B">
        <w:rPr>
          <w:rStyle w:val="a8"/>
          <w:rFonts w:asciiTheme="majorHAnsi" w:hAnsiTheme="majorHAnsi" w:cstheme="majorHAnsi"/>
          <w:color w:val="000000" w:themeColor="text1"/>
          <w:sz w:val="16"/>
          <w:szCs w:val="16"/>
          <w:lang w:val="ro-MD"/>
        </w:rPr>
        <w:footnoteRef/>
      </w:r>
      <w:r w:rsidRPr="0084773B">
        <w:rPr>
          <w:rFonts w:asciiTheme="majorHAnsi" w:hAnsiTheme="majorHAnsi" w:cstheme="majorHAnsi"/>
          <w:color w:val="000000" w:themeColor="text1"/>
          <w:sz w:val="16"/>
          <w:szCs w:val="16"/>
          <w:lang w:val="ro-MD"/>
        </w:rPr>
        <w:t xml:space="preserve"> BS 31.12.2019 numărul de unități (posturi) – 50 081, numărul de angajați (persoane fizice) – 49 324; BS 31.12.2018 numărul de unități (posturi) – 60 638, numărul de angajați (persoane fizice) – 58 252.</w:t>
      </w:r>
      <w:r w:rsidRPr="0084773B">
        <w:rPr>
          <w:rFonts w:asciiTheme="majorHAnsi" w:hAnsiTheme="majorHAnsi" w:cstheme="majorHAnsi"/>
          <w:color w:val="000000" w:themeColor="text1"/>
          <w:sz w:val="16"/>
          <w:szCs w:val="16"/>
        </w:rPr>
        <w:t xml:space="preserve"> </w:t>
      </w:r>
      <w:r w:rsidRPr="0084773B">
        <w:rPr>
          <w:rFonts w:asciiTheme="majorHAnsi" w:hAnsiTheme="majorHAnsi" w:cstheme="majorHAnsi"/>
          <w:color w:val="000000" w:themeColor="text1"/>
          <w:sz w:val="16"/>
          <w:szCs w:val="16"/>
          <w:lang w:val="ro-MD"/>
        </w:rPr>
        <w:t>Informația privind cheltuielile de personal (BPN) la situația din 31.12.2018 și la situația din 31.12.2019.</w:t>
      </w:r>
    </w:p>
  </w:footnote>
  <w:footnote w:id="64">
    <w:p w:rsidR="00E67099" w:rsidRPr="004052A1" w:rsidRDefault="00E67099" w:rsidP="00E67099">
      <w:pPr>
        <w:pStyle w:val="a6"/>
        <w:jc w:val="both"/>
        <w:rPr>
          <w:rFonts w:asciiTheme="majorHAnsi" w:hAnsiTheme="majorHAnsi" w:cstheme="majorHAnsi"/>
          <w:sz w:val="16"/>
          <w:szCs w:val="16"/>
        </w:rPr>
      </w:pPr>
      <w:r w:rsidRPr="004052A1">
        <w:rPr>
          <w:rStyle w:val="a8"/>
          <w:rFonts w:asciiTheme="majorHAnsi" w:hAnsiTheme="majorHAnsi" w:cstheme="majorHAnsi"/>
          <w:sz w:val="16"/>
          <w:szCs w:val="16"/>
          <w:lang w:val="ro-MD"/>
        </w:rPr>
        <w:footnoteRef/>
      </w:r>
      <w:r w:rsidRPr="004052A1">
        <w:rPr>
          <w:rFonts w:asciiTheme="majorHAnsi" w:hAnsiTheme="majorHAnsi" w:cstheme="majorHAnsi"/>
          <w:sz w:val="16"/>
          <w:szCs w:val="16"/>
          <w:lang w:val="ro-MD"/>
        </w:rPr>
        <w:t xml:space="preserve"> Contractul nr.031 din 25.01.2019 de prestare a serviciilor informatice.</w:t>
      </w:r>
      <w:r w:rsidRPr="004052A1">
        <w:rPr>
          <w:rFonts w:asciiTheme="majorHAnsi" w:hAnsiTheme="majorHAnsi" w:cstheme="majorHAnsi"/>
          <w:sz w:val="16"/>
          <w:szCs w:val="16"/>
        </w:rPr>
        <w:t xml:space="preserve"> </w:t>
      </w:r>
    </w:p>
  </w:footnote>
  <w:footnote w:id="65">
    <w:p w:rsidR="00E67099" w:rsidRPr="00311C43" w:rsidRDefault="00E67099" w:rsidP="00E67099">
      <w:pPr>
        <w:pStyle w:val="a6"/>
        <w:jc w:val="both"/>
        <w:rPr>
          <w:rFonts w:asciiTheme="majorHAnsi" w:hAnsiTheme="majorHAnsi" w:cstheme="majorHAnsi"/>
          <w:sz w:val="16"/>
          <w:szCs w:val="16"/>
          <w:lang w:val="ro-MD"/>
        </w:rPr>
      </w:pPr>
      <w:r w:rsidRPr="00311C43">
        <w:rPr>
          <w:rStyle w:val="a8"/>
          <w:rFonts w:asciiTheme="majorHAnsi" w:hAnsiTheme="majorHAnsi" w:cstheme="majorHAnsi"/>
          <w:sz w:val="16"/>
          <w:szCs w:val="16"/>
          <w:lang w:val="ro-MD"/>
        </w:rPr>
        <w:footnoteRef/>
      </w:r>
      <w:r w:rsidRPr="00311C43">
        <w:rPr>
          <w:rFonts w:asciiTheme="majorHAnsi" w:hAnsiTheme="majorHAnsi" w:cstheme="majorHAnsi"/>
          <w:sz w:val="16"/>
          <w:szCs w:val="16"/>
          <w:lang w:val="ro-MD"/>
        </w:rPr>
        <w:t xml:space="preserve"> Ordinul MF nr.60 din 08.06.2020 </w:t>
      </w:r>
      <w:r>
        <w:rPr>
          <w:rFonts w:asciiTheme="majorHAnsi" w:hAnsiTheme="majorHAnsi" w:cstheme="majorHAnsi"/>
          <w:sz w:val="16"/>
          <w:szCs w:val="16"/>
          <w:lang w:val="ro-MD"/>
        </w:rPr>
        <w:t>„</w:t>
      </w:r>
      <w:r w:rsidRPr="00311C43">
        <w:rPr>
          <w:rFonts w:asciiTheme="majorHAnsi" w:hAnsiTheme="majorHAnsi" w:cstheme="majorHAnsi"/>
          <w:sz w:val="16"/>
          <w:szCs w:val="16"/>
          <w:lang w:val="ro-MD"/>
        </w:rPr>
        <w:t>Planul de acțiuni privind implementarea recomandărilor misiunii de audit de Securitate cibernetică în cadrul MF cu titlu: Implementarea HG nr.201 din 28.03.2017”.</w:t>
      </w:r>
    </w:p>
  </w:footnote>
  <w:footnote w:id="66">
    <w:p w:rsidR="00E67099" w:rsidRPr="004052A1" w:rsidRDefault="00E67099" w:rsidP="00E67099">
      <w:pPr>
        <w:spacing w:after="0" w:line="240" w:lineRule="auto"/>
        <w:jc w:val="both"/>
        <w:rPr>
          <w:rFonts w:asciiTheme="majorHAnsi" w:hAnsiTheme="majorHAnsi" w:cstheme="majorHAnsi"/>
          <w:sz w:val="16"/>
          <w:szCs w:val="16"/>
          <w:lang w:val="ro-MD"/>
        </w:rPr>
      </w:pPr>
      <w:r w:rsidRPr="004052A1">
        <w:rPr>
          <w:rStyle w:val="a8"/>
          <w:rFonts w:asciiTheme="majorHAnsi" w:hAnsiTheme="majorHAnsi" w:cstheme="majorHAnsi"/>
          <w:sz w:val="16"/>
          <w:szCs w:val="16"/>
        </w:rPr>
        <w:footnoteRef/>
      </w:r>
      <w:r w:rsidRPr="004052A1">
        <w:rPr>
          <w:rFonts w:asciiTheme="majorHAnsi" w:hAnsiTheme="majorHAnsi" w:cstheme="majorHAnsi"/>
          <w:sz w:val="16"/>
          <w:szCs w:val="16"/>
        </w:rPr>
        <w:t xml:space="preserve"> </w:t>
      </w:r>
      <w:r w:rsidRPr="004052A1">
        <w:rPr>
          <w:rFonts w:asciiTheme="majorHAnsi" w:eastAsia="Times New Roman" w:hAnsiTheme="majorHAnsi" w:cstheme="majorHAnsi"/>
          <w:sz w:val="16"/>
          <w:szCs w:val="16"/>
          <w:lang w:val="ro-MD"/>
        </w:rPr>
        <w:t xml:space="preserve">Hotărârea Curții de Conturi nr.44 din 28.05.2019 </w:t>
      </w:r>
      <w:r>
        <w:rPr>
          <w:rFonts w:asciiTheme="majorHAnsi" w:eastAsia="Times New Roman" w:hAnsiTheme="majorHAnsi" w:cstheme="majorHAnsi"/>
          <w:sz w:val="16"/>
          <w:szCs w:val="16"/>
          <w:lang w:val="ro-MD"/>
        </w:rPr>
        <w:t>„C</w:t>
      </w:r>
      <w:r w:rsidRPr="004052A1">
        <w:rPr>
          <w:rFonts w:asciiTheme="majorHAnsi" w:eastAsia="Times New Roman" w:hAnsiTheme="majorHAnsi" w:cstheme="majorHAnsi"/>
          <w:sz w:val="16"/>
          <w:szCs w:val="16"/>
          <w:lang w:val="ro-MD"/>
        </w:rPr>
        <w:t>u privire la Raportul auditului financiar al Raportului Guvernului privind executarea bugetului de stat pe anul 2018</w:t>
      </w:r>
      <w:r w:rsidRPr="004052A1">
        <w:rPr>
          <w:rFonts w:asciiTheme="majorHAnsi" w:eastAsia="Times New Roman" w:hAnsiTheme="majorHAnsi" w:cstheme="majorHAnsi"/>
          <w:i/>
          <w:iCs/>
          <w:sz w:val="16"/>
          <w:szCs w:val="16"/>
          <w:lang w:val="ro-MD"/>
        </w:rPr>
        <w:t>”</w:t>
      </w:r>
      <w:r>
        <w:rPr>
          <w:rFonts w:asciiTheme="majorHAnsi" w:eastAsia="Times New Roman" w:hAnsiTheme="majorHAnsi" w:cstheme="majorHAnsi"/>
          <w:i/>
          <w:iCs/>
          <w:sz w:val="16"/>
          <w:szCs w:val="16"/>
          <w:lang w:val="ro-MD"/>
        </w:rPr>
        <w:t>.</w:t>
      </w:r>
    </w:p>
    <w:p w:rsidR="00E67099" w:rsidRPr="004052A1" w:rsidRDefault="00E67099" w:rsidP="00E67099">
      <w:pPr>
        <w:pStyle w:val="a6"/>
        <w:rPr>
          <w:lang w:val="ro-MD"/>
        </w:rPr>
      </w:pPr>
    </w:p>
  </w:footnote>
  <w:footnote w:id="67">
    <w:p w:rsidR="00E67099" w:rsidRPr="00F84612" w:rsidRDefault="00E67099" w:rsidP="00E67099">
      <w:pPr>
        <w:pStyle w:val="a6"/>
        <w:jc w:val="both"/>
        <w:rPr>
          <w:rFonts w:asciiTheme="majorHAnsi" w:hAnsiTheme="majorHAnsi" w:cstheme="majorHAnsi"/>
          <w:sz w:val="16"/>
          <w:szCs w:val="16"/>
        </w:rPr>
      </w:pPr>
      <w:r w:rsidRPr="00F84612">
        <w:rPr>
          <w:rStyle w:val="a8"/>
          <w:rFonts w:asciiTheme="majorHAnsi" w:hAnsiTheme="majorHAnsi" w:cstheme="majorHAnsi"/>
          <w:sz w:val="16"/>
          <w:szCs w:val="16"/>
          <w:lang w:val="ro-MD"/>
        </w:rPr>
        <w:footnoteRef/>
      </w:r>
      <w:r w:rsidRPr="00F84612">
        <w:rPr>
          <w:rFonts w:asciiTheme="majorHAnsi" w:hAnsiTheme="majorHAnsi" w:cstheme="majorHAnsi"/>
          <w:sz w:val="16"/>
          <w:szCs w:val="16"/>
          <w:lang w:val="ro-MD"/>
        </w:rPr>
        <w:t xml:space="preserve"> HG nr.851 din 20.08.2018 </w:t>
      </w:r>
      <w:r>
        <w:rPr>
          <w:rFonts w:asciiTheme="majorHAnsi" w:hAnsiTheme="majorHAnsi" w:cstheme="majorHAnsi"/>
          <w:sz w:val="16"/>
          <w:szCs w:val="16"/>
          <w:lang w:val="ro-MD"/>
        </w:rPr>
        <w:t>„C</w:t>
      </w:r>
      <w:r w:rsidRPr="00F84612">
        <w:rPr>
          <w:rFonts w:asciiTheme="majorHAnsi" w:hAnsiTheme="majorHAnsi" w:cstheme="majorHAnsi"/>
          <w:sz w:val="16"/>
          <w:szCs w:val="16"/>
          <w:lang w:val="ro-MD"/>
        </w:rPr>
        <w:t>u privire la aprobarea Cadrului bugetar pe termen mediu (2019-2021)</w:t>
      </w:r>
      <w:r>
        <w:rPr>
          <w:rFonts w:asciiTheme="majorHAnsi" w:hAnsiTheme="majorHAnsi" w:cstheme="majorHAnsi"/>
          <w:sz w:val="16"/>
          <w:szCs w:val="16"/>
          <w:lang w:val="ro-MD"/>
        </w:rPr>
        <w:t>”</w:t>
      </w:r>
      <w:r w:rsidRPr="00F84612">
        <w:rPr>
          <w:rFonts w:asciiTheme="majorHAnsi" w:hAnsiTheme="majorHAnsi" w:cstheme="majorHAnsi"/>
          <w:sz w:val="16"/>
          <w:szCs w:val="16"/>
          <w:lang w:val="ro-MD"/>
        </w:rPr>
        <w:t xml:space="preserve"> (prezentarea de către MF la Guvern </w:t>
      </w:r>
      <w:r>
        <w:rPr>
          <w:rFonts w:asciiTheme="majorHAnsi" w:hAnsiTheme="majorHAnsi" w:cstheme="majorHAnsi"/>
          <w:sz w:val="16"/>
          <w:szCs w:val="16"/>
          <w:lang w:val="ro-MD"/>
        </w:rPr>
        <w:t>pe</w:t>
      </w:r>
      <w:r w:rsidRPr="00F84612">
        <w:rPr>
          <w:rFonts w:asciiTheme="majorHAnsi" w:hAnsiTheme="majorHAnsi" w:cstheme="majorHAnsi"/>
          <w:sz w:val="16"/>
          <w:szCs w:val="16"/>
          <w:lang w:val="ro-MD"/>
        </w:rPr>
        <w:t xml:space="preserve"> 15 mai, aprobarea de către Guvern – 1 iunie)</w:t>
      </w:r>
      <w:r>
        <w:rPr>
          <w:rFonts w:asciiTheme="majorHAnsi" w:hAnsiTheme="majorHAnsi" w:cstheme="majorHAnsi"/>
          <w:sz w:val="16"/>
          <w:szCs w:val="16"/>
          <w:lang w:val="ro-MD"/>
        </w:rPr>
        <w:t>.</w:t>
      </w:r>
    </w:p>
  </w:footnote>
  <w:footnote w:id="68">
    <w:p w:rsidR="00E67099" w:rsidRPr="00F84612" w:rsidRDefault="00E67099" w:rsidP="00E67099">
      <w:pPr>
        <w:pStyle w:val="a6"/>
        <w:jc w:val="both"/>
        <w:rPr>
          <w:rFonts w:ascii="Times New Roman" w:hAnsi="Times New Roman" w:cs="Times New Roman"/>
          <w:sz w:val="16"/>
          <w:szCs w:val="16"/>
          <w:lang w:val="ro-MD"/>
        </w:rPr>
      </w:pPr>
      <w:r w:rsidRPr="00F84612">
        <w:rPr>
          <w:rStyle w:val="a8"/>
          <w:rFonts w:asciiTheme="majorHAnsi" w:hAnsiTheme="majorHAnsi" w:cstheme="majorHAnsi"/>
          <w:sz w:val="16"/>
          <w:szCs w:val="16"/>
        </w:rPr>
        <w:footnoteRef/>
      </w:r>
      <w:r w:rsidRPr="00F84612">
        <w:rPr>
          <w:rFonts w:asciiTheme="majorHAnsi" w:hAnsiTheme="majorHAnsi" w:cstheme="majorHAnsi"/>
          <w:sz w:val="16"/>
          <w:szCs w:val="16"/>
        </w:rPr>
        <w:t xml:space="preserve"> </w:t>
      </w:r>
      <w:r w:rsidRPr="00F84612">
        <w:rPr>
          <w:rFonts w:asciiTheme="majorHAnsi" w:hAnsiTheme="majorHAnsi" w:cstheme="majorHAnsi"/>
          <w:sz w:val="16"/>
          <w:szCs w:val="16"/>
          <w:lang w:val="ro-MD"/>
        </w:rPr>
        <w:t xml:space="preserve">Pct.286, pct.218 din Ordinul MF nr.209 din 24.12.2015 </w:t>
      </w:r>
      <w:r>
        <w:rPr>
          <w:rFonts w:asciiTheme="majorHAnsi" w:hAnsiTheme="majorHAnsi" w:cstheme="majorHAnsi"/>
          <w:sz w:val="16"/>
          <w:szCs w:val="16"/>
          <w:lang w:val="ro-MD"/>
        </w:rPr>
        <w:t>„C</w:t>
      </w:r>
      <w:r w:rsidRPr="00F84612">
        <w:rPr>
          <w:rFonts w:asciiTheme="majorHAnsi" w:hAnsiTheme="majorHAnsi" w:cstheme="majorHAnsi"/>
          <w:sz w:val="16"/>
          <w:szCs w:val="16"/>
          <w:lang w:val="ro-MD"/>
        </w:rPr>
        <w:t>u privire la aprobarea Setului metodologic privind elaborarea, aprobarea și modificarea bugetului</w:t>
      </w:r>
      <w:r>
        <w:rPr>
          <w:rFonts w:asciiTheme="majorHAnsi" w:hAnsiTheme="majorHAnsi" w:cstheme="majorHAnsi"/>
          <w:sz w:val="16"/>
          <w:szCs w:val="16"/>
          <w:lang w:val="ro-MD"/>
        </w:rPr>
        <w:t>”</w:t>
      </w:r>
      <w:r w:rsidRPr="00F84612">
        <w:rPr>
          <w:rFonts w:asciiTheme="majorHAnsi" w:hAnsiTheme="majorHAnsi" w:cstheme="majorHAnsi"/>
          <w:sz w:val="16"/>
          <w:szCs w:val="16"/>
          <w:lang w:val="ro-MD"/>
        </w:rPr>
        <w:t>.</w:t>
      </w:r>
    </w:p>
  </w:footnote>
  <w:footnote w:id="69">
    <w:p w:rsidR="00E67099" w:rsidRPr="00F91D32" w:rsidRDefault="00E67099" w:rsidP="00E67099">
      <w:pPr>
        <w:pStyle w:val="a6"/>
        <w:jc w:val="both"/>
        <w:rPr>
          <w:rFonts w:asciiTheme="majorHAnsi" w:hAnsiTheme="majorHAnsi" w:cstheme="majorHAnsi"/>
          <w:sz w:val="18"/>
          <w:szCs w:val="18"/>
          <w:lang w:val="ro-MD"/>
        </w:rPr>
      </w:pPr>
      <w:r w:rsidRPr="00F84612">
        <w:rPr>
          <w:rStyle w:val="a8"/>
          <w:rFonts w:asciiTheme="majorHAnsi" w:hAnsiTheme="majorHAnsi" w:cstheme="majorHAnsi"/>
          <w:sz w:val="16"/>
          <w:szCs w:val="16"/>
          <w:lang w:val="ro-MD"/>
        </w:rPr>
        <w:footnoteRef/>
      </w:r>
      <w:r w:rsidRPr="00F84612">
        <w:rPr>
          <w:rFonts w:asciiTheme="majorHAnsi" w:hAnsiTheme="majorHAnsi" w:cstheme="majorHAnsi"/>
          <w:sz w:val="16"/>
          <w:szCs w:val="16"/>
          <w:lang w:val="ro-MD"/>
        </w:rPr>
        <w:t xml:space="preserve"> Art. 51</w:t>
      </w:r>
      <w:r w:rsidRPr="00F84612">
        <w:rPr>
          <w:rFonts w:asciiTheme="majorHAnsi" w:hAnsiTheme="majorHAnsi" w:cstheme="majorHAnsi"/>
          <w:sz w:val="16"/>
          <w:szCs w:val="16"/>
          <w:vertAlign w:val="superscript"/>
          <w:lang w:val="ro-MD"/>
        </w:rPr>
        <w:t xml:space="preserve"> </w:t>
      </w:r>
      <w:r w:rsidRPr="00F84612">
        <w:rPr>
          <w:rFonts w:asciiTheme="majorHAnsi" w:hAnsiTheme="majorHAnsi" w:cstheme="majorHAnsi"/>
          <w:sz w:val="16"/>
          <w:szCs w:val="16"/>
          <w:lang w:val="ro-MD"/>
        </w:rPr>
        <w:t>alin.(5), art.52 din Legea nr.181 din 25.07.2014</w:t>
      </w:r>
      <w:r>
        <w:rPr>
          <w:rFonts w:asciiTheme="majorHAnsi" w:hAnsiTheme="majorHAnsi" w:cstheme="majorHAnsi"/>
          <w:sz w:val="16"/>
          <w:szCs w:val="16"/>
          <w:lang w:val="ro-MD"/>
        </w:rPr>
        <w:t>;p</w:t>
      </w:r>
      <w:r w:rsidRPr="00F84612">
        <w:rPr>
          <w:rFonts w:asciiTheme="majorHAnsi" w:hAnsiTheme="majorHAnsi" w:cstheme="majorHAnsi"/>
          <w:sz w:val="16"/>
          <w:szCs w:val="16"/>
          <w:lang w:val="ro-MD"/>
        </w:rPr>
        <w:t>Pct.61 din Ordinul MF nr.209 din 24.12.2015.</w:t>
      </w:r>
    </w:p>
  </w:footnote>
  <w:footnote w:id="70">
    <w:p w:rsidR="00E67099" w:rsidRPr="0024166D" w:rsidRDefault="00E67099" w:rsidP="00E67099">
      <w:pPr>
        <w:pStyle w:val="a6"/>
        <w:jc w:val="both"/>
        <w:rPr>
          <w:rFonts w:asciiTheme="majorHAnsi" w:hAnsiTheme="majorHAnsi" w:cstheme="majorHAnsi"/>
          <w:sz w:val="16"/>
          <w:szCs w:val="16"/>
          <w:lang w:val="ro-MD"/>
        </w:rPr>
      </w:pPr>
      <w:r w:rsidRPr="0024166D">
        <w:rPr>
          <w:rStyle w:val="a8"/>
          <w:rFonts w:asciiTheme="majorHAnsi" w:hAnsiTheme="majorHAnsi" w:cstheme="majorHAnsi"/>
          <w:sz w:val="16"/>
          <w:szCs w:val="16"/>
          <w:lang w:val="ro-MD"/>
        </w:rPr>
        <w:footnoteRef/>
      </w:r>
      <w:r w:rsidRPr="0024166D">
        <w:rPr>
          <w:rFonts w:asciiTheme="majorHAnsi" w:hAnsiTheme="majorHAnsi" w:cstheme="majorHAnsi"/>
          <w:sz w:val="16"/>
          <w:szCs w:val="16"/>
          <w:lang w:val="ro-MD"/>
        </w:rPr>
        <w:t xml:space="preserve"> HG nr.1092 din 08.11.2018 „</w:t>
      </w:r>
      <w:r>
        <w:rPr>
          <w:rFonts w:asciiTheme="majorHAnsi" w:hAnsiTheme="majorHAnsi" w:cstheme="majorHAnsi"/>
          <w:sz w:val="16"/>
          <w:szCs w:val="16"/>
          <w:lang w:val="ro-MD"/>
        </w:rPr>
        <w:t>P</w:t>
      </w:r>
      <w:r w:rsidRPr="0024166D">
        <w:rPr>
          <w:rFonts w:asciiTheme="majorHAnsi" w:hAnsiTheme="majorHAnsi" w:cstheme="majorHAnsi"/>
          <w:sz w:val="16"/>
          <w:szCs w:val="16"/>
          <w:lang w:val="ro-MD"/>
        </w:rPr>
        <w:t>rivind aprobarea proiectului legii bugetului de stat pentru anul 2019” (prezentarea de către MF la Guvern – 15 septembrie, prezentarea de către Guvern la Parlament – 15 octombrie)</w:t>
      </w:r>
      <w:r>
        <w:rPr>
          <w:rFonts w:asciiTheme="majorHAnsi" w:hAnsiTheme="majorHAnsi" w:cstheme="majorHAnsi"/>
          <w:sz w:val="16"/>
          <w:szCs w:val="16"/>
          <w:lang w:val="ro-MD"/>
        </w:rPr>
        <w:t>.</w:t>
      </w:r>
    </w:p>
  </w:footnote>
  <w:footnote w:id="71">
    <w:p w:rsidR="00E67099" w:rsidRPr="0024166D" w:rsidRDefault="00E67099" w:rsidP="00E67099">
      <w:pPr>
        <w:pStyle w:val="a6"/>
        <w:jc w:val="both"/>
        <w:rPr>
          <w:rFonts w:asciiTheme="majorHAnsi" w:hAnsiTheme="majorHAnsi" w:cstheme="majorHAnsi"/>
          <w:sz w:val="16"/>
          <w:szCs w:val="16"/>
          <w:lang w:val="ro-MD"/>
        </w:rPr>
      </w:pPr>
      <w:r w:rsidRPr="0024166D">
        <w:rPr>
          <w:rStyle w:val="a8"/>
          <w:rFonts w:asciiTheme="majorHAnsi" w:hAnsiTheme="majorHAnsi" w:cstheme="majorHAnsi"/>
          <w:sz w:val="16"/>
          <w:szCs w:val="16"/>
          <w:lang w:val="ro-MD"/>
        </w:rPr>
        <w:footnoteRef/>
      </w:r>
      <w:r w:rsidRPr="0024166D">
        <w:rPr>
          <w:rFonts w:asciiTheme="majorHAnsi" w:hAnsiTheme="majorHAnsi" w:cstheme="majorHAnsi"/>
          <w:sz w:val="16"/>
          <w:szCs w:val="16"/>
          <w:lang w:val="ro-MD"/>
        </w:rPr>
        <w:t xml:space="preserve"> Legea bugetului de stat pentru anul 2019.</w:t>
      </w:r>
    </w:p>
  </w:footnote>
  <w:footnote w:id="72">
    <w:p w:rsidR="00E67099" w:rsidRPr="0022036D" w:rsidRDefault="00E67099" w:rsidP="00E67099">
      <w:pPr>
        <w:pStyle w:val="a6"/>
        <w:rPr>
          <w:rFonts w:asciiTheme="majorHAnsi" w:hAnsiTheme="majorHAnsi" w:cstheme="majorHAnsi"/>
          <w:sz w:val="16"/>
          <w:szCs w:val="16"/>
          <w:lang w:val="ro-MD"/>
        </w:rPr>
      </w:pPr>
      <w:r w:rsidRPr="0022036D">
        <w:rPr>
          <w:rStyle w:val="a8"/>
          <w:rFonts w:asciiTheme="majorHAnsi" w:hAnsiTheme="majorHAnsi" w:cstheme="majorHAnsi"/>
          <w:sz w:val="16"/>
          <w:szCs w:val="16"/>
          <w:lang w:val="ro-MD"/>
        </w:rPr>
        <w:footnoteRef/>
      </w:r>
      <w:r w:rsidRPr="0022036D">
        <w:rPr>
          <w:rFonts w:asciiTheme="majorHAnsi" w:hAnsiTheme="majorHAnsi" w:cstheme="majorHAnsi"/>
          <w:sz w:val="16"/>
          <w:szCs w:val="16"/>
          <w:lang w:val="ro-MD"/>
        </w:rPr>
        <w:t xml:space="preserve"> Art.61 alin. (5) din Legea nr.181 din 25.07.2014.</w:t>
      </w:r>
    </w:p>
  </w:footnote>
  <w:footnote w:id="73">
    <w:p w:rsidR="00E67099" w:rsidRPr="006B34E0" w:rsidRDefault="00E67099" w:rsidP="00E67099">
      <w:pPr>
        <w:pStyle w:val="a6"/>
        <w:jc w:val="both"/>
        <w:rPr>
          <w:rFonts w:asciiTheme="majorHAnsi" w:hAnsiTheme="majorHAnsi" w:cstheme="majorHAnsi"/>
          <w:sz w:val="16"/>
          <w:szCs w:val="16"/>
          <w:lang w:val="ro-MD"/>
        </w:rPr>
      </w:pPr>
      <w:r w:rsidRPr="006B34E0">
        <w:rPr>
          <w:rStyle w:val="a8"/>
          <w:rFonts w:asciiTheme="majorHAnsi" w:hAnsiTheme="majorHAnsi" w:cstheme="majorHAnsi"/>
          <w:sz w:val="16"/>
          <w:szCs w:val="16"/>
          <w:lang w:val="ro-MD"/>
        </w:rPr>
        <w:footnoteRef/>
      </w:r>
      <w:r w:rsidRPr="006B34E0">
        <w:rPr>
          <w:rFonts w:asciiTheme="majorHAnsi" w:hAnsiTheme="majorHAnsi" w:cstheme="majorHAnsi"/>
          <w:sz w:val="16"/>
          <w:szCs w:val="16"/>
          <w:lang w:val="ro-MD"/>
        </w:rPr>
        <w:t xml:space="preserve"> Ordinul MF nr.8 din 15.01.2020 </w:t>
      </w:r>
      <w:r>
        <w:rPr>
          <w:rFonts w:asciiTheme="majorHAnsi" w:hAnsiTheme="majorHAnsi" w:cstheme="majorHAnsi"/>
          <w:sz w:val="16"/>
          <w:szCs w:val="16"/>
          <w:lang w:val="ro-MD"/>
        </w:rPr>
        <w:t>„C</w:t>
      </w:r>
      <w:r w:rsidRPr="006B34E0">
        <w:rPr>
          <w:rFonts w:asciiTheme="majorHAnsi" w:hAnsiTheme="majorHAnsi" w:cstheme="majorHAnsi"/>
          <w:sz w:val="16"/>
          <w:szCs w:val="16"/>
          <w:lang w:val="ro-MD"/>
        </w:rPr>
        <w:t>u privire la modificarea Normelor metodologice privind executarea de casă a bugetelor componente ale bugetului public național și a mijloacelor extrabugetare prin sistemul trezorerial al Ministerului Finanțelor”.</w:t>
      </w:r>
    </w:p>
  </w:footnote>
  <w:footnote w:id="74">
    <w:p w:rsidR="00E67099" w:rsidRPr="004D1FBD" w:rsidRDefault="00E67099" w:rsidP="00E67099">
      <w:pPr>
        <w:pStyle w:val="a6"/>
        <w:jc w:val="both"/>
        <w:rPr>
          <w:rFonts w:asciiTheme="majorHAnsi" w:hAnsiTheme="majorHAnsi" w:cstheme="majorHAnsi"/>
          <w:sz w:val="18"/>
          <w:szCs w:val="18"/>
          <w:lang w:val="ro-MD"/>
        </w:rPr>
      </w:pPr>
      <w:r w:rsidRPr="0048372A">
        <w:rPr>
          <w:rStyle w:val="a8"/>
          <w:rFonts w:asciiTheme="majorHAnsi" w:hAnsiTheme="majorHAnsi" w:cstheme="majorHAnsi"/>
          <w:sz w:val="16"/>
          <w:szCs w:val="16"/>
        </w:rPr>
        <w:footnoteRef/>
      </w:r>
      <w:r w:rsidRPr="0048372A">
        <w:rPr>
          <w:rFonts w:asciiTheme="majorHAnsi" w:hAnsiTheme="majorHAnsi" w:cstheme="majorHAnsi"/>
          <w:sz w:val="16"/>
          <w:szCs w:val="16"/>
        </w:rPr>
        <w:t xml:space="preserve"> </w:t>
      </w:r>
      <w:r w:rsidRPr="0048372A">
        <w:rPr>
          <w:rFonts w:asciiTheme="majorHAnsi" w:hAnsiTheme="majorHAnsi" w:cstheme="majorHAnsi"/>
          <w:sz w:val="16"/>
          <w:szCs w:val="16"/>
          <w:lang w:val="ro-MD"/>
        </w:rPr>
        <w:t>Legea nr.180 din 26.07.2018 privind declararea voluntară și stimularea fiscală.</w:t>
      </w:r>
    </w:p>
  </w:footnote>
  <w:footnote w:id="75">
    <w:p w:rsidR="00E67099" w:rsidRPr="00220455" w:rsidRDefault="00E67099" w:rsidP="00E67099">
      <w:pPr>
        <w:pStyle w:val="a6"/>
        <w:jc w:val="both"/>
        <w:rPr>
          <w:rFonts w:asciiTheme="majorHAnsi" w:hAnsiTheme="majorHAnsi" w:cstheme="majorHAnsi"/>
          <w:sz w:val="16"/>
          <w:szCs w:val="16"/>
          <w:lang w:val="ro-RO"/>
        </w:rPr>
      </w:pPr>
      <w:r w:rsidRPr="00220455">
        <w:rPr>
          <w:rStyle w:val="a8"/>
          <w:rFonts w:asciiTheme="majorHAnsi" w:hAnsiTheme="majorHAnsi" w:cstheme="majorHAnsi"/>
          <w:sz w:val="16"/>
          <w:szCs w:val="16"/>
          <w:lang w:val="ro-RO"/>
        </w:rPr>
        <w:footnoteRef/>
      </w:r>
      <w:r w:rsidRPr="00220455">
        <w:rPr>
          <w:rFonts w:asciiTheme="majorHAnsi" w:hAnsiTheme="majorHAnsi" w:cstheme="majorHAnsi"/>
          <w:sz w:val="16"/>
          <w:szCs w:val="16"/>
          <w:lang w:val="ro-RO"/>
        </w:rPr>
        <w:t xml:space="preserve">Ordinul </w:t>
      </w:r>
      <w:r w:rsidRPr="002D0833">
        <w:rPr>
          <w:rFonts w:asciiTheme="majorHAnsi" w:hAnsiTheme="majorHAnsi" w:cstheme="majorHAnsi"/>
          <w:sz w:val="16"/>
          <w:szCs w:val="16"/>
          <w:lang w:val="ro-RO"/>
        </w:rPr>
        <w:t>nr. 103 din 09.12.2005</w:t>
      </w:r>
      <w:r>
        <w:rPr>
          <w:rFonts w:asciiTheme="majorHAnsi" w:hAnsiTheme="majorHAnsi" w:cstheme="majorHAnsi"/>
          <w:sz w:val="16"/>
          <w:szCs w:val="16"/>
          <w:lang w:val="ro-RO"/>
        </w:rPr>
        <w:t xml:space="preserve"> al </w:t>
      </w:r>
      <w:r w:rsidRPr="00220455">
        <w:rPr>
          <w:rFonts w:asciiTheme="majorHAnsi" w:hAnsiTheme="majorHAnsi" w:cstheme="majorHAnsi"/>
          <w:sz w:val="16"/>
          <w:szCs w:val="16"/>
          <w:lang w:val="ro-RO"/>
        </w:rPr>
        <w:t xml:space="preserve">MF </w:t>
      </w:r>
      <w:r>
        <w:rPr>
          <w:rFonts w:asciiTheme="majorHAnsi" w:hAnsiTheme="majorHAnsi" w:cstheme="majorHAnsi"/>
          <w:sz w:val="16"/>
          <w:szCs w:val="16"/>
          <w:lang w:val="ro-RO"/>
        </w:rPr>
        <w:t>„C</w:t>
      </w:r>
      <w:r w:rsidRPr="00220455">
        <w:rPr>
          <w:rFonts w:asciiTheme="majorHAnsi" w:hAnsiTheme="majorHAnsi" w:cstheme="majorHAnsi"/>
          <w:sz w:val="16"/>
          <w:szCs w:val="16"/>
          <w:lang w:val="ro-RO"/>
        </w:rPr>
        <w:t>u privire la reglementarea înscrierilor în conturile personale ale contribuabililor</w:t>
      </w:r>
      <w:r>
        <w:rPr>
          <w:rFonts w:asciiTheme="majorHAnsi" w:hAnsiTheme="majorHAnsi" w:cstheme="majorHAnsi"/>
          <w:sz w:val="16"/>
          <w:szCs w:val="16"/>
          <w:lang w:val="ro-RO"/>
        </w:rPr>
        <w:t>”.</w:t>
      </w:r>
    </w:p>
  </w:footnote>
  <w:footnote w:id="76">
    <w:p w:rsidR="00E67099" w:rsidRPr="00220455" w:rsidRDefault="00E67099" w:rsidP="00E67099">
      <w:pPr>
        <w:pStyle w:val="a6"/>
        <w:jc w:val="both"/>
        <w:rPr>
          <w:rFonts w:asciiTheme="majorHAnsi" w:hAnsiTheme="majorHAnsi" w:cstheme="majorHAnsi"/>
          <w:sz w:val="16"/>
          <w:szCs w:val="16"/>
          <w:lang w:val="ro-RO"/>
        </w:rPr>
      </w:pPr>
      <w:r w:rsidRPr="00220455">
        <w:rPr>
          <w:rStyle w:val="a8"/>
          <w:rFonts w:asciiTheme="majorHAnsi" w:hAnsiTheme="majorHAnsi" w:cstheme="majorHAnsi"/>
          <w:sz w:val="16"/>
          <w:szCs w:val="16"/>
          <w:lang w:val="ro-RO"/>
        </w:rPr>
        <w:footnoteRef/>
      </w:r>
      <w:r w:rsidRPr="00220455">
        <w:rPr>
          <w:rFonts w:asciiTheme="majorHAnsi" w:hAnsiTheme="majorHAnsi" w:cstheme="majorHAnsi"/>
          <w:sz w:val="16"/>
          <w:szCs w:val="16"/>
          <w:lang w:val="ro-RO"/>
        </w:rPr>
        <w:t xml:space="preserve"> Ordinele interne ale SFS nr.691 din 20.12.2018 și nr.608 din 27.12. 2019 „Cu privire la aprobarea sistemului de raportare din cadrul SFS”.</w:t>
      </w:r>
    </w:p>
  </w:footnote>
  <w:footnote w:id="77">
    <w:p w:rsidR="00E67099" w:rsidRPr="00220455" w:rsidRDefault="00E67099" w:rsidP="00E67099">
      <w:pPr>
        <w:pStyle w:val="a6"/>
        <w:jc w:val="both"/>
        <w:rPr>
          <w:rFonts w:asciiTheme="majorHAnsi" w:hAnsiTheme="majorHAnsi" w:cstheme="majorHAnsi"/>
          <w:sz w:val="16"/>
          <w:szCs w:val="16"/>
          <w:lang w:val="ro-RO"/>
        </w:rPr>
      </w:pPr>
      <w:r w:rsidRPr="00220455">
        <w:rPr>
          <w:rStyle w:val="a8"/>
          <w:rFonts w:asciiTheme="majorHAnsi" w:hAnsiTheme="majorHAnsi" w:cstheme="majorHAnsi"/>
          <w:sz w:val="16"/>
          <w:szCs w:val="16"/>
          <w:lang w:val="ro-RO"/>
        </w:rPr>
        <w:footnoteRef/>
      </w:r>
      <w:r w:rsidRPr="00220455">
        <w:rPr>
          <w:rFonts w:asciiTheme="majorHAnsi" w:hAnsiTheme="majorHAnsi" w:cstheme="majorHAnsi"/>
          <w:sz w:val="16"/>
          <w:szCs w:val="16"/>
          <w:lang w:val="ro-RO"/>
        </w:rPr>
        <w:t xml:space="preserve"> </w:t>
      </w:r>
      <w:r w:rsidRPr="00A90F6C">
        <w:rPr>
          <w:rFonts w:asciiTheme="majorHAnsi" w:hAnsiTheme="majorHAnsi" w:cstheme="majorHAnsi"/>
          <w:sz w:val="16"/>
          <w:szCs w:val="16"/>
          <w:lang w:val="ro-RO"/>
        </w:rPr>
        <w:t>S-au calculat și majorări de întârziere în valoare de 0,4 mil. lei.</w:t>
      </w:r>
    </w:p>
  </w:footnote>
  <w:footnote w:id="78">
    <w:p w:rsidR="00E67099" w:rsidRPr="00220455" w:rsidRDefault="00E67099" w:rsidP="00E67099">
      <w:pPr>
        <w:pStyle w:val="a6"/>
        <w:jc w:val="both"/>
        <w:rPr>
          <w:rFonts w:asciiTheme="majorHAnsi" w:hAnsiTheme="majorHAnsi" w:cstheme="majorHAnsi"/>
          <w:sz w:val="16"/>
          <w:szCs w:val="16"/>
          <w:lang w:val="ro-RO"/>
        </w:rPr>
      </w:pPr>
      <w:r w:rsidRPr="00220455">
        <w:rPr>
          <w:rStyle w:val="a8"/>
          <w:rFonts w:asciiTheme="majorHAnsi" w:hAnsiTheme="majorHAnsi" w:cstheme="majorHAnsi"/>
          <w:sz w:val="16"/>
          <w:szCs w:val="16"/>
          <w:lang w:val="ro-RO"/>
        </w:rPr>
        <w:footnoteRef/>
      </w:r>
      <w:r w:rsidRPr="00220455">
        <w:rPr>
          <w:rFonts w:asciiTheme="majorHAnsi" w:hAnsiTheme="majorHAnsi" w:cstheme="majorHAnsi"/>
          <w:sz w:val="16"/>
          <w:szCs w:val="16"/>
          <w:lang w:val="ro-RO"/>
        </w:rPr>
        <w:t xml:space="preserve"> </w:t>
      </w:r>
      <w:r>
        <w:rPr>
          <w:rFonts w:asciiTheme="majorHAnsi" w:hAnsiTheme="majorHAnsi" w:cstheme="majorHAnsi"/>
          <w:sz w:val="16"/>
          <w:szCs w:val="16"/>
          <w:lang w:val="ro-RO"/>
        </w:rPr>
        <w:t>„</w:t>
      </w:r>
      <w:r w:rsidRPr="00220455">
        <w:rPr>
          <w:rFonts w:asciiTheme="majorHAnsi" w:hAnsiTheme="majorHAnsi" w:cstheme="majorHAnsi"/>
          <w:sz w:val="16"/>
          <w:szCs w:val="16"/>
          <w:lang w:val="ro-RO"/>
        </w:rPr>
        <w:t xml:space="preserve">Accounting” din SIIV </w:t>
      </w:r>
      <w:r>
        <w:rPr>
          <w:rFonts w:asciiTheme="majorHAnsi" w:hAnsiTheme="majorHAnsi" w:cstheme="majorHAnsi"/>
          <w:sz w:val="16"/>
          <w:szCs w:val="16"/>
          <w:lang w:val="ro-RO"/>
        </w:rPr>
        <w:t>„</w:t>
      </w:r>
      <w:r w:rsidRPr="00220455">
        <w:rPr>
          <w:rFonts w:asciiTheme="majorHAnsi" w:hAnsiTheme="majorHAnsi" w:cstheme="majorHAnsi"/>
          <w:sz w:val="16"/>
          <w:szCs w:val="16"/>
          <w:lang w:val="ro-RO"/>
        </w:rPr>
        <w:t>Asycuda World”</w:t>
      </w:r>
      <w:r>
        <w:rPr>
          <w:rFonts w:asciiTheme="majorHAnsi" w:hAnsiTheme="majorHAnsi" w:cstheme="majorHAnsi"/>
          <w:sz w:val="16"/>
          <w:szCs w:val="16"/>
          <w:lang w:val="ro-RO"/>
        </w:rPr>
        <w:t>.</w:t>
      </w:r>
    </w:p>
  </w:footnote>
  <w:footnote w:id="79">
    <w:p w:rsidR="00E67099" w:rsidRPr="000A0AF7" w:rsidRDefault="00E67099" w:rsidP="00E67099">
      <w:pPr>
        <w:pStyle w:val="a6"/>
        <w:jc w:val="both"/>
        <w:rPr>
          <w:rFonts w:asciiTheme="majorHAnsi" w:hAnsiTheme="majorHAnsi" w:cstheme="majorHAnsi"/>
          <w:sz w:val="16"/>
          <w:szCs w:val="16"/>
          <w:lang w:val="ro-MD"/>
        </w:rPr>
      </w:pPr>
      <w:r w:rsidRPr="000A0AF7">
        <w:rPr>
          <w:rStyle w:val="a8"/>
          <w:rFonts w:asciiTheme="majorHAnsi" w:hAnsiTheme="majorHAnsi" w:cstheme="majorHAnsi"/>
          <w:sz w:val="16"/>
          <w:szCs w:val="16"/>
          <w:lang w:val="ro-MD"/>
        </w:rPr>
        <w:footnoteRef/>
      </w:r>
      <w:r w:rsidRPr="000A0AF7">
        <w:rPr>
          <w:rFonts w:asciiTheme="majorHAnsi" w:hAnsiTheme="majorHAnsi" w:cstheme="majorHAnsi"/>
          <w:sz w:val="16"/>
          <w:szCs w:val="16"/>
          <w:lang w:val="ro-MD"/>
        </w:rPr>
        <w:t xml:space="preserve"> Legea nr.208 din 17.11.2016 privind modificarea și completarea Codului contravențional al R</w:t>
      </w:r>
      <w:r>
        <w:rPr>
          <w:rFonts w:asciiTheme="majorHAnsi" w:hAnsiTheme="majorHAnsi" w:cstheme="majorHAnsi"/>
          <w:sz w:val="16"/>
          <w:szCs w:val="16"/>
          <w:lang w:val="ro-MD"/>
        </w:rPr>
        <w:t xml:space="preserve">epublicii </w:t>
      </w:r>
      <w:r w:rsidRPr="000A0AF7">
        <w:rPr>
          <w:rFonts w:asciiTheme="majorHAnsi" w:hAnsiTheme="majorHAnsi" w:cstheme="majorHAnsi"/>
          <w:sz w:val="16"/>
          <w:szCs w:val="16"/>
          <w:lang w:val="ro-MD"/>
        </w:rPr>
        <w:t>M</w:t>
      </w:r>
      <w:r>
        <w:rPr>
          <w:rFonts w:asciiTheme="majorHAnsi" w:hAnsiTheme="majorHAnsi" w:cstheme="majorHAnsi"/>
          <w:sz w:val="16"/>
          <w:szCs w:val="16"/>
          <w:lang w:val="ro-MD"/>
        </w:rPr>
        <w:t>oldova</w:t>
      </w:r>
      <w:r w:rsidRPr="000A0AF7">
        <w:rPr>
          <w:rFonts w:asciiTheme="majorHAnsi" w:hAnsiTheme="majorHAnsi" w:cstheme="majorHAnsi"/>
          <w:sz w:val="16"/>
          <w:szCs w:val="16"/>
          <w:lang w:val="ro-MD"/>
        </w:rPr>
        <w:t xml:space="preserve"> nr.218-XVI din 24</w:t>
      </w:r>
      <w:r>
        <w:rPr>
          <w:rFonts w:asciiTheme="majorHAnsi" w:hAnsiTheme="majorHAnsi" w:cstheme="majorHAnsi"/>
          <w:sz w:val="16"/>
          <w:szCs w:val="16"/>
          <w:lang w:val="ro-MD"/>
        </w:rPr>
        <w:t>.10.</w:t>
      </w:r>
      <w:r w:rsidRPr="000A0AF7">
        <w:rPr>
          <w:rFonts w:asciiTheme="majorHAnsi" w:hAnsiTheme="majorHAnsi" w:cstheme="majorHAnsi"/>
          <w:sz w:val="16"/>
          <w:szCs w:val="16"/>
          <w:lang w:val="ro-MD"/>
        </w:rPr>
        <w:t>2008.</w:t>
      </w:r>
    </w:p>
  </w:footnote>
  <w:footnote w:id="80">
    <w:p w:rsidR="00E67099" w:rsidRPr="00C70C68" w:rsidRDefault="00E67099" w:rsidP="00E67099">
      <w:pPr>
        <w:pStyle w:val="a6"/>
        <w:jc w:val="both"/>
        <w:rPr>
          <w:rFonts w:ascii="Times New Roman" w:hAnsi="Times New Roman" w:cs="Times New Roman"/>
        </w:rPr>
      </w:pPr>
      <w:r w:rsidRPr="000A0AF7">
        <w:rPr>
          <w:rStyle w:val="a8"/>
          <w:rFonts w:asciiTheme="majorHAnsi" w:hAnsiTheme="majorHAnsi" w:cstheme="majorHAnsi"/>
          <w:sz w:val="16"/>
          <w:szCs w:val="16"/>
        </w:rPr>
        <w:footnoteRef/>
      </w:r>
      <w:r w:rsidRPr="000A0AF7">
        <w:rPr>
          <w:rFonts w:asciiTheme="majorHAnsi" w:hAnsiTheme="majorHAnsi" w:cstheme="majorHAnsi"/>
          <w:sz w:val="16"/>
          <w:szCs w:val="16"/>
        </w:rPr>
        <w:t xml:space="preserve"> </w:t>
      </w:r>
      <w:r>
        <w:rPr>
          <w:rFonts w:asciiTheme="majorHAnsi" w:hAnsiTheme="majorHAnsi" w:cstheme="majorHAnsi"/>
          <w:sz w:val="16"/>
          <w:szCs w:val="16"/>
          <w:lang w:val="ro-MD"/>
        </w:rPr>
        <w:t>A</w:t>
      </w:r>
      <w:r w:rsidRPr="000A0AF7">
        <w:rPr>
          <w:rFonts w:asciiTheme="majorHAnsi" w:hAnsiTheme="majorHAnsi" w:cstheme="majorHAnsi"/>
          <w:sz w:val="16"/>
          <w:szCs w:val="16"/>
          <w:lang w:val="ro-MD"/>
        </w:rPr>
        <w:t>rt.16 alin.(1) și alin.(3) din Legea nr.71-XVI din 22.03.2007 cu privire la registre, art.16 și art.22 din Legea nr.467-XV din 21.11.2003 cu privire la informatizare și la resursele informaționale de stat</w:t>
      </w:r>
      <w:r>
        <w:rPr>
          <w:rFonts w:asciiTheme="majorHAnsi" w:hAnsiTheme="majorHAnsi" w:cstheme="majorHAnsi"/>
          <w:sz w:val="16"/>
          <w:szCs w:val="16"/>
          <w:lang w:val="ro-MD"/>
        </w:rPr>
        <w:t>.</w:t>
      </w:r>
    </w:p>
  </w:footnote>
  <w:footnote w:id="81">
    <w:p w:rsidR="00E67099" w:rsidRPr="004D1FBD" w:rsidRDefault="00E67099" w:rsidP="00E67099">
      <w:pPr>
        <w:pStyle w:val="a6"/>
        <w:jc w:val="both"/>
        <w:rPr>
          <w:rFonts w:asciiTheme="majorHAnsi" w:hAnsiTheme="majorHAnsi" w:cstheme="majorHAnsi"/>
          <w:sz w:val="18"/>
          <w:szCs w:val="18"/>
          <w:lang w:val="ro-MD"/>
        </w:rPr>
      </w:pPr>
      <w:r w:rsidRPr="00D375B6">
        <w:rPr>
          <w:rStyle w:val="a8"/>
          <w:rFonts w:asciiTheme="majorHAnsi" w:hAnsiTheme="majorHAnsi" w:cstheme="majorHAnsi"/>
          <w:sz w:val="16"/>
          <w:szCs w:val="16"/>
        </w:rPr>
        <w:footnoteRef/>
      </w:r>
      <w:r w:rsidRPr="00D375B6">
        <w:rPr>
          <w:rFonts w:asciiTheme="majorHAnsi" w:hAnsiTheme="majorHAnsi" w:cstheme="majorHAnsi"/>
          <w:sz w:val="16"/>
          <w:szCs w:val="16"/>
        </w:rPr>
        <w:t xml:space="preserve"> </w:t>
      </w:r>
      <w:r w:rsidRPr="00D375B6">
        <w:rPr>
          <w:rFonts w:asciiTheme="majorHAnsi" w:hAnsiTheme="majorHAnsi" w:cstheme="majorHAnsi"/>
          <w:sz w:val="16"/>
          <w:szCs w:val="16"/>
          <w:lang w:val="ro-MD"/>
        </w:rPr>
        <w:t>Legea nr.180 din 26.07.2018 privind declararea voluntară și stimularea fiscală.</w:t>
      </w:r>
    </w:p>
  </w:footnote>
  <w:footnote w:id="82">
    <w:p w:rsidR="00E67099" w:rsidRPr="0052157C" w:rsidRDefault="00E67099" w:rsidP="00E67099">
      <w:pPr>
        <w:pStyle w:val="a6"/>
        <w:jc w:val="both"/>
        <w:rPr>
          <w:rFonts w:asciiTheme="majorHAnsi" w:hAnsiTheme="majorHAnsi" w:cstheme="majorHAnsi"/>
          <w:sz w:val="18"/>
          <w:szCs w:val="18"/>
          <w:lang w:val="ro-RO"/>
        </w:rPr>
      </w:pPr>
      <w:r w:rsidRPr="00420583">
        <w:rPr>
          <w:rStyle w:val="a8"/>
          <w:rFonts w:asciiTheme="majorHAnsi" w:hAnsiTheme="majorHAnsi" w:cstheme="majorHAnsi"/>
          <w:sz w:val="16"/>
          <w:szCs w:val="16"/>
        </w:rPr>
        <w:footnoteRef/>
      </w:r>
      <w:r w:rsidRPr="00420583">
        <w:rPr>
          <w:rFonts w:asciiTheme="majorHAnsi" w:hAnsiTheme="majorHAnsi" w:cstheme="majorHAnsi"/>
          <w:sz w:val="16"/>
          <w:szCs w:val="16"/>
        </w:rPr>
        <w:t xml:space="preserve"> Art.3 lit. d) din </w:t>
      </w:r>
      <w:r w:rsidRPr="00420583">
        <w:rPr>
          <w:rFonts w:asciiTheme="majorHAnsi" w:hAnsiTheme="majorHAnsi" w:cstheme="majorHAnsi"/>
          <w:sz w:val="16"/>
          <w:szCs w:val="16"/>
          <w:lang w:val="ro-MD"/>
        </w:rPr>
        <w:t>Legea bugetului de stat pentru anul 2019.</w:t>
      </w:r>
    </w:p>
  </w:footnote>
  <w:footnote w:id="83">
    <w:p w:rsidR="00E67099" w:rsidRPr="00815B7D" w:rsidRDefault="00E67099" w:rsidP="00E67099">
      <w:pPr>
        <w:pStyle w:val="a6"/>
        <w:jc w:val="both"/>
        <w:rPr>
          <w:rFonts w:asciiTheme="majorHAnsi" w:hAnsiTheme="majorHAnsi" w:cstheme="majorHAnsi"/>
          <w:sz w:val="16"/>
          <w:szCs w:val="16"/>
          <w:lang w:val="ro-MD"/>
        </w:rPr>
      </w:pPr>
      <w:r w:rsidRPr="00815B7D">
        <w:rPr>
          <w:rStyle w:val="a8"/>
          <w:rFonts w:asciiTheme="majorHAnsi" w:hAnsiTheme="majorHAnsi" w:cstheme="majorHAnsi"/>
          <w:sz w:val="16"/>
          <w:szCs w:val="16"/>
          <w:lang w:val="ro-MD"/>
        </w:rPr>
        <w:footnoteRef/>
      </w:r>
      <w:r w:rsidRPr="00815B7D">
        <w:rPr>
          <w:rFonts w:asciiTheme="majorHAnsi" w:hAnsiTheme="majorHAnsi" w:cstheme="majorHAnsi"/>
          <w:sz w:val="16"/>
          <w:szCs w:val="16"/>
          <w:lang w:val="ro-MD"/>
        </w:rPr>
        <w:t xml:space="preserve"> </w:t>
      </w:r>
      <w:r w:rsidRPr="00815B7D">
        <w:rPr>
          <w:rFonts w:asciiTheme="majorHAnsi" w:eastAsia="Times New Roman" w:hAnsiTheme="majorHAnsi" w:cstheme="majorHAnsi"/>
          <w:sz w:val="16"/>
          <w:szCs w:val="16"/>
          <w:lang w:val="ro-MD"/>
        </w:rPr>
        <w:t xml:space="preserve">HG nr. 862  din  18.12.2015 </w:t>
      </w:r>
      <w:r>
        <w:rPr>
          <w:rFonts w:asciiTheme="majorHAnsi" w:eastAsia="Times New Roman" w:hAnsiTheme="majorHAnsi" w:cstheme="majorHAnsi"/>
          <w:sz w:val="16"/>
          <w:szCs w:val="16"/>
          <w:lang w:val="ro-MD"/>
        </w:rPr>
        <w:t>„P</w:t>
      </w:r>
      <w:r w:rsidRPr="00815B7D">
        <w:rPr>
          <w:rFonts w:asciiTheme="majorHAnsi" w:eastAsia="Times New Roman" w:hAnsiTheme="majorHAnsi" w:cstheme="majorHAnsi"/>
          <w:sz w:val="16"/>
          <w:szCs w:val="16"/>
          <w:lang w:val="ro-MD"/>
        </w:rPr>
        <w:t>entru aprobarea Regulamentului privind gestionarea fondurilor de urgență ale Guvernului</w:t>
      </w:r>
      <w:r>
        <w:rPr>
          <w:rFonts w:asciiTheme="majorHAnsi" w:eastAsia="Times New Roman" w:hAnsiTheme="majorHAnsi" w:cstheme="majorHAnsi"/>
          <w:sz w:val="16"/>
          <w:szCs w:val="16"/>
          <w:lang w:val="ro-MD"/>
        </w:rPr>
        <w:t>”</w:t>
      </w:r>
      <w:r w:rsidRPr="00815B7D">
        <w:rPr>
          <w:rFonts w:asciiTheme="majorHAnsi" w:eastAsia="Times New Roman" w:hAnsiTheme="majorHAnsi" w:cstheme="majorHAnsi"/>
          <w:sz w:val="16"/>
          <w:szCs w:val="16"/>
          <w:lang w:val="ro-MD"/>
        </w:rPr>
        <w:t>.</w:t>
      </w:r>
    </w:p>
  </w:footnote>
  <w:footnote w:id="84">
    <w:p w:rsidR="00E67099" w:rsidRPr="00C03FAF" w:rsidRDefault="00E67099" w:rsidP="00E67099">
      <w:pPr>
        <w:pStyle w:val="a6"/>
        <w:rPr>
          <w:rFonts w:asciiTheme="majorHAnsi" w:eastAsia="Times New Roman" w:hAnsiTheme="majorHAnsi" w:cstheme="majorHAnsi"/>
          <w:sz w:val="16"/>
          <w:szCs w:val="16"/>
          <w:lang w:val="ro-MD"/>
        </w:rPr>
      </w:pPr>
      <w:r w:rsidRPr="00C03FAF">
        <w:rPr>
          <w:rStyle w:val="a8"/>
          <w:rFonts w:asciiTheme="majorHAnsi" w:hAnsiTheme="majorHAnsi" w:cstheme="majorHAnsi"/>
          <w:sz w:val="16"/>
          <w:szCs w:val="16"/>
        </w:rPr>
        <w:footnoteRef/>
      </w:r>
      <w:r w:rsidRPr="00C03FAF">
        <w:rPr>
          <w:rFonts w:asciiTheme="majorHAnsi" w:hAnsiTheme="majorHAnsi" w:cstheme="majorHAnsi"/>
          <w:sz w:val="16"/>
          <w:szCs w:val="16"/>
        </w:rPr>
        <w:t xml:space="preserve"> </w:t>
      </w:r>
      <w:r w:rsidRPr="00C03FAF">
        <w:rPr>
          <w:rFonts w:asciiTheme="majorHAnsi" w:eastAsia="Times New Roman" w:hAnsiTheme="majorHAnsi" w:cstheme="majorHAnsi"/>
          <w:sz w:val="16"/>
          <w:szCs w:val="16"/>
          <w:lang w:val="ro-MD"/>
        </w:rPr>
        <w:t>Art.68 alin.(1) din Legea nr.181 din 25.07.2014.</w:t>
      </w:r>
    </w:p>
  </w:footnote>
  <w:footnote w:id="85">
    <w:p w:rsidR="004407D1" w:rsidRPr="00F92684" w:rsidRDefault="004407D1" w:rsidP="004407D1">
      <w:pPr>
        <w:pStyle w:val="a6"/>
        <w:jc w:val="both"/>
        <w:rPr>
          <w:rFonts w:ascii="Times New Roman" w:hAnsi="Times New Roman" w:cs="Times New Roman"/>
          <w:lang w:val="ro-MD"/>
        </w:rPr>
      </w:pPr>
      <w:r w:rsidRPr="008E59A8">
        <w:rPr>
          <w:rStyle w:val="a8"/>
          <w:rFonts w:asciiTheme="majorHAnsi" w:hAnsiTheme="majorHAnsi" w:cstheme="majorHAnsi"/>
          <w:sz w:val="18"/>
          <w:szCs w:val="18"/>
        </w:rPr>
        <w:footnoteRef/>
      </w:r>
      <w:r w:rsidRPr="008E59A8">
        <w:rPr>
          <w:rFonts w:asciiTheme="majorHAnsi" w:hAnsiTheme="majorHAnsi" w:cstheme="majorHAnsi"/>
          <w:sz w:val="18"/>
          <w:szCs w:val="18"/>
        </w:rPr>
        <w:t xml:space="preserve"> </w:t>
      </w:r>
      <w:r w:rsidRPr="008E59A8">
        <w:rPr>
          <w:rFonts w:asciiTheme="majorHAnsi" w:hAnsiTheme="majorHAnsi" w:cstheme="majorHAnsi"/>
          <w:sz w:val="18"/>
          <w:szCs w:val="18"/>
          <w:lang w:val="ro-MD"/>
        </w:rPr>
        <w:t>HG nr.110 din 27.02.2019 ,,cu privire la achitarea din BS pentru anul 2019 a cotelor de membru și a datoriilor RM față de organismele internaționale și regionale.</w:t>
      </w:r>
    </w:p>
  </w:footnote>
  <w:footnote w:id="86">
    <w:p w:rsidR="004407D1" w:rsidRPr="007722A5" w:rsidRDefault="004407D1" w:rsidP="004407D1">
      <w:pPr>
        <w:pStyle w:val="a6"/>
        <w:jc w:val="both"/>
        <w:rPr>
          <w:rFonts w:asciiTheme="majorHAnsi" w:hAnsiTheme="majorHAnsi" w:cstheme="majorHAnsi"/>
          <w:sz w:val="16"/>
          <w:szCs w:val="16"/>
          <w:lang w:val="ro-MD"/>
        </w:rPr>
      </w:pPr>
      <w:r w:rsidRPr="007722A5">
        <w:rPr>
          <w:rStyle w:val="a8"/>
          <w:rFonts w:asciiTheme="majorHAnsi" w:hAnsiTheme="majorHAnsi" w:cstheme="majorHAnsi"/>
          <w:sz w:val="16"/>
          <w:szCs w:val="16"/>
          <w:lang w:val="ro-MD"/>
        </w:rPr>
        <w:footnoteRef/>
      </w:r>
      <w:r w:rsidRPr="007722A5">
        <w:rPr>
          <w:rFonts w:asciiTheme="majorHAnsi" w:hAnsiTheme="majorHAnsi" w:cstheme="majorHAnsi"/>
          <w:sz w:val="16"/>
          <w:szCs w:val="16"/>
          <w:lang w:val="ro-MD"/>
        </w:rPr>
        <w:t xml:space="preserve"> Adunarea Parlamentară a Francofoniei HG – 65 798,0 lei (3 340 euro), finanțat 68 490,0 lei (3 500 euro); Organizația pentru Securitate și Cooperare în Europa (OSCE) – </w:t>
      </w:r>
      <w:r>
        <w:rPr>
          <w:rFonts w:asciiTheme="majorHAnsi" w:hAnsiTheme="majorHAnsi" w:cstheme="majorHAnsi"/>
          <w:sz w:val="16"/>
          <w:szCs w:val="16"/>
          <w:lang w:val="ro-MD"/>
        </w:rPr>
        <w:t xml:space="preserve">HG </w:t>
      </w:r>
      <w:r w:rsidRPr="007722A5">
        <w:rPr>
          <w:rFonts w:asciiTheme="majorHAnsi" w:hAnsiTheme="majorHAnsi" w:cstheme="majorHAnsi"/>
          <w:sz w:val="16"/>
          <w:szCs w:val="16"/>
          <w:lang w:val="ro-MD"/>
        </w:rPr>
        <w:t xml:space="preserve">1 135 114,0 lei (57 620 euro), finanțat 1 173 558,0 lei (60 250 euro); Uniunea Poștală Universală (UPU) – </w:t>
      </w:r>
      <w:r>
        <w:rPr>
          <w:rFonts w:asciiTheme="majorHAnsi" w:hAnsiTheme="majorHAnsi" w:cstheme="majorHAnsi"/>
          <w:sz w:val="16"/>
          <w:szCs w:val="16"/>
          <w:lang w:val="ro-MD"/>
        </w:rPr>
        <w:t xml:space="preserve">HG </w:t>
      </w:r>
      <w:r w:rsidRPr="007722A5">
        <w:rPr>
          <w:rFonts w:asciiTheme="majorHAnsi" w:hAnsiTheme="majorHAnsi" w:cstheme="majorHAnsi"/>
          <w:sz w:val="16"/>
          <w:szCs w:val="16"/>
          <w:lang w:val="ro-MD"/>
        </w:rPr>
        <w:t>770 000,0 lei (44 000 CHF), finanțat 853 157,0 lei (48 517,0 CHF).</w:t>
      </w:r>
    </w:p>
  </w:footnote>
  <w:footnote w:id="87">
    <w:p w:rsidR="00E67099" w:rsidRPr="00A25D26" w:rsidRDefault="00E67099" w:rsidP="00E67099">
      <w:pPr>
        <w:pStyle w:val="a6"/>
        <w:jc w:val="both"/>
        <w:rPr>
          <w:rFonts w:asciiTheme="majorHAnsi" w:eastAsia="Calibri" w:hAnsiTheme="majorHAnsi" w:cstheme="majorHAnsi"/>
          <w:sz w:val="16"/>
          <w:szCs w:val="16"/>
          <w:lang w:val="ro-RO"/>
        </w:rPr>
      </w:pPr>
      <w:r w:rsidRPr="00A25D26">
        <w:rPr>
          <w:rStyle w:val="a8"/>
          <w:rFonts w:asciiTheme="majorHAnsi" w:eastAsia="Calibri" w:hAnsiTheme="majorHAnsi" w:cstheme="majorHAnsi"/>
          <w:sz w:val="16"/>
          <w:szCs w:val="16"/>
          <w:lang w:val="ro-RO"/>
        </w:rPr>
        <w:footnoteRef/>
      </w:r>
      <w:r w:rsidRPr="00A25D26">
        <w:rPr>
          <w:rFonts w:asciiTheme="majorHAnsi" w:eastAsia="Calibri" w:hAnsiTheme="majorHAnsi" w:cstheme="majorHAnsi"/>
          <w:sz w:val="16"/>
          <w:szCs w:val="16"/>
          <w:lang w:val="ro-RO"/>
        </w:rPr>
        <w:t xml:space="preserve"> HG nr.696 din 30.08.2017 „Cu privire la organizarea și funcționarea Ministerului Finanțelor”.</w:t>
      </w:r>
    </w:p>
  </w:footnote>
  <w:footnote w:id="88">
    <w:p w:rsidR="00E67099" w:rsidRPr="00A25D26" w:rsidRDefault="00E67099" w:rsidP="00E67099">
      <w:pPr>
        <w:pStyle w:val="a6"/>
        <w:jc w:val="both"/>
        <w:rPr>
          <w:rFonts w:asciiTheme="majorHAnsi" w:hAnsiTheme="majorHAnsi" w:cstheme="majorHAnsi"/>
          <w:sz w:val="16"/>
          <w:szCs w:val="16"/>
        </w:rPr>
      </w:pPr>
      <w:r w:rsidRPr="00A25D26">
        <w:rPr>
          <w:rStyle w:val="a8"/>
          <w:rFonts w:asciiTheme="majorHAnsi" w:hAnsiTheme="majorHAnsi" w:cstheme="majorHAnsi"/>
          <w:sz w:val="16"/>
          <w:szCs w:val="16"/>
        </w:rPr>
        <w:footnoteRef/>
      </w:r>
      <w:r w:rsidRPr="00A25D26">
        <w:rPr>
          <w:rFonts w:asciiTheme="majorHAnsi" w:hAnsiTheme="majorHAnsi" w:cstheme="majorHAnsi"/>
          <w:sz w:val="16"/>
          <w:szCs w:val="16"/>
        </w:rPr>
        <w:t xml:space="preserve"> </w:t>
      </w:r>
      <w:r w:rsidRPr="00A25D26">
        <w:rPr>
          <w:rFonts w:asciiTheme="majorHAnsi" w:hAnsiTheme="majorHAnsi" w:cstheme="majorHAnsi"/>
          <w:i/>
          <w:sz w:val="16"/>
          <w:szCs w:val="16"/>
        </w:rPr>
        <w:t xml:space="preserve">BS - </w:t>
      </w:r>
      <w:r w:rsidRPr="00A25D26">
        <w:rPr>
          <w:rFonts w:asciiTheme="majorHAnsi" w:hAnsiTheme="majorHAnsi" w:cstheme="majorHAnsi"/>
          <w:i/>
          <w:sz w:val="16"/>
          <w:szCs w:val="16"/>
          <w:lang w:val="ro-MD"/>
        </w:rPr>
        <w:t>totalitatea veniturilor, cheltuielilor și surselor de finanțare destinate pentru realizarea funcțiilor autorităților publice centrale, cu excepția funcțiilor proprii sistemului public de asigurări sociale și sistemului de asigurări obligatorii de asistență medicală, precum și pentru stabilirea relațiilor cu alte bugete.</w:t>
      </w:r>
    </w:p>
  </w:footnote>
  <w:footnote w:id="89">
    <w:p w:rsidR="00E67099" w:rsidRPr="00A25D26" w:rsidRDefault="00E67099" w:rsidP="00E67099">
      <w:pPr>
        <w:pStyle w:val="a6"/>
        <w:jc w:val="both"/>
        <w:rPr>
          <w:rFonts w:asciiTheme="majorHAnsi" w:hAnsiTheme="majorHAnsi" w:cstheme="majorHAnsi"/>
          <w:sz w:val="16"/>
          <w:szCs w:val="16"/>
          <w:lang w:val="ro-MD"/>
        </w:rPr>
      </w:pPr>
      <w:r w:rsidRPr="00A25D26">
        <w:rPr>
          <w:rStyle w:val="a8"/>
          <w:rFonts w:asciiTheme="majorHAnsi" w:hAnsiTheme="majorHAnsi" w:cstheme="majorHAnsi"/>
          <w:sz w:val="16"/>
          <w:szCs w:val="16"/>
        </w:rPr>
        <w:footnoteRef/>
      </w:r>
      <w:r w:rsidRPr="00A25D26">
        <w:rPr>
          <w:rFonts w:asciiTheme="majorHAnsi" w:hAnsiTheme="majorHAnsi" w:cstheme="majorHAnsi"/>
          <w:sz w:val="16"/>
          <w:szCs w:val="16"/>
        </w:rPr>
        <w:t xml:space="preserve"> </w:t>
      </w:r>
      <w:r w:rsidRPr="00A25D26">
        <w:rPr>
          <w:rFonts w:asciiTheme="majorHAnsi" w:hAnsiTheme="majorHAnsi" w:cstheme="majorHAnsi"/>
          <w:sz w:val="16"/>
          <w:szCs w:val="16"/>
          <w:lang w:val="ro-MD"/>
        </w:rPr>
        <w:t>Art.26 din Legea finanțelor publice și responsabilității bugetar-fiscale nr.181 din 25.07.2014.</w:t>
      </w:r>
    </w:p>
  </w:footnote>
  <w:footnote w:id="90">
    <w:p w:rsidR="00E67099" w:rsidRPr="00CA4507" w:rsidRDefault="00E67099" w:rsidP="00E67099">
      <w:pPr>
        <w:pStyle w:val="a6"/>
        <w:jc w:val="both"/>
        <w:rPr>
          <w:rFonts w:ascii="Times New Roman" w:hAnsi="Times New Roman" w:cs="Times New Roman"/>
          <w:sz w:val="18"/>
          <w:szCs w:val="18"/>
          <w:lang w:val="ro-RO"/>
        </w:rPr>
      </w:pPr>
      <w:r w:rsidRPr="00A25D26">
        <w:rPr>
          <w:rStyle w:val="a8"/>
          <w:rFonts w:asciiTheme="majorHAnsi" w:hAnsiTheme="majorHAnsi" w:cstheme="majorHAnsi"/>
          <w:sz w:val="16"/>
          <w:szCs w:val="16"/>
          <w:lang w:val="ro-RO"/>
        </w:rPr>
        <w:footnoteRef/>
      </w:r>
      <w:r w:rsidRPr="00A25D26">
        <w:rPr>
          <w:rFonts w:asciiTheme="majorHAnsi" w:hAnsiTheme="majorHAnsi" w:cstheme="majorHAnsi"/>
          <w:sz w:val="16"/>
          <w:szCs w:val="16"/>
          <w:lang w:val="ro-RO"/>
        </w:rPr>
        <w:t xml:space="preserve"> Formularul nr.14 „Raportul privind executarea bugetului public național”, aprobat prin Ordinul MF nr.18 din 27.01.2020.</w:t>
      </w:r>
    </w:p>
  </w:footnote>
  <w:footnote w:id="91">
    <w:p w:rsidR="00E67099" w:rsidRPr="00B74CB3" w:rsidRDefault="00E67099" w:rsidP="00E67099">
      <w:pPr>
        <w:pStyle w:val="a6"/>
        <w:rPr>
          <w:sz w:val="16"/>
          <w:szCs w:val="16"/>
          <w:lang w:val="ro-MD"/>
        </w:rPr>
      </w:pPr>
      <w:r w:rsidRPr="00B74CB3">
        <w:rPr>
          <w:rStyle w:val="a8"/>
          <w:rFonts w:asciiTheme="majorHAnsi" w:hAnsiTheme="majorHAnsi" w:cstheme="majorHAnsi"/>
          <w:sz w:val="16"/>
          <w:szCs w:val="16"/>
        </w:rPr>
        <w:footnoteRef/>
      </w:r>
      <w:r w:rsidRPr="00B74CB3">
        <w:rPr>
          <w:rFonts w:asciiTheme="majorHAnsi" w:hAnsiTheme="majorHAnsi" w:cstheme="majorHAnsi"/>
          <w:sz w:val="16"/>
          <w:szCs w:val="16"/>
        </w:rPr>
        <w:t xml:space="preserve"> </w:t>
      </w:r>
      <w:r w:rsidRPr="00B74CB3">
        <w:rPr>
          <w:rFonts w:asciiTheme="majorHAnsi" w:hAnsiTheme="majorHAnsi" w:cstheme="majorHAnsi"/>
          <w:sz w:val="16"/>
          <w:szCs w:val="16"/>
          <w:lang w:val="ro-MD"/>
        </w:rPr>
        <w:t>Legea bugetului de stat pentru anul 2019 nr.303 din 30.11.2018.</w:t>
      </w:r>
    </w:p>
  </w:footnote>
  <w:footnote w:id="92">
    <w:p w:rsidR="00E67099" w:rsidRPr="003F2F18" w:rsidRDefault="00E67099" w:rsidP="00E67099">
      <w:pPr>
        <w:pStyle w:val="a6"/>
        <w:jc w:val="both"/>
        <w:rPr>
          <w:rFonts w:asciiTheme="majorHAnsi" w:hAnsiTheme="majorHAnsi" w:cstheme="majorHAnsi"/>
          <w:sz w:val="16"/>
          <w:szCs w:val="16"/>
          <w:lang w:val="ro-MD"/>
        </w:rPr>
      </w:pPr>
      <w:r w:rsidRPr="003F2F18">
        <w:rPr>
          <w:rStyle w:val="a8"/>
          <w:rFonts w:asciiTheme="majorHAnsi" w:hAnsiTheme="majorHAnsi" w:cstheme="majorHAnsi"/>
          <w:sz w:val="16"/>
          <w:szCs w:val="16"/>
          <w:lang w:val="ro-MD"/>
        </w:rPr>
        <w:footnoteRef/>
      </w:r>
      <w:r w:rsidRPr="003F2F18">
        <w:rPr>
          <w:rFonts w:asciiTheme="majorHAnsi" w:hAnsiTheme="majorHAnsi" w:cstheme="majorHAnsi"/>
          <w:sz w:val="16"/>
          <w:szCs w:val="16"/>
          <w:lang w:val="ro-MD"/>
        </w:rPr>
        <w:t xml:space="preserve"> </w:t>
      </w:r>
      <w:r w:rsidRPr="00220455">
        <w:rPr>
          <w:rFonts w:asciiTheme="majorHAnsi" w:hAnsiTheme="majorHAnsi" w:cstheme="majorHAnsi"/>
          <w:sz w:val="16"/>
          <w:szCs w:val="16"/>
          <w:lang w:val="ro-MD"/>
        </w:rPr>
        <w:t>Lege bugetară anuală</w:t>
      </w:r>
      <w:r w:rsidRPr="003F2F18">
        <w:rPr>
          <w:rFonts w:asciiTheme="majorHAnsi" w:hAnsiTheme="majorHAnsi" w:cstheme="majorHAnsi"/>
          <w:sz w:val="16"/>
          <w:szCs w:val="16"/>
          <w:lang w:val="ro-MD"/>
        </w:rPr>
        <w:t xml:space="preserve"> – act legislativ prin care se aprobă, după caz, BS, BASS, FAOAM și care stabilește reglementări specifice acestor bugete pentru anul bugetar respectiv.</w:t>
      </w:r>
      <w:r w:rsidRPr="003F2F18">
        <w:rPr>
          <w:rFonts w:asciiTheme="majorHAnsi" w:eastAsia="Times New Roman" w:hAnsiTheme="majorHAnsi" w:cstheme="majorHAnsi"/>
          <w:i/>
          <w:iCs/>
          <w:color w:val="000000"/>
          <w:sz w:val="16"/>
          <w:szCs w:val="16"/>
          <w:lang w:val="ro-MD"/>
        </w:rPr>
        <w:t xml:space="preserve"> </w:t>
      </w:r>
      <w:r w:rsidR="00431060">
        <w:rPr>
          <w:rFonts w:asciiTheme="majorHAnsi" w:hAnsiTheme="majorHAnsi" w:cstheme="majorHAnsi"/>
          <w:i/>
          <w:iCs/>
          <w:sz w:val="16"/>
          <w:szCs w:val="16"/>
          <w:lang w:val="ro-MD"/>
        </w:rPr>
        <w:t>Legea</w:t>
      </w:r>
      <w:r w:rsidRPr="003F2F18">
        <w:rPr>
          <w:rFonts w:asciiTheme="majorHAnsi" w:hAnsiTheme="majorHAnsi" w:cstheme="majorHAnsi"/>
          <w:i/>
          <w:iCs/>
          <w:sz w:val="16"/>
          <w:szCs w:val="16"/>
          <w:lang w:val="ro-MD"/>
        </w:rPr>
        <w:t xml:space="preserve"> nr.112 din 04.09.2019</w:t>
      </w:r>
      <w:r>
        <w:rPr>
          <w:rFonts w:asciiTheme="majorHAnsi" w:hAnsiTheme="majorHAnsi" w:cstheme="majorHAnsi"/>
          <w:i/>
          <w:iCs/>
          <w:sz w:val="16"/>
          <w:szCs w:val="16"/>
          <w:lang w:val="ro-MD"/>
        </w:rPr>
        <w:t>.</w:t>
      </w:r>
    </w:p>
  </w:footnote>
  <w:footnote w:id="93">
    <w:p w:rsidR="00E67099" w:rsidRPr="003F2F18" w:rsidRDefault="00E67099" w:rsidP="00E67099">
      <w:pPr>
        <w:pStyle w:val="a6"/>
        <w:jc w:val="both"/>
        <w:rPr>
          <w:rFonts w:asciiTheme="majorHAnsi" w:hAnsiTheme="majorHAnsi" w:cs="Times New Roman"/>
          <w:sz w:val="16"/>
          <w:szCs w:val="16"/>
          <w:lang w:val="ro-RO"/>
        </w:rPr>
      </w:pPr>
      <w:r w:rsidRPr="003F2F18">
        <w:rPr>
          <w:rStyle w:val="a8"/>
          <w:rFonts w:asciiTheme="majorHAnsi" w:hAnsiTheme="majorHAnsi" w:cstheme="majorHAnsi"/>
          <w:sz w:val="16"/>
          <w:szCs w:val="16"/>
          <w:lang w:val="ro-RO"/>
        </w:rPr>
        <w:footnoteRef/>
      </w:r>
      <w:r w:rsidRPr="003F2F18">
        <w:rPr>
          <w:rFonts w:asciiTheme="majorHAnsi" w:hAnsiTheme="majorHAnsi" w:cstheme="majorHAnsi"/>
          <w:sz w:val="16"/>
          <w:szCs w:val="16"/>
          <w:lang w:val="ro-RO"/>
        </w:rPr>
        <w:t xml:space="preserve"> Art.47 și art.73 din Legea nr.181 din 25.07.2014.</w:t>
      </w:r>
    </w:p>
  </w:footnote>
  <w:footnote w:id="94">
    <w:p w:rsidR="00E67099" w:rsidRPr="00220455" w:rsidRDefault="00E67099" w:rsidP="00E67099">
      <w:pPr>
        <w:pStyle w:val="a6"/>
        <w:rPr>
          <w:lang w:val="ro-RO"/>
        </w:rPr>
      </w:pPr>
      <w:r w:rsidRPr="00220455">
        <w:rPr>
          <w:rStyle w:val="a8"/>
          <w:rFonts w:asciiTheme="majorHAnsi" w:hAnsiTheme="majorHAnsi" w:cstheme="majorHAnsi"/>
          <w:sz w:val="16"/>
          <w:szCs w:val="16"/>
          <w:lang w:val="ro-RO"/>
        </w:rPr>
        <w:footnoteRef/>
      </w:r>
      <w:r w:rsidRPr="00220455">
        <w:rPr>
          <w:rFonts w:asciiTheme="majorHAnsi" w:hAnsiTheme="majorHAnsi" w:cstheme="majorHAnsi"/>
          <w:sz w:val="16"/>
          <w:szCs w:val="16"/>
          <w:lang w:val="ro-RO"/>
        </w:rPr>
        <w:t xml:space="preserve"> Legea finanțelor publice și responsabilității bugetar-fiscale nr.181 din 25.07.2014.</w:t>
      </w:r>
    </w:p>
  </w:footnote>
  <w:footnote w:id="95">
    <w:p w:rsidR="00E67099" w:rsidRPr="00220455" w:rsidRDefault="00E67099" w:rsidP="00E67099">
      <w:pPr>
        <w:pStyle w:val="ad"/>
        <w:ind w:firstLine="0"/>
        <w:rPr>
          <w:rFonts w:asciiTheme="majorHAnsi" w:hAnsiTheme="majorHAnsi" w:cstheme="majorHAnsi"/>
          <w:i/>
          <w:sz w:val="16"/>
          <w:szCs w:val="16"/>
          <w:lang w:val="ro-RO"/>
        </w:rPr>
      </w:pPr>
      <w:r w:rsidRPr="00220455">
        <w:rPr>
          <w:rStyle w:val="a8"/>
          <w:rFonts w:asciiTheme="majorHAnsi" w:hAnsiTheme="majorHAnsi" w:cstheme="majorHAnsi"/>
          <w:sz w:val="16"/>
          <w:szCs w:val="16"/>
          <w:lang w:val="ro-RO"/>
        </w:rPr>
        <w:footnoteRef/>
      </w:r>
      <w:r w:rsidRPr="00220455">
        <w:rPr>
          <w:rFonts w:asciiTheme="majorHAnsi" w:hAnsiTheme="majorHAnsi" w:cstheme="majorHAnsi"/>
          <w:sz w:val="16"/>
          <w:szCs w:val="16"/>
          <w:lang w:val="ro-RO"/>
        </w:rPr>
        <w:t xml:space="preserve"> Art.19 din </w:t>
      </w:r>
      <w:r w:rsidRPr="00220455">
        <w:rPr>
          <w:rFonts w:asciiTheme="majorHAnsi" w:hAnsiTheme="majorHAnsi" w:cstheme="majorHAnsi"/>
          <w:sz w:val="16"/>
          <w:szCs w:val="16"/>
          <w:lang w:val="ro-RO" w:eastAsia="ro-RO"/>
        </w:rPr>
        <w:t xml:space="preserve">Legea </w:t>
      </w:r>
      <w:r w:rsidRPr="00220455">
        <w:rPr>
          <w:rFonts w:asciiTheme="majorHAnsi" w:hAnsiTheme="majorHAnsi" w:cstheme="majorHAnsi"/>
          <w:bCs/>
          <w:sz w:val="16"/>
          <w:szCs w:val="16"/>
          <w:lang w:val="ro-RO"/>
        </w:rPr>
        <w:t>nr.181 din 25.07.2014</w:t>
      </w:r>
      <w:r>
        <w:rPr>
          <w:rFonts w:asciiTheme="majorHAnsi" w:hAnsiTheme="majorHAnsi" w:cstheme="majorHAnsi"/>
          <w:bCs/>
          <w:sz w:val="16"/>
          <w:szCs w:val="16"/>
          <w:lang w:val="ro-RO"/>
        </w:rPr>
        <w:t>:</w:t>
      </w:r>
      <w:r w:rsidRPr="00220455">
        <w:rPr>
          <w:rFonts w:asciiTheme="majorHAnsi" w:hAnsiTheme="majorHAnsi" w:cstheme="majorHAnsi"/>
          <w:sz w:val="16"/>
          <w:szCs w:val="16"/>
          <w:lang w:val="ro-RO" w:eastAsia="ro-RO"/>
        </w:rPr>
        <w:t xml:space="preserve"> </w:t>
      </w:r>
      <w:r w:rsidRPr="00220455">
        <w:rPr>
          <w:rFonts w:asciiTheme="majorHAnsi" w:hAnsiTheme="majorHAnsi" w:cstheme="majorHAnsi"/>
          <w:sz w:val="16"/>
          <w:szCs w:val="16"/>
          <w:lang w:val="ro-RO"/>
        </w:rPr>
        <w:t xml:space="preserve"> </w:t>
      </w:r>
      <w:r>
        <w:rPr>
          <w:rFonts w:asciiTheme="majorHAnsi" w:hAnsiTheme="majorHAnsi" w:cstheme="majorHAnsi"/>
          <w:i/>
          <w:sz w:val="16"/>
          <w:szCs w:val="16"/>
          <w:lang w:val="ro-RO"/>
        </w:rPr>
        <w:t>„</w:t>
      </w:r>
      <w:r w:rsidRPr="00220455">
        <w:rPr>
          <w:rFonts w:asciiTheme="majorHAnsi" w:hAnsiTheme="majorHAnsi" w:cstheme="majorHAnsi"/>
          <w:i/>
          <w:sz w:val="16"/>
          <w:szCs w:val="16"/>
          <w:lang w:val="ro-RO"/>
        </w:rPr>
        <w:t>asigură durabilitatea programului de guvernare și a altor documente de politici din punct de vedere bugetar-fiscal; aprobă cadrul bugetar pe termen mediu; aprobă și prezintă Parlamentului proiectele legilor bugetare anuale, precum și proiectele de legi privind modificarea bugetelor; adoptă hotărâri privind redistribuirea alocațiilor în condițiile art.60 alin.(1) lit. a); asigură gestionarea eficientă și transparentă a fondului de rezervă și a fondului de intervenție ale Guvernului etc.”</w:t>
      </w:r>
      <w:r>
        <w:rPr>
          <w:rFonts w:asciiTheme="majorHAnsi" w:hAnsiTheme="majorHAnsi" w:cstheme="majorHAnsi"/>
          <w:i/>
          <w:sz w:val="16"/>
          <w:szCs w:val="16"/>
          <w:lang w:val="ro-RO"/>
        </w:rPr>
        <w:t>.</w:t>
      </w:r>
    </w:p>
  </w:footnote>
  <w:footnote w:id="96">
    <w:p w:rsidR="00E67099" w:rsidRPr="00E3133E" w:rsidRDefault="00E67099" w:rsidP="00E67099">
      <w:pPr>
        <w:pStyle w:val="a6"/>
        <w:jc w:val="both"/>
        <w:rPr>
          <w:rFonts w:asciiTheme="majorHAnsi" w:hAnsiTheme="majorHAnsi" w:cstheme="majorHAnsi"/>
          <w:sz w:val="16"/>
          <w:szCs w:val="16"/>
          <w:lang w:val="ro-RO"/>
        </w:rPr>
      </w:pPr>
      <w:r w:rsidRPr="00E3133E">
        <w:rPr>
          <w:rStyle w:val="a8"/>
          <w:rFonts w:asciiTheme="majorHAnsi" w:hAnsiTheme="majorHAnsi" w:cstheme="majorHAnsi"/>
          <w:sz w:val="16"/>
          <w:szCs w:val="16"/>
          <w:lang w:val="ro-RO"/>
        </w:rPr>
        <w:footnoteRef/>
      </w:r>
      <w:r w:rsidRPr="00E3133E">
        <w:rPr>
          <w:rFonts w:asciiTheme="majorHAnsi" w:hAnsiTheme="majorHAnsi" w:cstheme="majorHAnsi"/>
          <w:sz w:val="16"/>
          <w:szCs w:val="16"/>
          <w:lang w:val="ro-RO"/>
        </w:rPr>
        <w:t xml:space="preserve"> Art.20 din Legea nr.181 din 25.07.2014.</w:t>
      </w:r>
    </w:p>
  </w:footnote>
  <w:footnote w:id="97">
    <w:p w:rsidR="00E67099" w:rsidRPr="00E3133E" w:rsidRDefault="00E67099" w:rsidP="00E67099">
      <w:pPr>
        <w:pStyle w:val="af0"/>
        <w:jc w:val="both"/>
        <w:rPr>
          <w:rFonts w:asciiTheme="majorHAnsi" w:hAnsiTheme="majorHAnsi" w:cstheme="majorHAnsi"/>
          <w:sz w:val="16"/>
          <w:szCs w:val="16"/>
          <w:lang w:val="ro-RO"/>
        </w:rPr>
      </w:pPr>
      <w:r w:rsidRPr="00E3133E">
        <w:rPr>
          <w:rStyle w:val="a8"/>
          <w:rFonts w:asciiTheme="majorHAnsi" w:hAnsiTheme="majorHAnsi" w:cstheme="majorHAnsi"/>
          <w:sz w:val="16"/>
          <w:szCs w:val="16"/>
          <w:lang w:val="ro-RO"/>
        </w:rPr>
        <w:footnoteRef/>
      </w:r>
      <w:r w:rsidRPr="00E3133E">
        <w:rPr>
          <w:rFonts w:asciiTheme="majorHAnsi" w:hAnsiTheme="majorHAnsi" w:cstheme="majorHAnsi"/>
          <w:sz w:val="16"/>
          <w:szCs w:val="16"/>
          <w:lang w:val="ro-RO"/>
        </w:rPr>
        <w:t xml:space="preserve"> Art.73 din </w:t>
      </w:r>
      <w:r w:rsidRPr="00E3133E">
        <w:rPr>
          <w:rFonts w:asciiTheme="majorHAnsi" w:hAnsiTheme="majorHAnsi" w:cstheme="majorHAnsi"/>
          <w:sz w:val="16"/>
          <w:szCs w:val="16"/>
          <w:lang w:val="ro-RO" w:eastAsia="ro-RO"/>
        </w:rPr>
        <w:t xml:space="preserve">Legea </w:t>
      </w:r>
      <w:r w:rsidRPr="00E3133E">
        <w:rPr>
          <w:rFonts w:asciiTheme="majorHAnsi" w:hAnsiTheme="majorHAnsi" w:cstheme="majorHAnsi"/>
          <w:bCs/>
          <w:sz w:val="16"/>
          <w:szCs w:val="16"/>
          <w:lang w:val="ro-RO"/>
        </w:rPr>
        <w:t>nr.181 din 25.07.2014</w:t>
      </w:r>
      <w:r w:rsidRPr="00E3133E">
        <w:rPr>
          <w:rFonts w:asciiTheme="majorHAnsi" w:hAnsiTheme="majorHAnsi" w:cstheme="majorHAnsi"/>
          <w:sz w:val="16"/>
          <w:szCs w:val="16"/>
          <w:lang w:val="ro-RO" w:eastAsia="ro-RO"/>
        </w:rPr>
        <w:t>.</w:t>
      </w:r>
    </w:p>
  </w:footnote>
  <w:footnote w:id="98">
    <w:p w:rsidR="00E67099" w:rsidRPr="005A7FD9" w:rsidRDefault="00E67099" w:rsidP="00E67099">
      <w:pPr>
        <w:pStyle w:val="a6"/>
        <w:jc w:val="both"/>
        <w:rPr>
          <w:rFonts w:asciiTheme="majorHAnsi" w:hAnsiTheme="majorHAnsi" w:cstheme="majorHAnsi"/>
          <w:sz w:val="16"/>
          <w:szCs w:val="16"/>
        </w:rPr>
      </w:pPr>
      <w:r w:rsidRPr="005A7FD9">
        <w:rPr>
          <w:rStyle w:val="a8"/>
          <w:rFonts w:asciiTheme="majorHAnsi" w:hAnsiTheme="majorHAnsi" w:cstheme="majorHAnsi"/>
          <w:sz w:val="16"/>
          <w:szCs w:val="16"/>
        </w:rPr>
        <w:footnoteRef/>
      </w:r>
      <w:r w:rsidRPr="005A7FD9">
        <w:rPr>
          <w:rFonts w:asciiTheme="majorHAnsi" w:hAnsiTheme="majorHAnsi" w:cstheme="majorHAnsi"/>
          <w:sz w:val="16"/>
          <w:szCs w:val="16"/>
        </w:rPr>
        <w:t xml:space="preserve"> P</w:t>
      </w:r>
      <w:r w:rsidRPr="005A7FD9">
        <w:rPr>
          <w:rFonts w:asciiTheme="majorHAnsi" w:hAnsiTheme="majorHAnsi" w:cstheme="majorHAnsi"/>
          <w:sz w:val="16"/>
          <w:szCs w:val="16"/>
          <w:lang w:val="ro-MD"/>
        </w:rPr>
        <w:t xml:space="preserve">ct.1.3 din Ordinul MF nr.215 din 28.12.2015 </w:t>
      </w:r>
      <w:r>
        <w:rPr>
          <w:rFonts w:asciiTheme="majorHAnsi" w:hAnsiTheme="majorHAnsi" w:cstheme="majorHAnsi"/>
          <w:sz w:val="16"/>
          <w:szCs w:val="16"/>
          <w:lang w:val="ro-MD"/>
        </w:rPr>
        <w:t>„C</w:t>
      </w:r>
      <w:r w:rsidRPr="005A7FD9">
        <w:rPr>
          <w:rFonts w:asciiTheme="majorHAnsi" w:hAnsiTheme="majorHAnsi" w:cstheme="majorHAnsi"/>
          <w:sz w:val="16"/>
          <w:szCs w:val="16"/>
          <w:lang w:val="ro-MD"/>
        </w:rPr>
        <w:t>u privire la aprobarea Normelor metodologice privind executarea de casă a bugetelor componente ale bugetului public național prin Contul Unic Trezorerial al Ministerului Finanțelor”</w:t>
      </w:r>
      <w:r>
        <w:rPr>
          <w:rFonts w:asciiTheme="majorHAnsi" w:hAnsiTheme="majorHAnsi" w:cstheme="majorHAnsi"/>
          <w:sz w:val="16"/>
          <w:szCs w:val="16"/>
          <w:lang w:val="ro-MD"/>
        </w:rPr>
        <w:t>.</w:t>
      </w:r>
    </w:p>
  </w:footnote>
  <w:footnote w:id="99">
    <w:p w:rsidR="00E67099" w:rsidRPr="003F1B44" w:rsidRDefault="00E67099" w:rsidP="00E67099">
      <w:pPr>
        <w:spacing w:after="0" w:line="240" w:lineRule="auto"/>
        <w:jc w:val="both"/>
        <w:rPr>
          <w:rFonts w:asciiTheme="majorHAnsi" w:hAnsiTheme="majorHAnsi" w:cstheme="majorHAnsi"/>
          <w:sz w:val="16"/>
          <w:szCs w:val="16"/>
        </w:rPr>
      </w:pPr>
      <w:r w:rsidRPr="003F1B44">
        <w:rPr>
          <w:rStyle w:val="a8"/>
          <w:rFonts w:asciiTheme="majorHAnsi" w:hAnsiTheme="majorHAnsi" w:cstheme="majorHAnsi"/>
          <w:sz w:val="16"/>
          <w:szCs w:val="16"/>
        </w:rPr>
        <w:footnoteRef/>
      </w:r>
      <w:r w:rsidRPr="003F1B44">
        <w:rPr>
          <w:rFonts w:asciiTheme="majorHAnsi" w:hAnsiTheme="majorHAnsi" w:cstheme="majorHAnsi"/>
          <w:sz w:val="16"/>
          <w:szCs w:val="16"/>
        </w:rPr>
        <w:t xml:space="preserve"> </w:t>
      </w:r>
      <w:r w:rsidRPr="003F1B44">
        <w:rPr>
          <w:rFonts w:asciiTheme="majorHAnsi" w:eastAsia="Times New Roman" w:hAnsiTheme="majorHAnsi" w:cstheme="majorHAnsi"/>
          <w:sz w:val="16"/>
          <w:szCs w:val="16"/>
        </w:rPr>
        <w:t>Ordinul MF nr.208 din 24.12.2015 „Privind Clasificația bugetară”.</w:t>
      </w:r>
    </w:p>
  </w:footnote>
  <w:footnote w:id="100">
    <w:p w:rsidR="00E67099" w:rsidRPr="003F1B44" w:rsidRDefault="00E67099" w:rsidP="00E67099">
      <w:pPr>
        <w:pStyle w:val="a6"/>
        <w:jc w:val="both"/>
      </w:pPr>
      <w:r w:rsidRPr="003F1B44">
        <w:rPr>
          <w:rStyle w:val="a8"/>
          <w:rFonts w:asciiTheme="majorHAnsi" w:hAnsiTheme="majorHAnsi" w:cstheme="majorHAnsi"/>
          <w:sz w:val="16"/>
          <w:szCs w:val="16"/>
        </w:rPr>
        <w:footnoteRef/>
      </w:r>
      <w:r w:rsidRPr="003F1B44">
        <w:rPr>
          <w:rFonts w:asciiTheme="majorHAnsi" w:hAnsiTheme="majorHAnsi" w:cstheme="majorHAnsi"/>
          <w:sz w:val="16"/>
          <w:szCs w:val="16"/>
        </w:rPr>
        <w:t xml:space="preserve"> </w:t>
      </w:r>
      <w:r w:rsidRPr="003F1B44">
        <w:rPr>
          <w:rFonts w:asciiTheme="majorHAnsi" w:eastAsia="Times New Roman" w:hAnsiTheme="majorHAnsi" w:cstheme="majorHAnsi"/>
          <w:sz w:val="16"/>
          <w:szCs w:val="16"/>
          <w:lang w:val="ro-MD"/>
        </w:rPr>
        <w:t xml:space="preserve">Ordinul MF nr.216 din 28.12.2015 </w:t>
      </w:r>
      <w:r>
        <w:rPr>
          <w:rFonts w:asciiTheme="majorHAnsi" w:eastAsia="Times New Roman" w:hAnsiTheme="majorHAnsi" w:cstheme="majorHAnsi"/>
          <w:sz w:val="16"/>
          <w:szCs w:val="16"/>
          <w:lang w:val="ro-MD"/>
        </w:rPr>
        <w:t>„C</w:t>
      </w:r>
      <w:r w:rsidRPr="003F1B44">
        <w:rPr>
          <w:rFonts w:asciiTheme="majorHAnsi" w:eastAsia="Times New Roman" w:hAnsiTheme="majorHAnsi" w:cstheme="majorHAnsi"/>
          <w:sz w:val="16"/>
          <w:szCs w:val="16"/>
          <w:lang w:val="ro-MD"/>
        </w:rPr>
        <w:t>u privire la aprobarea Planului de conturi contabile în sistemul bugetar și a Normelor metodologice privind evidența contabilă și raportarea financiară în sistemul bugetar”</w:t>
      </w:r>
      <w:r>
        <w:rPr>
          <w:rFonts w:asciiTheme="majorHAnsi" w:eastAsia="Times New Roman" w:hAnsiTheme="majorHAnsi" w:cstheme="majorHAnsi"/>
          <w:sz w:val="16"/>
          <w:szCs w:val="16"/>
          <w:lang w:val="ro-MD"/>
        </w:rPr>
        <w:t>.</w:t>
      </w:r>
    </w:p>
  </w:footnote>
  <w:footnote w:id="101">
    <w:p w:rsidR="00E67099" w:rsidRPr="003D55AE" w:rsidRDefault="00E67099" w:rsidP="00E67099">
      <w:pPr>
        <w:pStyle w:val="a6"/>
        <w:rPr>
          <w:rFonts w:asciiTheme="majorHAnsi" w:hAnsiTheme="majorHAnsi" w:cstheme="majorHAnsi"/>
          <w:sz w:val="16"/>
          <w:szCs w:val="16"/>
          <w:lang w:val="ro-MD"/>
        </w:rPr>
      </w:pPr>
      <w:r w:rsidRPr="003D55AE">
        <w:rPr>
          <w:rStyle w:val="a8"/>
          <w:rFonts w:asciiTheme="majorHAnsi" w:hAnsiTheme="majorHAnsi" w:cstheme="majorHAnsi"/>
          <w:sz w:val="16"/>
          <w:szCs w:val="16"/>
          <w:lang w:val="ro-MD"/>
        </w:rPr>
        <w:footnoteRef/>
      </w:r>
      <w:r w:rsidRPr="003D55AE">
        <w:rPr>
          <w:rFonts w:asciiTheme="majorHAnsi" w:hAnsiTheme="majorHAnsi" w:cstheme="majorHAnsi"/>
          <w:sz w:val="16"/>
          <w:szCs w:val="16"/>
          <w:lang w:val="ro-MD"/>
        </w:rPr>
        <w:t xml:space="preserve"> Art.74 din Legea nr.181 din 25.07.2014.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B6AC4"/>
    <w:multiLevelType w:val="hybridMultilevel"/>
    <w:tmpl w:val="F1E6AD6A"/>
    <w:lvl w:ilvl="0" w:tplc="45262610">
      <w:start w:val="1"/>
      <w:numFmt w:val="lowerRoman"/>
      <w:lvlText w:val="(%1)"/>
      <w:lvlJc w:val="left"/>
      <w:pPr>
        <w:ind w:left="1287" w:hanging="72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D78764C"/>
    <w:multiLevelType w:val="hybridMultilevel"/>
    <w:tmpl w:val="0798D4F2"/>
    <w:lvl w:ilvl="0" w:tplc="C69E140A">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92A4D"/>
    <w:multiLevelType w:val="hybridMultilevel"/>
    <w:tmpl w:val="C88C33C0"/>
    <w:lvl w:ilvl="0" w:tplc="A3740F84">
      <w:start w:val="1"/>
      <w:numFmt w:val="decimal"/>
      <w:lvlText w:val="%1."/>
      <w:lvlJc w:val="left"/>
      <w:pPr>
        <w:ind w:left="502"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E46FD7"/>
    <w:multiLevelType w:val="hybridMultilevel"/>
    <w:tmpl w:val="08DA16E2"/>
    <w:lvl w:ilvl="0" w:tplc="6194C278">
      <w:start w:val="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11FA57DE"/>
    <w:multiLevelType w:val="multilevel"/>
    <w:tmpl w:val="64B61A3A"/>
    <w:lvl w:ilvl="0">
      <w:start w:val="6"/>
      <w:numFmt w:val="decimal"/>
      <w:lvlText w:val="%1"/>
      <w:lvlJc w:val="left"/>
      <w:pPr>
        <w:ind w:left="504" w:hanging="504"/>
      </w:pPr>
      <w:rPr>
        <w:rFonts w:hint="default"/>
      </w:rPr>
    </w:lvl>
    <w:lvl w:ilvl="1">
      <w:start w:val="4"/>
      <w:numFmt w:val="decimal"/>
      <w:lvlText w:val="%1.%2"/>
      <w:lvlJc w:val="left"/>
      <w:pPr>
        <w:ind w:left="504" w:hanging="504"/>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033220"/>
    <w:multiLevelType w:val="hybridMultilevel"/>
    <w:tmpl w:val="EFFE7976"/>
    <w:lvl w:ilvl="0" w:tplc="2D2EC62A">
      <w:start w:val="4"/>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94103"/>
    <w:multiLevelType w:val="hybridMultilevel"/>
    <w:tmpl w:val="F7760824"/>
    <w:lvl w:ilvl="0" w:tplc="C94CEA92">
      <w:start w:val="1"/>
      <w:numFmt w:val="lowerRoman"/>
      <w:lvlText w:val="(%1)"/>
      <w:lvlJc w:val="left"/>
      <w:pPr>
        <w:ind w:left="1440" w:hanging="72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DD2B6A"/>
    <w:multiLevelType w:val="hybridMultilevel"/>
    <w:tmpl w:val="87EAC2DA"/>
    <w:lvl w:ilvl="0" w:tplc="E1F0669C">
      <w:start w:val="1"/>
      <w:numFmt w:val="low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A71F0F"/>
    <w:multiLevelType w:val="hybridMultilevel"/>
    <w:tmpl w:val="586A2CA4"/>
    <w:lvl w:ilvl="0" w:tplc="79648448">
      <w:start w:val="1"/>
      <w:numFmt w:val="decimal"/>
      <w:lvlText w:val="%1."/>
      <w:lvlJc w:val="left"/>
      <w:pPr>
        <w:ind w:left="720" w:hanging="360"/>
      </w:pPr>
      <w:rPr>
        <w:rFonts w:ascii="Times New Roman" w:hAnsi="Times New Roman" w:cs="Times New Roman" w:hint="default"/>
        <w:b/>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F5045C7"/>
    <w:multiLevelType w:val="hybridMultilevel"/>
    <w:tmpl w:val="1F404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697155"/>
    <w:multiLevelType w:val="hybridMultilevel"/>
    <w:tmpl w:val="1F404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F26AA9"/>
    <w:multiLevelType w:val="hybridMultilevel"/>
    <w:tmpl w:val="F1E6AD6A"/>
    <w:lvl w:ilvl="0" w:tplc="45262610">
      <w:start w:val="1"/>
      <w:numFmt w:val="lowerRoman"/>
      <w:lvlText w:val="(%1)"/>
      <w:lvlJc w:val="left"/>
      <w:pPr>
        <w:ind w:left="1287" w:hanging="72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16C49B0"/>
    <w:multiLevelType w:val="hybridMultilevel"/>
    <w:tmpl w:val="16A62D32"/>
    <w:lvl w:ilvl="0" w:tplc="5CE8BBC6">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F3019E"/>
    <w:multiLevelType w:val="hybridMultilevel"/>
    <w:tmpl w:val="5EE4EA9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36B21AAA"/>
    <w:multiLevelType w:val="hybridMultilevel"/>
    <w:tmpl w:val="F1E6AD6A"/>
    <w:lvl w:ilvl="0" w:tplc="45262610">
      <w:start w:val="1"/>
      <w:numFmt w:val="lowerRoman"/>
      <w:lvlText w:val="(%1)"/>
      <w:lvlJc w:val="left"/>
      <w:pPr>
        <w:ind w:left="1287" w:hanging="72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AEA6706"/>
    <w:multiLevelType w:val="hybridMultilevel"/>
    <w:tmpl w:val="C5BA1D36"/>
    <w:lvl w:ilvl="0" w:tplc="52E8094A">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C8333E"/>
    <w:multiLevelType w:val="hybridMultilevel"/>
    <w:tmpl w:val="BC9AD1D2"/>
    <w:lvl w:ilvl="0" w:tplc="042C715E">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205E95"/>
    <w:multiLevelType w:val="hybridMultilevel"/>
    <w:tmpl w:val="AA0C3F22"/>
    <w:lvl w:ilvl="0" w:tplc="3A9CCCF8">
      <w:numFmt w:val="bullet"/>
      <w:lvlText w:val="-"/>
      <w:lvlJc w:val="left"/>
      <w:pPr>
        <w:ind w:left="720" w:hanging="360"/>
      </w:pPr>
      <w:rPr>
        <w:rFonts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B732FD"/>
    <w:multiLevelType w:val="multilevel"/>
    <w:tmpl w:val="6122B002"/>
    <w:lvl w:ilvl="0">
      <w:start w:val="1"/>
      <w:numFmt w:val="upperRoman"/>
      <w:lvlText w:val="%1."/>
      <w:lvlJc w:val="left"/>
      <w:pPr>
        <w:ind w:left="144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46AE3981"/>
    <w:multiLevelType w:val="multilevel"/>
    <w:tmpl w:val="6122B002"/>
    <w:lvl w:ilvl="0">
      <w:start w:val="1"/>
      <w:numFmt w:val="upperRoman"/>
      <w:lvlText w:val="%1."/>
      <w:lvlJc w:val="left"/>
      <w:pPr>
        <w:ind w:left="144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4722308B"/>
    <w:multiLevelType w:val="hybridMultilevel"/>
    <w:tmpl w:val="AF82824C"/>
    <w:lvl w:ilvl="0" w:tplc="2274261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5B35AC"/>
    <w:multiLevelType w:val="hybridMultilevel"/>
    <w:tmpl w:val="7BEA3FBA"/>
    <w:lvl w:ilvl="0" w:tplc="BBE278B6">
      <w:start w:val="4"/>
      <w:numFmt w:val="bullet"/>
      <w:lvlText w:val="-"/>
      <w:lvlJc w:val="left"/>
      <w:pPr>
        <w:ind w:left="927" w:hanging="360"/>
      </w:pPr>
      <w:rPr>
        <w:rFonts w:ascii="Calibri Light" w:eastAsiaTheme="minorHAnsi" w:hAnsi="Calibri Light" w:cs="Calibri Light"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15:restartNumberingAfterBreak="0">
    <w:nsid w:val="505F0B80"/>
    <w:multiLevelType w:val="hybridMultilevel"/>
    <w:tmpl w:val="7D3E3E68"/>
    <w:lvl w:ilvl="0" w:tplc="38B6043A">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52153DF6"/>
    <w:multiLevelType w:val="hybridMultilevel"/>
    <w:tmpl w:val="0F208EFC"/>
    <w:lvl w:ilvl="0" w:tplc="01FA4BCA">
      <w:start w:val="1"/>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4" w15:restartNumberingAfterBreak="0">
    <w:nsid w:val="52246C97"/>
    <w:multiLevelType w:val="hybridMultilevel"/>
    <w:tmpl w:val="46D6F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CD4CA1"/>
    <w:multiLevelType w:val="hybridMultilevel"/>
    <w:tmpl w:val="DC265690"/>
    <w:lvl w:ilvl="0" w:tplc="BA0E5FF0">
      <w:start w:val="1"/>
      <w:numFmt w:val="lowerRoman"/>
      <w:lvlText w:val="(%1)"/>
      <w:lvlJc w:val="left"/>
      <w:pPr>
        <w:ind w:left="1429" w:hanging="720"/>
      </w:pPr>
      <w:rPr>
        <w:rFonts w:hint="default"/>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57BE4C40"/>
    <w:multiLevelType w:val="hybridMultilevel"/>
    <w:tmpl w:val="A94AF90E"/>
    <w:lvl w:ilvl="0" w:tplc="E056E084">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7D6D76"/>
    <w:multiLevelType w:val="hybridMultilevel"/>
    <w:tmpl w:val="283E2588"/>
    <w:lvl w:ilvl="0" w:tplc="3D2077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C00450"/>
    <w:multiLevelType w:val="hybridMultilevel"/>
    <w:tmpl w:val="A41A29CE"/>
    <w:lvl w:ilvl="0" w:tplc="3A68F31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15:restartNumberingAfterBreak="0">
    <w:nsid w:val="61D04540"/>
    <w:multiLevelType w:val="hybridMultilevel"/>
    <w:tmpl w:val="833AF046"/>
    <w:lvl w:ilvl="0" w:tplc="0F5221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4D022D"/>
    <w:multiLevelType w:val="hybridMultilevel"/>
    <w:tmpl w:val="DCCC165E"/>
    <w:lvl w:ilvl="0" w:tplc="00AE7F0C">
      <w:start w:val="1"/>
      <w:numFmt w:val="lowerRoman"/>
      <w:lvlText w:val="(%1)"/>
      <w:lvlJc w:val="left"/>
      <w:pPr>
        <w:ind w:left="862"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E33327"/>
    <w:multiLevelType w:val="multilevel"/>
    <w:tmpl w:val="C8AAD0BE"/>
    <w:lvl w:ilvl="0">
      <w:start w:val="2"/>
      <w:numFmt w:val="decimal"/>
      <w:lvlText w:val="%1"/>
      <w:lvlJc w:val="left"/>
      <w:pPr>
        <w:ind w:left="576" w:hanging="576"/>
      </w:pPr>
      <w:rPr>
        <w:rFonts w:hint="default"/>
      </w:rPr>
    </w:lvl>
    <w:lvl w:ilvl="1">
      <w:start w:val="1"/>
      <w:numFmt w:val="decimal"/>
      <w:lvlText w:val="%1.%2"/>
      <w:lvlJc w:val="left"/>
      <w:pPr>
        <w:ind w:left="859" w:hanging="576"/>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2" w15:restartNumberingAfterBreak="0">
    <w:nsid w:val="68625797"/>
    <w:multiLevelType w:val="hybridMultilevel"/>
    <w:tmpl w:val="C4B4C8C6"/>
    <w:lvl w:ilvl="0" w:tplc="31E21728">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F95D02"/>
    <w:multiLevelType w:val="hybridMultilevel"/>
    <w:tmpl w:val="33105BEA"/>
    <w:lvl w:ilvl="0" w:tplc="C41C11AC">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15:restartNumberingAfterBreak="0">
    <w:nsid w:val="6A493F53"/>
    <w:multiLevelType w:val="hybridMultilevel"/>
    <w:tmpl w:val="1BB8B008"/>
    <w:lvl w:ilvl="0" w:tplc="D37AA1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B7439A"/>
    <w:multiLevelType w:val="hybridMultilevel"/>
    <w:tmpl w:val="683076B8"/>
    <w:lvl w:ilvl="0" w:tplc="0418000D">
      <w:start w:val="1"/>
      <w:numFmt w:val="bullet"/>
      <w:lvlText w:val=""/>
      <w:lvlJc w:val="left"/>
      <w:pPr>
        <w:ind w:left="1170" w:hanging="360"/>
      </w:pPr>
      <w:rPr>
        <w:rFonts w:ascii="Wingdings" w:hAnsi="Wingdings"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36" w15:restartNumberingAfterBreak="0">
    <w:nsid w:val="6F3169B0"/>
    <w:multiLevelType w:val="hybridMultilevel"/>
    <w:tmpl w:val="C84EFE06"/>
    <w:lvl w:ilvl="0" w:tplc="051A243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83346B"/>
    <w:multiLevelType w:val="hybridMultilevel"/>
    <w:tmpl w:val="F1E6AD6A"/>
    <w:lvl w:ilvl="0" w:tplc="45262610">
      <w:start w:val="1"/>
      <w:numFmt w:val="lowerRoman"/>
      <w:lvlText w:val="(%1)"/>
      <w:lvlJc w:val="left"/>
      <w:pPr>
        <w:ind w:left="1287" w:hanging="72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73CB7248"/>
    <w:multiLevelType w:val="multilevel"/>
    <w:tmpl w:val="68A27860"/>
    <w:lvl w:ilvl="0">
      <w:start w:val="1"/>
      <w:numFmt w:val="upperRoman"/>
      <w:lvlText w:val="%1."/>
      <w:lvlJc w:val="left"/>
      <w:pPr>
        <w:ind w:left="1080" w:hanging="720"/>
      </w:pPr>
      <w:rPr>
        <w:rFonts w:hint="default"/>
      </w:rPr>
    </w:lvl>
    <w:lvl w:ilvl="1">
      <w:start w:val="4"/>
      <w:numFmt w:val="decimal"/>
      <w:isLgl/>
      <w:lvlText w:val="%1.%2."/>
      <w:lvlJc w:val="left"/>
      <w:pPr>
        <w:ind w:left="756" w:hanging="396"/>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8EE2798"/>
    <w:multiLevelType w:val="hybridMultilevel"/>
    <w:tmpl w:val="B6E6293A"/>
    <w:lvl w:ilvl="0" w:tplc="2274261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665D7F"/>
    <w:multiLevelType w:val="hybridMultilevel"/>
    <w:tmpl w:val="F0941EC2"/>
    <w:lvl w:ilvl="0" w:tplc="084A614A">
      <w:numFmt w:val="bullet"/>
      <w:lvlText w:val="-"/>
      <w:lvlJc w:val="left"/>
      <w:pPr>
        <w:ind w:left="927" w:hanging="360"/>
      </w:pPr>
      <w:rPr>
        <w:rFonts w:ascii="Calibri Light" w:eastAsia="Times New Roman" w:hAnsi="Calibri Light" w:cs="Calibri Light"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1" w15:restartNumberingAfterBreak="0">
    <w:nsid w:val="7BBC3148"/>
    <w:multiLevelType w:val="hybridMultilevel"/>
    <w:tmpl w:val="50008DE0"/>
    <w:lvl w:ilvl="0" w:tplc="6C28BB2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AF086B"/>
    <w:multiLevelType w:val="multilevel"/>
    <w:tmpl w:val="D2A81A6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E473E62"/>
    <w:multiLevelType w:val="hybridMultilevel"/>
    <w:tmpl w:val="C6E60D54"/>
    <w:lvl w:ilvl="0" w:tplc="9884A01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4"/>
  </w:num>
  <w:num w:numId="2">
    <w:abstractNumId w:val="17"/>
  </w:num>
  <w:num w:numId="3">
    <w:abstractNumId w:val="1"/>
  </w:num>
  <w:num w:numId="4">
    <w:abstractNumId w:val="38"/>
  </w:num>
  <w:num w:numId="5">
    <w:abstractNumId w:val="11"/>
  </w:num>
  <w:num w:numId="6">
    <w:abstractNumId w:val="19"/>
  </w:num>
  <w:num w:numId="7">
    <w:abstractNumId w:val="43"/>
  </w:num>
  <w:num w:numId="8">
    <w:abstractNumId w:val="23"/>
  </w:num>
  <w:num w:numId="9">
    <w:abstractNumId w:val="21"/>
  </w:num>
  <w:num w:numId="10">
    <w:abstractNumId w:val="5"/>
  </w:num>
  <w:num w:numId="11">
    <w:abstractNumId w:val="42"/>
  </w:num>
  <w:num w:numId="12">
    <w:abstractNumId w:val="41"/>
  </w:num>
  <w:num w:numId="13">
    <w:abstractNumId w:val="27"/>
  </w:num>
  <w:num w:numId="14">
    <w:abstractNumId w:val="35"/>
  </w:num>
  <w:num w:numId="15">
    <w:abstractNumId w:val="25"/>
  </w:num>
  <w:num w:numId="16">
    <w:abstractNumId w:val="20"/>
  </w:num>
  <w:num w:numId="17">
    <w:abstractNumId w:val="6"/>
  </w:num>
  <w:num w:numId="18">
    <w:abstractNumId w:val="18"/>
  </w:num>
  <w:num w:numId="19">
    <w:abstractNumId w:val="7"/>
  </w:num>
  <w:num w:numId="20">
    <w:abstractNumId w:val="40"/>
  </w:num>
  <w:num w:numId="21">
    <w:abstractNumId w:val="12"/>
  </w:num>
  <w:num w:numId="22">
    <w:abstractNumId w:val="22"/>
  </w:num>
  <w:num w:numId="23">
    <w:abstractNumId w:val="32"/>
  </w:num>
  <w:num w:numId="24">
    <w:abstractNumId w:val="13"/>
  </w:num>
  <w:num w:numId="25">
    <w:abstractNumId w:val="39"/>
  </w:num>
  <w:num w:numId="26">
    <w:abstractNumId w:val="4"/>
  </w:num>
  <w:num w:numId="27">
    <w:abstractNumId w:val="28"/>
  </w:num>
  <w:num w:numId="28">
    <w:abstractNumId w:val="3"/>
  </w:num>
  <w:num w:numId="29">
    <w:abstractNumId w:val="33"/>
  </w:num>
  <w:num w:numId="30">
    <w:abstractNumId w:val="36"/>
  </w:num>
  <w:num w:numId="31">
    <w:abstractNumId w:val="10"/>
  </w:num>
  <w:num w:numId="32">
    <w:abstractNumId w:val="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30"/>
  </w:num>
  <w:num w:numId="37">
    <w:abstractNumId w:val="26"/>
  </w:num>
  <w:num w:numId="38">
    <w:abstractNumId w:val="29"/>
  </w:num>
  <w:num w:numId="39">
    <w:abstractNumId w:val="24"/>
  </w:num>
  <w:num w:numId="40">
    <w:abstractNumId w:val="16"/>
  </w:num>
  <w:num w:numId="41">
    <w:abstractNumId w:val="37"/>
  </w:num>
  <w:num w:numId="42">
    <w:abstractNumId w:val="2"/>
  </w:num>
  <w:num w:numId="43">
    <w:abstractNumId w:val="0"/>
  </w:num>
  <w:num w:numId="44">
    <w:abstractNumId w:val="14"/>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004"/>
    <w:rsid w:val="00005A03"/>
    <w:rsid w:val="00005D4C"/>
    <w:rsid w:val="00013D53"/>
    <w:rsid w:val="00015B94"/>
    <w:rsid w:val="00021109"/>
    <w:rsid w:val="00047EAE"/>
    <w:rsid w:val="00060EEB"/>
    <w:rsid w:val="000818EB"/>
    <w:rsid w:val="000916F5"/>
    <w:rsid w:val="00092F33"/>
    <w:rsid w:val="000B7434"/>
    <w:rsid w:val="000E25D7"/>
    <w:rsid w:val="000E41A8"/>
    <w:rsid w:val="000F5D9A"/>
    <w:rsid w:val="001117ED"/>
    <w:rsid w:val="00112877"/>
    <w:rsid w:val="00112B08"/>
    <w:rsid w:val="001177C0"/>
    <w:rsid w:val="00153419"/>
    <w:rsid w:val="001738F4"/>
    <w:rsid w:val="001809F5"/>
    <w:rsid w:val="00193496"/>
    <w:rsid w:val="00197AA0"/>
    <w:rsid w:val="001A24EA"/>
    <w:rsid w:val="001C1349"/>
    <w:rsid w:val="001F08F0"/>
    <w:rsid w:val="002026B9"/>
    <w:rsid w:val="002059DD"/>
    <w:rsid w:val="00213531"/>
    <w:rsid w:val="00223211"/>
    <w:rsid w:val="0022497D"/>
    <w:rsid w:val="00231C06"/>
    <w:rsid w:val="00247AED"/>
    <w:rsid w:val="00253BEE"/>
    <w:rsid w:val="00254AC0"/>
    <w:rsid w:val="0027101D"/>
    <w:rsid w:val="00276DE8"/>
    <w:rsid w:val="002906FB"/>
    <w:rsid w:val="002B0000"/>
    <w:rsid w:val="002B136D"/>
    <w:rsid w:val="002F1D92"/>
    <w:rsid w:val="002F3E80"/>
    <w:rsid w:val="00302AC8"/>
    <w:rsid w:val="00303B6A"/>
    <w:rsid w:val="00320ADA"/>
    <w:rsid w:val="00320E69"/>
    <w:rsid w:val="003342BD"/>
    <w:rsid w:val="00345C85"/>
    <w:rsid w:val="00345D4B"/>
    <w:rsid w:val="00374692"/>
    <w:rsid w:val="003B3F7E"/>
    <w:rsid w:val="003B555B"/>
    <w:rsid w:val="003E5E2E"/>
    <w:rsid w:val="003F4FAB"/>
    <w:rsid w:val="003F6EE9"/>
    <w:rsid w:val="004078D0"/>
    <w:rsid w:val="00415EFD"/>
    <w:rsid w:val="00422E79"/>
    <w:rsid w:val="00425A02"/>
    <w:rsid w:val="00431060"/>
    <w:rsid w:val="004407D1"/>
    <w:rsid w:val="00453E8F"/>
    <w:rsid w:val="0045473C"/>
    <w:rsid w:val="00460D62"/>
    <w:rsid w:val="00462D98"/>
    <w:rsid w:val="00464B1E"/>
    <w:rsid w:val="004702B3"/>
    <w:rsid w:val="00481FF2"/>
    <w:rsid w:val="0048471D"/>
    <w:rsid w:val="00490012"/>
    <w:rsid w:val="004A4971"/>
    <w:rsid w:val="004C0263"/>
    <w:rsid w:val="004C667E"/>
    <w:rsid w:val="004D7BEA"/>
    <w:rsid w:val="00503FC4"/>
    <w:rsid w:val="0051536A"/>
    <w:rsid w:val="00515CCA"/>
    <w:rsid w:val="00567049"/>
    <w:rsid w:val="0058264A"/>
    <w:rsid w:val="005960B1"/>
    <w:rsid w:val="00643004"/>
    <w:rsid w:val="00663798"/>
    <w:rsid w:val="00702A74"/>
    <w:rsid w:val="007043B4"/>
    <w:rsid w:val="00704D72"/>
    <w:rsid w:val="00710824"/>
    <w:rsid w:val="00711245"/>
    <w:rsid w:val="00730821"/>
    <w:rsid w:val="00753ED3"/>
    <w:rsid w:val="00775327"/>
    <w:rsid w:val="00795601"/>
    <w:rsid w:val="007B42E3"/>
    <w:rsid w:val="007B6949"/>
    <w:rsid w:val="007C1453"/>
    <w:rsid w:val="007D4D1F"/>
    <w:rsid w:val="0080690C"/>
    <w:rsid w:val="00886D39"/>
    <w:rsid w:val="008A6B2D"/>
    <w:rsid w:val="008B3719"/>
    <w:rsid w:val="008C3AF6"/>
    <w:rsid w:val="008C71CD"/>
    <w:rsid w:val="008E5979"/>
    <w:rsid w:val="0092673F"/>
    <w:rsid w:val="0094138E"/>
    <w:rsid w:val="00962D7E"/>
    <w:rsid w:val="00965B86"/>
    <w:rsid w:val="00982585"/>
    <w:rsid w:val="00995CED"/>
    <w:rsid w:val="009B1C89"/>
    <w:rsid w:val="009C4589"/>
    <w:rsid w:val="009C575C"/>
    <w:rsid w:val="009D5867"/>
    <w:rsid w:val="009E3902"/>
    <w:rsid w:val="009F634F"/>
    <w:rsid w:val="00A15068"/>
    <w:rsid w:val="00A35155"/>
    <w:rsid w:val="00A47020"/>
    <w:rsid w:val="00AF1949"/>
    <w:rsid w:val="00B01E5F"/>
    <w:rsid w:val="00B05AEB"/>
    <w:rsid w:val="00B11F10"/>
    <w:rsid w:val="00B733AE"/>
    <w:rsid w:val="00BA00BA"/>
    <w:rsid w:val="00BC56F7"/>
    <w:rsid w:val="00BC747B"/>
    <w:rsid w:val="00BD5E07"/>
    <w:rsid w:val="00BE3DFC"/>
    <w:rsid w:val="00C123C3"/>
    <w:rsid w:val="00C17B27"/>
    <w:rsid w:val="00C4195B"/>
    <w:rsid w:val="00C47988"/>
    <w:rsid w:val="00C62868"/>
    <w:rsid w:val="00C71126"/>
    <w:rsid w:val="00C8799A"/>
    <w:rsid w:val="00CE01BD"/>
    <w:rsid w:val="00D047FC"/>
    <w:rsid w:val="00D30E17"/>
    <w:rsid w:val="00D35DCA"/>
    <w:rsid w:val="00D44182"/>
    <w:rsid w:val="00D64D16"/>
    <w:rsid w:val="00D64E42"/>
    <w:rsid w:val="00D8267F"/>
    <w:rsid w:val="00DB599F"/>
    <w:rsid w:val="00DD66E7"/>
    <w:rsid w:val="00E05AEE"/>
    <w:rsid w:val="00E070D0"/>
    <w:rsid w:val="00E32C8F"/>
    <w:rsid w:val="00E577D8"/>
    <w:rsid w:val="00E6639A"/>
    <w:rsid w:val="00E67099"/>
    <w:rsid w:val="00E75944"/>
    <w:rsid w:val="00E77DE3"/>
    <w:rsid w:val="00E813F7"/>
    <w:rsid w:val="00E9527E"/>
    <w:rsid w:val="00EA1548"/>
    <w:rsid w:val="00EA6B58"/>
    <w:rsid w:val="00EB170A"/>
    <w:rsid w:val="00ED66E8"/>
    <w:rsid w:val="00EE3694"/>
    <w:rsid w:val="00EF2A8A"/>
    <w:rsid w:val="00EF3AB4"/>
    <w:rsid w:val="00F00D1E"/>
    <w:rsid w:val="00F12E93"/>
    <w:rsid w:val="00F44FCD"/>
    <w:rsid w:val="00F67CC1"/>
    <w:rsid w:val="00F71B6E"/>
    <w:rsid w:val="00F90352"/>
    <w:rsid w:val="00FD7A78"/>
    <w:rsid w:val="00FE1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9200A-6715-4C4A-964B-17A27DAF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ro-RO"/>
    </w:rPr>
  </w:style>
  <w:style w:type="paragraph" w:styleId="1">
    <w:name w:val="heading 1"/>
    <w:basedOn w:val="a"/>
    <w:next w:val="a"/>
    <w:link w:val="10"/>
    <w:uiPriority w:val="9"/>
    <w:qFormat/>
    <w:rsid w:val="00E67099"/>
    <w:pPr>
      <w:keepNext/>
      <w:keepLines/>
      <w:spacing w:before="240" w:after="0"/>
      <w:outlineLvl w:val="0"/>
    </w:pPr>
    <w:rPr>
      <w:rFonts w:asciiTheme="majorHAnsi" w:eastAsiaTheme="majorEastAsia" w:hAnsiTheme="majorHAnsi" w:cstheme="majorBidi"/>
      <w:color w:val="2E74B5" w:themeColor="accent1" w:themeShade="BF"/>
      <w:sz w:val="32"/>
      <w:szCs w:val="32"/>
      <w:lang w:val="ro-MD"/>
    </w:rPr>
  </w:style>
  <w:style w:type="paragraph" w:styleId="3">
    <w:name w:val="heading 3"/>
    <w:basedOn w:val="a"/>
    <w:next w:val="a"/>
    <w:link w:val="30"/>
    <w:uiPriority w:val="9"/>
    <w:unhideWhenUsed/>
    <w:qFormat/>
    <w:rsid w:val="00E670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E6709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4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254AC0"/>
    <w:pPr>
      <w:tabs>
        <w:tab w:val="center" w:pos="4844"/>
        <w:tab w:val="right" w:pos="9689"/>
      </w:tabs>
      <w:spacing w:after="0" w:line="240" w:lineRule="auto"/>
    </w:pPr>
  </w:style>
  <w:style w:type="character" w:customStyle="1" w:styleId="a5">
    <w:name w:val="Нижний колонтитул Знак"/>
    <w:basedOn w:val="a0"/>
    <w:link w:val="a4"/>
    <w:uiPriority w:val="99"/>
    <w:rsid w:val="00254AC0"/>
    <w:rPr>
      <w:lang w:val="ro-RO"/>
    </w:rPr>
  </w:style>
  <w:style w:type="paragraph" w:styleId="a6">
    <w:name w:val="footnote text"/>
    <w:aliases w:val="Char, Char,Знак1, Знак1, Знак,Знак,single space,footnote text,FOOTNOTES,fn,Footnote Text Char1,Footnote Text Char2 Char,Footnote Text Char1 Char Char,Footnote Text Char2 Char Char Char,Footnote Text Char1 Char Char Char Char, Cha,ft,A,Cha"/>
    <w:basedOn w:val="a"/>
    <w:link w:val="a7"/>
    <w:uiPriority w:val="99"/>
    <w:unhideWhenUsed/>
    <w:qFormat/>
    <w:rsid w:val="00254AC0"/>
    <w:pPr>
      <w:spacing w:after="0" w:line="240" w:lineRule="auto"/>
    </w:pPr>
    <w:rPr>
      <w:sz w:val="20"/>
      <w:szCs w:val="20"/>
      <w:lang w:val="en-US"/>
    </w:rPr>
  </w:style>
  <w:style w:type="character" w:customStyle="1" w:styleId="a7">
    <w:name w:val="Текст сноски Знак"/>
    <w:aliases w:val="Char Знак, Char Знак,Знак1 Знак, Знак1 Знак, Знак Знак,Знак Знак,single space Знак,footnote text Знак,FOOTNOTES Знак,fn Знак,Footnote Text Char1 Знак,Footnote Text Char2 Char Знак,Footnote Text Char1 Char Char Знак, Cha Знак,ft Знак"/>
    <w:basedOn w:val="a0"/>
    <w:link w:val="a6"/>
    <w:uiPriority w:val="99"/>
    <w:rsid w:val="00254AC0"/>
    <w:rPr>
      <w:sz w:val="20"/>
      <w:szCs w:val="20"/>
    </w:rPr>
  </w:style>
  <w:style w:type="character" w:styleId="a8">
    <w:name w:val="footnote reference"/>
    <w:aliases w:val="ftref,Times 10 Point,Exposant 3 Point,Footnote symbol,Footnote reference number,EN Footnote Reference,note TESI,16 Point,Superscript 6 Point,BVI fnr,Footnote Text Char2,Char Char1,FOOTNOTES Char1,fn Char1,single space Char1,ft Char1"/>
    <w:basedOn w:val="a0"/>
    <w:link w:val="FNRefeCharChar"/>
    <w:uiPriority w:val="99"/>
    <w:unhideWhenUsed/>
    <w:rsid w:val="00254AC0"/>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8"/>
    <w:uiPriority w:val="99"/>
    <w:qFormat/>
    <w:rsid w:val="00254AC0"/>
    <w:pPr>
      <w:spacing w:line="240" w:lineRule="exact"/>
    </w:pPr>
    <w:rPr>
      <w:vertAlign w:val="superscript"/>
      <w:lang w:val="en-US"/>
    </w:rPr>
  </w:style>
  <w:style w:type="table" w:styleId="-1">
    <w:name w:val="Grid Table 1 Light"/>
    <w:basedOn w:val="a1"/>
    <w:uiPriority w:val="46"/>
    <w:rsid w:val="00254AC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9">
    <w:name w:val="List Paragraph"/>
    <w:aliases w:val="strikethrough,List Paragraph 1,Scriptoria bullet points,Bullets,List Paragraph (numbered (a)),Numbered Paragraph,Main numbered paragraph,Akapit z listą BS,Lettre d'introduction,List Paragraph11,Bullet Points,Liste Paragraf"/>
    <w:basedOn w:val="a"/>
    <w:link w:val="aa"/>
    <w:uiPriority w:val="34"/>
    <w:qFormat/>
    <w:rsid w:val="00013D53"/>
    <w:pPr>
      <w:ind w:left="720"/>
      <w:contextualSpacing/>
    </w:pPr>
  </w:style>
  <w:style w:type="table" w:customStyle="1" w:styleId="GridTable1Light2">
    <w:name w:val="Grid Table 1 Light2"/>
    <w:basedOn w:val="a1"/>
    <w:next w:val="-1"/>
    <w:uiPriority w:val="46"/>
    <w:rsid w:val="009F634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10">
    <w:name w:val="Заголовок 1 Знак"/>
    <w:basedOn w:val="a0"/>
    <w:link w:val="1"/>
    <w:uiPriority w:val="9"/>
    <w:rsid w:val="00E67099"/>
    <w:rPr>
      <w:rFonts w:asciiTheme="majorHAnsi" w:eastAsiaTheme="majorEastAsia" w:hAnsiTheme="majorHAnsi" w:cstheme="majorBidi"/>
      <w:color w:val="2E74B5" w:themeColor="accent1" w:themeShade="BF"/>
      <w:sz w:val="32"/>
      <w:szCs w:val="32"/>
      <w:lang w:val="ro-MD"/>
    </w:rPr>
  </w:style>
  <w:style w:type="character" w:customStyle="1" w:styleId="30">
    <w:name w:val="Заголовок 3 Знак"/>
    <w:basedOn w:val="a0"/>
    <w:link w:val="3"/>
    <w:uiPriority w:val="9"/>
    <w:rsid w:val="00E67099"/>
    <w:rPr>
      <w:rFonts w:asciiTheme="majorHAnsi" w:eastAsiaTheme="majorEastAsia" w:hAnsiTheme="majorHAnsi" w:cstheme="majorBidi"/>
      <w:color w:val="1F4D78" w:themeColor="accent1" w:themeShade="7F"/>
      <w:sz w:val="24"/>
      <w:szCs w:val="24"/>
      <w:lang w:val="ro-RO"/>
    </w:rPr>
  </w:style>
  <w:style w:type="character" w:customStyle="1" w:styleId="40">
    <w:name w:val="Заголовок 4 Знак"/>
    <w:basedOn w:val="a0"/>
    <w:link w:val="4"/>
    <w:uiPriority w:val="9"/>
    <w:rsid w:val="00E67099"/>
    <w:rPr>
      <w:rFonts w:asciiTheme="majorHAnsi" w:eastAsiaTheme="majorEastAsia" w:hAnsiTheme="majorHAnsi" w:cstheme="majorBidi"/>
      <w:i/>
      <w:iCs/>
      <w:color w:val="2E74B5" w:themeColor="accent1" w:themeShade="BF"/>
      <w:lang w:val="ro-RO"/>
    </w:rPr>
  </w:style>
  <w:style w:type="numbering" w:customStyle="1" w:styleId="NoList1">
    <w:name w:val="No List1"/>
    <w:next w:val="a2"/>
    <w:uiPriority w:val="99"/>
    <w:semiHidden/>
    <w:unhideWhenUsed/>
    <w:rsid w:val="00E67099"/>
  </w:style>
  <w:style w:type="table" w:customStyle="1" w:styleId="TableGrid1">
    <w:name w:val="Table Grid1"/>
    <w:basedOn w:val="a1"/>
    <w:next w:val="a3"/>
    <w:uiPriority w:val="39"/>
    <w:rsid w:val="00E67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E67099"/>
    <w:pPr>
      <w:tabs>
        <w:tab w:val="center" w:pos="4844"/>
        <w:tab w:val="right" w:pos="9689"/>
      </w:tabs>
      <w:spacing w:after="0" w:line="240" w:lineRule="auto"/>
    </w:pPr>
  </w:style>
  <w:style w:type="character" w:customStyle="1" w:styleId="ac">
    <w:name w:val="Верхний колонтитул Знак"/>
    <w:basedOn w:val="a0"/>
    <w:link w:val="ab"/>
    <w:uiPriority w:val="99"/>
    <w:rsid w:val="00E67099"/>
    <w:rPr>
      <w:lang w:val="ro-RO"/>
    </w:rPr>
  </w:style>
  <w:style w:type="character" w:customStyle="1" w:styleId="aa">
    <w:name w:val="Абзац списка Знак"/>
    <w:aliases w:val="strikethrough Знак,List Paragraph 1 Знак,Scriptoria bullet points Знак,Bullets Знак,List Paragraph (numbered (a)) Знак,Numbered Paragraph Знак,Main numbered paragraph Знак,Akapit z listą BS Знак,Lettre d'introduction Знак"/>
    <w:link w:val="a9"/>
    <w:uiPriority w:val="34"/>
    <w:rsid w:val="00E67099"/>
    <w:rPr>
      <w:lang w:val="ro-RO"/>
    </w:rPr>
  </w:style>
  <w:style w:type="paragraph" w:styleId="ad">
    <w:name w:val="Normal (Web)"/>
    <w:basedOn w:val="a"/>
    <w:uiPriority w:val="99"/>
    <w:unhideWhenUsed/>
    <w:rsid w:val="00E67099"/>
    <w:pPr>
      <w:spacing w:after="0" w:line="240" w:lineRule="auto"/>
      <w:ind w:firstLine="567"/>
      <w:jc w:val="both"/>
    </w:pPr>
    <w:rPr>
      <w:rFonts w:ascii="Times New Roman" w:eastAsia="Times New Roman" w:hAnsi="Times New Roman" w:cs="Times New Roman"/>
      <w:sz w:val="24"/>
      <w:szCs w:val="24"/>
      <w:lang w:val="en-US"/>
    </w:rPr>
  </w:style>
  <w:style w:type="table" w:customStyle="1" w:styleId="GridTable1Light1">
    <w:name w:val="Grid Table 1 Light1"/>
    <w:basedOn w:val="a1"/>
    <w:next w:val="-1"/>
    <w:uiPriority w:val="46"/>
    <w:rsid w:val="00E6709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3">
    <w:name w:val="Grid Table 1 Light3"/>
    <w:basedOn w:val="a1"/>
    <w:next w:val="-1"/>
    <w:uiPriority w:val="46"/>
    <w:rsid w:val="00E6709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61">
    <w:name w:val="Grid Table 4 - Accent 61"/>
    <w:basedOn w:val="a1"/>
    <w:uiPriority w:val="49"/>
    <w:rsid w:val="00E6709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ListParagraphChar1">
    <w:name w:val="List Paragraph Char1"/>
    <w:aliases w:val="List Paragraph 1 Char1,Scriptoria bullet points Char,Абзац списка Char,Bullets Char1,List Paragraph (numbered (a)) Char1,Numbered Paragraph Char1,Main numbered paragraph Char1,Akapit z listą BS Char1,Lettre d'introduction Char1"/>
    <w:uiPriority w:val="99"/>
    <w:locked/>
    <w:rsid w:val="00E67099"/>
    <w:rPr>
      <w:rFonts w:eastAsia="Times New Roman"/>
      <w:lang w:eastAsia="zh-CN"/>
    </w:rPr>
  </w:style>
  <w:style w:type="table" w:customStyle="1" w:styleId="GridTable1Light21">
    <w:name w:val="Grid Table 1 Light21"/>
    <w:basedOn w:val="a1"/>
    <w:next w:val="-1"/>
    <w:uiPriority w:val="46"/>
    <w:rsid w:val="00E6709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e">
    <w:name w:val="Body Text Indent"/>
    <w:basedOn w:val="a"/>
    <w:link w:val="af"/>
    <w:unhideWhenUsed/>
    <w:rsid w:val="00E67099"/>
    <w:pPr>
      <w:spacing w:after="120" w:line="276" w:lineRule="auto"/>
      <w:ind w:left="283"/>
    </w:pPr>
    <w:rPr>
      <w:rFonts w:ascii="Calibri" w:eastAsia="Calibri" w:hAnsi="Calibri" w:cs="Times New Roman"/>
      <w:lang w:val="ru-RU"/>
    </w:rPr>
  </w:style>
  <w:style w:type="character" w:customStyle="1" w:styleId="af">
    <w:name w:val="Основной текст с отступом Знак"/>
    <w:basedOn w:val="a0"/>
    <w:link w:val="ae"/>
    <w:rsid w:val="00E67099"/>
    <w:rPr>
      <w:rFonts w:ascii="Calibri" w:eastAsia="Calibri" w:hAnsi="Calibri" w:cs="Times New Roman"/>
      <w:lang w:val="ru-RU"/>
    </w:rPr>
  </w:style>
  <w:style w:type="paragraph" w:styleId="af0">
    <w:name w:val="No Spacing"/>
    <w:link w:val="af1"/>
    <w:uiPriority w:val="1"/>
    <w:qFormat/>
    <w:rsid w:val="00E67099"/>
    <w:pPr>
      <w:spacing w:after="0" w:line="240" w:lineRule="auto"/>
    </w:pPr>
    <w:rPr>
      <w:rFonts w:ascii="Calibri" w:eastAsia="Times New Roman" w:hAnsi="Calibri" w:cs="Times New Roman"/>
      <w:lang w:val="ru-RU"/>
    </w:rPr>
  </w:style>
  <w:style w:type="character" w:customStyle="1" w:styleId="af1">
    <w:name w:val="Без интервала Знак"/>
    <w:basedOn w:val="a0"/>
    <w:link w:val="af0"/>
    <w:uiPriority w:val="1"/>
    <w:locked/>
    <w:rsid w:val="00E67099"/>
    <w:rPr>
      <w:rFonts w:ascii="Calibri" w:eastAsia="Times New Roman" w:hAnsi="Calibri" w:cs="Times New Roman"/>
      <w:lang w:val="ru-RU"/>
    </w:rPr>
  </w:style>
  <w:style w:type="character" w:styleId="af2">
    <w:name w:val="Hyperlink"/>
    <w:basedOn w:val="a0"/>
    <w:uiPriority w:val="99"/>
    <w:rsid w:val="00E67099"/>
    <w:rPr>
      <w:color w:val="0000FF"/>
      <w:u w:val="single"/>
    </w:rPr>
  </w:style>
  <w:style w:type="paragraph" w:customStyle="1" w:styleId="tt">
    <w:name w:val="tt"/>
    <w:basedOn w:val="a"/>
    <w:rsid w:val="00E670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45">
    <w:name w:val="Grid Table 4 Accent 5"/>
    <w:basedOn w:val="a1"/>
    <w:uiPriority w:val="49"/>
    <w:rsid w:val="00E6709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1Light11">
    <w:name w:val="Grid Table 1 Light11"/>
    <w:basedOn w:val="a1"/>
    <w:next w:val="-1"/>
    <w:uiPriority w:val="46"/>
    <w:rsid w:val="00E6709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f3">
    <w:name w:val="Текст выноски Знак"/>
    <w:basedOn w:val="a0"/>
    <w:link w:val="af4"/>
    <w:uiPriority w:val="99"/>
    <w:semiHidden/>
    <w:rsid w:val="00E67099"/>
    <w:rPr>
      <w:rFonts w:ascii="Segoe UI" w:hAnsi="Segoe UI" w:cs="Segoe UI"/>
      <w:sz w:val="18"/>
      <w:szCs w:val="18"/>
      <w:lang w:val="ro-MD"/>
    </w:rPr>
  </w:style>
  <w:style w:type="paragraph" w:styleId="af4">
    <w:name w:val="Balloon Text"/>
    <w:basedOn w:val="a"/>
    <w:link w:val="af3"/>
    <w:uiPriority w:val="99"/>
    <w:semiHidden/>
    <w:unhideWhenUsed/>
    <w:rsid w:val="00E67099"/>
    <w:pPr>
      <w:spacing w:after="0" w:line="240" w:lineRule="auto"/>
    </w:pPr>
    <w:rPr>
      <w:rFonts w:ascii="Segoe UI" w:hAnsi="Segoe UI" w:cs="Segoe UI"/>
      <w:sz w:val="18"/>
      <w:szCs w:val="18"/>
      <w:lang w:val="ro-MD"/>
    </w:rPr>
  </w:style>
  <w:style w:type="character" w:customStyle="1" w:styleId="BalloonTextChar1">
    <w:name w:val="Balloon Text Char1"/>
    <w:basedOn w:val="a0"/>
    <w:uiPriority w:val="99"/>
    <w:semiHidden/>
    <w:rsid w:val="00E67099"/>
    <w:rPr>
      <w:rFonts w:ascii="Segoe UI" w:hAnsi="Segoe UI" w:cs="Segoe UI"/>
      <w:sz w:val="18"/>
      <w:szCs w:val="18"/>
      <w:lang w:val="ro-RO"/>
    </w:rPr>
  </w:style>
  <w:style w:type="character" w:styleId="af5">
    <w:name w:val="Strong"/>
    <w:basedOn w:val="a0"/>
    <w:uiPriority w:val="22"/>
    <w:qFormat/>
    <w:rsid w:val="00E67099"/>
    <w:rPr>
      <w:b/>
      <w:bCs/>
    </w:rPr>
  </w:style>
  <w:style w:type="character" w:customStyle="1" w:styleId="docheader">
    <w:name w:val="doc_header"/>
    <w:basedOn w:val="a0"/>
    <w:rsid w:val="00E67099"/>
  </w:style>
  <w:style w:type="character" w:styleId="af6">
    <w:name w:val="Emphasis"/>
    <w:basedOn w:val="a0"/>
    <w:uiPriority w:val="20"/>
    <w:qFormat/>
    <w:rsid w:val="00E67099"/>
    <w:rPr>
      <w:i/>
      <w:iCs/>
    </w:rPr>
  </w:style>
  <w:style w:type="numbering" w:customStyle="1" w:styleId="NoList2">
    <w:name w:val="No List2"/>
    <w:next w:val="a2"/>
    <w:uiPriority w:val="99"/>
    <w:semiHidden/>
    <w:unhideWhenUsed/>
    <w:rsid w:val="00E67099"/>
  </w:style>
  <w:style w:type="table" w:customStyle="1" w:styleId="TableGrid2">
    <w:name w:val="Table Grid2"/>
    <w:basedOn w:val="a1"/>
    <w:next w:val="a3"/>
    <w:uiPriority w:val="39"/>
    <w:rsid w:val="00E67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
    <w:name w:val="Grid Table 1 Light12"/>
    <w:basedOn w:val="a1"/>
    <w:next w:val="-1"/>
    <w:uiPriority w:val="46"/>
    <w:rsid w:val="00E6709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4">
    <w:name w:val="Grid Table 1 Light4"/>
    <w:basedOn w:val="a1"/>
    <w:next w:val="-1"/>
    <w:uiPriority w:val="46"/>
    <w:rsid w:val="00E6709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611">
    <w:name w:val="Grid Table 4 - Accent 611"/>
    <w:basedOn w:val="a1"/>
    <w:uiPriority w:val="49"/>
    <w:rsid w:val="00E6709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1Light22">
    <w:name w:val="Grid Table 1 Light22"/>
    <w:basedOn w:val="a1"/>
    <w:next w:val="-1"/>
    <w:uiPriority w:val="46"/>
    <w:rsid w:val="00E6709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211">
    <w:name w:val="Grid Table 1 Light211"/>
    <w:basedOn w:val="a1"/>
    <w:next w:val="-1"/>
    <w:uiPriority w:val="46"/>
    <w:rsid w:val="00E6709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51">
    <w:name w:val="Grid Table 4 - Accent 51"/>
    <w:basedOn w:val="a1"/>
    <w:next w:val="-45"/>
    <w:uiPriority w:val="49"/>
    <w:rsid w:val="00E6709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1Light111">
    <w:name w:val="Grid Table 1 Light111"/>
    <w:basedOn w:val="a1"/>
    <w:next w:val="-1"/>
    <w:uiPriority w:val="46"/>
    <w:rsid w:val="00E6709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1">
    <w:name w:val="Table Grid11"/>
    <w:basedOn w:val="a1"/>
    <w:next w:val="a3"/>
    <w:uiPriority w:val="39"/>
    <w:rsid w:val="00E67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crm.md/activitatea-curtii-de-conturi-1-25" TargetMode="Externa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http://mf.gov.md/ro/trezorerie/rapoarte-privind-executarea-bugetului/rapoarte-luna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fontTable" Target="fontTable.xml"/><Relationship Id="rId10" Type="http://schemas.openxmlformats.org/officeDocument/2006/relationships/hyperlink" Target="mailto:ccrm@ccrm.md" TargetMode="Externa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image" Target="cid:image003.jpg@01D53192.824E8D70" TargetMode="External"/><Relationship Id="rId14" Type="http://schemas.openxmlformats.org/officeDocument/2006/relationships/footer" Target="footer2.xml"/><Relationship Id="rId22" Type="http://schemas.openxmlformats.org/officeDocument/2006/relationships/chart" Target="charts/chart8.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w="19050" cap="flat" cmpd="sng" algn="ctr">
          <a:solidFill>
            <a:schemeClr val="tx1">
              <a:lumMod val="25000"/>
              <a:lumOff val="75000"/>
            </a:schemeClr>
          </a:solidFill>
          <a:round/>
        </a:ln>
        <a:effectLst/>
        <a:sp3d contourW="19050">
          <a:contourClr>
            <a:schemeClr val="tx1">
              <a:lumMod val="25000"/>
              <a:lumOff val="75000"/>
            </a:schemeClr>
          </a:contourClr>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Sheet1!$B$1</c:f>
              <c:strCache>
                <c:ptCount val="1"/>
                <c:pt idx="0">
                  <c:v>Total cheltuieli și active nefinanciare</c:v>
                </c:pt>
              </c:strCache>
            </c:strRef>
          </c:tx>
          <c:spPr>
            <a:pattFill prst="ltDnDiag">
              <a:fgClr>
                <a:schemeClr val="accent6"/>
              </a:fgClr>
              <a:bgClr>
                <a:schemeClr val="accent6">
                  <a:lumMod val="20000"/>
                  <a:lumOff val="80000"/>
                </a:schemeClr>
              </a:bgClr>
            </a:pattFill>
            <a:ln>
              <a:solidFill>
                <a:schemeClr val="accent6"/>
              </a:solidFill>
            </a:ln>
            <a:effectLst/>
            <a:sp3d>
              <a:contourClr>
                <a:schemeClr val="accent6"/>
              </a:contourClr>
            </a:sp3d>
          </c:spPr>
          <c:invertIfNegative val="0"/>
          <c:dPt>
            <c:idx val="0"/>
            <c:invertIfNegative val="0"/>
            <c:bubble3D val="0"/>
            <c:spPr>
              <a:pattFill prst="ltDnDiag">
                <a:fgClr>
                  <a:schemeClr val="accent6"/>
                </a:fgClr>
                <a:bgClr>
                  <a:schemeClr val="accent6">
                    <a:lumMod val="20000"/>
                    <a:lumOff val="80000"/>
                  </a:schemeClr>
                </a:bgClr>
              </a:pattFill>
              <a:ln w="15875">
                <a:solidFill>
                  <a:schemeClr val="accent6"/>
                </a:solidFill>
              </a:ln>
              <a:effectLst/>
              <a:sp3d contourW="15875">
                <a:contourClr>
                  <a:schemeClr val="accent6"/>
                </a:contourClr>
              </a:sp3d>
            </c:spPr>
            <c:extLst xmlns:c16r2="http://schemas.microsoft.com/office/drawing/2015/06/chart">
              <c:ext xmlns:c16="http://schemas.microsoft.com/office/drawing/2014/chart" uri="{C3380CC4-5D6E-409C-BE32-E72D297353CC}">
                <c16:uniqueId val="{00000001-2305-4847-A5D8-A297F8FFD6A8}"/>
              </c:ext>
            </c:extLst>
          </c:dPt>
          <c:dPt>
            <c:idx val="1"/>
            <c:invertIfNegative val="0"/>
            <c:bubble3D val="0"/>
            <c:spPr>
              <a:pattFill prst="ltDnDiag">
                <a:fgClr>
                  <a:schemeClr val="accent6"/>
                </a:fgClr>
                <a:bgClr>
                  <a:schemeClr val="accent6">
                    <a:lumMod val="20000"/>
                    <a:lumOff val="80000"/>
                  </a:schemeClr>
                </a:bgClr>
              </a:pattFill>
              <a:ln w="15875">
                <a:solidFill>
                  <a:schemeClr val="accent6"/>
                </a:solidFill>
              </a:ln>
              <a:effectLst/>
              <a:sp3d contourW="15875">
                <a:contourClr>
                  <a:schemeClr val="accent6"/>
                </a:contourClr>
              </a:sp3d>
            </c:spPr>
            <c:extLst xmlns:c16r2="http://schemas.microsoft.com/office/drawing/2015/06/chart">
              <c:ext xmlns:c16="http://schemas.microsoft.com/office/drawing/2014/chart" uri="{C3380CC4-5D6E-409C-BE32-E72D297353CC}">
                <c16:uniqueId val="{00000003-2305-4847-A5D8-A297F8FFD6A8}"/>
              </c:ext>
            </c:extLst>
          </c:dPt>
          <c:dPt>
            <c:idx val="2"/>
            <c:invertIfNegative val="0"/>
            <c:bubble3D val="0"/>
            <c:spPr>
              <a:pattFill prst="ltDnDiag">
                <a:fgClr>
                  <a:schemeClr val="accent6"/>
                </a:fgClr>
                <a:bgClr>
                  <a:schemeClr val="accent6">
                    <a:lumMod val="20000"/>
                    <a:lumOff val="80000"/>
                  </a:schemeClr>
                </a:bgClr>
              </a:pattFill>
              <a:ln w="15875">
                <a:solidFill>
                  <a:schemeClr val="accent6"/>
                </a:solidFill>
              </a:ln>
              <a:effectLst/>
              <a:sp3d contourW="15875">
                <a:contourClr>
                  <a:schemeClr val="accent6"/>
                </a:contourClr>
              </a:sp3d>
            </c:spPr>
            <c:extLst xmlns:c16r2="http://schemas.microsoft.com/office/drawing/2015/06/chart">
              <c:ext xmlns:c16="http://schemas.microsoft.com/office/drawing/2014/chart" uri="{C3380CC4-5D6E-409C-BE32-E72D297353CC}">
                <c16:uniqueId val="{00000005-2305-4847-A5D8-A297F8FFD6A8}"/>
              </c:ext>
            </c:extLst>
          </c:dPt>
          <c:dLbls>
            <c:dLbl>
              <c:idx val="0"/>
              <c:layout>
                <c:manualLayout>
                  <c:x val="2.2255192878338232E-2"/>
                  <c:y val="-4.27350427350435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305-4847-A5D8-A297F8FFD6A8}"/>
                </c:ext>
                <c:ext xmlns:c15="http://schemas.microsoft.com/office/drawing/2012/chart" uri="{CE6537A1-D6FC-4f65-9D91-7224C49458BB}"/>
              </c:extLst>
            </c:dLbl>
            <c:dLbl>
              <c:idx val="1"/>
              <c:layout>
                <c:manualLayout>
                  <c:x val="1.9782393669634024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305-4847-A5D8-A297F8FFD6A8}"/>
                </c:ext>
                <c:ext xmlns:c15="http://schemas.microsoft.com/office/drawing/2012/chart" uri="{CE6537A1-D6FC-4f65-9D91-7224C49458BB}"/>
              </c:extLst>
            </c:dLbl>
            <c:dLbl>
              <c:idx val="2"/>
              <c:layout>
                <c:manualLayout>
                  <c:x val="1.7309594460929771E-2"/>
                  <c:y val="-7.8346673280123027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2305-4847-A5D8-A297F8FFD6A8}"/>
                </c:ext>
                <c:ext xmlns:c15="http://schemas.microsoft.com/office/drawing/2012/chart" uri="{CE6537A1-D6FC-4f65-9D91-7224C49458BB}"/>
              </c:extLst>
            </c:dLbl>
            <c:spPr>
              <a:solidFill>
                <a:schemeClr val="accent6">
                  <a:lumMod val="20000"/>
                  <a:lumOff val="80000"/>
                </a:schemeClr>
              </a:solidFill>
              <a:ln>
                <a:noFill/>
              </a:ln>
              <a:effectLst/>
            </c:spPr>
            <c:txPr>
              <a:bodyPr rot="0" spcFirstLastPara="1" vertOverflow="ellipsis" vert="horz" wrap="square" anchor="ctr" anchorCtr="1"/>
              <a:lstStyle/>
              <a:p>
                <a:pPr>
                  <a:defRPr sz="1200" b="1" i="0" u="none" strike="noStrike" kern="1200" baseline="0">
                    <a:solidFill>
                      <a:schemeClr val="dk1"/>
                    </a:solidFill>
                    <a:latin typeface="+mj-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Anul 2017</c:v>
                </c:pt>
                <c:pt idx="1">
                  <c:v>Anul 2018</c:v>
                </c:pt>
                <c:pt idx="2">
                  <c:v>Anul 2019</c:v>
                </c:pt>
              </c:strCache>
            </c:strRef>
          </c:cat>
          <c:val>
            <c:numRef>
              <c:f>Sheet1!$B$2:$B$4</c:f>
              <c:numCache>
                <c:formatCode>0.0</c:formatCode>
                <c:ptCount val="3"/>
                <c:pt idx="0">
                  <c:v>35479.1</c:v>
                </c:pt>
                <c:pt idx="1">
                  <c:v>38708.300000000003</c:v>
                </c:pt>
                <c:pt idx="2">
                  <c:v>43073.9</c:v>
                </c:pt>
              </c:numCache>
            </c:numRef>
          </c:val>
          <c:extLst xmlns:c16r2="http://schemas.microsoft.com/office/drawing/2015/06/chart">
            <c:ext xmlns:c16="http://schemas.microsoft.com/office/drawing/2014/chart" uri="{C3380CC4-5D6E-409C-BE32-E72D297353CC}">
              <c16:uniqueId val="{00000006-2305-4847-A5D8-A297F8FFD6A8}"/>
            </c:ext>
          </c:extLst>
        </c:ser>
        <c:ser>
          <c:idx val="1"/>
          <c:order val="1"/>
          <c:tx>
            <c:strRef>
              <c:f>Sheet1!$C$1</c:f>
              <c:strCache>
                <c:ptCount val="1"/>
                <c:pt idx="0">
                  <c:v>inclusiv, cheltuieli de personal</c:v>
                </c:pt>
              </c:strCache>
            </c:strRef>
          </c:tx>
          <c:spPr>
            <a:pattFill prst="ltDnDiag">
              <a:fgClr>
                <a:schemeClr val="accent5"/>
              </a:fgClr>
              <a:bgClr>
                <a:schemeClr val="accent5">
                  <a:lumMod val="20000"/>
                  <a:lumOff val="80000"/>
                </a:schemeClr>
              </a:bgClr>
            </a:pattFill>
            <a:ln>
              <a:solidFill>
                <a:schemeClr val="accent5"/>
              </a:solidFill>
            </a:ln>
            <a:effectLst/>
            <a:sp3d>
              <a:contourClr>
                <a:schemeClr val="accent5"/>
              </a:contourClr>
            </a:sp3d>
          </c:spPr>
          <c:invertIfNegative val="0"/>
          <c:dLbls>
            <c:dLbl>
              <c:idx val="0"/>
              <c:layout>
                <c:manualLayout>
                  <c:x val="1.4836775722183664E-2"/>
                  <c:y val="-0.1088201603665521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2305-4847-A5D8-A297F8FFD6A8}"/>
                </c:ext>
                <c:ext xmlns:c15="http://schemas.microsoft.com/office/drawing/2012/chart" uri="{CE6537A1-D6FC-4f65-9D91-7224C49458BB}"/>
              </c:extLst>
            </c:dLbl>
            <c:dLbl>
              <c:idx val="1"/>
              <c:layout>
                <c:manualLayout>
                  <c:x val="1.9782367629578218E-2"/>
                  <c:y val="-0.1016388415365605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2305-4847-A5D8-A297F8FFD6A8}"/>
                </c:ext>
                <c:ext xmlns:c15="http://schemas.microsoft.com/office/drawing/2012/chart" uri="{CE6537A1-D6FC-4f65-9D91-7224C49458BB}"/>
              </c:extLst>
            </c:dLbl>
            <c:dLbl>
              <c:idx val="2"/>
              <c:layout>
                <c:manualLayout>
                  <c:x val="9.8911838147890153E-3"/>
                  <c:y val="-0.1088201603665521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2305-4847-A5D8-A297F8FFD6A8}"/>
                </c:ext>
                <c:ext xmlns:c15="http://schemas.microsoft.com/office/drawing/2012/chart" uri="{CE6537A1-D6FC-4f65-9D91-7224C49458BB}"/>
              </c:extLst>
            </c:dLbl>
            <c:spPr>
              <a:solidFill>
                <a:schemeClr val="accent1">
                  <a:lumMod val="20000"/>
                  <a:lumOff val="80000"/>
                </a:schemeClr>
              </a:solid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dk1"/>
                    </a:solidFill>
                    <a:latin typeface="+mj-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Anul 2017</c:v>
                </c:pt>
                <c:pt idx="1">
                  <c:v>Anul 2018</c:v>
                </c:pt>
                <c:pt idx="2">
                  <c:v>Anul 2019</c:v>
                </c:pt>
              </c:strCache>
            </c:strRef>
          </c:cat>
          <c:val>
            <c:numRef>
              <c:f>Sheet1!$C$2:$C$4</c:f>
              <c:numCache>
                <c:formatCode>General</c:formatCode>
                <c:ptCount val="3"/>
                <c:pt idx="0">
                  <c:v>6077.7</c:v>
                </c:pt>
                <c:pt idx="1">
                  <c:v>6601.7</c:v>
                </c:pt>
                <c:pt idx="2">
                  <c:v>6465.3</c:v>
                </c:pt>
              </c:numCache>
            </c:numRef>
          </c:val>
          <c:extLst xmlns:c16r2="http://schemas.microsoft.com/office/drawing/2015/06/chart">
            <c:ext xmlns:c16="http://schemas.microsoft.com/office/drawing/2014/chart" uri="{C3380CC4-5D6E-409C-BE32-E72D297353CC}">
              <c16:uniqueId val="{0000000A-2305-4847-A5D8-A297F8FFD6A8}"/>
            </c:ext>
          </c:extLst>
        </c:ser>
        <c:dLbls>
          <c:showLegendKey val="0"/>
          <c:showVal val="1"/>
          <c:showCatName val="0"/>
          <c:showSerName val="0"/>
          <c:showPercent val="0"/>
          <c:showBubbleSize val="0"/>
        </c:dLbls>
        <c:gapWidth val="160"/>
        <c:gapDepth val="160"/>
        <c:shape val="cylinder"/>
        <c:axId val="195952888"/>
        <c:axId val="195954064"/>
        <c:axId val="0"/>
      </c:bar3DChart>
      <c:catAx>
        <c:axId val="19595288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200" b="1" i="0" u="none" strike="noStrike" kern="1200" baseline="0">
                <a:solidFill>
                  <a:schemeClr val="dk1"/>
                </a:solidFill>
                <a:latin typeface="+mj-lt"/>
                <a:ea typeface="+mn-ea"/>
                <a:cs typeface="+mn-cs"/>
              </a:defRPr>
            </a:pPr>
            <a:endParaRPr lang="ru-RU"/>
          </a:p>
        </c:txPr>
        <c:crossAx val="195954064"/>
        <c:crosses val="autoZero"/>
        <c:auto val="1"/>
        <c:lblAlgn val="ctr"/>
        <c:lblOffset val="100"/>
        <c:noMultiLvlLbl val="0"/>
      </c:catAx>
      <c:valAx>
        <c:axId val="195954064"/>
        <c:scaling>
          <c:orientation val="minMax"/>
        </c:scaling>
        <c:delete val="0"/>
        <c:axPos val="l"/>
        <c:majorGridlines>
          <c:spPr>
            <a:ln>
              <a:solidFill>
                <a:schemeClr val="tx1">
                  <a:lumMod val="15000"/>
                  <a:lumOff val="85000"/>
                </a:schemeClr>
              </a:solidFill>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ru-RU"/>
          </a:p>
        </c:txPr>
        <c:crossAx val="195952888"/>
        <c:crosses val="autoZero"/>
        <c:crossBetween val="between"/>
      </c:valAx>
      <c:spPr>
        <a:noFill/>
        <a:ln>
          <a:noFill/>
        </a:ln>
        <a:effectLst/>
      </c:spPr>
    </c:plotArea>
    <c:legend>
      <c:legendPos val="t"/>
      <c:layout>
        <c:manualLayout>
          <c:xMode val="edge"/>
          <c:yMode val="edge"/>
          <c:x val="2.0933510907575718E-2"/>
          <c:y val="2.564102564102564E-2"/>
          <c:w val="0.9556601789761443"/>
          <c:h val="0.1096830203916818"/>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dk1"/>
              </a:solidFill>
              <a:latin typeface="+mj-lt"/>
              <a:ea typeface="+mn-ea"/>
              <a:cs typeface="+mn-cs"/>
            </a:defRPr>
          </a:pPr>
          <a:endParaRPr lang="ru-RU"/>
        </a:p>
      </c:txPr>
    </c:legend>
    <c:plotVisOnly val="1"/>
    <c:dispBlanksAs val="gap"/>
    <c:showDLblsOverMax val="0"/>
  </c:chart>
  <c:spPr>
    <a:solidFill>
      <a:schemeClr val="lt1"/>
    </a:solidFill>
    <a:ln w="12700" cap="flat" cmpd="sng" algn="ctr">
      <a:solidFill>
        <a:schemeClr val="accent1"/>
      </a:solidFill>
      <a:prstDash val="solid"/>
      <a:miter lim="800000"/>
    </a:ln>
    <a:effectLst/>
  </c:spPr>
  <c:txPr>
    <a:bodyPr/>
    <a:lstStyle/>
    <a:p>
      <a:pPr>
        <a:defRPr>
          <a:solidFill>
            <a:schemeClr val="dk1"/>
          </a:solidFill>
          <a:latin typeface="+mn-lt"/>
          <a:ea typeface="+mn-ea"/>
          <a:cs typeface="+mn-cs"/>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7962962962962965E-2"/>
          <c:y val="9.3410076457834057E-2"/>
          <c:w val="0.82407407407407407"/>
          <c:h val="0.71571607896838985"/>
        </c:manualLayout>
      </c:layout>
      <c:pie3DChart>
        <c:varyColors val="1"/>
        <c:ser>
          <c:idx val="0"/>
          <c:order val="0"/>
          <c:tx>
            <c:strRef>
              <c:f>Sheet1!$B$1</c:f>
              <c:strCache>
                <c:ptCount val="1"/>
                <c:pt idx="0">
                  <c:v>Sales</c:v>
                </c:pt>
              </c:strCache>
            </c:strRef>
          </c:tx>
          <c:spPr>
            <a:scene3d>
              <a:camera prst="orthographicFront"/>
              <a:lightRig rig="threePt" dir="t"/>
            </a:scene3d>
            <a:sp3d prstMaterial="clear"/>
          </c:spPr>
          <c:dPt>
            <c:idx val="0"/>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prstMaterial="powder"/>
            </c:spPr>
            <c:extLst xmlns:c16r2="http://schemas.microsoft.com/office/drawing/2015/06/chart">
              <c:ext xmlns:c16="http://schemas.microsoft.com/office/drawing/2014/chart" uri="{C3380CC4-5D6E-409C-BE32-E72D297353CC}">
                <c16:uniqueId val="{00000001-76B4-4CE7-AA72-383FE3C03DA2}"/>
              </c:ext>
            </c:extLst>
          </c:dPt>
          <c:dPt>
            <c:idx val="1"/>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prstMaterial="clear"/>
            </c:spPr>
            <c:extLst xmlns:c16r2="http://schemas.microsoft.com/office/drawing/2015/06/chart">
              <c:ext xmlns:c16="http://schemas.microsoft.com/office/drawing/2014/chart" uri="{C3380CC4-5D6E-409C-BE32-E72D297353CC}">
                <c16:uniqueId val="{00000003-76B4-4CE7-AA72-383FE3C03DA2}"/>
              </c:ext>
            </c:extLst>
          </c:dPt>
          <c:dPt>
            <c:idx val="2"/>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prstMaterial="clear"/>
            </c:spPr>
            <c:extLst xmlns:c16r2="http://schemas.microsoft.com/office/drawing/2015/06/chart">
              <c:ext xmlns:c16="http://schemas.microsoft.com/office/drawing/2014/chart" uri="{C3380CC4-5D6E-409C-BE32-E72D297353CC}">
                <c16:uniqueId val="{00000005-76B4-4CE7-AA72-383FE3C03DA2}"/>
              </c:ext>
            </c:extLst>
          </c:dPt>
          <c:dPt>
            <c:idx val="3"/>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prstMaterial="clear"/>
            </c:spPr>
            <c:extLst xmlns:c16r2="http://schemas.microsoft.com/office/drawing/2015/06/chart">
              <c:ext xmlns:c16="http://schemas.microsoft.com/office/drawing/2014/chart" uri="{C3380CC4-5D6E-409C-BE32-E72D297353CC}">
                <c16:uniqueId val="{00000007-76B4-4CE7-AA72-383FE3C03DA2}"/>
              </c:ext>
            </c:extLst>
          </c:dPt>
          <c:dPt>
            <c:idx val="4"/>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prstMaterial="powder"/>
            </c:spPr>
            <c:extLst xmlns:c16r2="http://schemas.microsoft.com/office/drawing/2015/06/chart">
              <c:ext xmlns:c16="http://schemas.microsoft.com/office/drawing/2014/chart" uri="{C3380CC4-5D6E-409C-BE32-E72D297353CC}">
                <c16:uniqueId val="{00000009-76B4-4CE7-AA72-383FE3C03DA2}"/>
              </c:ext>
            </c:extLst>
          </c:dPt>
          <c:dPt>
            <c:idx val="5"/>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prstMaterial="powder"/>
            </c:spPr>
            <c:extLst xmlns:c16r2="http://schemas.microsoft.com/office/drawing/2015/06/chart">
              <c:ext xmlns:c16="http://schemas.microsoft.com/office/drawing/2014/chart" uri="{C3380CC4-5D6E-409C-BE32-E72D297353CC}">
                <c16:uniqueId val="{0000000B-76B4-4CE7-AA72-383FE3C03DA2}"/>
              </c:ext>
            </c:extLst>
          </c:dPt>
          <c:dPt>
            <c:idx val="6"/>
            <c:bubble3D val="0"/>
            <c:spPr>
              <a:gradFill rotWithShape="1">
                <a:gsLst>
                  <a:gs pos="0">
                    <a:schemeClr val="accent2">
                      <a:lumMod val="80000"/>
                      <a:lumOff val="20000"/>
                      <a:satMod val="103000"/>
                      <a:lumMod val="102000"/>
                      <a:tint val="94000"/>
                    </a:schemeClr>
                  </a:gs>
                  <a:gs pos="50000">
                    <a:schemeClr val="accent2">
                      <a:lumMod val="80000"/>
                      <a:lumOff val="20000"/>
                      <a:satMod val="110000"/>
                      <a:lumMod val="100000"/>
                      <a:shade val="100000"/>
                    </a:schemeClr>
                  </a:gs>
                  <a:gs pos="100000">
                    <a:schemeClr val="accent2">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prstMaterial="powder"/>
            </c:spPr>
            <c:extLst xmlns:c16r2="http://schemas.microsoft.com/office/drawing/2015/06/chart">
              <c:ext xmlns:c16="http://schemas.microsoft.com/office/drawing/2014/chart" uri="{C3380CC4-5D6E-409C-BE32-E72D297353CC}">
                <c16:uniqueId val="{0000000D-76B4-4CE7-AA72-383FE3C03DA2}"/>
              </c:ext>
            </c:extLst>
          </c:dPt>
          <c:dPt>
            <c:idx val="7"/>
            <c:bubble3D val="0"/>
            <c:spPr>
              <a:gradFill rotWithShape="1">
                <a:gsLst>
                  <a:gs pos="0">
                    <a:schemeClr val="accent4">
                      <a:lumMod val="80000"/>
                      <a:lumOff val="20000"/>
                      <a:satMod val="103000"/>
                      <a:lumMod val="102000"/>
                      <a:tint val="94000"/>
                    </a:schemeClr>
                  </a:gs>
                  <a:gs pos="50000">
                    <a:schemeClr val="accent4">
                      <a:lumMod val="80000"/>
                      <a:lumOff val="20000"/>
                      <a:satMod val="110000"/>
                      <a:lumMod val="100000"/>
                      <a:shade val="100000"/>
                    </a:schemeClr>
                  </a:gs>
                  <a:gs pos="100000">
                    <a:schemeClr val="accent4">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prstMaterial="clear"/>
            </c:spPr>
            <c:extLst xmlns:c16r2="http://schemas.microsoft.com/office/drawing/2015/06/chart">
              <c:ext xmlns:c16="http://schemas.microsoft.com/office/drawing/2014/chart" uri="{C3380CC4-5D6E-409C-BE32-E72D297353CC}">
                <c16:uniqueId val="{0000000F-76B4-4CE7-AA72-383FE3C03DA2}"/>
              </c:ext>
            </c:extLst>
          </c:dPt>
          <c:dPt>
            <c:idx val="8"/>
            <c:bubble3D val="0"/>
            <c:spPr>
              <a:gradFill rotWithShape="1">
                <a:gsLst>
                  <a:gs pos="0">
                    <a:schemeClr val="accent6">
                      <a:lumMod val="80000"/>
                      <a:lumOff val="20000"/>
                      <a:satMod val="103000"/>
                      <a:lumMod val="102000"/>
                      <a:tint val="94000"/>
                    </a:schemeClr>
                  </a:gs>
                  <a:gs pos="50000">
                    <a:schemeClr val="accent6">
                      <a:lumMod val="80000"/>
                      <a:lumOff val="20000"/>
                      <a:satMod val="110000"/>
                      <a:lumMod val="100000"/>
                      <a:shade val="100000"/>
                    </a:schemeClr>
                  </a:gs>
                  <a:gs pos="100000">
                    <a:schemeClr val="accent6">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prstMaterial="clear"/>
            </c:spPr>
            <c:extLst xmlns:c16r2="http://schemas.microsoft.com/office/drawing/2015/06/chart">
              <c:ext xmlns:c16="http://schemas.microsoft.com/office/drawing/2014/chart" uri="{C3380CC4-5D6E-409C-BE32-E72D297353CC}">
                <c16:uniqueId val="{00000011-76B4-4CE7-AA72-383FE3C03DA2}"/>
              </c:ext>
            </c:extLst>
          </c:dPt>
          <c:dPt>
            <c:idx val="9"/>
            <c:bubble3D val="0"/>
            <c:spPr>
              <a:gradFill rotWithShape="1">
                <a:gsLst>
                  <a:gs pos="0">
                    <a:schemeClr val="accent2">
                      <a:lumMod val="80000"/>
                      <a:satMod val="103000"/>
                      <a:lumMod val="102000"/>
                      <a:tint val="94000"/>
                    </a:schemeClr>
                  </a:gs>
                  <a:gs pos="50000">
                    <a:schemeClr val="accent2">
                      <a:lumMod val="80000"/>
                      <a:satMod val="110000"/>
                      <a:lumMod val="100000"/>
                      <a:shade val="100000"/>
                    </a:schemeClr>
                  </a:gs>
                  <a:gs pos="100000">
                    <a:schemeClr val="accent2">
                      <a:lumMod val="8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prstMaterial="clear"/>
            </c:spPr>
            <c:extLst xmlns:c16r2="http://schemas.microsoft.com/office/drawing/2015/06/chart">
              <c:ext xmlns:c16="http://schemas.microsoft.com/office/drawing/2014/chart" uri="{C3380CC4-5D6E-409C-BE32-E72D297353CC}">
                <c16:uniqueId val="{00000013-76B4-4CE7-AA72-383FE3C03DA2}"/>
              </c:ext>
            </c:extLst>
          </c:dPt>
          <c:dLbls>
            <c:dLbl>
              <c:idx val="0"/>
              <c:tx>
                <c:rich>
                  <a:bodyPr/>
                  <a:lstStyle/>
                  <a:p>
                    <a:fld id="{20C957E1-E8DA-4711-9B9A-F87C32049686}" type="CATEGORYNAME">
                      <a:rPr lang="en-US"/>
                      <a:pPr/>
                      <a:t>[ИМЯ КАТЕГОРИИ]</a:t>
                    </a:fld>
                    <a:r>
                      <a:rPr lang="en-US" baseline="0"/>
                      <a:t>
</a:t>
                    </a:r>
                    <a:fld id="{4A701E43-1DA4-427D-A909-1ADD2986E0C1}" type="PERCENTAGE">
                      <a:rPr lang="en-US" b="1" baseline="0">
                        <a:solidFill>
                          <a:schemeClr val="tx1"/>
                        </a:solidFill>
                      </a:rPr>
                      <a:pPr/>
                      <a:t>[ПРОЦЕНТ]</a:t>
                    </a:fld>
                    <a:endParaRPr lang="en-US" baseline="0"/>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76B4-4CE7-AA72-383FE3C03DA2}"/>
                </c:ext>
                <c:ext xmlns:c15="http://schemas.microsoft.com/office/drawing/2012/chart" uri="{CE6537A1-D6FC-4f65-9D91-7224C49458BB}">
                  <c15:dlblFieldTable/>
                  <c15:showDataLabelsRange val="0"/>
                </c:ext>
              </c:extLst>
            </c:dLbl>
            <c:dLbl>
              <c:idx val="1"/>
              <c:layout>
                <c:manualLayout>
                  <c:x val="9.1445586030370739E-3"/>
                  <c:y val="3.6615209283050142E-2"/>
                </c:manualLayout>
              </c:layout>
              <c:tx>
                <c:rich>
                  <a:bodyPr/>
                  <a:lstStyle/>
                  <a:p>
                    <a:fld id="{EB7685CF-1BB8-4920-9D20-F835C9B728A3}" type="CATEGORYNAME">
                      <a:rPr lang="en-US"/>
                      <a:pPr/>
                      <a:t>[ИМЯ КАТЕГОРИИ]</a:t>
                    </a:fld>
                    <a:r>
                      <a:rPr lang="en-US" baseline="0"/>
                      <a:t>
</a:t>
                    </a:r>
                    <a:fld id="{0D1B65B3-8ABB-4CFF-B7E1-8A8CD611380E}" type="PERCENTAGE">
                      <a:rPr lang="en-US" b="1" baseline="0">
                        <a:solidFill>
                          <a:schemeClr val="tx1"/>
                        </a:solidFill>
                      </a:rPr>
                      <a:pPr/>
                      <a:t>[ПРОЦЕНТ]</a:t>
                    </a:fld>
                    <a:endParaRPr lang="en-US" baseline="0"/>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76B4-4CE7-AA72-383FE3C03DA2}"/>
                </c:ext>
                <c:ext xmlns:c15="http://schemas.microsoft.com/office/drawing/2012/chart" uri="{CE6537A1-D6FC-4f65-9D91-7224C49458BB}">
                  <c15:dlblFieldTable/>
                  <c15:showDataLabelsRange val="0"/>
                </c:ext>
              </c:extLst>
            </c:dLbl>
            <c:dLbl>
              <c:idx val="2"/>
              <c:layout>
                <c:manualLayout>
                  <c:x val="6.3538289331480619E-2"/>
                  <c:y val="-0.11732667188531258"/>
                </c:manualLayout>
              </c:layout>
              <c:tx>
                <c:rich>
                  <a:bodyPr/>
                  <a:lstStyle/>
                  <a:p>
                    <a:fld id="{9E3095CD-1CFC-4906-922A-95B98069339C}" type="CATEGORYNAME">
                      <a:rPr lang="en-US"/>
                      <a:pPr/>
                      <a:t>[ИМЯ КАТЕГОРИИ]</a:t>
                    </a:fld>
                    <a:r>
                      <a:rPr lang="en-US" baseline="0"/>
                      <a:t>
</a:t>
                    </a:r>
                    <a:fld id="{64067F2B-7DE1-4321-9476-5562E7EEE49D}" type="PERCENTAGE">
                      <a:rPr lang="en-US" b="1" baseline="0">
                        <a:solidFill>
                          <a:schemeClr val="tx1"/>
                        </a:solidFill>
                      </a:rPr>
                      <a:pPr/>
                      <a:t>[ПРОЦЕНТ]</a:t>
                    </a:fld>
                    <a:endParaRPr lang="en-US" baseline="0"/>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76B4-4CE7-AA72-383FE3C03DA2}"/>
                </c:ext>
                <c:ext xmlns:c15="http://schemas.microsoft.com/office/drawing/2012/chart" uri="{CE6537A1-D6FC-4f65-9D91-7224C49458BB}">
                  <c15:dlblFieldTable/>
                  <c15:showDataLabelsRange val="0"/>
                </c:ext>
              </c:extLst>
            </c:dLbl>
            <c:dLbl>
              <c:idx val="3"/>
              <c:layout>
                <c:manualLayout>
                  <c:x val="0.11988281276221546"/>
                  <c:y val="-2.216888459118049E-2"/>
                </c:manualLayout>
              </c:layout>
              <c:tx>
                <c:rich>
                  <a:bodyPr/>
                  <a:lstStyle/>
                  <a:p>
                    <a:fld id="{16DDA442-C8B5-41F8-8045-1BA944A0AA39}" type="CATEGORYNAME">
                      <a:rPr lang="en-US"/>
                      <a:pPr/>
                      <a:t>[ИМЯ КАТЕГОРИИ]</a:t>
                    </a:fld>
                    <a:r>
                      <a:rPr lang="en-US" baseline="0"/>
                      <a:t>
</a:t>
                    </a:r>
                    <a:fld id="{40BF2BA5-24B0-4E40-BEA4-B6FD0E069D64}" type="PERCENTAGE">
                      <a:rPr lang="en-US" b="1" baseline="0">
                        <a:solidFill>
                          <a:schemeClr val="tx1"/>
                        </a:solidFill>
                      </a:rPr>
                      <a:pPr/>
                      <a:t>[ПРОЦЕНТ]</a:t>
                    </a:fld>
                    <a:endParaRPr lang="en-US" baseline="0"/>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76B4-4CE7-AA72-383FE3C03DA2}"/>
                </c:ext>
                <c:ext xmlns:c15="http://schemas.microsoft.com/office/drawing/2012/chart" uri="{CE6537A1-D6FC-4f65-9D91-7224C49458BB}">
                  <c15:dlblFieldTable/>
                  <c15:showDataLabelsRange val="0"/>
                </c:ext>
              </c:extLst>
            </c:dLbl>
            <c:dLbl>
              <c:idx val="4"/>
              <c:layout>
                <c:manualLayout>
                  <c:x val="-8.3235831134918961E-2"/>
                  <c:y val="2.4968918358889348E-2"/>
                </c:manualLayout>
              </c:layout>
              <c:tx>
                <c:rich>
                  <a:bodyPr/>
                  <a:lstStyle/>
                  <a:p>
                    <a:fld id="{FEDDEA26-2571-4D5F-96E5-FE52F729DFF4}" type="CATEGORYNAME">
                      <a:rPr lang="en-US"/>
                      <a:pPr/>
                      <a:t>[ИМЯ КАТЕГОРИИ]</a:t>
                    </a:fld>
                    <a:r>
                      <a:rPr lang="en-US" baseline="0"/>
                      <a:t>
</a:t>
                    </a:r>
                    <a:fld id="{323338B2-45C2-4687-B7E6-5729E997E2BB}" type="PERCENTAGE">
                      <a:rPr lang="en-US" b="1" baseline="0">
                        <a:solidFill>
                          <a:schemeClr val="tx1"/>
                        </a:solidFill>
                      </a:rPr>
                      <a:pPr/>
                      <a:t>[ПРОЦЕНТ]</a:t>
                    </a:fld>
                    <a:endParaRPr lang="en-US" baseline="0"/>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76B4-4CE7-AA72-383FE3C03DA2}"/>
                </c:ext>
                <c:ext xmlns:c15="http://schemas.microsoft.com/office/drawing/2012/chart" uri="{CE6537A1-D6FC-4f65-9D91-7224C49458BB}">
                  <c15:dlblFieldTable/>
                  <c15:showDataLabelsRange val="0"/>
                </c:ext>
              </c:extLst>
            </c:dLbl>
            <c:dLbl>
              <c:idx val="5"/>
              <c:layout>
                <c:manualLayout>
                  <c:x val="-0.22625586523551564"/>
                  <c:y val="2.0709966078801552E-2"/>
                </c:manualLayout>
              </c:layout>
              <c:tx>
                <c:rich>
                  <a:bodyPr/>
                  <a:lstStyle/>
                  <a:p>
                    <a:fld id="{F937018A-5FA3-4C2D-989A-C6E9E607A321}" type="CATEGORYNAME">
                      <a:rPr lang="en-US"/>
                      <a:pPr/>
                      <a:t>[ИМЯ КАТЕГОРИИ]</a:t>
                    </a:fld>
                    <a:r>
                      <a:rPr lang="en-US" baseline="0"/>
                      <a:t>
</a:t>
                    </a:r>
                    <a:fld id="{1060979A-0E15-43F6-87B9-A7FC42529FDC}" type="PERCENTAGE">
                      <a:rPr lang="en-US" b="1" baseline="0">
                        <a:solidFill>
                          <a:schemeClr val="tx1"/>
                        </a:solidFill>
                      </a:rPr>
                      <a:pPr/>
                      <a:t>[ПРОЦЕНТ]</a:t>
                    </a:fld>
                    <a:endParaRPr lang="en-US" baseline="0"/>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B-76B4-4CE7-AA72-383FE3C03DA2}"/>
                </c:ext>
                <c:ext xmlns:c15="http://schemas.microsoft.com/office/drawing/2012/chart" uri="{CE6537A1-D6FC-4f65-9D91-7224C49458BB}">
                  <c15:dlblFieldTable/>
                  <c15:showDataLabelsRange val="0"/>
                </c:ext>
              </c:extLst>
            </c:dLbl>
            <c:dLbl>
              <c:idx val="6"/>
              <c:layout>
                <c:manualLayout>
                  <c:x val="-0.24357173543844104"/>
                  <c:y val="-1.4619883040935762E-2"/>
                </c:manualLayout>
              </c:layout>
              <c:tx>
                <c:rich>
                  <a:bodyPr/>
                  <a:lstStyle/>
                  <a:p>
                    <a:fld id="{BA73DE6C-6F50-4606-BCA6-BDE5B3D13F86}" type="CATEGORYNAME">
                      <a:rPr lang="en-US"/>
                      <a:pPr/>
                      <a:t>[ИМЯ КАТЕГОРИИ]</a:t>
                    </a:fld>
                    <a:r>
                      <a:rPr lang="en-US" baseline="0"/>
                      <a:t>
</a:t>
                    </a:r>
                    <a:fld id="{6648A7B8-C9C9-468C-8A89-0090BE2B3BB2}" type="PERCENTAGE">
                      <a:rPr lang="en-US" b="1" baseline="0">
                        <a:solidFill>
                          <a:schemeClr val="tx1"/>
                        </a:solidFill>
                      </a:rPr>
                      <a:pPr/>
                      <a:t>[ПРОЦЕНТ]</a:t>
                    </a:fld>
                    <a:endParaRPr lang="en-US" baseline="0"/>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D-76B4-4CE7-AA72-383FE3C03DA2}"/>
                </c:ext>
                <c:ext xmlns:c15="http://schemas.microsoft.com/office/drawing/2012/chart" uri="{CE6537A1-D6FC-4f65-9D91-7224C49458BB}">
                  <c15:dlblFieldTable/>
                  <c15:showDataLabelsRange val="0"/>
                </c:ext>
              </c:extLst>
            </c:dLbl>
            <c:dLbl>
              <c:idx val="7"/>
              <c:tx>
                <c:rich>
                  <a:bodyPr/>
                  <a:lstStyle/>
                  <a:p>
                    <a:fld id="{772423B0-E5F3-42AE-AACA-A272492B600B}" type="CATEGORYNAME">
                      <a:rPr lang="en-US"/>
                      <a:pPr/>
                      <a:t>[ИМЯ КАТЕГОРИИ]</a:t>
                    </a:fld>
                    <a:r>
                      <a:rPr lang="en-US" baseline="0"/>
                      <a:t>
</a:t>
                    </a:r>
                    <a:fld id="{68601011-21D4-4F08-928B-D29AEB27A4AE}" type="PERCENTAGE">
                      <a:rPr lang="en-US" b="1" baseline="0">
                        <a:solidFill>
                          <a:schemeClr val="tx1"/>
                        </a:solidFill>
                      </a:rPr>
                      <a:pPr/>
                      <a:t>[ПРОЦЕНТ]</a:t>
                    </a:fld>
                    <a:endParaRPr lang="en-US" baseline="0"/>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F-76B4-4CE7-AA72-383FE3C03DA2}"/>
                </c:ext>
                <c:ext xmlns:c15="http://schemas.microsoft.com/office/drawing/2012/chart" uri="{CE6537A1-D6FC-4f65-9D91-7224C49458BB}">
                  <c15:dlblFieldTable/>
                  <c15:showDataLabelsRange val="0"/>
                </c:ext>
              </c:extLst>
            </c:dLbl>
            <c:dLbl>
              <c:idx val="8"/>
              <c:layout>
                <c:manualLayout>
                  <c:x val="2.6357453226296505E-3"/>
                  <c:y val="-3.9120389556568588E-2"/>
                </c:manualLayout>
              </c:layout>
              <c:tx>
                <c:rich>
                  <a:bodyPr/>
                  <a:lstStyle/>
                  <a:p>
                    <a:fld id="{D5E29642-62B6-4AFE-AC7C-B52259CBB4A2}" type="CATEGORYNAME">
                      <a:rPr lang="en-US"/>
                      <a:pPr/>
                      <a:t>[ИМЯ КАТЕГОРИИ]</a:t>
                    </a:fld>
                    <a:r>
                      <a:rPr lang="en-US" baseline="0"/>
                      <a:t>
</a:t>
                    </a:r>
                    <a:fld id="{31AD88DF-C5EC-46FD-B315-E9C3B1C8E40D}" type="PERCENTAGE">
                      <a:rPr lang="en-US" b="1" baseline="0">
                        <a:solidFill>
                          <a:schemeClr val="tx1"/>
                        </a:solidFill>
                      </a:rPr>
                      <a:pPr/>
                      <a:t>[ПРОЦЕНТ]</a:t>
                    </a:fld>
                    <a:endParaRPr lang="en-US" baseline="0"/>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11-76B4-4CE7-AA72-383FE3C03DA2}"/>
                </c:ext>
                <c:ext xmlns:c15="http://schemas.microsoft.com/office/drawing/2012/chart" uri="{CE6537A1-D6FC-4f65-9D91-7224C49458BB}">
                  <c15:dlblFieldTable/>
                  <c15:showDataLabelsRange val="0"/>
                </c:ext>
              </c:extLst>
            </c:dLbl>
            <c:dLbl>
              <c:idx val="9"/>
              <c:tx>
                <c:rich>
                  <a:bodyPr/>
                  <a:lstStyle/>
                  <a:p>
                    <a:fld id="{698C7911-FEFB-4E28-8F99-F5A80E4D58CA}" type="CATEGORYNAME">
                      <a:rPr lang="en-US"/>
                      <a:pPr/>
                      <a:t>[ИМЯ КАТЕГОРИИ]</a:t>
                    </a:fld>
                    <a:r>
                      <a:rPr lang="en-US" baseline="0"/>
                      <a:t>
</a:t>
                    </a:r>
                    <a:fld id="{C55722FB-5C3C-47C7-A99A-CA3907CD6B9C}" type="PERCENTAGE">
                      <a:rPr lang="en-US" b="1" baseline="0">
                        <a:solidFill>
                          <a:schemeClr val="tx1"/>
                        </a:solidFill>
                      </a:rPr>
                      <a:pPr/>
                      <a:t>[ПРОЦЕНТ]</a:t>
                    </a:fld>
                    <a:endParaRPr lang="en-US" baseline="0"/>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13-76B4-4CE7-AA72-383FE3C03DA2}"/>
                </c:ext>
                <c:ext xmlns:c15="http://schemas.microsoft.com/office/drawing/2012/chart" uri="{CE6537A1-D6FC-4f65-9D91-7224C49458BB}">
                  <c15:dlblFieldTable/>
                  <c15:showDataLabelsRange val="0"/>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ru-RU"/>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Sheet1!$A$2:$A$11</c:f>
              <c:strCache>
                <c:ptCount val="10"/>
                <c:pt idx="0">
                  <c:v>Servicii de stat cu destinație generală</c:v>
                </c:pt>
                <c:pt idx="1">
                  <c:v>Ordine publică și securitate națională</c:v>
                </c:pt>
                <c:pt idx="2">
                  <c:v>Servicii în domeniul economiei</c:v>
                </c:pt>
                <c:pt idx="3">
                  <c:v>Protecția mediului</c:v>
                </c:pt>
                <c:pt idx="4">
                  <c:v>Gospodăria de locuințe și gosp. serv. </c:v>
                </c:pt>
                <c:pt idx="5">
                  <c:v>Ocrotirea sănătății</c:v>
                </c:pt>
                <c:pt idx="6">
                  <c:v>Cultură, sport, tineret, culte și odihnă</c:v>
                </c:pt>
                <c:pt idx="7">
                  <c:v>Învățământ</c:v>
                </c:pt>
                <c:pt idx="8">
                  <c:v>Apărare națională</c:v>
                </c:pt>
                <c:pt idx="9">
                  <c:v>Protecție socială</c:v>
                </c:pt>
              </c:strCache>
            </c:strRef>
          </c:cat>
          <c:val>
            <c:numRef>
              <c:f>Sheet1!$B$2:$B$11</c:f>
              <c:numCache>
                <c:formatCode>General</c:formatCode>
                <c:ptCount val="10"/>
                <c:pt idx="0">
                  <c:v>7147.8</c:v>
                </c:pt>
                <c:pt idx="1">
                  <c:v>4304.6000000000004</c:v>
                </c:pt>
                <c:pt idx="2">
                  <c:v>6192.6</c:v>
                </c:pt>
                <c:pt idx="3">
                  <c:v>133.69999999999999</c:v>
                </c:pt>
                <c:pt idx="4">
                  <c:v>292.2</c:v>
                </c:pt>
                <c:pt idx="5">
                  <c:v>3786.7</c:v>
                </c:pt>
                <c:pt idx="6">
                  <c:v>809.5</c:v>
                </c:pt>
                <c:pt idx="7">
                  <c:v>11045.6</c:v>
                </c:pt>
                <c:pt idx="8">
                  <c:v>598.5</c:v>
                </c:pt>
                <c:pt idx="9">
                  <c:v>8762.7000000000007</c:v>
                </c:pt>
              </c:numCache>
            </c:numRef>
          </c:val>
          <c:extLst xmlns:c16r2="http://schemas.microsoft.com/office/drawing/2015/06/chart">
            <c:ext xmlns:c16="http://schemas.microsoft.com/office/drawing/2014/chart" uri="{C3380CC4-5D6E-409C-BE32-E72D297353CC}">
              <c16:uniqueId val="{00000014-76B4-4CE7-AA72-383FE3C03DA2}"/>
            </c:ext>
          </c:extLst>
        </c:ser>
        <c:dLbls>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solidFill>
      <a:schemeClr val="lt1"/>
    </a:solidFill>
    <a:ln w="12700" cap="flat" cmpd="sng" algn="ctr">
      <a:solidFill>
        <a:schemeClr val="accent1"/>
      </a:solidFill>
      <a:prstDash val="solid"/>
      <a:miter lim="800000"/>
    </a:ln>
    <a:effectLst/>
    <a:scene3d>
      <a:camera prst="orthographicFront"/>
      <a:lightRig rig="threePt" dir="t"/>
    </a:scene3d>
    <a:sp3d prstMaterial="softEdge"/>
  </c:spPr>
  <c:txPr>
    <a:bodyPr/>
    <a:lstStyle/>
    <a:p>
      <a:pPr>
        <a:defRPr>
          <a:solidFill>
            <a:schemeClr val="dk1"/>
          </a:solidFill>
          <a:latin typeface="+mn-lt"/>
          <a:ea typeface="+mn-ea"/>
          <a:cs typeface="+mn-cs"/>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1" i="0" u="none" strike="noStrike" kern="1200" spc="0" baseline="0">
                <a:solidFill>
                  <a:schemeClr val="tx1"/>
                </a:solidFill>
                <a:latin typeface="+mn-lt"/>
                <a:ea typeface="+mn-ea"/>
                <a:cs typeface="+mn-cs"/>
              </a:defRPr>
            </a:pPr>
            <a:r>
              <a:rPr lang="ro-RO" sz="800" b="1">
                <a:solidFill>
                  <a:schemeClr val="tx1"/>
                </a:solidFill>
              </a:rPr>
              <a:t>Veniturile BASS 201</a:t>
            </a:r>
            <a:r>
              <a:rPr lang="ro-MD" sz="800" b="1">
                <a:solidFill>
                  <a:schemeClr val="tx1"/>
                </a:solidFill>
              </a:rPr>
              <a:t>7</a:t>
            </a:r>
            <a:r>
              <a:rPr lang="ro-RO" sz="800" b="1">
                <a:solidFill>
                  <a:schemeClr val="tx1"/>
                </a:solidFill>
              </a:rPr>
              <a:t>-201</a:t>
            </a:r>
            <a:r>
              <a:rPr lang="ro-MD" sz="800" b="1">
                <a:solidFill>
                  <a:schemeClr val="tx1"/>
                </a:solidFill>
              </a:rPr>
              <a:t>9</a:t>
            </a:r>
            <a:endParaRPr lang="en-US" sz="800" b="1">
              <a:solidFill>
                <a:schemeClr val="tx1"/>
              </a:solidFill>
            </a:endParaRPr>
          </a:p>
        </c:rich>
      </c:tx>
      <c:overlay val="0"/>
      <c:spPr>
        <a:noFill/>
        <a:ln>
          <a:noFill/>
        </a:ln>
        <a:effectLst/>
      </c:spPr>
    </c:title>
    <c:autoTitleDeleted val="0"/>
    <c:plotArea>
      <c:layout/>
      <c:barChart>
        <c:barDir val="bar"/>
        <c:grouping val="clustered"/>
        <c:varyColors val="0"/>
        <c:ser>
          <c:idx val="0"/>
          <c:order val="0"/>
          <c:tx>
            <c:strRef>
              <c:f>Sheet1!$B$1</c:f>
              <c:strCache>
                <c:ptCount val="1"/>
                <c:pt idx="0">
                  <c:v>venituri proprii</c:v>
                </c:pt>
              </c:strCache>
            </c:strRef>
          </c:tx>
          <c:spPr>
            <a:gradFill flip="none" rotWithShape="1">
              <a:gsLst>
                <a:gs pos="20000">
                  <a:srgbClr val="FFC000">
                    <a:lumMod val="67000"/>
                  </a:srgbClr>
                </a:gs>
                <a:gs pos="44000">
                  <a:srgbClr val="FFC000">
                    <a:lumMod val="97000"/>
                    <a:lumOff val="3000"/>
                  </a:srgbClr>
                </a:gs>
                <a:gs pos="100000">
                  <a:srgbClr val="FFC000">
                    <a:lumMod val="60000"/>
                    <a:lumOff val="40000"/>
                  </a:srgbClr>
                </a:gs>
              </a:gsLst>
              <a:path path="circle">
                <a:fillToRect t="100000" r="100000"/>
              </a:path>
              <a:tileRect l="-100000" b="-100000"/>
            </a:gradFill>
            <a:ln w="6350">
              <a:solidFill>
                <a:schemeClr val="tx1">
                  <a:lumMod val="50000"/>
                  <a:lumOff val="50000"/>
                </a:schemeClr>
              </a:solidFill>
              <a:miter lim="800000"/>
            </a:ln>
            <a:effectLst>
              <a:outerShdw blurRad="63500" dist="50800" dir="13200000" sx="1000" sy="1000" algn="ctr" rotWithShape="0">
                <a:srgbClr val="000000">
                  <a:alpha val="20000"/>
                </a:srgbClr>
              </a:outerShdw>
            </a:effectLst>
            <a:scene3d>
              <a:camera prst="orthographicFront"/>
              <a:lightRig rig="threePt" dir="t"/>
            </a:scene3d>
            <a:sp3d>
              <a:bevelT/>
            </a:sp3d>
          </c:spPr>
          <c:invertIfNegative val="0"/>
          <c:dLbls>
            <c:dLbl>
              <c:idx val="1"/>
              <c:spPr>
                <a:noFill/>
                <a:ln>
                  <a:noFill/>
                </a:ln>
                <a:effectLst>
                  <a:glow rad="127000">
                    <a:schemeClr val="tx1"/>
                  </a:glow>
                  <a:innerShdw blurRad="63500" dist="50800" dir="13500000">
                    <a:prstClr val="black">
                      <a:alpha val="50000"/>
                    </a:prstClr>
                  </a:innerShdw>
                </a:effectLst>
              </c:spPr>
              <c:txPr>
                <a:bodyPr rot="0" spcFirstLastPara="1" vertOverflow="ellipsis" vert="horz" wrap="square" lIns="0" tIns="0" rIns="0" bIns="19050" anchor="ctr" anchorCtr="1">
                  <a:spAutoFit/>
                </a:bodyPr>
                <a:lstStyle/>
                <a:p>
                  <a:pPr>
                    <a:defRPr sz="800" b="1" i="0" u="none" strike="noStrike" kern="1200" baseline="0">
                      <a:ln>
                        <a:noFill/>
                      </a:ln>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1E1-485E-A83D-12D5AE1395FC}"/>
                </c:ext>
                <c:ext xmlns:c15="http://schemas.microsoft.com/office/drawing/2012/chart" uri="{CE6537A1-D6FC-4f65-9D91-7224C49458BB}">
                  <c15:spPr xmlns:c15="http://schemas.microsoft.com/office/drawing/2012/chart">
                    <a:prstGeom prst="rect">
                      <a:avLst/>
                    </a:prstGeom>
                  </c15:spPr>
                </c:ext>
              </c:extLst>
            </c:dLbl>
            <c:spPr>
              <a:noFill/>
              <a:ln>
                <a:noFill/>
              </a:ln>
              <a:effectLst>
                <a:glow rad="127000">
                  <a:schemeClr val="tx1"/>
                </a:glow>
                <a:innerShdw blurRad="63500" dist="50800" dir="13500000">
                  <a:prstClr val="black">
                    <a:alpha val="50000"/>
                  </a:prstClr>
                </a:innerShdw>
              </a:effectLst>
            </c:spPr>
            <c:txPr>
              <a:bodyPr rot="0" spcFirstLastPara="1" vertOverflow="ellipsis" vert="horz" wrap="square" lIns="0" tIns="19050" rIns="91440" bIns="19050" anchor="ctr" anchorCtr="1">
                <a:spAutoFit/>
              </a:bodyPr>
              <a:lstStyle/>
              <a:p>
                <a:pPr>
                  <a:defRPr sz="800" b="1" i="0" u="none" strike="noStrike" kern="1200" baseline="0">
                    <a:ln>
                      <a:noFill/>
                    </a:ln>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2017</c:v>
                </c:pt>
                <c:pt idx="1">
                  <c:v>2018</c:v>
                </c:pt>
                <c:pt idx="2">
                  <c:v>2019</c:v>
                </c:pt>
              </c:numCache>
            </c:numRef>
          </c:cat>
          <c:val>
            <c:numRef>
              <c:f>Sheet1!$B$2:$B$4</c:f>
              <c:numCache>
                <c:formatCode>#,##0.0</c:formatCode>
                <c:ptCount val="3"/>
                <c:pt idx="0">
                  <c:v>11877.7</c:v>
                </c:pt>
                <c:pt idx="1">
                  <c:v>13120.1</c:v>
                </c:pt>
                <c:pt idx="2">
                  <c:v>13791.3</c:v>
                </c:pt>
              </c:numCache>
            </c:numRef>
          </c:val>
          <c:extLst xmlns:c16r2="http://schemas.microsoft.com/office/drawing/2015/06/chart">
            <c:ext xmlns:c16="http://schemas.microsoft.com/office/drawing/2014/chart" uri="{C3380CC4-5D6E-409C-BE32-E72D297353CC}">
              <c16:uniqueId val="{00000001-71E1-485E-A83D-12D5AE1395FC}"/>
            </c:ext>
          </c:extLst>
        </c:ser>
        <c:ser>
          <c:idx val="1"/>
          <c:order val="1"/>
          <c:tx>
            <c:strRef>
              <c:f>Sheet1!$C$1</c:f>
              <c:strCache>
                <c:ptCount val="1"/>
                <c:pt idx="0">
                  <c:v>transferuri</c:v>
                </c:pt>
              </c:strCache>
            </c:strRef>
          </c:tx>
          <c:spPr>
            <a:gradFill flip="none" rotWithShape="1">
              <a:gsLst>
                <a:gs pos="0">
                  <a:srgbClr val="4472C4">
                    <a:lumMod val="67000"/>
                  </a:srgbClr>
                </a:gs>
                <a:gs pos="43000">
                  <a:srgbClr val="4472C4">
                    <a:lumMod val="97000"/>
                    <a:lumOff val="3000"/>
                  </a:srgbClr>
                </a:gs>
                <a:gs pos="69000">
                  <a:srgbClr val="4472C4">
                    <a:lumMod val="60000"/>
                    <a:lumOff val="40000"/>
                  </a:srgbClr>
                </a:gs>
              </a:gsLst>
              <a:lin ang="0" scaled="0"/>
              <a:tileRect/>
            </a:gradFill>
            <a:ln w="6350">
              <a:solidFill>
                <a:schemeClr val="tx1">
                  <a:lumMod val="50000"/>
                  <a:lumOff val="50000"/>
                </a:schemeClr>
              </a:solidFill>
            </a:ln>
            <a:effectLst>
              <a:innerShdw blurRad="63500" dist="50800" dir="13500000">
                <a:prstClr val="black">
                  <a:alpha val="0"/>
                </a:prstClr>
              </a:innerShdw>
              <a:softEdge rad="12700"/>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2017</c:v>
                </c:pt>
                <c:pt idx="1">
                  <c:v>2018</c:v>
                </c:pt>
                <c:pt idx="2">
                  <c:v>2019</c:v>
                </c:pt>
              </c:numCache>
            </c:numRef>
          </c:cat>
          <c:val>
            <c:numRef>
              <c:f>Sheet1!$C$2:$C$4</c:f>
              <c:numCache>
                <c:formatCode>#,##0.0</c:formatCode>
                <c:ptCount val="3"/>
                <c:pt idx="0">
                  <c:v>5941</c:v>
                </c:pt>
                <c:pt idx="1">
                  <c:v>6670.2</c:v>
                </c:pt>
                <c:pt idx="2">
                  <c:v>7957</c:v>
                </c:pt>
              </c:numCache>
            </c:numRef>
          </c:val>
          <c:extLst xmlns:c16r2="http://schemas.microsoft.com/office/drawing/2015/06/chart">
            <c:ext xmlns:c16="http://schemas.microsoft.com/office/drawing/2014/chart" uri="{C3380CC4-5D6E-409C-BE32-E72D297353CC}">
              <c16:uniqueId val="{00000002-71E1-485E-A83D-12D5AE1395FC}"/>
            </c:ext>
          </c:extLst>
        </c:ser>
        <c:dLbls>
          <c:showLegendKey val="0"/>
          <c:showVal val="1"/>
          <c:showCatName val="0"/>
          <c:showSerName val="0"/>
          <c:showPercent val="0"/>
          <c:showBubbleSize val="0"/>
        </c:dLbls>
        <c:gapWidth val="43"/>
        <c:axId val="195955240"/>
        <c:axId val="195955632"/>
      </c:barChart>
      <c:catAx>
        <c:axId val="195955240"/>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ru-RU"/>
          </a:p>
        </c:txPr>
        <c:crossAx val="195955632"/>
        <c:crosses val="autoZero"/>
        <c:auto val="1"/>
        <c:lblAlgn val="ctr"/>
        <c:lblOffset val="100"/>
        <c:noMultiLvlLbl val="0"/>
      </c:catAx>
      <c:valAx>
        <c:axId val="195955632"/>
        <c:scaling>
          <c:orientation val="minMax"/>
          <c:max val="18000"/>
          <c:min val="0"/>
        </c:scaling>
        <c:delete val="1"/>
        <c:axPos val="b"/>
        <c:majorGridlines>
          <c:spPr>
            <a:ln w="6350">
              <a:solidFill>
                <a:schemeClr val="bg1"/>
              </a:solidFill>
              <a:prstDash val="sysDot"/>
            </a:ln>
          </c:spPr>
        </c:majorGridlines>
        <c:numFmt formatCode="#,##0.0" sourceLinked="1"/>
        <c:majorTickMark val="out"/>
        <c:minorTickMark val="none"/>
        <c:tickLblPos val="nextTo"/>
        <c:crossAx val="195955240"/>
        <c:crosses val="autoZero"/>
        <c:crossBetween val="between"/>
        <c:majorUnit val="15000"/>
        <c:minorUnit val="5000"/>
      </c:valAx>
      <c:spPr>
        <a:ln>
          <a:noFill/>
        </a:ln>
      </c:spPr>
    </c:plotArea>
    <c:legend>
      <c:legendPos val="b"/>
      <c:overlay val="0"/>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rgbClr val="00B0F0"/>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1" i="0" u="none" strike="noStrike" kern="1200" spc="0" baseline="0">
                <a:solidFill>
                  <a:schemeClr val="tx1"/>
                </a:solidFill>
                <a:latin typeface="+mn-lt"/>
                <a:ea typeface="+mn-ea"/>
                <a:cs typeface="+mn-cs"/>
              </a:defRPr>
            </a:pPr>
            <a:r>
              <a:rPr lang="ro-RO" sz="800" b="1">
                <a:solidFill>
                  <a:schemeClr val="tx1"/>
                </a:solidFill>
              </a:rPr>
              <a:t>Veniturile FAOAM 201</a:t>
            </a:r>
            <a:r>
              <a:rPr lang="ro-MD" sz="800" b="1">
                <a:solidFill>
                  <a:schemeClr val="tx1"/>
                </a:solidFill>
              </a:rPr>
              <a:t>7</a:t>
            </a:r>
            <a:r>
              <a:rPr lang="ro-RO" sz="800" b="1">
                <a:solidFill>
                  <a:schemeClr val="tx1"/>
                </a:solidFill>
              </a:rPr>
              <a:t>-201</a:t>
            </a:r>
            <a:r>
              <a:rPr lang="ro-MD" sz="800" b="1">
                <a:solidFill>
                  <a:schemeClr val="tx1"/>
                </a:solidFill>
              </a:rPr>
              <a:t>9</a:t>
            </a:r>
            <a:endParaRPr lang="en-US" sz="800" b="1">
              <a:solidFill>
                <a:schemeClr val="tx1"/>
              </a:solidFill>
            </a:endParaRPr>
          </a:p>
        </c:rich>
      </c:tx>
      <c:overlay val="0"/>
      <c:spPr>
        <a:noFill/>
        <a:ln>
          <a:noFill/>
        </a:ln>
        <a:effectLst/>
      </c:spPr>
    </c:title>
    <c:autoTitleDeleted val="0"/>
    <c:plotArea>
      <c:layout>
        <c:manualLayout>
          <c:layoutTarget val="inner"/>
          <c:xMode val="edge"/>
          <c:yMode val="edge"/>
          <c:x val="0.17533316072434854"/>
          <c:y val="0.21584510058070153"/>
          <c:w val="0.7988770262517958"/>
          <c:h val="0.55602256570720543"/>
        </c:manualLayout>
      </c:layout>
      <c:barChart>
        <c:barDir val="bar"/>
        <c:grouping val="clustered"/>
        <c:varyColors val="0"/>
        <c:ser>
          <c:idx val="0"/>
          <c:order val="0"/>
          <c:tx>
            <c:strRef>
              <c:f>Sheet1!$B$1</c:f>
              <c:strCache>
                <c:ptCount val="1"/>
                <c:pt idx="0">
                  <c:v>venituri proprii</c:v>
                </c:pt>
              </c:strCache>
            </c:strRef>
          </c:tx>
          <c:spPr>
            <a:gradFill>
              <a:gsLst>
                <a:gs pos="20000">
                  <a:srgbClr val="FFC000">
                    <a:lumMod val="67000"/>
                  </a:srgbClr>
                </a:gs>
                <a:gs pos="60000">
                  <a:srgbClr val="FFC000">
                    <a:lumMod val="97000"/>
                    <a:lumOff val="3000"/>
                  </a:srgbClr>
                </a:gs>
                <a:gs pos="89000">
                  <a:srgbClr val="FFC000">
                    <a:lumMod val="60000"/>
                    <a:lumOff val="40000"/>
                  </a:srgbClr>
                </a:gs>
              </a:gsLst>
              <a:path path="circle">
                <a:fillToRect t="100000" r="100000"/>
              </a:path>
            </a:gradFill>
            <a:ln w="6350">
              <a:solidFill>
                <a:schemeClr val="tx1">
                  <a:lumMod val="50000"/>
                  <a:lumOff val="50000"/>
                </a:schemeClr>
              </a:solidFill>
            </a:ln>
            <a:effectLst>
              <a:innerShdw blurRad="63500" dist="50800" dir="13500000">
                <a:prstClr val="black">
                  <a:alpha val="0"/>
                </a:prstClr>
              </a:innerShdw>
            </a:effectLst>
            <a:scene3d>
              <a:camera prst="orthographicFront"/>
              <a:lightRig rig="threePt" dir="t"/>
            </a:scene3d>
            <a:sp3d>
              <a:bevelT/>
            </a:sp3d>
          </c:spPr>
          <c:invertIfNegative val="0"/>
          <c:dLbls>
            <c:dLbl>
              <c:idx val="0"/>
              <c:spPr>
                <a:noFill/>
                <a:ln>
                  <a:noFill/>
                </a:ln>
                <a:effectLst/>
              </c:spPr>
              <c:txPr>
                <a:bodyPr rot="0" spcFirstLastPara="1" vertOverflow="ellipsis" vert="horz" wrap="square" lIns="0" tIns="0" rIns="0" bIns="457200" anchor="ctr" anchorCtr="1">
                  <a:no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8BE-45EF-983A-73E0B57B6B2C}"/>
                </c:ext>
                <c:ext xmlns:c15="http://schemas.microsoft.com/office/drawing/2012/chart" uri="{CE6537A1-D6FC-4f65-9D91-7224C49458BB}">
                  <c15:spPr xmlns:c15="http://schemas.microsoft.com/office/drawing/2012/chart">
                    <a:prstGeom prst="rect">
                      <a:avLst/>
                    </a:prstGeom>
                  </c15:spPr>
                </c:ext>
              </c:extLst>
            </c:dLbl>
            <c:dLbl>
              <c:idx val="1"/>
              <c:layout>
                <c:manualLayout>
                  <c:x val="0"/>
                  <c:y val="-1.450326323422773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8BE-45EF-983A-73E0B57B6B2C}"/>
                </c:ext>
                <c:ext xmlns:c15="http://schemas.microsoft.com/office/drawing/2012/chart" uri="{CE6537A1-D6FC-4f65-9D91-7224C49458BB}"/>
              </c:extLst>
            </c:dLbl>
            <c:spPr>
              <a:noFill/>
              <a:ln>
                <a:noFill/>
              </a:ln>
              <a:effectLst/>
            </c:spPr>
            <c:txPr>
              <a:bodyPr rot="0" spcFirstLastPara="1" vertOverflow="ellipsis" vert="horz" wrap="square" lIns="0" tIns="0" rIns="0" bIns="45720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2017</c:v>
                </c:pt>
                <c:pt idx="1">
                  <c:v>2018</c:v>
                </c:pt>
                <c:pt idx="2">
                  <c:v>2019</c:v>
                </c:pt>
              </c:numCache>
            </c:numRef>
          </c:cat>
          <c:val>
            <c:numRef>
              <c:f>Sheet1!$B$2:$B$4</c:f>
              <c:numCache>
                <c:formatCode>#,##0.0</c:formatCode>
                <c:ptCount val="3"/>
                <c:pt idx="0">
                  <c:v>3663.6</c:v>
                </c:pt>
                <c:pt idx="1">
                  <c:v>4149.3999999999996</c:v>
                </c:pt>
                <c:pt idx="2">
                  <c:v>4822.7</c:v>
                </c:pt>
              </c:numCache>
            </c:numRef>
          </c:val>
          <c:extLst xmlns:c16r2="http://schemas.microsoft.com/office/drawing/2015/06/chart">
            <c:ext xmlns:c16="http://schemas.microsoft.com/office/drawing/2014/chart" uri="{C3380CC4-5D6E-409C-BE32-E72D297353CC}">
              <c16:uniqueId val="{00000002-88BE-45EF-983A-73E0B57B6B2C}"/>
            </c:ext>
          </c:extLst>
        </c:ser>
        <c:ser>
          <c:idx val="1"/>
          <c:order val="1"/>
          <c:tx>
            <c:strRef>
              <c:f>Sheet1!$C$1</c:f>
              <c:strCache>
                <c:ptCount val="1"/>
                <c:pt idx="0">
                  <c:v>transferuri</c:v>
                </c:pt>
              </c:strCache>
            </c:strRef>
          </c:tx>
          <c:spPr>
            <a:gradFill flip="none" rotWithShape="1">
              <a:gsLst>
                <a:gs pos="0">
                  <a:srgbClr val="4472C4">
                    <a:lumMod val="67000"/>
                  </a:srgbClr>
                </a:gs>
                <a:gs pos="44000">
                  <a:srgbClr val="4472C4">
                    <a:lumMod val="97000"/>
                    <a:lumOff val="3000"/>
                  </a:srgbClr>
                </a:gs>
                <a:gs pos="67000">
                  <a:srgbClr val="4472C4">
                    <a:lumMod val="60000"/>
                    <a:lumOff val="40000"/>
                  </a:srgbClr>
                </a:gs>
              </a:gsLst>
              <a:lin ang="0" scaled="0"/>
              <a:tileRect/>
            </a:gradFill>
            <a:ln w="6350">
              <a:solidFill>
                <a:schemeClr val="tx1">
                  <a:lumMod val="50000"/>
                  <a:lumOff val="50000"/>
                </a:schemeClr>
              </a:solidFill>
            </a:ln>
            <a:effectLst>
              <a:innerShdw blurRad="63500" dist="50800" dir="13500000">
                <a:prstClr val="black">
                  <a:alpha val="0"/>
                </a:prstClr>
              </a:innerShdw>
            </a:effectLst>
            <a:scene3d>
              <a:camera prst="orthographicFront"/>
              <a:lightRig rig="threePt" dir="t"/>
            </a:scene3d>
            <a:sp3d>
              <a:bevelT/>
            </a:sp3d>
          </c:spPr>
          <c:invertIfNegative val="0"/>
          <c:dLbls>
            <c:dLbl>
              <c:idx val="0"/>
              <c:layout>
                <c:manualLayout>
                  <c:x val="0"/>
                  <c:y val="-6.6472521927298002E-17"/>
                </c:manualLayout>
              </c:layout>
              <c:spPr>
                <a:noFill/>
                <a:ln>
                  <a:noFill/>
                </a:ln>
                <a:effectLst/>
              </c:spPr>
              <c:txPr>
                <a:bodyPr rot="0" spcFirstLastPara="1" vertOverflow="ellipsis" vert="horz" wrap="square" lIns="38100" tIns="19050" rIns="0" bIns="19050" anchor="ctr" anchorCtr="1">
                  <a:no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88BE-45EF-983A-73E0B57B6B2C}"/>
                </c:ext>
                <c:ext xmlns:c15="http://schemas.microsoft.com/office/drawing/2012/chart" uri="{CE6537A1-D6FC-4f65-9D91-7224C49458BB}">
                  <c15:spPr xmlns:c15="http://schemas.microsoft.com/office/drawing/2012/chart">
                    <a:prstGeom prst="rect">
                      <a:avLst/>
                    </a:prstGeom>
                  </c15:spPr>
                </c:ext>
              </c:extLst>
            </c:dLbl>
            <c:dLbl>
              <c:idx val="1"/>
              <c:layout>
                <c:manualLayout>
                  <c:x val="-2.5789813023855634E-2"/>
                  <c:y val="-7.25163161711385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88BE-45EF-983A-73E0B57B6B2C}"/>
                </c:ext>
                <c:ext xmlns:c15="http://schemas.microsoft.com/office/drawing/2012/chart" uri="{CE6537A1-D6FC-4f65-9D91-7224C49458BB}"/>
              </c:extLst>
            </c:dLbl>
            <c:dLbl>
              <c:idx val="2"/>
              <c:layout>
                <c:manualLayout>
                  <c:x val="0"/>
                  <c:y val="-1.450326323422770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88BE-45EF-983A-73E0B57B6B2C}"/>
                </c:ext>
                <c:ext xmlns:c15="http://schemas.microsoft.com/office/drawing/2012/chart" uri="{CE6537A1-D6FC-4f65-9D91-7224C49458BB}"/>
              </c:extLst>
            </c:dLbl>
            <c:spPr>
              <a:noFill/>
              <a:ln>
                <a:noFill/>
              </a:ln>
              <a:effectLst/>
            </c:spPr>
            <c:txPr>
              <a:bodyPr rot="0" spcFirstLastPara="1" vertOverflow="ellipsis" vert="horz" wrap="square" lIns="38100" tIns="19050" rIns="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2017</c:v>
                </c:pt>
                <c:pt idx="1">
                  <c:v>2018</c:v>
                </c:pt>
                <c:pt idx="2">
                  <c:v>2019</c:v>
                </c:pt>
              </c:numCache>
            </c:numRef>
          </c:cat>
          <c:val>
            <c:numRef>
              <c:f>Sheet1!$C$2:$C$4</c:f>
              <c:numCache>
                <c:formatCode>#,##0.0</c:formatCode>
                <c:ptCount val="3"/>
                <c:pt idx="0">
                  <c:v>2593</c:v>
                </c:pt>
                <c:pt idx="1">
                  <c:v>2728</c:v>
                </c:pt>
                <c:pt idx="2">
                  <c:v>2813.6</c:v>
                </c:pt>
              </c:numCache>
            </c:numRef>
          </c:val>
          <c:extLst xmlns:c16r2="http://schemas.microsoft.com/office/drawing/2015/06/chart">
            <c:ext xmlns:c16="http://schemas.microsoft.com/office/drawing/2014/chart" uri="{C3380CC4-5D6E-409C-BE32-E72D297353CC}">
              <c16:uniqueId val="{00000006-88BE-45EF-983A-73E0B57B6B2C}"/>
            </c:ext>
          </c:extLst>
        </c:ser>
        <c:dLbls>
          <c:showLegendKey val="0"/>
          <c:showVal val="1"/>
          <c:showCatName val="0"/>
          <c:showSerName val="0"/>
          <c:showPercent val="0"/>
          <c:showBubbleSize val="0"/>
        </c:dLbls>
        <c:gapWidth val="47"/>
        <c:axId val="195956416"/>
        <c:axId val="193759200"/>
      </c:barChart>
      <c:catAx>
        <c:axId val="19595641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ru-RU"/>
          </a:p>
        </c:txPr>
        <c:crossAx val="193759200"/>
        <c:crosses val="autoZero"/>
        <c:auto val="1"/>
        <c:lblAlgn val="ctr"/>
        <c:lblOffset val="100"/>
        <c:noMultiLvlLbl val="0"/>
      </c:catAx>
      <c:valAx>
        <c:axId val="193759200"/>
        <c:scaling>
          <c:orientation val="minMax"/>
          <c:max val="15000"/>
        </c:scaling>
        <c:delete val="1"/>
        <c:axPos val="b"/>
        <c:majorGridlines>
          <c:spPr>
            <a:ln w="6350">
              <a:solidFill>
                <a:schemeClr val="bg2">
                  <a:lumMod val="75000"/>
                </a:schemeClr>
              </a:solidFill>
              <a:prstDash val="sysDot"/>
            </a:ln>
          </c:spPr>
        </c:majorGridlines>
        <c:numFmt formatCode="#,##0.0" sourceLinked="1"/>
        <c:majorTickMark val="none"/>
        <c:minorTickMark val="none"/>
        <c:tickLblPos val="nextTo"/>
        <c:crossAx val="195956416"/>
        <c:crosses val="autoZero"/>
        <c:crossBetween val="between"/>
        <c:majorUnit val="15000"/>
      </c:valAx>
    </c:plotArea>
    <c:legend>
      <c:legendPos val="b"/>
      <c:overlay val="0"/>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rgbClr val="00B0F0"/>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1" i="0" u="none" strike="noStrike" kern="1200" spc="0" baseline="0">
                <a:solidFill>
                  <a:schemeClr val="tx1"/>
                </a:solidFill>
                <a:latin typeface="+mn-lt"/>
                <a:ea typeface="+mn-ea"/>
                <a:cs typeface="+mn-cs"/>
              </a:defRPr>
            </a:pPr>
            <a:r>
              <a:rPr lang="ro-RO" sz="800" b="1">
                <a:solidFill>
                  <a:schemeClr val="tx1"/>
                </a:solidFill>
              </a:rPr>
              <a:t>Veniturile BUAT 201</a:t>
            </a:r>
            <a:r>
              <a:rPr lang="ro-MD" sz="800" b="1">
                <a:solidFill>
                  <a:schemeClr val="tx1"/>
                </a:solidFill>
              </a:rPr>
              <a:t>7</a:t>
            </a:r>
            <a:r>
              <a:rPr lang="ro-RO" sz="800" b="1">
                <a:solidFill>
                  <a:schemeClr val="tx1"/>
                </a:solidFill>
              </a:rPr>
              <a:t>-201</a:t>
            </a:r>
            <a:r>
              <a:rPr lang="ro-MD" sz="800" b="1">
                <a:solidFill>
                  <a:schemeClr val="tx1"/>
                </a:solidFill>
              </a:rPr>
              <a:t>9</a:t>
            </a:r>
            <a:endParaRPr lang="en-US" sz="800" b="1">
              <a:solidFill>
                <a:schemeClr val="tx1"/>
              </a:solidFill>
            </a:endParaRPr>
          </a:p>
        </c:rich>
      </c:tx>
      <c:overlay val="0"/>
      <c:spPr>
        <a:noFill/>
        <a:ln>
          <a:noFill/>
        </a:ln>
        <a:effectLst/>
      </c:spPr>
    </c:title>
    <c:autoTitleDeleted val="0"/>
    <c:plotArea>
      <c:layout/>
      <c:barChart>
        <c:barDir val="bar"/>
        <c:grouping val="clustered"/>
        <c:varyColors val="0"/>
        <c:ser>
          <c:idx val="0"/>
          <c:order val="0"/>
          <c:tx>
            <c:strRef>
              <c:f>Sheet1!$B$1</c:f>
              <c:strCache>
                <c:ptCount val="1"/>
                <c:pt idx="0">
                  <c:v>venituri proprii</c:v>
                </c:pt>
              </c:strCache>
            </c:strRef>
          </c:tx>
          <c:spPr>
            <a:gradFill>
              <a:gsLst>
                <a:gs pos="20000">
                  <a:srgbClr val="FFC000">
                    <a:lumMod val="67000"/>
                  </a:srgbClr>
                </a:gs>
                <a:gs pos="50000">
                  <a:srgbClr val="FFC000">
                    <a:lumMod val="97000"/>
                    <a:lumOff val="3000"/>
                  </a:srgbClr>
                </a:gs>
                <a:gs pos="85000">
                  <a:srgbClr val="FFC000">
                    <a:lumMod val="60000"/>
                    <a:lumOff val="40000"/>
                  </a:srgbClr>
                </a:gs>
              </a:gsLst>
              <a:path path="circle">
                <a:fillToRect t="100000" r="100000"/>
              </a:path>
            </a:gradFill>
            <a:ln w="6350">
              <a:solidFill>
                <a:schemeClr val="tx1">
                  <a:lumMod val="50000"/>
                  <a:lumOff val="50000"/>
                </a:schemeClr>
              </a:solidFill>
            </a:ln>
            <a:effectLst>
              <a:innerShdw blurRad="63500" dist="50800" dir="12900000">
                <a:prstClr val="black">
                  <a:alpha val="0"/>
                </a:prstClr>
              </a:innerShdw>
            </a:effectLst>
            <a:scene3d>
              <a:camera prst="orthographicFront"/>
              <a:lightRig rig="threePt" dir="t"/>
            </a:scene3d>
            <a:sp3d>
              <a:bevelT/>
            </a:sp3d>
          </c:spPr>
          <c:invertIfNegative val="0"/>
          <c:dLbls>
            <c:dLbl>
              <c:idx val="0"/>
              <c:spPr>
                <a:noFill/>
                <a:ln>
                  <a:noFill/>
                </a:ln>
                <a:effectLst/>
              </c:spPr>
              <c:txPr>
                <a:bodyPr rot="0" spcFirstLastPara="1" vertOverflow="ellipsis" vert="horz" wrap="square" lIns="38100" tIns="0" rIns="38100" bIns="0" anchor="ctr" anchorCtr="1">
                  <a:no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6CD-4493-BFD9-C2C3F0F81D65}"/>
                </c:ext>
                <c:ext xmlns:c15="http://schemas.microsoft.com/office/drawing/2012/chart" uri="{CE6537A1-D6FC-4f65-9D91-7224C49458BB}">
                  <c15:spPr xmlns:c15="http://schemas.microsoft.com/office/drawing/2012/chart">
                    <a:prstGeom prst="rect">
                      <a:avLst/>
                    </a:prstGeom>
                  </c15:spPr>
                </c:ext>
              </c:extLst>
            </c:dLbl>
            <c:spPr>
              <a:noFill/>
              <a:ln>
                <a:noFill/>
              </a:ln>
              <a:effectLst/>
            </c:spPr>
            <c:txPr>
              <a:bodyPr rot="0" spcFirstLastPara="1" vertOverflow="ellipsis" vert="horz" wrap="square" lIns="38100" tIns="0" rIns="38100" bIns="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2017</c:v>
                </c:pt>
                <c:pt idx="1">
                  <c:v>2018</c:v>
                </c:pt>
                <c:pt idx="2">
                  <c:v>2019</c:v>
                </c:pt>
              </c:numCache>
            </c:numRef>
          </c:cat>
          <c:val>
            <c:numRef>
              <c:f>Sheet1!$B$2:$B$4</c:f>
              <c:numCache>
                <c:formatCode>#,##0.0</c:formatCode>
                <c:ptCount val="3"/>
                <c:pt idx="0">
                  <c:v>3909</c:v>
                </c:pt>
                <c:pt idx="1">
                  <c:v>4326.2</c:v>
                </c:pt>
                <c:pt idx="2">
                  <c:v>4396.2</c:v>
                </c:pt>
              </c:numCache>
            </c:numRef>
          </c:val>
          <c:extLst xmlns:c16r2="http://schemas.microsoft.com/office/drawing/2015/06/chart">
            <c:ext xmlns:c16="http://schemas.microsoft.com/office/drawing/2014/chart" uri="{C3380CC4-5D6E-409C-BE32-E72D297353CC}">
              <c16:uniqueId val="{00000001-E6CD-4493-BFD9-C2C3F0F81D65}"/>
            </c:ext>
          </c:extLst>
        </c:ser>
        <c:ser>
          <c:idx val="1"/>
          <c:order val="1"/>
          <c:tx>
            <c:strRef>
              <c:f>Sheet1!$C$1</c:f>
              <c:strCache>
                <c:ptCount val="1"/>
                <c:pt idx="0">
                  <c:v>transferuri</c:v>
                </c:pt>
              </c:strCache>
            </c:strRef>
          </c:tx>
          <c:spPr>
            <a:gradFill flip="none" rotWithShape="1">
              <a:gsLst>
                <a:gs pos="0">
                  <a:srgbClr val="4472C4">
                    <a:lumMod val="67000"/>
                  </a:srgbClr>
                </a:gs>
                <a:gs pos="48000">
                  <a:srgbClr val="4472C4">
                    <a:lumMod val="97000"/>
                    <a:lumOff val="3000"/>
                  </a:srgbClr>
                </a:gs>
                <a:gs pos="70000">
                  <a:srgbClr val="4472C4">
                    <a:lumMod val="60000"/>
                    <a:lumOff val="40000"/>
                  </a:srgbClr>
                </a:gs>
              </a:gsLst>
              <a:lin ang="0" scaled="0"/>
              <a:tileRect/>
            </a:gradFill>
            <a:ln w="6350">
              <a:solidFill>
                <a:schemeClr val="tx1">
                  <a:lumMod val="50000"/>
                  <a:lumOff val="50000"/>
                </a:schemeClr>
              </a:solidFill>
            </a:ln>
            <a:effectLst>
              <a:innerShdw blurRad="63500" dist="50800" dir="13500000">
                <a:prstClr val="black">
                  <a:alpha val="0"/>
                </a:prstClr>
              </a:innerShdw>
            </a:effectLst>
            <a:scene3d>
              <a:camera prst="orthographicFront"/>
              <a:lightRig rig="threePt" dir="t"/>
            </a:scene3d>
            <a:sp3d>
              <a:bevelT/>
            </a:sp3d>
          </c:spPr>
          <c:invertIfNegative val="0"/>
          <c:dLbls>
            <c:spPr>
              <a:noFill/>
              <a:ln>
                <a:noFill/>
              </a:ln>
              <a:effectLst/>
            </c:spPr>
            <c:txPr>
              <a:bodyPr wrap="square" lIns="38100" tIns="19050" rIns="38100" bIns="19050" anchor="ctr">
                <a:spAutoFit/>
              </a:bodyPr>
              <a:lstStyle/>
              <a:p>
                <a:pPr>
                  <a:defRPr sz="8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Sheet1!$A$2:$A$4</c:f>
              <c:numCache>
                <c:formatCode>General</c:formatCode>
                <c:ptCount val="3"/>
                <c:pt idx="0">
                  <c:v>2017</c:v>
                </c:pt>
                <c:pt idx="1">
                  <c:v>2018</c:v>
                </c:pt>
                <c:pt idx="2">
                  <c:v>2019</c:v>
                </c:pt>
              </c:numCache>
            </c:numRef>
          </c:cat>
          <c:val>
            <c:numRef>
              <c:f>Sheet1!$C$2:$C$4</c:f>
              <c:numCache>
                <c:formatCode>#,##0.0</c:formatCode>
                <c:ptCount val="3"/>
                <c:pt idx="0">
                  <c:v>9552.5</c:v>
                </c:pt>
                <c:pt idx="1">
                  <c:v>10357.4</c:v>
                </c:pt>
                <c:pt idx="2">
                  <c:v>12328.2</c:v>
                </c:pt>
              </c:numCache>
            </c:numRef>
          </c:val>
          <c:extLst xmlns:c16r2="http://schemas.microsoft.com/office/drawing/2015/06/chart">
            <c:ext xmlns:c16="http://schemas.microsoft.com/office/drawing/2014/chart" uri="{C3380CC4-5D6E-409C-BE32-E72D297353CC}">
              <c16:uniqueId val="{00000002-E6CD-4493-BFD9-C2C3F0F81D65}"/>
            </c:ext>
          </c:extLst>
        </c:ser>
        <c:dLbls>
          <c:showLegendKey val="0"/>
          <c:showVal val="1"/>
          <c:showCatName val="0"/>
          <c:showSerName val="0"/>
          <c:showPercent val="0"/>
          <c:showBubbleSize val="0"/>
        </c:dLbls>
        <c:gapWidth val="46"/>
        <c:axId val="198288432"/>
        <c:axId val="198288824"/>
      </c:barChart>
      <c:catAx>
        <c:axId val="19828843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ru-RU"/>
          </a:p>
        </c:txPr>
        <c:crossAx val="198288824"/>
        <c:crosses val="autoZero"/>
        <c:auto val="1"/>
        <c:lblAlgn val="ctr"/>
        <c:lblOffset val="100"/>
        <c:noMultiLvlLbl val="0"/>
      </c:catAx>
      <c:valAx>
        <c:axId val="198288824"/>
        <c:scaling>
          <c:orientation val="minMax"/>
          <c:max val="15000"/>
        </c:scaling>
        <c:delete val="1"/>
        <c:axPos val="b"/>
        <c:majorGridlines>
          <c:spPr>
            <a:ln w="6350">
              <a:solidFill>
                <a:schemeClr val="bg2">
                  <a:lumMod val="75000"/>
                </a:schemeClr>
              </a:solidFill>
              <a:prstDash val="sysDot"/>
            </a:ln>
          </c:spPr>
        </c:majorGridlines>
        <c:numFmt formatCode="#,##0.0" sourceLinked="1"/>
        <c:majorTickMark val="none"/>
        <c:minorTickMark val="none"/>
        <c:tickLblPos val="nextTo"/>
        <c:crossAx val="198288432"/>
        <c:crosses val="autoZero"/>
        <c:crossBetween val="between"/>
        <c:majorUnit val="15000"/>
      </c:valAx>
      <c:spPr>
        <a:solidFill>
          <a:sysClr val="window" lastClr="FFFFFF"/>
        </a:solidFill>
      </c:spPr>
    </c:plotArea>
    <c:legend>
      <c:legendPos val="b"/>
      <c:overlay val="0"/>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rgbClr val="00B0F0"/>
      </a:solid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pPr>
            <a:r>
              <a:rPr lang="ro-MD" sz="1000" b="1">
                <a:effectLst/>
                <a:latin typeface="+mj-lt"/>
                <a:cs typeface="Times New Roman" panose="02020603050405020304" pitchFamily="18" charset="0"/>
              </a:rPr>
              <a:t>Executarea în dinamică a cheltuielilor din bugetul de stat destinate investițiilor capitale în perioada anilor 2017-2019, mil. lei</a:t>
            </a:r>
            <a:endParaRPr lang="en-US" sz="1000">
              <a:effectLst/>
              <a:latin typeface="+mj-lt"/>
              <a:cs typeface="Times New Roman" panose="02020603050405020304" pitchFamily="18" charset="0"/>
            </a:endParaRPr>
          </a:p>
        </c:rich>
      </c:tx>
      <c:layout>
        <c:manualLayout>
          <c:xMode val="edge"/>
          <c:yMode val="edge"/>
          <c:x val="0.14210185774131995"/>
          <c:y val="3.1088082901554404E-2"/>
        </c:manualLayout>
      </c:layout>
      <c:overlay val="0"/>
    </c:title>
    <c:autoTitleDeleted val="0"/>
    <c:plotArea>
      <c:layout/>
      <c:barChart>
        <c:barDir val="col"/>
        <c:grouping val="clustered"/>
        <c:varyColors val="0"/>
        <c:ser>
          <c:idx val="0"/>
          <c:order val="0"/>
          <c:tx>
            <c:strRef>
              <c:f>Sheet1!$B$1</c:f>
              <c:strCache>
                <c:ptCount val="1"/>
                <c:pt idx="0">
                  <c:v>Aprobat</c:v>
                </c:pt>
              </c:strCache>
            </c:strRef>
          </c:tx>
          <c:spPr>
            <a:solidFill>
              <a:schemeClr val="accent6">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j-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Anul 2017</c:v>
                </c:pt>
                <c:pt idx="1">
                  <c:v>Anul 2018</c:v>
                </c:pt>
                <c:pt idx="2">
                  <c:v>Anul 2019</c:v>
                </c:pt>
              </c:strCache>
            </c:strRef>
          </c:cat>
          <c:val>
            <c:numRef>
              <c:f>Sheet1!$B$2:$B$4</c:f>
              <c:numCache>
                <c:formatCode>General</c:formatCode>
                <c:ptCount val="3"/>
                <c:pt idx="0">
                  <c:v>1802.8</c:v>
                </c:pt>
                <c:pt idx="1">
                  <c:v>3336.7</c:v>
                </c:pt>
                <c:pt idx="2">
                  <c:v>2374.1999999999998</c:v>
                </c:pt>
              </c:numCache>
            </c:numRef>
          </c:val>
          <c:extLst xmlns:c16r2="http://schemas.microsoft.com/office/drawing/2015/06/chart">
            <c:ext xmlns:c16="http://schemas.microsoft.com/office/drawing/2014/chart" uri="{C3380CC4-5D6E-409C-BE32-E72D297353CC}">
              <c16:uniqueId val="{00000000-FC47-4D83-976B-C78F8F9CB1E4}"/>
            </c:ext>
          </c:extLst>
        </c:ser>
        <c:ser>
          <c:idx val="1"/>
          <c:order val="1"/>
          <c:tx>
            <c:strRef>
              <c:f>Sheet1!$C$1</c:f>
              <c:strCache>
                <c:ptCount val="1"/>
                <c:pt idx="0">
                  <c:v>Precizat</c:v>
                </c:pt>
              </c:strCache>
            </c:strRef>
          </c:tx>
          <c:spPr>
            <a:solidFill>
              <a:schemeClr val="accent5">
                <a:alpha val="70000"/>
              </a:schemeClr>
            </a:solidFill>
            <a:ln>
              <a:noFill/>
            </a:ln>
            <a:effectLst/>
          </c:spPr>
          <c:invertIfNegative val="0"/>
          <c:dLbls>
            <c:spPr>
              <a:noFill/>
              <a:ln>
                <a:noFill/>
              </a:ln>
              <a:effectLst/>
            </c:spPr>
            <c:txPr>
              <a:bodyPr rot="0" spcFirstLastPara="1" vertOverflow="ellipsis" vert="horz" wrap="square" lIns="91440" tIns="19050" rIns="0" bIns="19050" anchor="ctr" anchorCtr="1">
                <a:spAutoFit/>
              </a:bodyPr>
              <a:lstStyle/>
              <a:p>
                <a:pPr>
                  <a:defRPr sz="900" b="1" i="0" u="none" strike="noStrike" kern="1200" baseline="0">
                    <a:solidFill>
                      <a:schemeClr val="tx1"/>
                    </a:solidFill>
                    <a:latin typeface="+mj-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1"/>
                <c15:leaderLines>
                  <c:spPr>
                    <a:ln w="9525">
                      <a:solidFill>
                        <a:schemeClr val="tx1">
                          <a:lumMod val="35000"/>
                          <a:lumOff val="65000"/>
                        </a:schemeClr>
                      </a:solidFill>
                    </a:ln>
                    <a:effectLst/>
                  </c:spPr>
                </c15:leaderLines>
              </c:ext>
            </c:extLst>
          </c:dLbls>
          <c:cat>
            <c:strRef>
              <c:f>Sheet1!$A$2:$A$4</c:f>
              <c:strCache>
                <c:ptCount val="3"/>
                <c:pt idx="0">
                  <c:v>Anul 2017</c:v>
                </c:pt>
                <c:pt idx="1">
                  <c:v>Anul 2018</c:v>
                </c:pt>
                <c:pt idx="2">
                  <c:v>Anul 2019</c:v>
                </c:pt>
              </c:strCache>
            </c:strRef>
          </c:cat>
          <c:val>
            <c:numRef>
              <c:f>Sheet1!$C$2:$C$4</c:f>
              <c:numCache>
                <c:formatCode>General</c:formatCode>
                <c:ptCount val="3"/>
                <c:pt idx="0">
                  <c:v>1363.2</c:v>
                </c:pt>
                <c:pt idx="1">
                  <c:v>1906.5</c:v>
                </c:pt>
                <c:pt idx="2">
                  <c:v>1665.4</c:v>
                </c:pt>
              </c:numCache>
            </c:numRef>
          </c:val>
          <c:extLst xmlns:c16r2="http://schemas.microsoft.com/office/drawing/2015/06/chart">
            <c:ext xmlns:c16="http://schemas.microsoft.com/office/drawing/2014/chart" uri="{C3380CC4-5D6E-409C-BE32-E72D297353CC}">
              <c16:uniqueId val="{00000001-FC47-4D83-976B-C78F8F9CB1E4}"/>
            </c:ext>
          </c:extLst>
        </c:ser>
        <c:ser>
          <c:idx val="2"/>
          <c:order val="2"/>
          <c:tx>
            <c:strRef>
              <c:f>Sheet1!$D$1</c:f>
              <c:strCache>
                <c:ptCount val="1"/>
                <c:pt idx="0">
                  <c:v>Executat</c:v>
                </c:pt>
              </c:strCache>
            </c:strRef>
          </c:tx>
          <c:spPr>
            <a:solidFill>
              <a:schemeClr val="accent4">
                <a:alpha val="70000"/>
              </a:schemeClr>
            </a:solidFill>
            <a:ln>
              <a:noFill/>
            </a:ln>
            <a:effectLst/>
          </c:spPr>
          <c:invertIfNegative val="0"/>
          <c:dLbls>
            <c:spPr>
              <a:noFill/>
              <a:ln>
                <a:noFill/>
              </a:ln>
              <a:effectLst/>
            </c:spPr>
            <c:txPr>
              <a:bodyPr rot="0" spcFirstLastPara="1" vertOverflow="ellipsis" vert="horz" wrap="square" lIns="91440" tIns="19050" rIns="0" bIns="19050" anchor="ctr" anchorCtr="1">
                <a:spAutoFit/>
              </a:bodyPr>
              <a:lstStyle/>
              <a:p>
                <a:pPr>
                  <a:defRPr sz="900" b="1" i="0" u="none" strike="noStrike" kern="1200" baseline="0">
                    <a:solidFill>
                      <a:schemeClr val="tx1"/>
                    </a:solidFill>
                    <a:latin typeface="+mj-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1"/>
                <c15:leaderLines>
                  <c:spPr>
                    <a:ln w="9525">
                      <a:solidFill>
                        <a:schemeClr val="tx1">
                          <a:lumMod val="35000"/>
                          <a:lumOff val="65000"/>
                        </a:schemeClr>
                      </a:solidFill>
                    </a:ln>
                    <a:effectLst/>
                  </c:spPr>
                </c15:leaderLines>
              </c:ext>
            </c:extLst>
          </c:dLbls>
          <c:cat>
            <c:strRef>
              <c:f>Sheet1!$A$2:$A$4</c:f>
              <c:strCache>
                <c:ptCount val="3"/>
                <c:pt idx="0">
                  <c:v>Anul 2017</c:v>
                </c:pt>
                <c:pt idx="1">
                  <c:v>Anul 2018</c:v>
                </c:pt>
                <c:pt idx="2">
                  <c:v>Anul 2019</c:v>
                </c:pt>
              </c:strCache>
            </c:strRef>
          </c:cat>
          <c:val>
            <c:numRef>
              <c:f>Sheet1!$D$2:$D$4</c:f>
              <c:numCache>
                <c:formatCode>General</c:formatCode>
                <c:ptCount val="3"/>
                <c:pt idx="0">
                  <c:v>824.4</c:v>
                </c:pt>
                <c:pt idx="1">
                  <c:v>849.7</c:v>
                </c:pt>
                <c:pt idx="2" formatCode="0.0">
                  <c:v>1275</c:v>
                </c:pt>
              </c:numCache>
            </c:numRef>
          </c:val>
          <c:extLst xmlns:c16r2="http://schemas.microsoft.com/office/drawing/2015/06/chart">
            <c:ext xmlns:c16="http://schemas.microsoft.com/office/drawing/2014/chart" uri="{C3380CC4-5D6E-409C-BE32-E72D297353CC}">
              <c16:uniqueId val="{00000002-FC47-4D83-976B-C78F8F9CB1E4}"/>
            </c:ext>
          </c:extLst>
        </c:ser>
        <c:dLbls>
          <c:dLblPos val="outEnd"/>
          <c:showLegendKey val="0"/>
          <c:showVal val="1"/>
          <c:showCatName val="0"/>
          <c:showSerName val="0"/>
          <c:showPercent val="0"/>
          <c:showBubbleSize val="0"/>
        </c:dLbls>
        <c:gapWidth val="80"/>
        <c:overlap val="25"/>
        <c:axId val="198289608"/>
        <c:axId val="198290000"/>
      </c:barChart>
      <c:catAx>
        <c:axId val="198289608"/>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1000" b="1" i="0" u="none" strike="noStrike" kern="1200" cap="none" spc="20" normalizeH="0" baseline="0">
                <a:solidFill>
                  <a:schemeClr val="tx1"/>
                </a:solidFill>
                <a:latin typeface="+mj-lt"/>
                <a:ea typeface="+mn-ea"/>
                <a:cs typeface="+mn-cs"/>
              </a:defRPr>
            </a:pPr>
            <a:endParaRPr lang="ru-RU"/>
          </a:p>
        </c:txPr>
        <c:crossAx val="198290000"/>
        <c:crosses val="autoZero"/>
        <c:auto val="1"/>
        <c:lblAlgn val="ctr"/>
        <c:lblOffset val="100"/>
        <c:noMultiLvlLbl val="0"/>
      </c:catAx>
      <c:valAx>
        <c:axId val="198290000"/>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ru-RU"/>
          </a:p>
        </c:txPr>
        <c:crossAx val="198289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j-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3138396056728122E-2"/>
          <c:y val="5.0769714517798534E-2"/>
          <c:w val="0.58828559989323359"/>
          <c:h val="0.83278363789431986"/>
        </c:manualLayout>
      </c:layout>
      <c:barChart>
        <c:barDir val="col"/>
        <c:grouping val="stacked"/>
        <c:varyColors val="0"/>
        <c:ser>
          <c:idx val="0"/>
          <c:order val="0"/>
          <c:tx>
            <c:strRef>
              <c:f>Лист1!$B$1</c:f>
              <c:strCache>
                <c:ptCount val="1"/>
                <c:pt idx="0">
                  <c:v>Plăți de bază</c:v>
                </c:pt>
              </c:strCache>
            </c:strRef>
          </c:tx>
          <c:spPr>
            <a:solidFill>
              <a:schemeClr val="accent1"/>
            </a:solidFill>
            <a:ln>
              <a:noFill/>
            </a:ln>
            <a:effectLst>
              <a:glow rad="139700">
                <a:schemeClr val="accent1">
                  <a:satMod val="175000"/>
                  <a:alpha val="40000"/>
                </a:schemeClr>
              </a:glow>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j-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Anul 2017</c:v>
                </c:pt>
                <c:pt idx="1">
                  <c:v>Anul 2018</c:v>
                </c:pt>
                <c:pt idx="2">
                  <c:v>Anul 2019</c:v>
                </c:pt>
              </c:strCache>
            </c:strRef>
          </c:cat>
          <c:val>
            <c:numRef>
              <c:f>Лист1!$B$2:$B$4</c:f>
              <c:numCache>
                <c:formatCode>0.0</c:formatCode>
                <c:ptCount val="3"/>
                <c:pt idx="0">
                  <c:v>955.7</c:v>
                </c:pt>
                <c:pt idx="1">
                  <c:v>891.2</c:v>
                </c:pt>
                <c:pt idx="2">
                  <c:v>690.9</c:v>
                </c:pt>
              </c:numCache>
            </c:numRef>
          </c:val>
          <c:extLst xmlns:c16r2="http://schemas.microsoft.com/office/drawing/2015/06/chart">
            <c:ext xmlns:c16="http://schemas.microsoft.com/office/drawing/2014/chart" uri="{C3380CC4-5D6E-409C-BE32-E72D297353CC}">
              <c16:uniqueId val="{00000000-BBD2-4546-B905-90B60BAC2AE5}"/>
            </c:ext>
          </c:extLst>
        </c:ser>
        <c:ser>
          <c:idx val="1"/>
          <c:order val="1"/>
          <c:tx>
            <c:strRef>
              <c:f>Лист1!$C$1</c:f>
              <c:strCache>
                <c:ptCount val="1"/>
                <c:pt idx="0">
                  <c:v>Amenzi</c:v>
                </c:pt>
              </c:strCache>
            </c:strRef>
          </c:tx>
          <c:spPr>
            <a:solidFill>
              <a:schemeClr val="accent1">
                <a:lumMod val="20000"/>
                <a:lumOff val="80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j-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Anul 2017</c:v>
                </c:pt>
                <c:pt idx="1">
                  <c:v>Anul 2018</c:v>
                </c:pt>
                <c:pt idx="2">
                  <c:v>Anul 2019</c:v>
                </c:pt>
              </c:strCache>
            </c:strRef>
          </c:cat>
          <c:val>
            <c:numRef>
              <c:f>Лист1!$C$2:$C$4</c:f>
              <c:numCache>
                <c:formatCode>0.0</c:formatCode>
                <c:ptCount val="3"/>
                <c:pt idx="0">
                  <c:v>448</c:v>
                </c:pt>
                <c:pt idx="1">
                  <c:v>303</c:v>
                </c:pt>
                <c:pt idx="2">
                  <c:v>220.8</c:v>
                </c:pt>
              </c:numCache>
            </c:numRef>
          </c:val>
          <c:extLst xmlns:c16r2="http://schemas.microsoft.com/office/drawing/2015/06/chart">
            <c:ext xmlns:c16="http://schemas.microsoft.com/office/drawing/2014/chart" uri="{C3380CC4-5D6E-409C-BE32-E72D297353CC}">
              <c16:uniqueId val="{00000001-BBD2-4546-B905-90B60BAC2AE5}"/>
            </c:ext>
          </c:extLst>
        </c:ser>
        <c:ser>
          <c:idx val="2"/>
          <c:order val="2"/>
          <c:tx>
            <c:strRef>
              <c:f>Лист1!$D$1</c:f>
              <c:strCache>
                <c:ptCount val="1"/>
                <c:pt idx="0">
                  <c:v>Majorări de întârziere</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j-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Anul 2017</c:v>
                </c:pt>
                <c:pt idx="1">
                  <c:v>Anul 2018</c:v>
                </c:pt>
                <c:pt idx="2">
                  <c:v>Anul 2019</c:v>
                </c:pt>
              </c:strCache>
            </c:strRef>
          </c:cat>
          <c:val>
            <c:numRef>
              <c:f>Лист1!$D$2:$D$4</c:f>
              <c:numCache>
                <c:formatCode>0.0</c:formatCode>
                <c:ptCount val="3"/>
                <c:pt idx="0">
                  <c:v>449</c:v>
                </c:pt>
                <c:pt idx="1">
                  <c:v>427.3</c:v>
                </c:pt>
                <c:pt idx="2">
                  <c:v>347.6</c:v>
                </c:pt>
              </c:numCache>
            </c:numRef>
          </c:val>
          <c:extLst xmlns:c16r2="http://schemas.microsoft.com/office/drawing/2015/06/chart">
            <c:ext xmlns:c16="http://schemas.microsoft.com/office/drawing/2014/chart" uri="{C3380CC4-5D6E-409C-BE32-E72D297353CC}">
              <c16:uniqueId val="{00000002-BBD2-4546-B905-90B60BAC2AE5}"/>
            </c:ext>
          </c:extLst>
        </c:ser>
        <c:dLbls>
          <c:showLegendKey val="0"/>
          <c:showVal val="0"/>
          <c:showCatName val="0"/>
          <c:showSerName val="0"/>
          <c:showPercent val="0"/>
          <c:showBubbleSize val="0"/>
        </c:dLbls>
        <c:gapWidth val="55"/>
        <c:overlap val="100"/>
        <c:axId val="198290784"/>
        <c:axId val="198291176"/>
      </c:barChart>
      <c:lineChart>
        <c:grouping val="standard"/>
        <c:varyColors val="0"/>
        <c:ser>
          <c:idx val="3"/>
          <c:order val="3"/>
          <c:tx>
            <c:strRef>
              <c:f>Лист1!$E$1</c:f>
              <c:strCache>
                <c:ptCount val="1"/>
                <c:pt idx="0">
                  <c:v>Total restanțe</c:v>
                </c:pt>
              </c:strCache>
            </c:strRef>
          </c:tx>
          <c:spPr>
            <a:ln w="19050" cap="rnd" cmpd="sng" algn="ctr">
              <a:solidFill>
                <a:srgbClr val="002060"/>
              </a:solidFill>
              <a:prstDash val="solid"/>
              <a:round/>
            </a:ln>
            <a:effectLst/>
          </c:spPr>
          <c:marker>
            <c:symbol val="none"/>
          </c:marker>
          <c:dPt>
            <c:idx val="0"/>
            <c:bubble3D val="0"/>
            <c:spPr>
              <a:ln w="19050" cap="rnd" cmpd="sng" algn="ctr">
                <a:solidFill>
                  <a:srgbClr val="002060"/>
                </a:solidFill>
                <a:prstDash val="solid"/>
                <a:round/>
              </a:ln>
              <a:effectLst/>
            </c:spPr>
            <c:extLst xmlns:c16r2="http://schemas.microsoft.com/office/drawing/2015/06/chart">
              <c:ext xmlns:c16="http://schemas.microsoft.com/office/drawing/2014/chart" uri="{C3380CC4-5D6E-409C-BE32-E72D297353CC}">
                <c16:uniqueId val="{00000004-BBD2-4546-B905-90B60BAC2AE5}"/>
              </c:ext>
            </c:extLst>
          </c:dPt>
          <c:dLbls>
            <c:dLbl>
              <c:idx val="0"/>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BBD2-4546-B905-90B60BAC2AE5}"/>
                </c:ext>
                <c:ext xmlns:c15="http://schemas.microsoft.com/office/drawing/2012/chart" uri="{CE6537A1-D6FC-4f65-9D91-7224C49458BB}"/>
              </c:extLst>
            </c:dLbl>
            <c:dLbl>
              <c:idx val="1"/>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BBD2-4546-B905-90B60BAC2AE5}"/>
                </c:ext>
                <c:ext xmlns:c15="http://schemas.microsoft.com/office/drawing/2012/chart" uri="{CE6537A1-D6FC-4f65-9D91-7224C49458BB}"/>
              </c:extLst>
            </c:dLbl>
            <c:dLbl>
              <c:idx val="2"/>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BBD2-4546-B905-90B60BAC2AE5}"/>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Лист1!$A$2:$A$4</c:f>
              <c:strCache>
                <c:ptCount val="3"/>
                <c:pt idx="0">
                  <c:v>Anul 2017</c:v>
                </c:pt>
                <c:pt idx="1">
                  <c:v>Anul 2018</c:v>
                </c:pt>
                <c:pt idx="2">
                  <c:v>Anul 2019</c:v>
                </c:pt>
              </c:strCache>
            </c:strRef>
          </c:cat>
          <c:val>
            <c:numRef>
              <c:f>Лист1!$E$2:$E$4</c:f>
              <c:numCache>
                <c:formatCode>0.0</c:formatCode>
                <c:ptCount val="3"/>
                <c:pt idx="0">
                  <c:v>1852.7</c:v>
                </c:pt>
                <c:pt idx="1">
                  <c:v>1621.5</c:v>
                </c:pt>
                <c:pt idx="2">
                  <c:v>1259.3</c:v>
                </c:pt>
              </c:numCache>
            </c:numRef>
          </c:val>
          <c:smooth val="0"/>
          <c:extLst xmlns:c16r2="http://schemas.microsoft.com/office/drawing/2015/06/chart">
            <c:ext xmlns:c16="http://schemas.microsoft.com/office/drawing/2014/chart" uri="{C3380CC4-5D6E-409C-BE32-E72D297353CC}">
              <c16:uniqueId val="{00000007-BBD2-4546-B905-90B60BAC2AE5}"/>
            </c:ext>
          </c:extLst>
        </c:ser>
        <c:dLbls>
          <c:dLblPos val="ctr"/>
          <c:showLegendKey val="0"/>
          <c:showVal val="1"/>
          <c:showCatName val="0"/>
          <c:showSerName val="0"/>
          <c:showPercent val="0"/>
          <c:showBubbleSize val="0"/>
        </c:dLbls>
        <c:marker val="1"/>
        <c:smooth val="0"/>
        <c:axId val="198290784"/>
        <c:axId val="198291176"/>
      </c:lineChart>
      <c:catAx>
        <c:axId val="198290784"/>
        <c:scaling>
          <c:orientation val="minMax"/>
        </c:scaling>
        <c:delete val="0"/>
        <c:axPos val="b"/>
        <c:numFmt formatCode="General" sourceLinked="1"/>
        <c:majorTickMark val="none"/>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98291176"/>
        <c:crosses val="autoZero"/>
        <c:auto val="1"/>
        <c:lblAlgn val="ctr"/>
        <c:lblOffset val="100"/>
        <c:noMultiLvlLbl val="0"/>
      </c:catAx>
      <c:valAx>
        <c:axId val="198291176"/>
        <c:scaling>
          <c:orientation val="minMax"/>
        </c:scaling>
        <c:delete val="1"/>
        <c:axPos val="l"/>
        <c:majorGridlines>
          <c:spPr>
            <a:ln w="6350" cap="flat" cmpd="sng" algn="ctr">
              <a:solidFill>
                <a:schemeClr val="tx1">
                  <a:tint val="75000"/>
                </a:schemeClr>
              </a:solidFill>
              <a:prstDash val="solid"/>
              <a:round/>
            </a:ln>
            <a:effectLst/>
          </c:spPr>
        </c:majorGridlines>
        <c:numFmt formatCode="General" sourceLinked="0"/>
        <c:majorTickMark val="none"/>
        <c:minorTickMark val="none"/>
        <c:tickLblPos val="none"/>
        <c:crossAx val="198290784"/>
        <c:crosses val="autoZero"/>
        <c:crossBetween val="between"/>
      </c:valAx>
      <c:spPr>
        <a:pattFill prst="dkUpDiag">
          <a:fgClr>
            <a:schemeClr val="accent6">
              <a:lumMod val="20000"/>
              <a:lumOff val="80000"/>
            </a:schemeClr>
          </a:fgClr>
          <a:bgClr>
            <a:schemeClr val="bg1"/>
          </a:bgClr>
        </a:pattFill>
        <a:ln>
          <a:noFill/>
        </a:ln>
        <a:effectLst/>
      </c:spPr>
    </c:plotArea>
    <c:legend>
      <c:legendPos val="r"/>
      <c:layout>
        <c:manualLayout>
          <c:xMode val="edge"/>
          <c:yMode val="edge"/>
          <c:x val="0.69113305752035237"/>
          <c:y val="0.23238399445352351"/>
          <c:w val="0.28852795942880022"/>
          <c:h val="0.5932808398950131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ysClr val="window" lastClr="FFFFFF"/>
    </a:solidFill>
    <a:ln w="12700" cap="flat" cmpd="sng" algn="ctr">
      <a:solidFill>
        <a:srgbClr val="5B9BD5"/>
      </a:solidFill>
      <a:prstDash val="solid"/>
      <a:miter lim="800000"/>
    </a:ln>
    <a:effectLst/>
    <a:scene3d>
      <a:camera prst="orthographicFront"/>
      <a:lightRig rig="threePt" dir="t"/>
    </a:scene3d>
    <a:sp3d>
      <a:bevelT prst="relaxedInset"/>
    </a:sp3d>
  </c:spPr>
  <c:txPr>
    <a:bodyPr/>
    <a:lstStyle/>
    <a:p>
      <a:pPr>
        <a:defRPr>
          <a:solidFill>
            <a:sysClr val="windowText" lastClr="000000"/>
          </a:solidFill>
          <a:latin typeface="+mn-lt"/>
          <a:ea typeface="+mn-ea"/>
          <a:cs typeface="+mn-cs"/>
        </a:defRPr>
      </a:pPr>
      <a:endParaRPr lang="ru-RU"/>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ysClr val="window" lastClr="FFFFFF">
            <a:lumMod val="95000"/>
          </a:sysClr>
        </a:solidFill>
        <a:ln>
          <a:noFill/>
        </a:ln>
        <a:effectLst>
          <a:innerShdw blurRad="63500" dist="50800" dir="18900000">
            <a:prstClr val="black">
              <a:alpha val="50000"/>
            </a:prstClr>
          </a:innerShdw>
        </a:effectLst>
        <a:sp3d/>
      </c:spPr>
    </c:floor>
    <c:sideWall>
      <c:thickness val="0"/>
      <c:spPr>
        <a:noFill/>
        <a:ln>
          <a:noFill/>
        </a:ln>
        <a:effectLst>
          <a:outerShdw blurRad="50800" dist="50800" dir="5400000" algn="ctr" rotWithShape="0">
            <a:schemeClr val="accent6">
              <a:lumMod val="75000"/>
            </a:schemeClr>
          </a:outerShdw>
        </a:effectLst>
        <a:sp3d/>
      </c:spPr>
    </c:sideWall>
    <c:backWall>
      <c:thickness val="0"/>
      <c:spPr>
        <a:noFill/>
        <a:ln>
          <a:noFill/>
        </a:ln>
        <a:effectLst>
          <a:outerShdw blurRad="50800" dist="50800" dir="5400000" algn="ctr" rotWithShape="0">
            <a:schemeClr val="accent6">
              <a:lumMod val="75000"/>
            </a:schemeClr>
          </a:outerShdw>
        </a:effectLst>
        <a:sp3d/>
      </c:spPr>
    </c:backWall>
    <c:plotArea>
      <c:layout>
        <c:manualLayout>
          <c:layoutTarget val="inner"/>
          <c:xMode val="edge"/>
          <c:yMode val="edge"/>
          <c:x val="0.2659814359518678"/>
          <c:y val="3.3222591362126248E-2"/>
          <c:w val="0.70333571611664092"/>
          <c:h val="0.82794360007324663"/>
        </c:manualLayout>
      </c:layout>
      <c:bar3DChart>
        <c:barDir val="bar"/>
        <c:grouping val="stacked"/>
        <c:varyColors val="0"/>
        <c:ser>
          <c:idx val="0"/>
          <c:order val="0"/>
          <c:tx>
            <c:strRef>
              <c:f>Sheet1!$B$1</c:f>
              <c:strCache>
                <c:ptCount val="1"/>
                <c:pt idx="0">
                  <c:v>Fondul de rezervă</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chemeClr val="accent3">
                  <a:lumMod val="75000"/>
                  <a:alpha val="63000"/>
                </a:schemeClr>
              </a:outerShdw>
            </a:effectLst>
            <a:sp3d/>
          </c:spPr>
          <c:invertIfNegative val="0"/>
          <c:dLbls>
            <c:spPr>
              <a:solidFill>
                <a:schemeClr val="accent1">
                  <a:lumMod val="20000"/>
                  <a:lumOff val="80000"/>
                </a:schemeClr>
              </a:solidFill>
              <a:ln>
                <a:noFill/>
              </a:ln>
              <a:effectLst/>
            </c:spPr>
            <c:txPr>
              <a:bodyPr rot="0" spcFirstLastPara="1" vertOverflow="ellipsis" vert="horz" wrap="square" anchor="ctr" anchorCtr="1"/>
              <a:lstStyle/>
              <a:p>
                <a:pPr>
                  <a:defRPr sz="1200" b="1" i="0" u="none" strike="noStrike" kern="1200" baseline="0">
                    <a:solidFill>
                      <a:schemeClr val="dk1"/>
                    </a:solidFill>
                    <a:latin typeface="+mj-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Aprobat prin legea bugetară</c:v>
                </c:pt>
                <c:pt idx="1">
                  <c:v>Repatizat (HG emise)</c:v>
                </c:pt>
                <c:pt idx="2">
                  <c:v>Executat</c:v>
                </c:pt>
              </c:strCache>
            </c:strRef>
          </c:cat>
          <c:val>
            <c:numRef>
              <c:f>Sheet1!$B$2:$B$4</c:f>
              <c:numCache>
                <c:formatCode>0.0</c:formatCode>
                <c:ptCount val="3"/>
                <c:pt idx="0">
                  <c:v>40</c:v>
                </c:pt>
                <c:pt idx="1">
                  <c:v>25.8</c:v>
                </c:pt>
                <c:pt idx="2">
                  <c:v>22.7</c:v>
                </c:pt>
              </c:numCache>
            </c:numRef>
          </c:val>
          <c:extLst xmlns:c16r2="http://schemas.microsoft.com/office/drawing/2015/06/chart">
            <c:ext xmlns:c16="http://schemas.microsoft.com/office/drawing/2014/chart" uri="{C3380CC4-5D6E-409C-BE32-E72D297353CC}">
              <c16:uniqueId val="{00000000-044F-407A-9656-6A6C266287E5}"/>
            </c:ext>
          </c:extLst>
        </c:ser>
        <c:ser>
          <c:idx val="1"/>
          <c:order val="1"/>
          <c:tx>
            <c:strRef>
              <c:f>Sheet1!$C$1</c:f>
              <c:strCache>
                <c:ptCount val="1"/>
                <c:pt idx="0">
                  <c:v>Fondul de intervenție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a:contourClr>
                <a:schemeClr val="accent2">
                  <a:lumMod val="75000"/>
                </a:schemeClr>
              </a:contourClr>
            </a:sp3d>
          </c:spPr>
          <c:invertIfNegative val="0"/>
          <c:dLbls>
            <c:spPr>
              <a:solidFill>
                <a:schemeClr val="accent2">
                  <a:lumMod val="40000"/>
                  <a:lumOff val="60000"/>
                </a:schemeClr>
              </a:solidFill>
              <a:ln>
                <a:noFill/>
              </a:ln>
              <a:effectLst/>
            </c:spPr>
            <c:txPr>
              <a:bodyPr rot="0" spcFirstLastPara="1" vertOverflow="ellipsis" vert="horz" wrap="square" anchor="ctr" anchorCtr="1"/>
              <a:lstStyle/>
              <a:p>
                <a:pPr>
                  <a:defRPr sz="1200" b="1" i="0" u="none" strike="noStrike" kern="1200" baseline="0">
                    <a:solidFill>
                      <a:schemeClr val="dk1"/>
                    </a:solidFill>
                    <a:latin typeface="+mj-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Aprobat prin legea bugetară</c:v>
                </c:pt>
                <c:pt idx="1">
                  <c:v>Repatizat (HG emise)</c:v>
                </c:pt>
                <c:pt idx="2">
                  <c:v>Executat</c:v>
                </c:pt>
              </c:strCache>
            </c:strRef>
          </c:cat>
          <c:val>
            <c:numRef>
              <c:f>Sheet1!$C$2:$C$4</c:f>
              <c:numCache>
                <c:formatCode>0.0</c:formatCode>
                <c:ptCount val="3"/>
                <c:pt idx="0">
                  <c:v>82.4</c:v>
                </c:pt>
                <c:pt idx="1">
                  <c:v>23.7</c:v>
                </c:pt>
                <c:pt idx="2">
                  <c:v>19.8</c:v>
                </c:pt>
              </c:numCache>
            </c:numRef>
          </c:val>
          <c:extLst xmlns:c16r2="http://schemas.microsoft.com/office/drawing/2015/06/chart">
            <c:ext xmlns:c16="http://schemas.microsoft.com/office/drawing/2014/chart" uri="{C3380CC4-5D6E-409C-BE32-E72D297353CC}">
              <c16:uniqueId val="{00000001-044F-407A-9656-6A6C266287E5}"/>
            </c:ext>
          </c:extLst>
        </c:ser>
        <c:dLbls>
          <c:showLegendKey val="0"/>
          <c:showVal val="1"/>
          <c:showCatName val="0"/>
          <c:showSerName val="0"/>
          <c:showPercent val="0"/>
          <c:showBubbleSize val="0"/>
        </c:dLbls>
        <c:gapWidth val="150"/>
        <c:shape val="cylinder"/>
        <c:axId val="198291960"/>
        <c:axId val="198928456"/>
        <c:axId val="0"/>
      </c:bar3DChart>
      <c:catAx>
        <c:axId val="198291960"/>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dk1"/>
                </a:solidFill>
                <a:latin typeface="+mj-lt"/>
                <a:ea typeface="+mn-ea"/>
                <a:cs typeface="+mn-cs"/>
              </a:defRPr>
            </a:pPr>
            <a:endParaRPr lang="ru-RU"/>
          </a:p>
        </c:txPr>
        <c:crossAx val="198928456"/>
        <c:crosses val="autoZero"/>
        <c:auto val="1"/>
        <c:lblAlgn val="ctr"/>
        <c:lblOffset val="100"/>
        <c:noMultiLvlLbl val="0"/>
      </c:catAx>
      <c:valAx>
        <c:axId val="198928456"/>
        <c:scaling>
          <c:orientation val="minMax"/>
        </c:scaling>
        <c:delete val="1"/>
        <c:axPos val="b"/>
        <c:majorGridlines>
          <c:spPr>
            <a:ln w="9525" cap="flat" cmpd="sng" algn="ctr">
              <a:solidFill>
                <a:schemeClr val="tx1">
                  <a:lumMod val="15000"/>
                  <a:lumOff val="85000"/>
                </a:schemeClr>
              </a:solidFill>
              <a:round/>
            </a:ln>
            <a:effectLst>
              <a:outerShdw blurRad="50800" dist="50800" dir="5400000" algn="ctr" rotWithShape="0">
                <a:srgbClr val="FF0000"/>
              </a:outerShdw>
            </a:effectLst>
          </c:spPr>
        </c:majorGridlines>
        <c:numFmt formatCode="0.0" sourceLinked="1"/>
        <c:majorTickMark val="none"/>
        <c:minorTickMark val="none"/>
        <c:tickLblPos val="nextTo"/>
        <c:crossAx val="198291960"/>
        <c:crosses val="autoZero"/>
        <c:crossBetween val="between"/>
      </c:valAx>
      <c:spPr>
        <a:solidFill>
          <a:srgbClr val="A5A5A5">
            <a:lumMod val="20000"/>
            <a:lumOff val="80000"/>
          </a:srgbClr>
        </a:solidFill>
        <a:ln>
          <a:solidFill>
            <a:srgbClr val="ED7D31">
              <a:lumMod val="75000"/>
            </a:srgbClr>
          </a:solidFill>
        </a:ln>
        <a:effectLst>
          <a:outerShdw blurRad="50800" dist="38100" dir="18900000" algn="bl" rotWithShape="0">
            <a:prstClr val="black">
              <a:alpha val="40000"/>
            </a:prstClr>
          </a:outerShdw>
        </a:effectLst>
      </c:spPr>
    </c:plotArea>
    <c:legend>
      <c:legendPos val="b"/>
      <c:layout>
        <c:manualLayout>
          <c:xMode val="edge"/>
          <c:yMode val="edge"/>
          <c:x val="0.20769548751385444"/>
          <c:y val="0.82540485304949529"/>
          <c:w val="0.58460902497229117"/>
          <c:h val="0.17459514695050471"/>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dk1"/>
              </a:solidFill>
              <a:latin typeface="+mj-lt"/>
              <a:ea typeface="+mn-ea"/>
              <a:cs typeface="+mn-cs"/>
            </a:defRPr>
          </a:pPr>
          <a:endParaRPr lang="ru-RU"/>
        </a:p>
      </c:txPr>
    </c:legend>
    <c:plotVisOnly val="1"/>
    <c:dispBlanksAs val="gap"/>
    <c:showDLblsOverMax val="0"/>
  </c:chart>
  <c:spPr>
    <a:solidFill>
      <a:schemeClr val="lt1"/>
    </a:solidFill>
    <a:ln w="12700" cap="flat" cmpd="sng" algn="ctr">
      <a:solidFill>
        <a:schemeClr val="accent1"/>
      </a:solidFill>
      <a:prstDash val="solid"/>
      <a:miter lim="800000"/>
    </a:ln>
    <a:effectLst/>
  </c:spPr>
  <c:txPr>
    <a:bodyPr/>
    <a:lstStyle/>
    <a:p>
      <a:pPr>
        <a:defRPr>
          <a:solidFill>
            <a:schemeClr val="dk1"/>
          </a:solidFill>
          <a:latin typeface="+mn-lt"/>
          <a:ea typeface="+mn-ea"/>
          <a:cs typeface="+mn-cs"/>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CE445-A63C-4C67-98CD-A25726709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27843</Words>
  <Characters>158710</Characters>
  <Application>Microsoft Office Word</Application>
  <DocSecurity>0</DocSecurity>
  <Lines>1322</Lines>
  <Paragraphs>372</Paragraphs>
  <ScaleCrop>false</ScaleCrop>
  <Company/>
  <LinksUpToDate>false</LinksUpToDate>
  <CharactersWithSpaces>186181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Savva Maia</dc:creator>
  <cp:keywords/>
  <dc:description/>
  <cp:lastModifiedBy>Paiu Eugenia</cp:lastModifiedBy>
  <cp:revision>169</cp:revision>
  <cp:lastPrinted>2020-07-30T09:11:00Z</cp:lastPrinted>
  <dcterms:created xsi:type="dcterms:W3CDTF">2020-07-30T06:13:00Z</dcterms:created>
  <dcterms:modified xsi:type="dcterms:W3CDTF">2020-08-21T07:39:00Z</dcterms:modified>
</cp:coreProperties>
</file>