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54" w:rsidRPr="00652967" w:rsidRDefault="001D2154" w:rsidP="001D2154">
      <w:pPr>
        <w:spacing w:after="0" w:line="276" w:lineRule="auto"/>
        <w:jc w:val="center"/>
        <w:rPr>
          <w:rFonts w:ascii="Calibri Light" w:eastAsia="Times New Roman" w:hAnsi="Calibri Light" w:cs="Calibri Light"/>
          <w:b/>
          <w:bCs/>
          <w:sz w:val="24"/>
          <w:szCs w:val="24"/>
          <w:lang w:val="ru-RU"/>
        </w:rPr>
      </w:pPr>
      <w:bookmarkStart w:id="0" w:name="_GoBack"/>
      <w:bookmarkEnd w:id="0"/>
      <w:r w:rsidRPr="00652967">
        <w:rPr>
          <w:rFonts w:ascii="Calibri Light" w:hAnsi="Calibri Light"/>
          <w:noProof/>
        </w:rPr>
        <w:drawing>
          <wp:inline distT="0" distB="0" distL="0" distR="0" wp14:anchorId="24AC574F" wp14:editId="029E42B3">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7"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1D2154" w:rsidRPr="00652967" w:rsidRDefault="001D2154" w:rsidP="001D2154">
      <w:pPr>
        <w:spacing w:after="0" w:line="276" w:lineRule="auto"/>
        <w:jc w:val="right"/>
        <w:rPr>
          <w:rFonts w:ascii="Calibri Light" w:eastAsia="Times New Roman" w:hAnsi="Calibri Light" w:cs="Calibri Light"/>
          <w:bCs/>
          <w:sz w:val="24"/>
          <w:szCs w:val="24"/>
          <w:lang w:val="ru-RU"/>
        </w:rPr>
      </w:pPr>
      <w:r w:rsidRPr="00652967">
        <w:rPr>
          <w:rFonts w:ascii="Calibri Light" w:eastAsia="Times New Roman" w:hAnsi="Calibri Light" w:cs="Calibri Light"/>
          <w:bCs/>
          <w:sz w:val="24"/>
          <w:szCs w:val="24"/>
          <w:lang w:val="ru-RU"/>
        </w:rPr>
        <w:t xml:space="preserve">Перевод </w:t>
      </w:r>
    </w:p>
    <w:p w:rsidR="001D2154" w:rsidRPr="00652967" w:rsidRDefault="001D2154" w:rsidP="001D2154">
      <w:pPr>
        <w:spacing w:after="0" w:line="240" w:lineRule="auto"/>
        <w:jc w:val="center"/>
        <w:rPr>
          <w:rFonts w:ascii="Calibri Light" w:eastAsia="Times New Roman" w:hAnsi="Calibri Light" w:cs="Calibri Light"/>
          <w:b/>
          <w:bCs/>
          <w:sz w:val="24"/>
          <w:szCs w:val="24"/>
          <w:lang w:val="ru-RU"/>
        </w:rPr>
      </w:pPr>
      <w:r w:rsidRPr="00652967">
        <w:rPr>
          <w:rFonts w:ascii="Calibri Light" w:eastAsia="Times New Roman" w:hAnsi="Calibri Light" w:cs="Calibri Light"/>
          <w:b/>
          <w:bCs/>
          <w:sz w:val="24"/>
          <w:szCs w:val="24"/>
          <w:lang w:val="ru-RU"/>
        </w:rPr>
        <w:t>ПОСТАНОВЛЕНИЕ №71</w:t>
      </w:r>
    </w:p>
    <w:p w:rsidR="001D2154" w:rsidRPr="00652967" w:rsidRDefault="001D2154" w:rsidP="001D2154">
      <w:pPr>
        <w:spacing w:after="0" w:line="240" w:lineRule="auto"/>
        <w:jc w:val="center"/>
        <w:rPr>
          <w:rFonts w:ascii="Calibri Light" w:eastAsia="Times New Roman" w:hAnsi="Calibri Light" w:cs="Calibri Light"/>
          <w:bCs/>
          <w:sz w:val="24"/>
          <w:szCs w:val="24"/>
          <w:lang w:val="ru-RU"/>
        </w:rPr>
      </w:pPr>
      <w:r w:rsidRPr="00652967">
        <w:rPr>
          <w:rFonts w:ascii="Calibri Light" w:eastAsia="Times New Roman" w:hAnsi="Calibri Light" w:cs="Calibri Light"/>
          <w:bCs/>
          <w:sz w:val="24"/>
          <w:szCs w:val="24"/>
          <w:lang w:val="ru-RU"/>
        </w:rPr>
        <w:t>от 16 декабря 2021 года</w:t>
      </w:r>
    </w:p>
    <w:p w:rsidR="001D2154" w:rsidRPr="00652967" w:rsidRDefault="001D2154" w:rsidP="001D2154">
      <w:pPr>
        <w:spacing w:after="0" w:line="276" w:lineRule="auto"/>
        <w:ind w:right="-1"/>
        <w:jc w:val="center"/>
        <w:rPr>
          <w:rFonts w:ascii="Calibri Light" w:hAnsi="Calibri Light" w:cstheme="majorHAnsi"/>
          <w:b/>
          <w:sz w:val="24"/>
          <w:szCs w:val="24"/>
          <w:lang w:val="ru-RU"/>
        </w:rPr>
      </w:pPr>
    </w:p>
    <w:p w:rsidR="001D2154" w:rsidRPr="00652967" w:rsidRDefault="001D2154" w:rsidP="001D2154">
      <w:pPr>
        <w:spacing w:after="0" w:line="276" w:lineRule="auto"/>
        <w:ind w:right="-1"/>
        <w:jc w:val="center"/>
        <w:rPr>
          <w:rFonts w:ascii="Calibri Light" w:hAnsi="Calibri Light" w:cstheme="majorHAnsi"/>
          <w:b/>
          <w:sz w:val="24"/>
          <w:szCs w:val="24"/>
          <w:lang w:val="ru-RU"/>
        </w:rPr>
      </w:pPr>
      <w:r w:rsidRPr="00652967">
        <w:rPr>
          <w:rFonts w:ascii="Calibri Light" w:hAnsi="Calibri Light" w:cstheme="majorHAnsi"/>
          <w:b/>
          <w:sz w:val="24"/>
          <w:szCs w:val="24"/>
          <w:lang w:val="ru-RU"/>
        </w:rPr>
        <w:t xml:space="preserve">по утверждению Отчета аудита эффективности </w:t>
      </w:r>
    </w:p>
    <w:p w:rsidR="001D2154" w:rsidRPr="00652967" w:rsidRDefault="001D2154" w:rsidP="001D2154">
      <w:pPr>
        <w:spacing w:after="0" w:line="276" w:lineRule="auto"/>
        <w:ind w:right="-1"/>
        <w:jc w:val="center"/>
        <w:rPr>
          <w:rFonts w:ascii="Calibri Light" w:hAnsi="Calibri Light" w:cstheme="majorHAnsi"/>
          <w:b/>
          <w:sz w:val="24"/>
          <w:szCs w:val="24"/>
          <w:lang w:val="ru-RU"/>
        </w:rPr>
      </w:pPr>
      <w:r w:rsidRPr="00652967">
        <w:rPr>
          <w:rFonts w:ascii="Calibri Light" w:hAnsi="Calibri Light" w:cstheme="majorHAnsi"/>
          <w:b/>
          <w:sz w:val="24"/>
          <w:szCs w:val="24"/>
          <w:lang w:val="ru-RU"/>
        </w:rPr>
        <w:t>„Компетентные органы предприняли достаточные меры с целью обеспечения граждан вакцинами и достижения коллективного иммунитета для борьбы с инфекцией COVID-19?”</w:t>
      </w:r>
    </w:p>
    <w:p w:rsidR="001D2154" w:rsidRPr="00652967" w:rsidRDefault="001D2154" w:rsidP="001D2154">
      <w:pPr>
        <w:spacing w:after="0" w:line="276" w:lineRule="auto"/>
        <w:ind w:right="-1"/>
        <w:jc w:val="center"/>
        <w:rPr>
          <w:rFonts w:ascii="Calibri Light" w:eastAsia="Times New Roman" w:hAnsi="Calibri Light" w:cstheme="majorHAnsi"/>
          <w:b/>
          <w:bCs/>
          <w:sz w:val="16"/>
          <w:szCs w:val="16"/>
          <w:lang w:val="ru-RU" w:eastAsia="ru-RU"/>
        </w:rPr>
      </w:pPr>
    </w:p>
    <w:p w:rsidR="008E0085" w:rsidRPr="00652967" w:rsidRDefault="001D2154" w:rsidP="008E0085">
      <w:pPr>
        <w:spacing w:after="0" w:line="276" w:lineRule="auto"/>
        <w:ind w:firstLine="709"/>
        <w:jc w:val="both"/>
        <w:rPr>
          <w:rFonts w:ascii="Calibri Light" w:hAnsi="Calibri Light" w:cstheme="majorHAnsi"/>
          <w:sz w:val="24"/>
          <w:szCs w:val="24"/>
          <w:lang w:val="ru-RU"/>
        </w:rPr>
      </w:pPr>
      <w:r w:rsidRPr="00652967">
        <w:rPr>
          <w:rFonts w:ascii="Calibri Light" w:hAnsi="Calibri Light" w:cstheme="majorHAnsi"/>
          <w:sz w:val="24"/>
          <w:szCs w:val="24"/>
          <w:lang w:val="ru-RU"/>
        </w:rPr>
        <w:t xml:space="preserve">Счетная палата в присутствии государственного секретаря Министерства здравоохранения г-жи Светланы Николаеску; генерального директора </w:t>
      </w:r>
      <w:r w:rsidR="00C505AC" w:rsidRPr="00652967">
        <w:rPr>
          <w:rFonts w:ascii="Calibri Light" w:hAnsi="Calibri Light"/>
          <w:sz w:val="24"/>
          <w:szCs w:val="24"/>
          <w:lang w:val="ru-RU"/>
        </w:rPr>
        <w:t>Агентства по лекарствам и медицинскому оборудованию г-на Драгоша Гуцу; директора Национального агентства</w:t>
      </w:r>
      <w:r w:rsidR="008E0085" w:rsidRPr="00652967">
        <w:rPr>
          <w:rFonts w:ascii="Calibri Light" w:hAnsi="Calibri Light"/>
          <w:sz w:val="24"/>
          <w:szCs w:val="24"/>
          <w:lang w:val="ru-RU"/>
        </w:rPr>
        <w:t xml:space="preserve"> </w:t>
      </w:r>
      <w:r w:rsidR="00C505AC" w:rsidRPr="00652967">
        <w:rPr>
          <w:rFonts w:ascii="Calibri Light" w:hAnsi="Calibri Light"/>
          <w:sz w:val="24"/>
          <w:szCs w:val="24"/>
          <w:lang w:val="ru-RU"/>
        </w:rPr>
        <w:t>общественно</w:t>
      </w:r>
      <w:r w:rsidR="00BF01A7" w:rsidRPr="00652967">
        <w:rPr>
          <w:rFonts w:ascii="Calibri Light" w:hAnsi="Calibri Light"/>
          <w:sz w:val="24"/>
          <w:szCs w:val="24"/>
          <w:lang w:val="ru-RU"/>
        </w:rPr>
        <w:t>го</w:t>
      </w:r>
      <w:r w:rsidR="00C505AC" w:rsidRPr="00652967">
        <w:rPr>
          <w:rFonts w:ascii="Calibri Light" w:hAnsi="Calibri Light"/>
          <w:sz w:val="24"/>
          <w:szCs w:val="24"/>
          <w:lang w:val="ru-RU"/>
        </w:rPr>
        <w:t xml:space="preserve"> здоровь</w:t>
      </w:r>
      <w:r w:rsidR="00BF01A7" w:rsidRPr="00652967">
        <w:rPr>
          <w:rFonts w:ascii="Calibri Light" w:hAnsi="Calibri Light"/>
          <w:sz w:val="24"/>
          <w:szCs w:val="24"/>
          <w:lang w:val="ru-RU"/>
        </w:rPr>
        <w:t>я</w:t>
      </w:r>
      <w:r w:rsidR="00C505AC" w:rsidRPr="00652967">
        <w:rPr>
          <w:rFonts w:ascii="Calibri Light" w:hAnsi="Calibri Light"/>
          <w:sz w:val="24"/>
          <w:szCs w:val="24"/>
          <w:lang w:val="ru-RU"/>
        </w:rPr>
        <w:t xml:space="preserve"> г-на Николае Еламски; заместителя директора Центра по</w:t>
      </w:r>
      <w:r w:rsidR="001F6F35">
        <w:rPr>
          <w:rFonts w:ascii="Calibri Light" w:hAnsi="Calibri Light"/>
          <w:sz w:val="24"/>
          <w:szCs w:val="24"/>
          <w:lang w:val="ru-RU"/>
        </w:rPr>
        <w:t xml:space="preserve"> </w:t>
      </w:r>
      <w:r w:rsidR="00C505AC" w:rsidRPr="00652967">
        <w:rPr>
          <w:rFonts w:ascii="Calibri Light" w:hAnsi="Calibri Light"/>
          <w:sz w:val="24"/>
          <w:szCs w:val="24"/>
          <w:lang w:val="ru-RU"/>
        </w:rPr>
        <w:t>централизованным государственным закупкам в здравоохранении г-жи Аллы Гожан</w:t>
      </w:r>
      <w:r w:rsidR="000F2392" w:rsidRPr="00652967">
        <w:rPr>
          <w:rFonts w:ascii="Calibri Light" w:hAnsi="Calibri Light"/>
          <w:sz w:val="24"/>
          <w:szCs w:val="24"/>
          <w:lang w:val="ru-RU"/>
        </w:rPr>
        <w:t xml:space="preserve">; </w:t>
      </w:r>
      <w:r w:rsidR="00C505AC" w:rsidRPr="00652967">
        <w:rPr>
          <w:rFonts w:ascii="Calibri Light" w:hAnsi="Calibri Light"/>
          <w:sz w:val="24"/>
          <w:szCs w:val="24"/>
          <w:lang w:val="ru-RU"/>
        </w:rPr>
        <w:t>директора</w:t>
      </w:r>
      <w:r w:rsidR="000F2392" w:rsidRPr="00652967">
        <w:rPr>
          <w:rFonts w:ascii="Calibri Light" w:hAnsi="Calibri Light"/>
          <w:sz w:val="24"/>
          <w:szCs w:val="24"/>
          <w:lang w:val="ru-RU"/>
        </w:rPr>
        <w:t xml:space="preserve"> Офиса по управлению программами внешней помощи г-жи Раисы Кантемир; директора ПМСУ ТМ</w:t>
      </w:r>
      <w:r w:rsidR="0012183C">
        <w:rPr>
          <w:rFonts w:ascii="Calibri Light" w:hAnsi="Calibri Light"/>
          <w:sz w:val="24"/>
          <w:szCs w:val="24"/>
          <w:lang w:val="ru-RU"/>
        </w:rPr>
        <w:t>О</w:t>
      </w:r>
      <w:r w:rsidR="000F2392" w:rsidRPr="00652967">
        <w:rPr>
          <w:rFonts w:ascii="Calibri Light" w:hAnsi="Calibri Light"/>
          <w:sz w:val="24"/>
          <w:szCs w:val="24"/>
          <w:lang w:val="ru-RU"/>
        </w:rPr>
        <w:t xml:space="preserve"> Центра г-жи Анаделы Главан; заместителя директора ПМСУ ТМ</w:t>
      </w:r>
      <w:r w:rsidR="0012183C">
        <w:rPr>
          <w:rFonts w:ascii="Calibri Light" w:hAnsi="Calibri Light"/>
          <w:sz w:val="24"/>
          <w:szCs w:val="24"/>
          <w:lang w:val="ru-RU"/>
        </w:rPr>
        <w:t>О</w:t>
      </w:r>
      <w:r w:rsidR="000F2392" w:rsidRPr="00652967">
        <w:rPr>
          <w:rFonts w:ascii="Calibri Light" w:hAnsi="Calibri Light"/>
          <w:sz w:val="24"/>
          <w:szCs w:val="24"/>
          <w:lang w:val="ru-RU"/>
        </w:rPr>
        <w:t xml:space="preserve"> Чокана г-жи Зинаиды Обриджану; заместителя директора по медицине ПМСУ ТМ</w:t>
      </w:r>
      <w:r w:rsidR="0012183C">
        <w:rPr>
          <w:rFonts w:ascii="Calibri Light" w:hAnsi="Calibri Light"/>
          <w:sz w:val="24"/>
          <w:szCs w:val="24"/>
          <w:lang w:val="ru-RU"/>
        </w:rPr>
        <w:t>О</w:t>
      </w:r>
      <w:r w:rsidR="000F2392" w:rsidRPr="00652967">
        <w:rPr>
          <w:rFonts w:ascii="Calibri Light" w:hAnsi="Calibri Light"/>
          <w:sz w:val="24"/>
          <w:szCs w:val="24"/>
          <w:lang w:val="ru-RU"/>
        </w:rPr>
        <w:t xml:space="preserve"> Рышкань г-жи Елены Ротарь; заместителя директора </w:t>
      </w:r>
      <w:r w:rsidR="000F2392" w:rsidRPr="00652967">
        <w:rPr>
          <w:rFonts w:ascii="Calibri Light" w:hAnsi="Calibri Light" w:cstheme="majorHAnsi"/>
          <w:sz w:val="24"/>
          <w:szCs w:val="24"/>
          <w:lang w:val="ru-RU"/>
        </w:rPr>
        <w:t>Клиники эстетической медицины</w:t>
      </w:r>
      <w:r w:rsidR="000F2392" w:rsidRPr="00652967">
        <w:rPr>
          <w:rFonts w:ascii="Calibri Light" w:hAnsi="Calibri Light"/>
          <w:sz w:val="24"/>
          <w:szCs w:val="24"/>
          <w:lang w:val="ru-RU"/>
        </w:rPr>
        <w:t xml:space="preserve"> </w:t>
      </w:r>
      <w:r w:rsidR="000F2392" w:rsidRPr="00652967">
        <w:rPr>
          <w:rFonts w:ascii="Calibri Light" w:hAnsi="Calibri Light" w:cstheme="majorHAnsi"/>
          <w:sz w:val="24"/>
          <w:szCs w:val="24"/>
          <w:lang w:val="ru-RU"/>
        </w:rPr>
        <w:t xml:space="preserve">„Sancos” г-жи Виктории </w:t>
      </w:r>
      <w:r w:rsidR="00806DC9" w:rsidRPr="00652967">
        <w:rPr>
          <w:rFonts w:ascii="Calibri Light" w:hAnsi="Calibri Light" w:cstheme="majorHAnsi"/>
          <w:sz w:val="24"/>
          <w:szCs w:val="24"/>
          <w:lang w:val="ru-RU"/>
        </w:rPr>
        <w:t xml:space="preserve">Гурски; директора ПМСУ ЦСВ Бэлць г-на Вячеслава Батыр; начальника ПМСУ ЦЗ Окница г-на Теодора Дутка; начальника ПМСУ ЦЗ Кахул г-на Александру Хагиогло; начальника ПМСУ ЦЗ Ниспорень г-жи Веры Табакару; начальника ПМСУ ЦЗ Штефан Водэ г-жи Марианны Харет; начальника ПМСУ ЦЗ Криулень г-жи Виолетты Панико; начальника ПМСУ ЦЗ Бэчой г-жи Адрианы Михалаки; начальника ПМСУ ЦЗ Дондушень г-жи Аделины Селак, а также других ответственных лиц, </w:t>
      </w:r>
      <w:r w:rsidR="00806DC9" w:rsidRPr="00652967">
        <w:rPr>
          <w:rFonts w:ascii="Calibri Light" w:eastAsia="Times New Roman" w:hAnsi="Calibri Light" w:cstheme="majorHAnsi"/>
          <w:sz w:val="24"/>
          <w:szCs w:val="24"/>
          <w:lang w:val="ru-RU"/>
        </w:rPr>
        <w:t xml:space="preserve">в </w:t>
      </w:r>
      <w:r w:rsidR="00806DC9" w:rsidRPr="00652967">
        <w:rPr>
          <w:rFonts w:ascii="Calibri Light" w:hAnsi="Calibri Light"/>
          <w:sz w:val="24"/>
          <w:szCs w:val="24"/>
          <w:lang w:val="ru-RU"/>
        </w:rPr>
        <w:t xml:space="preserve">рамках видео заседания, в связи с объявлением </w:t>
      </w:r>
      <w:r w:rsidR="008E0085" w:rsidRPr="00652967">
        <w:rPr>
          <w:rFonts w:ascii="Calibri Light" w:hAnsi="Calibri Light"/>
          <w:sz w:val="24"/>
          <w:szCs w:val="24"/>
          <w:lang w:val="ru-RU"/>
        </w:rPr>
        <w:t>чрезвычайного положения в общественном здравоохранении</w:t>
      </w:r>
      <w:r w:rsidR="00806DC9" w:rsidRPr="00652967">
        <w:rPr>
          <w:rStyle w:val="FootnoteReference"/>
          <w:rFonts w:ascii="Calibri Light" w:hAnsi="Calibri Light" w:cs="Calibri Light"/>
          <w:sz w:val="24"/>
          <w:szCs w:val="24"/>
          <w:lang w:val="ru-RU"/>
        </w:rPr>
        <w:footnoteReference w:id="1"/>
      </w:r>
      <w:r w:rsidR="00806DC9" w:rsidRPr="00652967">
        <w:rPr>
          <w:rFonts w:ascii="Calibri Light" w:hAnsi="Calibri Light" w:cs="Calibri Light"/>
          <w:sz w:val="24"/>
          <w:szCs w:val="24"/>
          <w:lang w:val="ru-RU"/>
        </w:rPr>
        <w:t>,</w:t>
      </w:r>
      <w:r w:rsidR="00806DC9" w:rsidRPr="00652967">
        <w:rPr>
          <w:rFonts w:ascii="Calibri Light" w:hAnsi="Calibri Light" w:cstheme="majorHAnsi"/>
          <w:sz w:val="24"/>
          <w:szCs w:val="24"/>
          <w:lang w:val="ru-RU"/>
        </w:rPr>
        <w:t xml:space="preserve"> </w:t>
      </w:r>
      <w:r w:rsidR="00806DC9" w:rsidRPr="00652967">
        <w:rPr>
          <w:rFonts w:ascii="Calibri Light" w:hAnsi="Calibri Light" w:cstheme="majorHAnsi"/>
          <w:sz w:val="24"/>
          <w:szCs w:val="24"/>
          <w:shd w:val="clear" w:color="auto" w:fill="FFFFFF" w:themeFill="background1"/>
          <w:lang w:val="ru-RU"/>
        </w:rPr>
        <w:t>руководствуясь ст.3</w:t>
      </w:r>
      <w:r w:rsidR="00806DC9" w:rsidRPr="00652967">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806DC9" w:rsidRPr="00652967">
        <w:rPr>
          <w:rStyle w:val="FootnoteReference"/>
          <w:rFonts w:ascii="Calibri Light" w:eastAsia="Times New Roman" w:hAnsi="Calibri Light" w:cstheme="majorHAnsi"/>
          <w:sz w:val="24"/>
          <w:szCs w:val="24"/>
          <w:lang w:val="ru-RU"/>
        </w:rPr>
        <w:footnoteReference w:id="2"/>
      </w:r>
      <w:r w:rsidR="00806DC9" w:rsidRPr="00652967">
        <w:rPr>
          <w:rFonts w:ascii="Calibri Light" w:eastAsia="Times New Roman" w:hAnsi="Calibri Light" w:cstheme="majorHAnsi"/>
          <w:sz w:val="24"/>
          <w:szCs w:val="24"/>
          <w:lang w:val="ru-RU"/>
        </w:rPr>
        <w:t>,</w:t>
      </w:r>
      <w:r w:rsidR="00806DC9" w:rsidRPr="00652967">
        <w:rPr>
          <w:rFonts w:ascii="Calibri Light" w:hAnsi="Calibri Light" w:cs="Calibri Light"/>
          <w:sz w:val="24"/>
          <w:szCs w:val="24"/>
          <w:lang w:val="ru-RU"/>
        </w:rPr>
        <w:t xml:space="preserve"> рассмотрела Отчет аудита</w:t>
      </w:r>
      <w:r w:rsidR="00806DC9" w:rsidRPr="00652967">
        <w:rPr>
          <w:rFonts w:ascii="Calibri Light" w:hAnsi="Calibri Light"/>
          <w:sz w:val="24"/>
          <w:szCs w:val="24"/>
          <w:lang w:val="ru-RU" w:eastAsia="ru-RU"/>
        </w:rPr>
        <w:t xml:space="preserve"> </w:t>
      </w:r>
      <w:r w:rsidR="008E0085" w:rsidRPr="00652967">
        <w:rPr>
          <w:rFonts w:ascii="Calibri Light" w:hAnsi="Calibri Light"/>
          <w:sz w:val="24"/>
          <w:szCs w:val="24"/>
          <w:lang w:val="ru-RU" w:eastAsia="ru-RU"/>
        </w:rPr>
        <w:t xml:space="preserve">эффективности </w:t>
      </w:r>
      <w:r w:rsidR="008E0085" w:rsidRPr="00652967">
        <w:rPr>
          <w:rFonts w:ascii="Calibri Light" w:hAnsi="Calibri Light" w:cstheme="majorHAnsi"/>
          <w:sz w:val="24"/>
          <w:szCs w:val="24"/>
          <w:lang w:val="ru-RU"/>
        </w:rPr>
        <w:t>„Компетентные органы предприняли достаточные меры с целью обеспечения граждан вакцинами и достижения коллективного иммунитета для борьбы с инфекцией COVID-19?”</w:t>
      </w:r>
    </w:p>
    <w:p w:rsidR="008E0085" w:rsidRPr="00652967" w:rsidRDefault="008E0085" w:rsidP="008E0085">
      <w:pPr>
        <w:spacing w:after="0" w:line="276" w:lineRule="auto"/>
        <w:ind w:firstLine="709"/>
        <w:jc w:val="both"/>
        <w:rPr>
          <w:rFonts w:ascii="Calibri Light" w:hAnsi="Calibri Light"/>
          <w:sz w:val="24"/>
          <w:szCs w:val="24"/>
          <w:lang w:val="ru-RU" w:eastAsia="ru-RU"/>
        </w:rPr>
      </w:pPr>
      <w:r w:rsidRPr="00652967">
        <w:rPr>
          <w:rFonts w:ascii="Calibri Light" w:hAnsi="Calibri Light" w:cstheme="majorHAnsi"/>
          <w:sz w:val="24"/>
          <w:szCs w:val="24"/>
          <w:lang w:val="ru-RU"/>
        </w:rPr>
        <w:t xml:space="preserve">Аудиторская миссия была проведена </w:t>
      </w:r>
      <w:r w:rsidRPr="00652967">
        <w:rPr>
          <w:rFonts w:ascii="Calibri Light" w:eastAsia="Times New Roman" w:hAnsi="Calibri Light" w:cstheme="majorHAnsi"/>
          <w:sz w:val="24"/>
          <w:szCs w:val="24"/>
          <w:lang w:val="ru-RU"/>
        </w:rPr>
        <w:t xml:space="preserve">в соответствии с </w:t>
      </w:r>
      <w:r w:rsidRPr="00652967">
        <w:rPr>
          <w:rFonts w:ascii="Calibri Light" w:hAnsi="Calibri Light" w:cs="Calibri Light"/>
          <w:color w:val="000000"/>
          <w:sz w:val="24"/>
          <w:szCs w:val="24"/>
          <w:lang w:val="ru-RU" w:eastAsia="ro-RO"/>
        </w:rPr>
        <w:t xml:space="preserve">Программами аудиторской деятельности на </w:t>
      </w:r>
      <w:r w:rsidRPr="00652967">
        <w:rPr>
          <w:rFonts w:ascii="Calibri Light" w:hAnsi="Calibri Light" w:cstheme="majorHAnsi"/>
          <w:sz w:val="24"/>
          <w:szCs w:val="24"/>
          <w:lang w:val="ru-RU"/>
        </w:rPr>
        <w:t xml:space="preserve">2020 и, соответственно, </w:t>
      </w:r>
      <w:r w:rsidRPr="00652967">
        <w:rPr>
          <w:rFonts w:ascii="Calibri Light" w:hAnsi="Calibri Light" w:cs="Calibri Light"/>
          <w:color w:val="000000"/>
          <w:sz w:val="24"/>
          <w:szCs w:val="24"/>
          <w:lang w:val="ru-RU" w:eastAsia="ro-RO"/>
        </w:rPr>
        <w:t>на 2021 годы</w:t>
      </w:r>
      <w:r w:rsidRPr="00652967">
        <w:rPr>
          <w:rStyle w:val="FootnoteReference"/>
          <w:rFonts w:ascii="Calibri Light" w:hAnsi="Calibri Light" w:cstheme="majorHAnsi"/>
          <w:sz w:val="24"/>
          <w:szCs w:val="24"/>
          <w:lang w:val="ru-RU"/>
        </w:rPr>
        <w:footnoteReference w:id="3"/>
      </w:r>
      <w:r w:rsidRPr="00652967">
        <w:rPr>
          <w:rFonts w:ascii="Calibri Light" w:hAnsi="Calibri Light" w:cs="Calibri Light"/>
          <w:color w:val="000000"/>
          <w:sz w:val="24"/>
          <w:szCs w:val="24"/>
          <w:lang w:val="ru-RU" w:eastAsia="ro-RO"/>
        </w:rPr>
        <w:t xml:space="preserve">, с целью сбора </w:t>
      </w:r>
      <w:r w:rsidR="00C55890" w:rsidRPr="00652967">
        <w:rPr>
          <w:rFonts w:ascii="Calibri Light" w:hAnsi="Calibri Light" w:cs="Calibri Light"/>
          <w:color w:val="000000"/>
          <w:sz w:val="24"/>
          <w:szCs w:val="24"/>
          <w:lang w:val="ru-RU" w:eastAsia="ro-RO"/>
        </w:rPr>
        <w:t>соответствующих и исчерпывающих данных и информации для поддержки констатаций и выводов аудита для предоставления разумного подтверждения относительно принятия к</w:t>
      </w:r>
      <w:r w:rsidR="00C55890" w:rsidRPr="00652967">
        <w:rPr>
          <w:rFonts w:ascii="Calibri Light" w:hAnsi="Calibri Light" w:cstheme="majorHAnsi"/>
          <w:sz w:val="24"/>
          <w:szCs w:val="24"/>
          <w:lang w:val="ru-RU"/>
        </w:rPr>
        <w:t>омпетентными органами достаточных мер по обеспечению граждан вакцинами и достижению коллективного иммунитета для борьбы с инфекцией COVID-19.</w:t>
      </w:r>
    </w:p>
    <w:p w:rsidR="00F07244" w:rsidRPr="00652967" w:rsidRDefault="00C55890" w:rsidP="00F07244">
      <w:pPr>
        <w:spacing w:after="0" w:line="276" w:lineRule="auto"/>
        <w:ind w:right="-1" w:firstLine="720"/>
        <w:jc w:val="both"/>
        <w:rPr>
          <w:rFonts w:ascii="Calibri Light" w:hAnsi="Calibri Light" w:cs="Calibri Light"/>
          <w:color w:val="000000"/>
          <w:sz w:val="24"/>
          <w:szCs w:val="24"/>
          <w:lang w:val="ru-RU" w:eastAsia="ro-RO"/>
        </w:rPr>
      </w:pPr>
      <w:r w:rsidRPr="00652967">
        <w:rPr>
          <w:rFonts w:ascii="Calibri Light" w:hAnsi="Calibri Light" w:cs="Calibri Light"/>
          <w:color w:val="000000"/>
          <w:sz w:val="24"/>
          <w:szCs w:val="24"/>
          <w:lang w:val="ru-RU" w:eastAsia="ro-RO"/>
        </w:rPr>
        <w:lastRenderedPageBreak/>
        <w:t>Внешний публичный аудит был проведен в соответствии</w:t>
      </w:r>
      <w:r w:rsidR="00F07244" w:rsidRPr="00652967">
        <w:rPr>
          <w:rFonts w:ascii="Calibri Light" w:hAnsi="Calibri Light" w:cs="Calibri Light"/>
          <w:color w:val="000000"/>
          <w:sz w:val="24"/>
          <w:szCs w:val="24"/>
          <w:lang w:val="ru-RU" w:eastAsia="ro-RO"/>
        </w:rPr>
        <w:t xml:space="preserve"> с </w:t>
      </w:r>
      <w:r w:rsidR="00F07244" w:rsidRPr="00652967">
        <w:rPr>
          <w:rFonts w:ascii="Calibri Light" w:hAnsi="Calibri Light" w:cs="Calibri Light"/>
          <w:sz w:val="24"/>
          <w:szCs w:val="24"/>
          <w:lang w:val="ru-RU"/>
        </w:rPr>
        <w:t xml:space="preserve">Рамками профессиональной документации INTOSAI, применяемыми </w:t>
      </w:r>
      <w:r w:rsidR="00F07244" w:rsidRPr="00652967">
        <w:rPr>
          <w:rFonts w:ascii="Calibri Light" w:hAnsi="Calibri Light" w:cstheme="majorHAnsi"/>
          <w:sz w:val="24"/>
          <w:szCs w:val="24"/>
          <w:lang w:val="ru-RU"/>
        </w:rPr>
        <w:t>Счетной палатой</w:t>
      </w:r>
      <w:r w:rsidR="00F07244" w:rsidRPr="00652967">
        <w:rPr>
          <w:rStyle w:val="FootnoteReference"/>
          <w:rFonts w:ascii="Calibri Light" w:eastAsia="Times New Roman" w:hAnsi="Calibri Light" w:cstheme="majorHAnsi"/>
          <w:sz w:val="24"/>
          <w:szCs w:val="24"/>
          <w:lang w:val="ru-RU"/>
        </w:rPr>
        <w:footnoteReference w:id="4"/>
      </w:r>
      <w:r w:rsidR="00F07244" w:rsidRPr="00652967">
        <w:rPr>
          <w:rFonts w:ascii="Calibri Light" w:eastAsia="Times New Roman" w:hAnsi="Calibri Light" w:cstheme="majorHAnsi"/>
          <w:sz w:val="24"/>
          <w:szCs w:val="24"/>
          <w:lang w:val="ru-RU"/>
        </w:rPr>
        <w:t xml:space="preserve">, базой по </w:t>
      </w:r>
      <w:r w:rsidR="001F6F35">
        <w:rPr>
          <w:rFonts w:ascii="Calibri Light" w:eastAsia="Times New Roman" w:hAnsi="Calibri Light" w:cstheme="majorHAnsi"/>
          <w:sz w:val="24"/>
          <w:szCs w:val="24"/>
          <w:lang w:val="ru-RU"/>
        </w:rPr>
        <w:t>внутреннему регламентированию</w:t>
      </w:r>
      <w:r w:rsidR="008A1104" w:rsidRPr="00652967">
        <w:rPr>
          <w:rFonts w:ascii="Calibri Light" w:eastAsia="Times New Roman" w:hAnsi="Calibri Light" w:cstheme="majorHAnsi"/>
          <w:sz w:val="24"/>
          <w:szCs w:val="24"/>
          <w:lang w:val="ru-RU"/>
        </w:rPr>
        <w:t xml:space="preserve"> и передовыми практиками в данной области.</w:t>
      </w:r>
    </w:p>
    <w:p w:rsidR="008A1104" w:rsidRPr="00652967" w:rsidRDefault="008A1104" w:rsidP="008A1104">
      <w:pPr>
        <w:spacing w:after="0" w:line="276" w:lineRule="auto"/>
        <w:ind w:firstLine="567"/>
        <w:jc w:val="both"/>
        <w:rPr>
          <w:rFonts w:ascii="Calibri Light" w:eastAsia="Times New Roman" w:hAnsi="Calibri Light" w:cstheme="majorHAnsi"/>
          <w:sz w:val="24"/>
          <w:szCs w:val="24"/>
          <w:lang w:val="ru-RU"/>
        </w:rPr>
      </w:pPr>
      <w:r w:rsidRPr="00652967">
        <w:rPr>
          <w:rFonts w:ascii="Calibri Light" w:eastAsia="Times New Roman" w:hAnsi="Calibri Light" w:cstheme="majorHAnsi"/>
          <w:sz w:val="24"/>
          <w:szCs w:val="24"/>
          <w:lang w:val="ru-RU"/>
        </w:rPr>
        <w:t xml:space="preserve">Рассмотрев Отчет аудита, констатации и выводы, которые предварительно </w:t>
      </w:r>
      <w:r w:rsidR="001F6F35" w:rsidRPr="00652967">
        <w:rPr>
          <w:rFonts w:ascii="Calibri Light" w:eastAsia="Times New Roman" w:hAnsi="Calibri Light" w:cstheme="majorHAnsi"/>
          <w:sz w:val="24"/>
          <w:szCs w:val="24"/>
          <w:lang w:val="ru-RU"/>
        </w:rPr>
        <w:t xml:space="preserve">были </w:t>
      </w:r>
      <w:r w:rsidRPr="00652967">
        <w:rPr>
          <w:rFonts w:ascii="Calibri Light" w:eastAsia="Times New Roman" w:hAnsi="Calibri Light" w:cstheme="majorHAnsi"/>
          <w:sz w:val="24"/>
          <w:szCs w:val="24"/>
          <w:lang w:val="ru-RU"/>
        </w:rPr>
        <w:t>сообщены указанным субъектам, Счетная палата</w:t>
      </w:r>
    </w:p>
    <w:p w:rsidR="001D2154" w:rsidRPr="00652967" w:rsidRDefault="008A1104" w:rsidP="00665CAE">
      <w:pPr>
        <w:spacing w:before="120" w:after="120" w:line="276" w:lineRule="auto"/>
        <w:jc w:val="center"/>
        <w:rPr>
          <w:rFonts w:ascii="Calibri Light" w:hAnsi="Calibri Light" w:cstheme="majorHAnsi"/>
          <w:sz w:val="24"/>
          <w:szCs w:val="24"/>
          <w:lang w:val="ru-RU"/>
        </w:rPr>
      </w:pPr>
      <w:r w:rsidRPr="00652967">
        <w:rPr>
          <w:rFonts w:ascii="Calibri Light" w:eastAsia="Times New Roman" w:hAnsi="Calibri Light" w:cstheme="majorHAnsi"/>
          <w:b/>
          <w:sz w:val="24"/>
          <w:szCs w:val="24"/>
          <w:lang w:val="ru-RU"/>
        </w:rPr>
        <w:t>УСТАНОВИЛА:</w:t>
      </w:r>
    </w:p>
    <w:p w:rsidR="00BF01A7" w:rsidRPr="00652967" w:rsidRDefault="00BF01A7" w:rsidP="00F41539">
      <w:pPr>
        <w:pStyle w:val="NormalWeb"/>
        <w:shd w:val="clear" w:color="auto" w:fill="FEFEFE"/>
        <w:spacing w:after="120" w:line="276" w:lineRule="auto"/>
        <w:ind w:firstLine="567"/>
        <w:jc w:val="both"/>
        <w:rPr>
          <w:rFonts w:ascii="Calibri Light" w:hAnsi="Calibri Light" w:cstheme="majorHAnsi"/>
        </w:rPr>
      </w:pPr>
      <w:r w:rsidRPr="00652967">
        <w:rPr>
          <w:rFonts w:ascii="Calibri Light" w:hAnsi="Calibri Light" w:cstheme="majorHAnsi"/>
        </w:rPr>
        <w:t xml:space="preserve">Пандемия коронавируса представляет собой глобальный кризис в области здравоохранения, определяющий для нашего времени, и один из самых больших вызовов в последние десятилетия. С момента своего появления в конце 2019 года вирус SARS CoV-2 распространился на все континенты, а </w:t>
      </w:r>
      <w:r w:rsidR="006E0000" w:rsidRPr="00652967">
        <w:rPr>
          <w:rFonts w:ascii="Calibri Light" w:hAnsi="Calibri Light" w:cstheme="majorHAnsi"/>
        </w:rPr>
        <w:t>человечество испытывает тяжелое бремя, вызванное большим количеством болезней и потерей человеческих жизней.</w:t>
      </w:r>
      <w:r w:rsidR="003A3DFC" w:rsidRPr="00652967">
        <w:rPr>
          <w:rFonts w:ascii="Calibri Light" w:hAnsi="Calibri Light" w:cstheme="majorHAnsi"/>
        </w:rPr>
        <w:t xml:space="preserve"> Таким образом, появилась необходимость предпринять неотложные меры по обеспечению жизни граждан путем вакцинации. Вакцина против COVID-19 представляет собой инструмент первостепенной важности по контролю и остановке пандемии, вме</w:t>
      </w:r>
      <w:r w:rsidR="009B0A89" w:rsidRPr="00652967">
        <w:rPr>
          <w:rFonts w:ascii="Calibri Light" w:hAnsi="Calibri Light" w:cstheme="majorHAnsi"/>
        </w:rPr>
        <w:t>сте с эффективным тестированием и соблюдением мер по предупреждению.</w:t>
      </w:r>
      <w:r w:rsidR="003A3DFC" w:rsidRPr="00652967">
        <w:rPr>
          <w:rFonts w:ascii="Calibri Light" w:hAnsi="Calibri Light" w:cstheme="majorHAnsi"/>
        </w:rPr>
        <w:t xml:space="preserve"> </w:t>
      </w:r>
    </w:p>
    <w:p w:rsidR="008A1104" w:rsidRPr="00652967" w:rsidRDefault="009B0A89" w:rsidP="00F41539">
      <w:pPr>
        <w:pStyle w:val="NormalWeb"/>
        <w:shd w:val="clear" w:color="auto" w:fill="FEFEFE"/>
        <w:spacing w:after="120" w:line="276" w:lineRule="auto"/>
        <w:ind w:firstLine="567"/>
        <w:jc w:val="both"/>
        <w:rPr>
          <w:rFonts w:ascii="Calibri Light" w:hAnsi="Calibri Light" w:cstheme="majorHAnsi"/>
        </w:rPr>
      </w:pPr>
      <w:r w:rsidRPr="00652967">
        <w:rPr>
          <w:rFonts w:ascii="Calibri Light" w:hAnsi="Calibri Light" w:cstheme="majorHAnsi"/>
        </w:rPr>
        <w:t xml:space="preserve">Для обеспечения и своевременного введения безопасных и эффективных вакцин населению Республики Молдова, ответственные органы разработали и утвердили Национальный план по иммунизации анти-COVID-19, который устанавливает </w:t>
      </w:r>
      <w:r w:rsidR="007C776D" w:rsidRPr="00652967">
        <w:rPr>
          <w:rFonts w:ascii="Calibri Light" w:hAnsi="Calibri Light" w:cstheme="majorHAnsi"/>
        </w:rPr>
        <w:t>приоритеты и способы проведения кампании по вакцинации. Учреждения, вовлеченные в этот процесс, осуществили деятельность по обеспечению граждан вакцинами, их хранению, распр</w:t>
      </w:r>
      <w:r w:rsidR="00956A4C">
        <w:rPr>
          <w:rFonts w:ascii="Calibri Light" w:hAnsi="Calibri Light" w:cstheme="majorHAnsi"/>
        </w:rPr>
        <w:t>еделе</w:t>
      </w:r>
      <w:r w:rsidR="007C776D" w:rsidRPr="00652967">
        <w:rPr>
          <w:rFonts w:ascii="Calibri Light" w:hAnsi="Calibri Light" w:cstheme="majorHAnsi"/>
        </w:rPr>
        <w:t xml:space="preserve">нию и </w:t>
      </w:r>
      <w:r w:rsidR="00956A4C">
        <w:rPr>
          <w:rFonts w:ascii="Calibri Light" w:hAnsi="Calibri Light" w:cstheme="majorHAnsi"/>
        </w:rPr>
        <w:t>введению</w:t>
      </w:r>
      <w:r w:rsidR="007C776D" w:rsidRPr="00652967">
        <w:rPr>
          <w:rFonts w:ascii="Calibri Light" w:hAnsi="Calibri Light" w:cstheme="majorHAnsi"/>
        </w:rPr>
        <w:t>.</w:t>
      </w:r>
    </w:p>
    <w:p w:rsidR="009B0A89" w:rsidRPr="00652967" w:rsidRDefault="007C776D" w:rsidP="00F41539">
      <w:pPr>
        <w:pStyle w:val="NormalWeb"/>
        <w:shd w:val="clear" w:color="auto" w:fill="FEFEFE"/>
        <w:spacing w:after="120" w:line="276" w:lineRule="auto"/>
        <w:ind w:firstLine="567"/>
        <w:jc w:val="both"/>
        <w:rPr>
          <w:rFonts w:ascii="Calibri Light" w:hAnsi="Calibri Light" w:cstheme="majorHAnsi"/>
        </w:rPr>
      </w:pPr>
      <w:r w:rsidRPr="00652967">
        <w:rPr>
          <w:rFonts w:ascii="Calibri Light" w:hAnsi="Calibri Light" w:cstheme="majorHAnsi"/>
        </w:rPr>
        <w:t>Проведение аудита по управлению процессом вакцинации против</w:t>
      </w:r>
      <w:r w:rsidR="009B0A89" w:rsidRPr="00652967">
        <w:rPr>
          <w:rFonts w:ascii="Calibri Light" w:hAnsi="Calibri Light" w:cstheme="majorHAnsi"/>
        </w:rPr>
        <w:t xml:space="preserve"> </w:t>
      </w:r>
      <w:r w:rsidRPr="00652967">
        <w:rPr>
          <w:rFonts w:ascii="Calibri Light" w:hAnsi="Calibri Light" w:cstheme="majorHAnsi"/>
        </w:rPr>
        <w:t xml:space="preserve">COVID-19 является способом поддержать аудируемые субъекты путем выявления недостатков из системы и подхода к слабым пунктам, выявления зон по улучшению и </w:t>
      </w:r>
      <w:r w:rsidR="00421035" w:rsidRPr="00652967">
        <w:rPr>
          <w:rFonts w:ascii="Calibri Light" w:hAnsi="Calibri Light" w:cstheme="majorHAnsi"/>
        </w:rPr>
        <w:t>укреплению институционального менеджмента, устранения недостатков, установленных аудитом, и двусмысленности нормативной базы. Так, Счетная палата, путем проведения настоящей аудиторской миссии, оценила реализацию политик государства в данной области и деятельность ответственных органов с целью обеспечения граждан вакцинами и достижения коллективного иммунитета для борьбы с инфекцией COVID-19.</w:t>
      </w:r>
    </w:p>
    <w:p w:rsidR="008A1104" w:rsidRPr="00652967" w:rsidRDefault="00421035" w:rsidP="0012183C">
      <w:pPr>
        <w:pStyle w:val="NormalWeb"/>
        <w:shd w:val="clear" w:color="auto" w:fill="FEFEFE"/>
        <w:spacing w:after="120" w:line="276" w:lineRule="auto"/>
        <w:ind w:firstLine="567"/>
        <w:jc w:val="both"/>
        <w:rPr>
          <w:rFonts w:ascii="Calibri Light" w:hAnsi="Calibri Light" w:cstheme="majorHAnsi"/>
        </w:rPr>
      </w:pPr>
      <w:r w:rsidRPr="00652967">
        <w:rPr>
          <w:rFonts w:ascii="Calibri Light" w:hAnsi="Calibri Light" w:cstheme="majorHAnsi"/>
        </w:rPr>
        <w:t>Констатации аудита свидетельствуют о том, что органы и учреждения, вовлеченные в процесс иммунизации</w:t>
      </w:r>
      <w:r w:rsidR="000F150D" w:rsidRPr="00652967">
        <w:rPr>
          <w:rFonts w:ascii="Calibri Light" w:hAnsi="Calibri Light" w:cstheme="majorHAnsi"/>
        </w:rPr>
        <w:t xml:space="preserve">, не демонстрируют в некоторых случаях соответствующую ответственность в отношении эффективной реализации задач из Национального плана по иммунизации анти-COVID-19, межотраслевая коммуникация является фрагментарной, а недостаточность контролей на всех этапах процесса вакцинации не обеспечивает в полной мере реализацию цели для достижения коллективного иммунитета. Так, </w:t>
      </w:r>
      <w:r w:rsidR="00F41539" w:rsidRPr="00652967">
        <w:rPr>
          <w:rFonts w:ascii="Calibri Light" w:hAnsi="Calibri Light" w:cstheme="majorHAnsi"/>
        </w:rPr>
        <w:t>уязвимости, связанные с управлением этого процесса, отражаются в следующем:</w:t>
      </w:r>
      <w:r w:rsidR="000F150D" w:rsidRPr="00652967">
        <w:rPr>
          <w:rFonts w:ascii="Calibri Light" w:hAnsi="Calibri Light" w:cstheme="majorHAnsi"/>
        </w:rPr>
        <w:t xml:space="preserve"> </w:t>
      </w:r>
    </w:p>
    <w:p w:rsidR="00F41539" w:rsidRPr="00652967" w:rsidRDefault="00F41539" w:rsidP="008A1104">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 xml:space="preserve">недостаточная </w:t>
      </w:r>
      <w:r w:rsidR="00956A4C">
        <w:rPr>
          <w:rFonts w:ascii="Calibri Light" w:hAnsi="Calibri Light" w:cstheme="majorHAnsi"/>
          <w:sz w:val="24"/>
          <w:szCs w:val="24"/>
        </w:rPr>
        <w:t>заинтересован</w:t>
      </w:r>
      <w:r w:rsidRPr="00652967">
        <w:rPr>
          <w:rFonts w:ascii="Calibri Light" w:hAnsi="Calibri Light" w:cstheme="majorHAnsi"/>
          <w:sz w:val="24"/>
          <w:szCs w:val="24"/>
        </w:rPr>
        <w:t>ность руководящих лиц о</w:t>
      </w:r>
      <w:r w:rsidR="0012183C">
        <w:rPr>
          <w:rFonts w:ascii="Calibri Light" w:hAnsi="Calibri Light" w:cstheme="majorHAnsi"/>
          <w:sz w:val="24"/>
          <w:szCs w:val="24"/>
        </w:rPr>
        <w:t>тносительно</w:t>
      </w:r>
      <w:r w:rsidRPr="00652967">
        <w:rPr>
          <w:rFonts w:ascii="Calibri Light" w:hAnsi="Calibri Light" w:cstheme="majorHAnsi"/>
          <w:sz w:val="24"/>
          <w:szCs w:val="24"/>
        </w:rPr>
        <w:t xml:space="preserve"> порядк</w:t>
      </w:r>
      <w:r w:rsidR="0012183C">
        <w:rPr>
          <w:rFonts w:ascii="Calibri Light" w:hAnsi="Calibri Light" w:cstheme="majorHAnsi"/>
          <w:sz w:val="24"/>
          <w:szCs w:val="24"/>
        </w:rPr>
        <w:t>а</w:t>
      </w:r>
      <w:r w:rsidRPr="00652967">
        <w:rPr>
          <w:rFonts w:ascii="Calibri Light" w:hAnsi="Calibri Light" w:cstheme="majorHAnsi"/>
          <w:sz w:val="24"/>
          <w:szCs w:val="24"/>
        </w:rPr>
        <w:t xml:space="preserve"> организации учета доз вакцин анти-</w:t>
      </w:r>
      <w:r w:rsidRPr="00652967">
        <w:rPr>
          <w:rFonts w:ascii="Calibri Light" w:eastAsia="Calibri" w:hAnsi="Calibri Light" w:cstheme="majorHAnsi"/>
          <w:sz w:val="24"/>
          <w:szCs w:val="24"/>
        </w:rPr>
        <w:t xml:space="preserve">COVID-19, который должен устанавливать четкие и исчерпывающие процедуры для обеспечения предоставления достоверных данных о </w:t>
      </w:r>
      <w:r w:rsidRPr="00652967">
        <w:rPr>
          <w:rFonts w:ascii="Calibri Light" w:eastAsia="Calibri" w:hAnsi="Calibri Light" w:cstheme="majorHAnsi"/>
          <w:sz w:val="24"/>
          <w:szCs w:val="24"/>
        </w:rPr>
        <w:lastRenderedPageBreak/>
        <w:t xml:space="preserve">количестве использованных и уничтоженных доз в соотношении с фактическим </w:t>
      </w:r>
      <w:r w:rsidRPr="00652967">
        <w:rPr>
          <w:rFonts w:ascii="Calibri Light" w:hAnsi="Calibri Light" w:cstheme="majorHAnsi"/>
          <w:sz w:val="24"/>
          <w:szCs w:val="24"/>
        </w:rPr>
        <w:t>количеством вакцинированных лиц;</w:t>
      </w:r>
    </w:p>
    <w:p w:rsidR="00F41539" w:rsidRPr="00652967" w:rsidRDefault="00CF33D7" w:rsidP="00CF33D7">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регистрация в информационной системе АИС RVC-19 доз вакцин с истекшим сроком действия, что свидетельствуют о рисках и вызывает подозрения относительно их использования;</w:t>
      </w:r>
    </w:p>
    <w:p w:rsidR="008A1104" w:rsidRPr="00652967" w:rsidRDefault="00CF33D7" w:rsidP="00CF33D7">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 xml:space="preserve">допущение введения в регистр учета вакцин против COVID-19 информации с предыдущими/последующими календарными датами, чем дата фактической вакцинации, </w:t>
      </w:r>
      <w:r w:rsidR="00343CA6" w:rsidRPr="00652967">
        <w:rPr>
          <w:rFonts w:ascii="Calibri Light" w:hAnsi="Calibri Light" w:cstheme="majorHAnsi"/>
          <w:sz w:val="24"/>
          <w:szCs w:val="24"/>
        </w:rPr>
        <w:t>безусловно</w:t>
      </w:r>
      <w:r w:rsidR="0012183C">
        <w:rPr>
          <w:rFonts w:ascii="Calibri Light" w:hAnsi="Calibri Light" w:cstheme="majorHAnsi"/>
          <w:sz w:val="24"/>
          <w:szCs w:val="24"/>
        </w:rPr>
        <w:t>,</w:t>
      </w:r>
      <w:r w:rsidR="00343CA6" w:rsidRPr="00652967">
        <w:rPr>
          <w:rFonts w:ascii="Calibri Light" w:hAnsi="Calibri Light" w:cstheme="majorHAnsi"/>
          <w:sz w:val="24"/>
          <w:szCs w:val="24"/>
        </w:rPr>
        <w:t xml:space="preserve"> порождает подозрения относительно достоверности сертификатов, выданных учреждениями, участвующими в процессе;</w:t>
      </w:r>
    </w:p>
    <w:p w:rsidR="00CF33D7" w:rsidRPr="00652967" w:rsidRDefault="00343CA6" w:rsidP="00343CA6">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кампания по продвижению вакцинации граждан, а также предпринятые с этой целью действия не имели ожидаемого результата;</w:t>
      </w:r>
    </w:p>
    <w:p w:rsidR="008A1104" w:rsidRPr="00652967" w:rsidRDefault="00343CA6" w:rsidP="00343CA6">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меры по осуществлению монитори</w:t>
      </w:r>
      <w:r w:rsidR="00652967">
        <w:rPr>
          <w:rFonts w:ascii="Calibri Light" w:hAnsi="Calibri Light" w:cstheme="majorHAnsi"/>
          <w:sz w:val="24"/>
          <w:szCs w:val="24"/>
        </w:rPr>
        <w:t>н</w:t>
      </w:r>
      <w:r w:rsidRPr="00652967">
        <w:rPr>
          <w:rFonts w:ascii="Calibri Light" w:hAnsi="Calibri Light" w:cstheme="majorHAnsi"/>
          <w:sz w:val="24"/>
          <w:szCs w:val="24"/>
        </w:rPr>
        <w:t>га и оценки иммунного ответа на вакцину анти-COVID-19 были недостаточными;</w:t>
      </w:r>
    </w:p>
    <w:p w:rsidR="008A1104" w:rsidRPr="00652967" w:rsidRDefault="00343CA6" w:rsidP="004D7288">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недостатки контролей на всех этапах процесса иммунизации (прием</w:t>
      </w:r>
      <w:r w:rsidR="004D7288" w:rsidRPr="00652967">
        <w:rPr>
          <w:rFonts w:ascii="Calibri Light" w:hAnsi="Calibri Light" w:cstheme="majorHAnsi"/>
          <w:sz w:val="24"/>
          <w:szCs w:val="24"/>
        </w:rPr>
        <w:t>а</w:t>
      </w:r>
      <w:r w:rsidRPr="00652967">
        <w:rPr>
          <w:rFonts w:ascii="Calibri Light" w:hAnsi="Calibri Light" w:cstheme="majorHAnsi"/>
          <w:sz w:val="24"/>
          <w:szCs w:val="24"/>
        </w:rPr>
        <w:t>, регистраци</w:t>
      </w:r>
      <w:r w:rsidR="004D7288" w:rsidRPr="00652967">
        <w:rPr>
          <w:rFonts w:ascii="Calibri Light" w:hAnsi="Calibri Light" w:cstheme="majorHAnsi"/>
          <w:sz w:val="24"/>
          <w:szCs w:val="24"/>
        </w:rPr>
        <w:t>и</w:t>
      </w:r>
      <w:r w:rsidRPr="00652967">
        <w:rPr>
          <w:rFonts w:ascii="Calibri Light" w:hAnsi="Calibri Light" w:cstheme="majorHAnsi"/>
          <w:sz w:val="24"/>
          <w:szCs w:val="24"/>
        </w:rPr>
        <w:t>, распределени</w:t>
      </w:r>
      <w:r w:rsidR="004D7288" w:rsidRPr="00652967">
        <w:rPr>
          <w:rFonts w:ascii="Calibri Light" w:hAnsi="Calibri Light" w:cstheme="majorHAnsi"/>
          <w:sz w:val="24"/>
          <w:szCs w:val="24"/>
        </w:rPr>
        <w:t xml:space="preserve">я, </w:t>
      </w:r>
      <w:r w:rsidR="00956A4C">
        <w:rPr>
          <w:rFonts w:ascii="Calibri Light" w:hAnsi="Calibri Light" w:cstheme="majorHAnsi"/>
          <w:sz w:val="24"/>
          <w:szCs w:val="24"/>
        </w:rPr>
        <w:t>введе</w:t>
      </w:r>
      <w:r w:rsidR="004D7288" w:rsidRPr="00652967">
        <w:rPr>
          <w:rFonts w:ascii="Calibri Light" w:hAnsi="Calibri Light" w:cstheme="majorHAnsi"/>
          <w:sz w:val="24"/>
          <w:szCs w:val="24"/>
        </w:rPr>
        <w:t xml:space="preserve">ния и отчетности), ненадлежащий менеджмент в рамках органов, вовлеченных в процесс, свидетельствуют о необходимости обеспечения Автоматизированной информационной системы контролями и фильтрами искусственного интеллекта, что будет способствовать повышению достоверности вводимой, имеющейся и отраженной в отчетности информации; </w:t>
      </w:r>
    </w:p>
    <w:p w:rsidR="008A1104" w:rsidRPr="00652967" w:rsidRDefault="004D7288" w:rsidP="004D7288">
      <w:pPr>
        <w:pStyle w:val="ListParagraph"/>
        <w:numPr>
          <w:ilvl w:val="0"/>
          <w:numId w:val="3"/>
        </w:numPr>
        <w:spacing w:line="256" w:lineRule="auto"/>
        <w:ind w:left="0" w:firstLine="360"/>
        <w:jc w:val="both"/>
        <w:rPr>
          <w:rFonts w:ascii="Calibri Light" w:hAnsi="Calibri Light" w:cstheme="majorHAnsi"/>
          <w:sz w:val="24"/>
          <w:szCs w:val="24"/>
        </w:rPr>
      </w:pPr>
      <w:r w:rsidRPr="00652967">
        <w:rPr>
          <w:rFonts w:ascii="Calibri Light" w:hAnsi="Calibri Light" w:cstheme="majorHAnsi"/>
          <w:sz w:val="24"/>
          <w:szCs w:val="24"/>
        </w:rPr>
        <w:t>отсутствие положений, связанных с процессом ликвидации вакцин анти-</w:t>
      </w:r>
      <w:r w:rsidRPr="00652967">
        <w:rPr>
          <w:rStyle w:val="Bodytext2"/>
          <w:rFonts w:ascii="Calibri Light" w:hAnsi="Calibri Light" w:cstheme="majorHAnsi"/>
          <w:sz w:val="24"/>
          <w:szCs w:val="24"/>
          <w:lang w:val="ru-RU"/>
        </w:rPr>
        <w:t xml:space="preserve">COVID-19, в ситуациях повреждения и/или истечения срока действия. </w:t>
      </w:r>
    </w:p>
    <w:p w:rsidR="003A51EC" w:rsidRPr="00652967" w:rsidRDefault="003A51EC" w:rsidP="003A51EC">
      <w:pPr>
        <w:spacing w:after="120" w:line="276" w:lineRule="auto"/>
        <w:ind w:firstLine="709"/>
        <w:jc w:val="both"/>
        <w:rPr>
          <w:rFonts w:ascii="Calibri Light" w:hAnsi="Calibri Light" w:cstheme="majorHAnsi"/>
          <w:sz w:val="24"/>
          <w:szCs w:val="24"/>
          <w:lang w:val="ru-RU"/>
        </w:rPr>
      </w:pPr>
      <w:r w:rsidRPr="00652967">
        <w:rPr>
          <w:rFonts w:ascii="Calibri Light" w:hAnsi="Calibri Light" w:cstheme="majorHAnsi"/>
          <w:sz w:val="24"/>
          <w:szCs w:val="24"/>
          <w:lang w:val="ru-RU"/>
        </w:rPr>
        <w:t>Исходя из вышеизложенного, на основании ст.14 (2) и ст.15 d) Закона №260 от 07.12.2017, Счетная палата</w:t>
      </w:r>
    </w:p>
    <w:p w:rsidR="008A1104" w:rsidRPr="00652967" w:rsidRDefault="003A51EC" w:rsidP="003A51EC">
      <w:pPr>
        <w:pStyle w:val="ListParagraph"/>
        <w:spacing w:after="120" w:line="276" w:lineRule="auto"/>
        <w:ind w:hanging="720"/>
        <w:jc w:val="center"/>
        <w:rPr>
          <w:rFonts w:ascii="Calibri Light" w:hAnsi="Calibri Light" w:cstheme="majorHAnsi"/>
          <w:b/>
          <w:sz w:val="24"/>
          <w:szCs w:val="24"/>
        </w:rPr>
      </w:pPr>
      <w:r w:rsidRPr="00652967">
        <w:rPr>
          <w:rFonts w:ascii="Calibri Light" w:hAnsi="Calibri Light" w:cstheme="majorHAnsi"/>
          <w:b/>
          <w:sz w:val="24"/>
          <w:szCs w:val="24"/>
        </w:rPr>
        <w:t>ПОСТАНОВЛЯЕТ:</w:t>
      </w:r>
    </w:p>
    <w:p w:rsidR="003A51EC" w:rsidRPr="00652967" w:rsidRDefault="003A51EC" w:rsidP="003A51EC">
      <w:pPr>
        <w:numPr>
          <w:ilvl w:val="0"/>
          <w:numId w:val="2"/>
        </w:numPr>
        <w:tabs>
          <w:tab w:val="left" w:pos="284"/>
          <w:tab w:val="left" w:pos="567"/>
          <w:tab w:val="left" w:pos="851"/>
        </w:tabs>
        <w:spacing w:after="0" w:line="276" w:lineRule="auto"/>
        <w:ind w:left="0" w:firstLine="567"/>
        <w:jc w:val="both"/>
        <w:rPr>
          <w:rFonts w:ascii="Calibri Light" w:eastAsia="Times New Roman" w:hAnsi="Calibri Light" w:cstheme="majorHAnsi"/>
          <w:sz w:val="24"/>
          <w:szCs w:val="24"/>
          <w:lang w:val="ru-RU" w:eastAsia="ru-RU"/>
        </w:rPr>
      </w:pPr>
      <w:r w:rsidRPr="00652967">
        <w:rPr>
          <w:rFonts w:ascii="Calibri Light" w:eastAsia="Times New Roman" w:hAnsi="Calibri Light" w:cstheme="majorHAnsi"/>
          <w:sz w:val="24"/>
          <w:szCs w:val="24"/>
          <w:lang w:val="ru-RU" w:eastAsia="ru-RU"/>
        </w:rPr>
        <w:t>Утвердить Отчет аудита эффективности „Компетентные органы предприняли достаточные меры с целью обеспечения граждан вакцинами и достижения коллективного иммунитета для борьбы с инфекцией COVID-19?”</w:t>
      </w:r>
    </w:p>
    <w:p w:rsidR="003A51EC" w:rsidRPr="00652967" w:rsidRDefault="003A51EC" w:rsidP="003A51EC">
      <w:pPr>
        <w:numPr>
          <w:ilvl w:val="0"/>
          <w:numId w:val="2"/>
        </w:numPr>
        <w:tabs>
          <w:tab w:val="left" w:pos="567"/>
          <w:tab w:val="left" w:pos="851"/>
        </w:tabs>
        <w:spacing w:after="0" w:line="276" w:lineRule="auto"/>
        <w:ind w:left="0" w:firstLine="567"/>
        <w:jc w:val="both"/>
        <w:rPr>
          <w:rFonts w:ascii="Calibri Light" w:eastAsia="Times New Roman" w:hAnsi="Calibri Light" w:cstheme="majorHAnsi"/>
          <w:sz w:val="24"/>
          <w:szCs w:val="24"/>
          <w:lang w:val="ru-RU" w:eastAsia="ru-RU"/>
        </w:rPr>
      </w:pPr>
      <w:r w:rsidRPr="00652967">
        <w:rPr>
          <w:rFonts w:ascii="Calibri Light" w:hAnsi="Calibri Light"/>
          <w:sz w:val="24"/>
          <w:szCs w:val="24"/>
          <w:lang w:val="ru-RU"/>
        </w:rPr>
        <w:t>Настоящее Постановление и Отчет аудита направить</w:t>
      </w:r>
      <w:r w:rsidRPr="00652967">
        <w:rPr>
          <w:rFonts w:ascii="Calibri Light" w:hAnsi="Calibri Light" w:cstheme="majorHAnsi"/>
          <w:sz w:val="24"/>
          <w:szCs w:val="24"/>
          <w:lang w:val="ru-RU"/>
        </w:rPr>
        <w:t>:</w:t>
      </w:r>
    </w:p>
    <w:p w:rsidR="003A51EC" w:rsidRPr="00652967" w:rsidRDefault="008A1104" w:rsidP="003A51EC">
      <w:pPr>
        <w:tabs>
          <w:tab w:val="left" w:pos="2977"/>
        </w:tabs>
        <w:spacing w:after="0" w:line="276" w:lineRule="auto"/>
        <w:ind w:firstLine="567"/>
        <w:jc w:val="both"/>
        <w:rPr>
          <w:rFonts w:ascii="Calibri Light" w:eastAsia="Times New Roman" w:hAnsi="Calibri Light" w:cstheme="majorHAnsi"/>
          <w:b/>
          <w:bCs/>
          <w:sz w:val="24"/>
          <w:szCs w:val="24"/>
          <w:lang w:val="ru-RU"/>
        </w:rPr>
      </w:pPr>
      <w:r w:rsidRPr="00652967">
        <w:rPr>
          <w:rFonts w:ascii="Calibri Light" w:eastAsia="Times New Roman" w:hAnsi="Calibri Light" w:cstheme="majorHAnsi"/>
          <w:b/>
          <w:sz w:val="24"/>
          <w:szCs w:val="24"/>
          <w:lang w:val="ru-RU"/>
        </w:rPr>
        <w:t>2.1.</w:t>
      </w:r>
      <w:r w:rsidRPr="00652967">
        <w:rPr>
          <w:rFonts w:ascii="Calibri Light" w:eastAsia="Times New Roman" w:hAnsi="Calibri Light" w:cstheme="majorHAnsi"/>
          <w:sz w:val="24"/>
          <w:szCs w:val="24"/>
          <w:lang w:val="ru-RU"/>
        </w:rPr>
        <w:t xml:space="preserve"> </w:t>
      </w:r>
      <w:r w:rsidR="003A51EC" w:rsidRPr="00652967">
        <w:rPr>
          <w:rFonts w:ascii="Calibri Light" w:hAnsi="Calibri Light" w:cstheme="majorHAnsi"/>
          <w:b/>
          <w:sz w:val="24"/>
          <w:szCs w:val="24"/>
          <w:lang w:val="ru-RU"/>
        </w:rPr>
        <w:t>Парламенту Республики Молдова</w:t>
      </w:r>
      <w:r w:rsidR="003A51EC" w:rsidRPr="00652967">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8A1104" w:rsidRPr="00652967" w:rsidRDefault="008A1104" w:rsidP="008A1104">
      <w:pPr>
        <w:pStyle w:val="NormalWeb"/>
        <w:spacing w:line="276" w:lineRule="auto"/>
        <w:ind w:firstLine="567"/>
        <w:jc w:val="both"/>
        <w:rPr>
          <w:rFonts w:ascii="Calibri Light" w:hAnsi="Calibri Light" w:cstheme="majorHAnsi"/>
          <w:bCs/>
        </w:rPr>
      </w:pPr>
      <w:r w:rsidRPr="00652967">
        <w:rPr>
          <w:rFonts w:ascii="Calibri Light" w:hAnsi="Calibri Light" w:cstheme="majorHAnsi"/>
          <w:b/>
        </w:rPr>
        <w:t xml:space="preserve">2.2. </w:t>
      </w:r>
      <w:r w:rsidR="003A51EC" w:rsidRPr="00652967">
        <w:rPr>
          <w:rFonts w:ascii="Calibri Light" w:hAnsi="Calibri Light" w:cstheme="majorHAnsi"/>
          <w:b/>
        </w:rPr>
        <w:t>Президенту Республики Молдова</w:t>
      </w:r>
      <w:r w:rsidR="003A51EC" w:rsidRPr="00652967">
        <w:rPr>
          <w:rFonts w:ascii="Calibri Light" w:hAnsi="Calibri Light" w:cstheme="majorHAnsi"/>
        </w:rPr>
        <w:t xml:space="preserve"> для информирования</w:t>
      </w:r>
      <w:r w:rsidRPr="00652967">
        <w:rPr>
          <w:rFonts w:ascii="Calibri Light" w:hAnsi="Calibri Light" w:cstheme="majorHAnsi"/>
          <w:bCs/>
        </w:rPr>
        <w:t>;</w:t>
      </w:r>
    </w:p>
    <w:p w:rsidR="003A51EC" w:rsidRPr="00652967" w:rsidRDefault="008A1104" w:rsidP="003A51EC">
      <w:pPr>
        <w:pStyle w:val="NormalWeb"/>
        <w:spacing w:line="276" w:lineRule="auto"/>
        <w:ind w:firstLine="567"/>
        <w:jc w:val="both"/>
        <w:rPr>
          <w:rFonts w:ascii="Calibri Light" w:hAnsi="Calibri Light" w:cstheme="majorHAnsi"/>
        </w:rPr>
      </w:pPr>
      <w:r w:rsidRPr="00652967">
        <w:rPr>
          <w:rFonts w:ascii="Calibri Light" w:hAnsi="Calibri Light" w:cstheme="majorHAnsi"/>
          <w:b/>
          <w:bCs/>
        </w:rPr>
        <w:t>2.3.</w:t>
      </w:r>
      <w:r w:rsidRPr="00652967">
        <w:rPr>
          <w:rFonts w:ascii="Calibri Light" w:hAnsi="Calibri Light" w:cstheme="majorHAnsi"/>
          <w:bCs/>
        </w:rPr>
        <w:t xml:space="preserve"> </w:t>
      </w:r>
      <w:r w:rsidR="003A51EC" w:rsidRPr="00652967">
        <w:rPr>
          <w:rFonts w:ascii="Calibri Light" w:hAnsi="Calibri Light" w:cstheme="majorHAnsi"/>
          <w:b/>
        </w:rPr>
        <w:t>Правительству Республики Молдова</w:t>
      </w:r>
      <w:r w:rsidR="003A51EC" w:rsidRPr="00652967">
        <w:rPr>
          <w:rFonts w:ascii="Calibri Light" w:hAnsi="Calibri Light" w:cstheme="majorHAnsi"/>
        </w:rPr>
        <w:t xml:space="preserve"> для информирования и принятия мер с целью осуществления мониторинга обеспечения внедрения рекомендаций аудита;</w:t>
      </w:r>
      <w:r w:rsidR="003A51EC" w:rsidRPr="00652967">
        <w:rPr>
          <w:rFonts w:ascii="Calibri Light" w:hAnsi="Calibri Light" w:cstheme="majorHAnsi"/>
          <w:b/>
          <w:bCs/>
        </w:rPr>
        <w:t xml:space="preserve"> </w:t>
      </w:r>
    </w:p>
    <w:p w:rsidR="003A51EC" w:rsidRPr="00652967" w:rsidRDefault="008A1104" w:rsidP="008A1104">
      <w:pPr>
        <w:pStyle w:val="NormalWeb"/>
        <w:tabs>
          <w:tab w:val="left" w:pos="567"/>
        </w:tabs>
        <w:spacing w:line="276" w:lineRule="auto"/>
        <w:ind w:firstLine="567"/>
        <w:jc w:val="both"/>
        <w:rPr>
          <w:rFonts w:ascii="Calibri Light" w:hAnsi="Calibri Light" w:cstheme="majorHAnsi"/>
          <w:b/>
          <w:bCs/>
        </w:rPr>
      </w:pPr>
      <w:r w:rsidRPr="00652967">
        <w:rPr>
          <w:rFonts w:ascii="Calibri Light" w:hAnsi="Calibri Light" w:cstheme="majorHAnsi"/>
          <w:b/>
          <w:bCs/>
        </w:rPr>
        <w:t xml:space="preserve">2.4. </w:t>
      </w:r>
      <w:r w:rsidR="003A51EC" w:rsidRPr="00652967">
        <w:rPr>
          <w:rFonts w:ascii="Calibri Light" w:hAnsi="Calibri Light" w:cstheme="majorHAnsi"/>
          <w:b/>
          <w:bCs/>
        </w:rPr>
        <w:t xml:space="preserve">Министерству здравоохранения, </w:t>
      </w:r>
      <w:r w:rsidR="003A51EC" w:rsidRPr="00652967">
        <w:rPr>
          <w:rFonts w:ascii="Calibri Light" w:hAnsi="Calibri Light"/>
          <w:b/>
        </w:rPr>
        <w:t>Национальному агентству общественного здоровья</w:t>
      </w:r>
      <w:r w:rsidR="003A51EC" w:rsidRPr="00652967">
        <w:rPr>
          <w:rFonts w:ascii="Calibri Light" w:hAnsi="Calibri Light"/>
        </w:rPr>
        <w:t xml:space="preserve"> для </w:t>
      </w:r>
      <w:r w:rsidR="003A51EC" w:rsidRPr="00652967">
        <w:rPr>
          <w:rFonts w:ascii="Calibri Light" w:hAnsi="Calibri Light" w:cstheme="majorHAnsi"/>
        </w:rPr>
        <w:t xml:space="preserve">принятия </w:t>
      </w:r>
      <w:r w:rsidR="00393395" w:rsidRPr="00652967">
        <w:rPr>
          <w:rFonts w:ascii="Calibri Light" w:hAnsi="Calibri Light" w:cstheme="majorHAnsi"/>
        </w:rPr>
        <w:t>к сведению</w:t>
      </w:r>
      <w:r w:rsidR="003A51EC" w:rsidRPr="00652967">
        <w:rPr>
          <w:rFonts w:ascii="Calibri Light" w:hAnsi="Calibri Light" w:cstheme="majorHAnsi"/>
        </w:rPr>
        <w:t xml:space="preserve"> и обеспечения внедрения рекомендаций из Отчета аудита;</w:t>
      </w:r>
    </w:p>
    <w:p w:rsidR="003A51EC" w:rsidRPr="00652967" w:rsidRDefault="003A51EC" w:rsidP="008A1104">
      <w:pPr>
        <w:pStyle w:val="NormalWeb"/>
        <w:tabs>
          <w:tab w:val="left" w:pos="567"/>
        </w:tabs>
        <w:spacing w:line="276" w:lineRule="auto"/>
        <w:ind w:firstLine="567"/>
        <w:jc w:val="both"/>
        <w:rPr>
          <w:rFonts w:ascii="Calibri Light" w:hAnsi="Calibri Light" w:cstheme="majorHAnsi"/>
        </w:rPr>
      </w:pPr>
      <w:r w:rsidRPr="00652967">
        <w:rPr>
          <w:rFonts w:ascii="Calibri Light" w:hAnsi="Calibri Light" w:cstheme="majorHAnsi"/>
          <w:b/>
        </w:rPr>
        <w:t>2.5.</w:t>
      </w:r>
      <w:r w:rsidRPr="00652967">
        <w:rPr>
          <w:rFonts w:ascii="Calibri Light" w:hAnsi="Calibri Light" w:cs="Calibri Light"/>
          <w:b/>
          <w:bCs/>
        </w:rPr>
        <w:t xml:space="preserve"> П</w:t>
      </w:r>
      <w:r w:rsidRPr="00652967">
        <w:rPr>
          <w:rFonts w:ascii="Calibri Light" w:hAnsi="Calibri Light" w:cs="Calibri Light"/>
          <w:b/>
        </w:rPr>
        <w:t>убличным медико-санитарным учреждениям</w:t>
      </w:r>
      <w:r w:rsidR="00393395" w:rsidRPr="00652967">
        <w:rPr>
          <w:rFonts w:ascii="Calibri Light" w:hAnsi="Calibri Light" w:cs="Calibri Light"/>
          <w:b/>
        </w:rPr>
        <w:t xml:space="preserve"> </w:t>
      </w:r>
      <w:r w:rsidR="00393395" w:rsidRPr="00652967">
        <w:rPr>
          <w:rFonts w:ascii="Calibri Light" w:hAnsi="Calibri Light"/>
          <w:b/>
        </w:rPr>
        <w:t>ТМ</w:t>
      </w:r>
      <w:r w:rsidR="0012183C">
        <w:rPr>
          <w:rFonts w:ascii="Calibri Light" w:hAnsi="Calibri Light"/>
          <w:b/>
        </w:rPr>
        <w:t>О</w:t>
      </w:r>
      <w:r w:rsidR="00393395" w:rsidRPr="00652967">
        <w:rPr>
          <w:rFonts w:ascii="Calibri Light" w:hAnsi="Calibri Light"/>
          <w:b/>
        </w:rPr>
        <w:t xml:space="preserve"> Центра, ТМ</w:t>
      </w:r>
      <w:r w:rsidR="0012183C">
        <w:rPr>
          <w:rFonts w:ascii="Calibri Light" w:hAnsi="Calibri Light"/>
          <w:b/>
        </w:rPr>
        <w:t>О</w:t>
      </w:r>
      <w:r w:rsidR="00393395" w:rsidRPr="00652967">
        <w:rPr>
          <w:rFonts w:ascii="Calibri Light" w:hAnsi="Calibri Light"/>
        </w:rPr>
        <w:t xml:space="preserve"> </w:t>
      </w:r>
      <w:r w:rsidR="00393395" w:rsidRPr="00652967">
        <w:rPr>
          <w:rFonts w:ascii="Calibri Light" w:hAnsi="Calibri Light"/>
          <w:b/>
        </w:rPr>
        <w:t>Чокана,</w:t>
      </w:r>
      <w:r w:rsidR="00393395" w:rsidRPr="00652967">
        <w:rPr>
          <w:rFonts w:ascii="Calibri Light" w:hAnsi="Calibri Light"/>
        </w:rPr>
        <w:t xml:space="preserve"> </w:t>
      </w:r>
      <w:r w:rsidR="00393395" w:rsidRPr="00652967">
        <w:rPr>
          <w:rFonts w:ascii="Calibri Light" w:hAnsi="Calibri Light"/>
          <w:b/>
        </w:rPr>
        <w:t>ТМ</w:t>
      </w:r>
      <w:r w:rsidR="0012183C">
        <w:rPr>
          <w:rFonts w:ascii="Calibri Light" w:hAnsi="Calibri Light"/>
          <w:b/>
        </w:rPr>
        <w:t>О</w:t>
      </w:r>
      <w:r w:rsidR="00393395" w:rsidRPr="00652967">
        <w:rPr>
          <w:rFonts w:ascii="Calibri Light" w:hAnsi="Calibri Light"/>
          <w:b/>
        </w:rPr>
        <w:t xml:space="preserve"> Рышкань, ЦСВ Бэлць, КЭМ </w:t>
      </w:r>
      <w:r w:rsidR="00393395" w:rsidRPr="00652967">
        <w:rPr>
          <w:rFonts w:ascii="Calibri Light" w:hAnsi="Calibri Light" w:cstheme="majorHAnsi"/>
          <w:b/>
          <w:bCs/>
          <w:color w:val="000000"/>
        </w:rPr>
        <w:t xml:space="preserve">„Sancos”, ЦЗ Кахул, ЦЗ Штефан Водэ, ЦЗ Криулень, ЦЗ Ниспорень, ЦЗ Дондушень, ЦЗ Окница, ЦЗ Бэчой и ЦЗ Талмаза </w:t>
      </w:r>
      <w:r w:rsidR="00393395" w:rsidRPr="00652967">
        <w:rPr>
          <w:rFonts w:ascii="Calibri Light" w:hAnsi="Calibri Light" w:cstheme="majorHAnsi"/>
          <w:bCs/>
          <w:color w:val="000000"/>
        </w:rPr>
        <w:t xml:space="preserve">для ознакомления с результатами внешнего публичного аудита, </w:t>
      </w:r>
      <w:r w:rsidR="00393395" w:rsidRPr="00652967">
        <w:rPr>
          <w:rFonts w:ascii="Calibri Light" w:hAnsi="Calibri Light" w:cstheme="majorHAnsi"/>
        </w:rPr>
        <w:t>принятия к сведению и обеспечения внедрения рекомендаций из Отчета аудита;</w:t>
      </w:r>
    </w:p>
    <w:p w:rsidR="008A1104" w:rsidRPr="00652967" w:rsidRDefault="008A1104" w:rsidP="00393395">
      <w:pPr>
        <w:pStyle w:val="NormalWeb"/>
        <w:tabs>
          <w:tab w:val="left" w:pos="567"/>
        </w:tabs>
        <w:spacing w:line="276" w:lineRule="auto"/>
        <w:ind w:firstLine="426"/>
        <w:jc w:val="both"/>
        <w:rPr>
          <w:rFonts w:ascii="Calibri Light" w:hAnsi="Calibri Light" w:cstheme="majorHAnsi"/>
        </w:rPr>
      </w:pPr>
      <w:r w:rsidRPr="00652967">
        <w:rPr>
          <w:rFonts w:ascii="Calibri Light" w:hAnsi="Calibri Light" w:cstheme="majorHAnsi"/>
          <w:b/>
        </w:rPr>
        <w:t>2.6.</w:t>
      </w:r>
      <w:r w:rsidR="00393395" w:rsidRPr="00652967">
        <w:rPr>
          <w:rFonts w:ascii="Calibri Light" w:hAnsi="Calibri Light" w:cstheme="majorHAnsi"/>
          <w:b/>
        </w:rPr>
        <w:t xml:space="preserve"> Генеральной прокуратуре </w:t>
      </w:r>
      <w:r w:rsidR="00393395" w:rsidRPr="00652967">
        <w:rPr>
          <w:rFonts w:ascii="Calibri Light" w:hAnsi="Calibri Light" w:cstheme="majorHAnsi"/>
        </w:rPr>
        <w:t xml:space="preserve">для рассмотрения с целью принятия необходимых мер в отношении ситуаций, изложенных в </w:t>
      </w:r>
      <w:r w:rsidR="0012183C">
        <w:rPr>
          <w:rFonts w:ascii="Calibri Light" w:hAnsi="Calibri Light" w:cstheme="majorHAnsi"/>
        </w:rPr>
        <w:t>О</w:t>
      </w:r>
      <w:r w:rsidR="00393395" w:rsidRPr="00652967">
        <w:rPr>
          <w:rFonts w:ascii="Calibri Light" w:hAnsi="Calibri Light" w:cstheme="majorHAnsi"/>
        </w:rPr>
        <w:t>тчете аудита, в частности, из п.4.1.3. и п.4.1.4.</w:t>
      </w:r>
    </w:p>
    <w:p w:rsidR="00393395" w:rsidRPr="00652967" w:rsidRDefault="008A1104" w:rsidP="00393395">
      <w:pPr>
        <w:tabs>
          <w:tab w:val="left" w:pos="540"/>
          <w:tab w:val="left" w:pos="810"/>
        </w:tabs>
        <w:spacing w:after="0" w:line="276" w:lineRule="auto"/>
        <w:ind w:firstLine="426"/>
        <w:jc w:val="both"/>
        <w:rPr>
          <w:rFonts w:ascii="Calibri Light" w:hAnsi="Calibri Light" w:cs="Calibri Light"/>
          <w:sz w:val="24"/>
          <w:szCs w:val="24"/>
          <w:lang w:val="ru-RU" w:eastAsia="ru-RU"/>
        </w:rPr>
      </w:pPr>
      <w:r w:rsidRPr="00652967">
        <w:rPr>
          <w:rFonts w:ascii="Calibri Light" w:eastAsia="Times New Roman" w:hAnsi="Calibri Light" w:cstheme="majorHAnsi"/>
          <w:b/>
          <w:bCs/>
          <w:sz w:val="24"/>
          <w:szCs w:val="24"/>
          <w:lang w:val="ru-RU"/>
        </w:rPr>
        <w:t xml:space="preserve">3. </w:t>
      </w:r>
      <w:r w:rsidR="00393395" w:rsidRPr="00652967">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w:t>
      </w:r>
      <w:r w:rsidR="00393395" w:rsidRPr="00652967">
        <w:rPr>
          <w:rFonts w:ascii="Calibri Light" w:hAnsi="Calibri Light" w:cstheme="majorHAnsi"/>
          <w:sz w:val="24"/>
          <w:szCs w:val="24"/>
          <w:lang w:val="ru-RU"/>
        </w:rPr>
        <w:lastRenderedPageBreak/>
        <w:t>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7637BA" w:rsidRPr="00652967" w:rsidRDefault="008A1104" w:rsidP="00E21DE9">
      <w:pPr>
        <w:tabs>
          <w:tab w:val="left" w:pos="540"/>
          <w:tab w:val="left" w:pos="810"/>
        </w:tabs>
        <w:spacing w:after="0" w:line="276" w:lineRule="auto"/>
        <w:ind w:firstLine="567"/>
        <w:jc w:val="both"/>
        <w:rPr>
          <w:rFonts w:ascii="Calibri Light" w:hAnsi="Calibri Light" w:cstheme="majorHAnsi"/>
          <w:sz w:val="24"/>
          <w:szCs w:val="24"/>
          <w:lang w:val="ru-RU"/>
        </w:rPr>
      </w:pPr>
      <w:r w:rsidRPr="00652967">
        <w:rPr>
          <w:rFonts w:ascii="Calibri Light" w:hAnsi="Calibri Light" w:cstheme="majorHAnsi"/>
          <w:b/>
          <w:sz w:val="24"/>
          <w:szCs w:val="24"/>
          <w:lang w:val="ru-RU"/>
        </w:rPr>
        <w:t>4.</w:t>
      </w:r>
      <w:r w:rsidRPr="00652967">
        <w:rPr>
          <w:rFonts w:ascii="Calibri Light" w:hAnsi="Calibri Light" w:cstheme="majorHAnsi"/>
          <w:sz w:val="24"/>
          <w:szCs w:val="24"/>
          <w:lang w:val="ru-RU"/>
        </w:rPr>
        <w:t xml:space="preserve"> </w:t>
      </w:r>
      <w:r w:rsidR="00E21DE9" w:rsidRPr="00652967">
        <w:rPr>
          <w:rFonts w:ascii="Calibri Light" w:hAnsi="Calibri Light" w:cstheme="majorHAnsi"/>
          <w:sz w:val="24"/>
          <w:szCs w:val="24"/>
          <w:lang w:val="ru-RU"/>
        </w:rPr>
        <w:t>П</w:t>
      </w:r>
      <w:r w:rsidR="007637BA" w:rsidRPr="00652967">
        <w:rPr>
          <w:rFonts w:ascii="Calibri Light" w:hAnsi="Calibri Light" w:cstheme="majorHAnsi"/>
          <w:sz w:val="24"/>
          <w:szCs w:val="24"/>
          <w:lang w:val="ru-RU"/>
        </w:rPr>
        <w:t>роинформировать Счетную палату в течение 18 месяцев с даты публикации Постановления в Официальном мониторе Республики Молдова, с ежеквартальн</w:t>
      </w:r>
      <w:r w:rsidR="00E21DE9" w:rsidRPr="00652967">
        <w:rPr>
          <w:rFonts w:ascii="Calibri Light" w:hAnsi="Calibri Light" w:cstheme="majorHAnsi"/>
          <w:sz w:val="24"/>
          <w:szCs w:val="24"/>
          <w:lang w:val="ru-RU"/>
        </w:rPr>
        <w:t>ым представлением</w:t>
      </w:r>
      <w:r w:rsidR="007637BA" w:rsidRPr="00652967">
        <w:rPr>
          <w:rFonts w:ascii="Calibri Light" w:hAnsi="Calibri Light" w:cstheme="majorHAnsi"/>
          <w:sz w:val="24"/>
          <w:szCs w:val="24"/>
          <w:lang w:val="ru-RU"/>
        </w:rPr>
        <w:t xml:space="preserve"> отчетност</w:t>
      </w:r>
      <w:r w:rsidR="00E21DE9" w:rsidRPr="00652967">
        <w:rPr>
          <w:rFonts w:ascii="Calibri Light" w:hAnsi="Calibri Light" w:cstheme="majorHAnsi"/>
          <w:sz w:val="24"/>
          <w:szCs w:val="24"/>
          <w:lang w:val="ru-RU"/>
        </w:rPr>
        <w:t>и</w:t>
      </w:r>
      <w:r w:rsidR="007637BA" w:rsidRPr="00652967">
        <w:rPr>
          <w:rFonts w:ascii="Calibri Light" w:hAnsi="Calibri Light" w:cstheme="majorHAnsi"/>
          <w:sz w:val="24"/>
          <w:szCs w:val="24"/>
          <w:lang w:val="ru-RU"/>
        </w:rPr>
        <w:t xml:space="preserve"> о принятых мерах по исполнению подпунктов </w:t>
      </w:r>
      <w:r w:rsidR="00E21DE9" w:rsidRPr="00652967">
        <w:rPr>
          <w:rFonts w:ascii="Calibri Light" w:eastAsia="Calibri" w:hAnsi="Calibri Light" w:cstheme="majorHAnsi"/>
          <w:sz w:val="24"/>
          <w:szCs w:val="24"/>
          <w:lang w:val="ru-RU" w:eastAsia="x-none"/>
        </w:rPr>
        <w:t xml:space="preserve">2.4. – 2.5. </w:t>
      </w:r>
      <w:r w:rsidR="007637BA" w:rsidRPr="00652967">
        <w:rPr>
          <w:rFonts w:ascii="Calibri Light" w:hAnsi="Calibri Light" w:cstheme="majorHAnsi"/>
          <w:sz w:val="24"/>
          <w:szCs w:val="24"/>
          <w:lang w:val="ru-RU"/>
        </w:rPr>
        <w:t>из настоящего Постановления.</w:t>
      </w:r>
    </w:p>
    <w:p w:rsidR="00E21DE9" w:rsidRPr="00652967" w:rsidRDefault="008A1104" w:rsidP="00E21DE9">
      <w:pPr>
        <w:tabs>
          <w:tab w:val="left" w:pos="142"/>
          <w:tab w:val="left" w:pos="284"/>
          <w:tab w:val="left" w:pos="851"/>
        </w:tabs>
        <w:spacing w:after="0" w:line="276" w:lineRule="auto"/>
        <w:ind w:firstLine="567"/>
        <w:jc w:val="both"/>
        <w:rPr>
          <w:rFonts w:ascii="Calibri Light" w:eastAsia="Times New Roman" w:hAnsi="Calibri Light" w:cstheme="majorHAnsi"/>
          <w:sz w:val="24"/>
          <w:szCs w:val="24"/>
          <w:lang w:val="ru-RU" w:eastAsia="ru-RU"/>
        </w:rPr>
      </w:pPr>
      <w:r w:rsidRPr="00652967">
        <w:rPr>
          <w:rFonts w:ascii="Calibri Light" w:eastAsia="Calibri" w:hAnsi="Calibri Light" w:cstheme="majorHAnsi"/>
          <w:b/>
          <w:sz w:val="24"/>
          <w:szCs w:val="24"/>
          <w:lang w:val="ru-RU" w:eastAsia="x-none"/>
        </w:rPr>
        <w:t xml:space="preserve">5. </w:t>
      </w:r>
      <w:r w:rsidR="007637BA" w:rsidRPr="00652967">
        <w:rPr>
          <w:rFonts w:ascii="Calibri Light" w:hAnsi="Calibri Light" w:cstheme="majorHAnsi"/>
          <w:sz w:val="24"/>
          <w:szCs w:val="24"/>
          <w:lang w:val="ru-RU"/>
        </w:rPr>
        <w:t xml:space="preserve">Постановление и </w:t>
      </w:r>
      <w:r w:rsidR="00E21DE9" w:rsidRPr="00652967">
        <w:rPr>
          <w:rFonts w:ascii="Calibri Light" w:eastAsia="Times New Roman" w:hAnsi="Calibri Light" w:cstheme="majorHAnsi"/>
          <w:sz w:val="24"/>
          <w:szCs w:val="24"/>
          <w:lang w:val="ru-RU" w:eastAsia="ru-RU"/>
        </w:rPr>
        <w:t>Отчет аудита эффективности „Компетентные органы предприняли достаточные меры с целью обеспечения граждан вакцинами и достижения коллективного иммунитета для борьбы с инфекцией COVID-19?”</w:t>
      </w:r>
      <w:r w:rsidR="00E21DE9" w:rsidRPr="00652967">
        <w:rPr>
          <w:rFonts w:ascii="Calibri Light" w:hAnsi="Calibri Light" w:cstheme="majorHAnsi"/>
          <w:bCs/>
          <w:sz w:val="24"/>
          <w:szCs w:val="24"/>
          <w:lang w:val="ru-RU"/>
        </w:rPr>
        <w:t xml:space="preserve"> размещаются на официальном сайте Счетной палаты </w:t>
      </w:r>
      <w:r w:rsidR="00E21DE9" w:rsidRPr="00652967">
        <w:rPr>
          <w:rFonts w:ascii="Calibri Light" w:eastAsia="Calibri" w:hAnsi="Calibri Light" w:cstheme="majorHAnsi"/>
          <w:sz w:val="24"/>
          <w:szCs w:val="24"/>
          <w:lang w:val="ru-RU" w:eastAsia="x-none"/>
        </w:rPr>
        <w:t>(</w:t>
      </w:r>
      <w:hyperlink r:id="rId8" w:tgtFrame="_blank" w:history="1">
        <w:r w:rsidR="00E21DE9" w:rsidRPr="00652967">
          <w:rPr>
            <w:rStyle w:val="Hyperlink"/>
            <w:rFonts w:ascii="Calibri Light" w:eastAsia="Calibri" w:hAnsi="Calibri Light" w:cstheme="majorHAnsi"/>
            <w:sz w:val="24"/>
            <w:szCs w:val="24"/>
            <w:lang w:val="ru-RU" w:eastAsia="x-none"/>
          </w:rPr>
          <w:t>https://www.ccrm.md/ro/decisions</w:t>
        </w:r>
      </w:hyperlink>
      <w:r w:rsidR="00E21DE9" w:rsidRPr="00652967">
        <w:rPr>
          <w:rFonts w:ascii="Calibri Light" w:eastAsia="Calibri" w:hAnsi="Calibri Light" w:cstheme="majorHAnsi"/>
          <w:sz w:val="24"/>
          <w:szCs w:val="24"/>
          <w:lang w:val="ru-RU" w:eastAsia="x-none"/>
        </w:rPr>
        <w:t>).</w:t>
      </w:r>
    </w:p>
    <w:p w:rsidR="008A1104" w:rsidRPr="00652967" w:rsidRDefault="008A1104" w:rsidP="008A1104">
      <w:pPr>
        <w:spacing w:after="0" w:line="276" w:lineRule="auto"/>
        <w:ind w:firstLine="426"/>
        <w:jc w:val="center"/>
        <w:rPr>
          <w:rFonts w:ascii="Calibri Light" w:eastAsia="Calibri" w:hAnsi="Calibri Light" w:cstheme="majorHAnsi"/>
          <w:sz w:val="24"/>
          <w:szCs w:val="24"/>
          <w:lang w:val="ru-RU" w:eastAsia="x-none"/>
        </w:rPr>
      </w:pPr>
    </w:p>
    <w:p w:rsidR="008A1104" w:rsidRPr="00652967" w:rsidRDefault="008A1104" w:rsidP="008A1104">
      <w:pPr>
        <w:tabs>
          <w:tab w:val="left" w:pos="567"/>
        </w:tabs>
        <w:spacing w:after="0" w:line="276" w:lineRule="auto"/>
        <w:ind w:right="-2"/>
        <w:jc w:val="right"/>
        <w:rPr>
          <w:rFonts w:ascii="Calibri Light" w:eastAsia="Times New Roman" w:hAnsi="Calibri Light" w:cs="Calibri Light"/>
          <w:b/>
          <w:sz w:val="28"/>
          <w:szCs w:val="28"/>
          <w:lang w:val="ru-RU" w:eastAsia="ru-RU"/>
        </w:rPr>
      </w:pPr>
    </w:p>
    <w:p w:rsidR="00E21DE9" w:rsidRPr="00652967" w:rsidRDefault="00E21DE9" w:rsidP="008A1104">
      <w:pPr>
        <w:tabs>
          <w:tab w:val="left" w:pos="567"/>
        </w:tabs>
        <w:spacing w:after="0" w:line="276" w:lineRule="auto"/>
        <w:ind w:right="-2"/>
        <w:jc w:val="right"/>
        <w:rPr>
          <w:rFonts w:ascii="Calibri Light" w:eastAsia="Times New Roman" w:hAnsi="Calibri Light" w:cs="Calibri Light"/>
          <w:b/>
          <w:sz w:val="28"/>
          <w:szCs w:val="28"/>
          <w:lang w:val="ru-RU" w:eastAsia="ru-RU"/>
        </w:rPr>
      </w:pPr>
    </w:p>
    <w:p w:rsidR="00E21DE9" w:rsidRPr="00652967" w:rsidRDefault="00E21DE9" w:rsidP="00E21DE9">
      <w:pPr>
        <w:spacing w:after="0" w:line="276" w:lineRule="auto"/>
        <w:ind w:firstLine="562"/>
        <w:jc w:val="right"/>
        <w:rPr>
          <w:rFonts w:ascii="Calibri Light" w:hAnsi="Calibri Light" w:cstheme="majorHAnsi"/>
          <w:b/>
          <w:bCs/>
          <w:sz w:val="24"/>
          <w:szCs w:val="24"/>
          <w:lang w:val="ru-RU"/>
        </w:rPr>
      </w:pPr>
      <w:r w:rsidRPr="00652967">
        <w:rPr>
          <w:rFonts w:ascii="Calibri Light" w:hAnsi="Calibri Light" w:cstheme="majorHAnsi"/>
          <w:b/>
          <w:bCs/>
          <w:sz w:val="24"/>
          <w:szCs w:val="24"/>
          <w:lang w:val="ru-RU"/>
        </w:rPr>
        <w:t>Мариан ЛУПУ,</w:t>
      </w:r>
    </w:p>
    <w:p w:rsidR="00E21DE9" w:rsidRPr="00652967" w:rsidRDefault="00E21DE9" w:rsidP="00E21DE9">
      <w:pPr>
        <w:spacing w:after="0" w:line="276" w:lineRule="auto"/>
        <w:ind w:firstLine="562"/>
        <w:jc w:val="right"/>
        <w:rPr>
          <w:rFonts w:ascii="Calibri Light" w:hAnsi="Calibri Light" w:cstheme="majorHAnsi"/>
          <w:b/>
          <w:bCs/>
          <w:sz w:val="24"/>
          <w:szCs w:val="24"/>
          <w:lang w:val="ru-RU"/>
        </w:rPr>
        <w:sectPr w:rsidR="00E21DE9" w:rsidRPr="00652967">
          <w:footerReference w:type="default" r:id="rId9"/>
          <w:pgSz w:w="11906" w:h="16838"/>
          <w:pgMar w:top="709" w:right="849" w:bottom="851" w:left="1701" w:header="720" w:footer="0" w:gutter="0"/>
          <w:cols w:space="720"/>
        </w:sectPr>
      </w:pPr>
      <w:r w:rsidRPr="00652967">
        <w:rPr>
          <w:rFonts w:ascii="Calibri Light" w:hAnsi="Calibri Light" w:cstheme="majorHAnsi"/>
          <w:b/>
          <w:bCs/>
          <w:sz w:val="24"/>
          <w:szCs w:val="24"/>
          <w:lang w:val="ru-RU"/>
        </w:rPr>
        <w:t>Председатель</w:t>
      </w:r>
    </w:p>
    <w:p w:rsidR="00A91063" w:rsidRPr="00652967" w:rsidRDefault="00A91063" w:rsidP="00E21DE9">
      <w:pPr>
        <w:rPr>
          <w:rFonts w:ascii="Calibri Light" w:hAnsi="Calibri Light"/>
          <w:lang w:val="ru-RU"/>
        </w:rPr>
      </w:pPr>
    </w:p>
    <w:sectPr w:rsidR="00A91063" w:rsidRPr="0065296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F6" w:rsidRDefault="00A703F6" w:rsidP="001D2154">
      <w:pPr>
        <w:spacing w:after="0" w:line="240" w:lineRule="auto"/>
      </w:pPr>
      <w:r>
        <w:separator/>
      </w:r>
    </w:p>
  </w:endnote>
  <w:endnote w:type="continuationSeparator" w:id="0">
    <w:p w:rsidR="00A703F6" w:rsidRDefault="00A703F6" w:rsidP="001D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06202"/>
      <w:docPartObj>
        <w:docPartGallery w:val="Page Numbers (Bottom of Page)"/>
        <w:docPartUnique/>
      </w:docPartObj>
    </w:sdtPr>
    <w:sdtEndPr/>
    <w:sdtContent>
      <w:p w:rsidR="00851E0E" w:rsidRDefault="00851E0E">
        <w:pPr>
          <w:pStyle w:val="Footer"/>
          <w:jc w:val="right"/>
        </w:pPr>
        <w:r>
          <w:fldChar w:fldCharType="begin"/>
        </w:r>
        <w:r>
          <w:instrText>PAGE   \* MERGEFORMAT</w:instrText>
        </w:r>
        <w:r>
          <w:fldChar w:fldCharType="separate"/>
        </w:r>
        <w:r w:rsidR="00BA61FD" w:rsidRPr="00BA61FD">
          <w:rPr>
            <w:noProof/>
            <w:lang w:val="ru-RU"/>
          </w:rPr>
          <w:t>1</w:t>
        </w:r>
        <w:r>
          <w:fldChar w:fldCharType="end"/>
        </w:r>
      </w:p>
    </w:sdtContent>
  </w:sdt>
  <w:p w:rsidR="00851E0E" w:rsidRDefault="0085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02144"/>
      <w:docPartObj>
        <w:docPartGallery w:val="Page Numbers (Bottom of Page)"/>
        <w:docPartUnique/>
      </w:docPartObj>
    </w:sdtPr>
    <w:sdtEndPr/>
    <w:sdtContent>
      <w:p w:rsidR="001D2154" w:rsidRDefault="001D2154">
        <w:pPr>
          <w:pStyle w:val="Footer"/>
          <w:jc w:val="right"/>
        </w:pPr>
        <w:r>
          <w:fldChar w:fldCharType="begin"/>
        </w:r>
        <w:r>
          <w:instrText>PAGE   \* MERGEFORMAT</w:instrText>
        </w:r>
        <w:r>
          <w:fldChar w:fldCharType="separate"/>
        </w:r>
        <w:r w:rsidR="00BA61FD" w:rsidRPr="00BA61FD">
          <w:rPr>
            <w:noProof/>
            <w:lang w:val="ru-RU"/>
          </w:rPr>
          <w:t>5</w:t>
        </w:r>
        <w:r>
          <w:fldChar w:fldCharType="end"/>
        </w:r>
      </w:p>
    </w:sdtContent>
  </w:sdt>
  <w:p w:rsidR="001D2154" w:rsidRDefault="001D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F6" w:rsidRDefault="00A703F6" w:rsidP="001D2154">
      <w:pPr>
        <w:spacing w:after="0" w:line="240" w:lineRule="auto"/>
      </w:pPr>
      <w:r>
        <w:separator/>
      </w:r>
    </w:p>
  </w:footnote>
  <w:footnote w:type="continuationSeparator" w:id="0">
    <w:p w:rsidR="00A703F6" w:rsidRDefault="00A703F6" w:rsidP="001D2154">
      <w:pPr>
        <w:spacing w:after="0" w:line="240" w:lineRule="auto"/>
      </w:pPr>
      <w:r>
        <w:continuationSeparator/>
      </w:r>
    </w:p>
  </w:footnote>
  <w:footnote w:id="1">
    <w:p w:rsidR="00806DC9" w:rsidRPr="008E0085" w:rsidRDefault="00806DC9" w:rsidP="00806DC9">
      <w:pPr>
        <w:pStyle w:val="FootnoteText"/>
        <w:jc w:val="both"/>
        <w:rPr>
          <w:rFonts w:ascii="Calibri Light" w:eastAsia="Calibri" w:hAnsi="Calibri Light" w:cs="Calibri Light"/>
          <w:sz w:val="18"/>
          <w:szCs w:val="18"/>
        </w:rPr>
      </w:pPr>
      <w:r>
        <w:rPr>
          <w:rFonts w:ascii="Calibri Light" w:eastAsia="Times New Roman" w:hAnsi="Calibri Light" w:cs="Calibri Light"/>
          <w:sz w:val="18"/>
          <w:szCs w:val="18"/>
          <w:vertAlign w:val="superscript"/>
        </w:rPr>
        <w:footnoteRef/>
      </w:r>
      <w:r>
        <w:rPr>
          <w:rFonts w:ascii="Calibri Light" w:eastAsia="Times New Roman" w:hAnsi="Calibri Light" w:cs="Calibri Light"/>
          <w:sz w:val="18"/>
          <w:szCs w:val="18"/>
        </w:rPr>
        <w:t xml:space="preserve"> Постановление Счетной палаты №10 от </w:t>
      </w:r>
      <w:r>
        <w:rPr>
          <w:rFonts w:ascii="Calibri Light" w:eastAsia="Times New Roman" w:hAnsi="Calibri Light" w:cstheme="majorHAnsi"/>
          <w:sz w:val="18"/>
          <w:szCs w:val="18"/>
        </w:rPr>
        <w:t xml:space="preserve">16.03.2020 „Об утверждении режима деятельности </w:t>
      </w:r>
      <w:r>
        <w:rPr>
          <w:rFonts w:ascii="Calibri Light" w:eastAsia="Times New Roman" w:hAnsi="Calibri Light" w:cs="Calibri Light"/>
          <w:sz w:val="18"/>
          <w:szCs w:val="18"/>
        </w:rPr>
        <w:t>Счетной палаты</w:t>
      </w:r>
      <w:r>
        <w:rPr>
          <w:rFonts w:ascii="Calibri Light" w:eastAsia="Times New Roman" w:hAnsi="Calibri Light" w:cstheme="majorHAnsi"/>
          <w:sz w:val="18"/>
          <w:szCs w:val="18"/>
        </w:rPr>
        <w:t xml:space="preserve">”; </w:t>
      </w:r>
      <w:r>
        <w:rPr>
          <w:rFonts w:ascii="Calibri Light" w:eastAsia="Times New Roman" w:hAnsi="Calibri Light" w:cs="Calibri Light"/>
          <w:sz w:val="18"/>
          <w:szCs w:val="18"/>
        </w:rPr>
        <w:t>Постановления Национальной комиссии по общественному здоровью №10 от</w:t>
      </w:r>
      <w:r>
        <w:rPr>
          <w:rFonts w:ascii="Calibri Light" w:eastAsia="Times New Roman" w:hAnsi="Calibri Light" w:cstheme="majorHAnsi"/>
          <w:sz w:val="18"/>
          <w:szCs w:val="18"/>
        </w:rPr>
        <w:t xml:space="preserve"> 15.05.2020</w:t>
      </w:r>
      <w:r w:rsidR="008E0085">
        <w:rPr>
          <w:rFonts w:ascii="Calibri Light" w:eastAsia="Times New Roman" w:hAnsi="Calibri Light" w:cstheme="majorHAnsi"/>
          <w:sz w:val="18"/>
          <w:szCs w:val="18"/>
        </w:rPr>
        <w:t>, №15 от 12.06.2020 и №</w:t>
      </w:r>
      <w:r w:rsidR="008E0085" w:rsidRPr="001D2154">
        <w:rPr>
          <w:rFonts w:ascii="Calibri Light" w:hAnsi="Calibri Light" w:cstheme="majorHAnsi"/>
          <w:sz w:val="18"/>
          <w:szCs w:val="18"/>
          <w:lang w:val="ro-RO"/>
        </w:rPr>
        <w:t xml:space="preserve">33 </w:t>
      </w:r>
      <w:r w:rsidR="008E0085">
        <w:rPr>
          <w:rFonts w:ascii="Calibri Light" w:hAnsi="Calibri Light" w:cstheme="majorHAnsi"/>
          <w:sz w:val="18"/>
          <w:szCs w:val="18"/>
        </w:rPr>
        <w:t>от</w:t>
      </w:r>
      <w:r w:rsidR="008E0085" w:rsidRPr="001D2154">
        <w:rPr>
          <w:rFonts w:ascii="Calibri Light" w:hAnsi="Calibri Light" w:cstheme="majorHAnsi"/>
          <w:sz w:val="18"/>
          <w:szCs w:val="18"/>
          <w:lang w:val="ro-RO"/>
        </w:rPr>
        <w:t xml:space="preserve"> 28.09.2020</w:t>
      </w:r>
      <w:r w:rsidR="008E0085">
        <w:rPr>
          <w:rFonts w:ascii="Calibri Light" w:hAnsi="Calibri Light" w:cstheme="majorHAnsi"/>
          <w:sz w:val="18"/>
          <w:szCs w:val="18"/>
        </w:rPr>
        <w:t>.</w:t>
      </w:r>
    </w:p>
  </w:footnote>
  <w:footnote w:id="2">
    <w:p w:rsidR="00806DC9" w:rsidRDefault="00806DC9" w:rsidP="00806DC9">
      <w:pPr>
        <w:pStyle w:val="FootnoteText"/>
        <w:jc w:val="both"/>
        <w:rPr>
          <w:rFonts w:ascii="Calibri Light" w:hAnsi="Calibri Light" w:cstheme="majorHAnsi"/>
          <w:sz w:val="18"/>
          <w:szCs w:val="18"/>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3">
    <w:p w:rsidR="008E0085" w:rsidRPr="008E0085" w:rsidRDefault="008E0085" w:rsidP="008E0085">
      <w:pPr>
        <w:pStyle w:val="FootnoteText"/>
        <w:ind w:right="50"/>
        <w:jc w:val="both"/>
        <w:rPr>
          <w:rFonts w:ascii="Calibri Light" w:hAnsi="Calibri Light" w:cs="Calibri Light"/>
          <w:sz w:val="18"/>
          <w:szCs w:val="18"/>
        </w:rPr>
      </w:pPr>
      <w:r>
        <w:rPr>
          <w:rStyle w:val="FootnoteReference"/>
          <w:rFonts w:ascii="Calibri Light" w:hAnsi="Calibri Light" w:cstheme="majorHAnsi"/>
          <w:sz w:val="18"/>
          <w:szCs w:val="18"/>
        </w:rPr>
        <w:footnoteRef/>
      </w:r>
      <w:r>
        <w:rPr>
          <w:rFonts w:ascii="Calibri Light" w:hAnsi="Calibri Light" w:cstheme="majorHAnsi"/>
          <w:sz w:val="18"/>
          <w:szCs w:val="18"/>
        </w:rPr>
        <w:t xml:space="preserve"> Постановления Счетной палаты №</w:t>
      </w:r>
      <w:r w:rsidRPr="001D2154">
        <w:rPr>
          <w:rFonts w:ascii="Calibri Light" w:hAnsi="Calibri Light" w:cs="Calibri Light"/>
          <w:sz w:val="18"/>
          <w:szCs w:val="18"/>
          <w:lang w:val="ro-RO"/>
        </w:rPr>
        <w:t xml:space="preserve">77 </w:t>
      </w:r>
      <w:r>
        <w:rPr>
          <w:rFonts w:ascii="Calibri Light" w:hAnsi="Calibri Light" w:cs="Calibri Light"/>
          <w:sz w:val="18"/>
          <w:szCs w:val="18"/>
        </w:rPr>
        <w:t xml:space="preserve">от </w:t>
      </w:r>
      <w:r w:rsidRPr="001D2154">
        <w:rPr>
          <w:rFonts w:ascii="Calibri Light" w:hAnsi="Calibri Light" w:cs="Calibri Light"/>
          <w:sz w:val="18"/>
          <w:szCs w:val="18"/>
          <w:lang w:val="ro-RO"/>
        </w:rPr>
        <w:t>27.12.2019 „</w:t>
      </w:r>
      <w:r>
        <w:rPr>
          <w:rFonts w:ascii="Calibri Light" w:hAnsi="Calibri Light" w:cs="Calibri Light"/>
          <w:sz w:val="18"/>
          <w:szCs w:val="18"/>
        </w:rPr>
        <w:t xml:space="preserve">Об утверждении </w:t>
      </w:r>
      <w:r>
        <w:rPr>
          <w:rFonts w:ascii="Calibri Light" w:hAnsi="Calibri Light" w:cstheme="majorHAnsi"/>
          <w:sz w:val="18"/>
          <w:szCs w:val="18"/>
        </w:rPr>
        <w:t>Программы аудиторской деятельности</w:t>
      </w:r>
      <w:r>
        <w:rPr>
          <w:rFonts w:ascii="Calibri Light" w:hAnsi="Calibri Light" w:cs="Calibri Light"/>
          <w:sz w:val="18"/>
          <w:szCs w:val="18"/>
        </w:rPr>
        <w:t xml:space="preserve"> на </w:t>
      </w:r>
      <w:r w:rsidRPr="001D2154">
        <w:rPr>
          <w:rFonts w:ascii="Calibri Light" w:hAnsi="Calibri Light" w:cs="Calibri Light"/>
          <w:sz w:val="18"/>
          <w:szCs w:val="18"/>
          <w:lang w:val="ro-RO"/>
        </w:rPr>
        <w:t>2020</w:t>
      </w:r>
      <w:r>
        <w:rPr>
          <w:rFonts w:ascii="Calibri Light" w:hAnsi="Calibri Light" w:cs="Calibri Light"/>
          <w:sz w:val="18"/>
          <w:szCs w:val="18"/>
        </w:rPr>
        <w:t xml:space="preserve"> год</w:t>
      </w:r>
      <w:r w:rsidRPr="001D2154">
        <w:rPr>
          <w:rFonts w:ascii="Calibri Light" w:hAnsi="Calibri Light" w:cs="Calibri Light"/>
          <w:sz w:val="18"/>
          <w:szCs w:val="18"/>
          <w:lang w:val="ro-RO"/>
        </w:rPr>
        <w:t>”</w:t>
      </w:r>
      <w:r>
        <w:rPr>
          <w:rFonts w:ascii="Calibri Light" w:hAnsi="Calibri Light" w:cs="Calibri Light"/>
          <w:sz w:val="18"/>
          <w:szCs w:val="18"/>
        </w:rPr>
        <w:t xml:space="preserve"> и №</w:t>
      </w:r>
      <w:r>
        <w:rPr>
          <w:rFonts w:ascii="Calibri Light" w:hAnsi="Calibri Light"/>
          <w:color w:val="000000"/>
          <w:sz w:val="18"/>
          <w:szCs w:val="18"/>
        </w:rPr>
        <w:t>6</w:t>
      </w:r>
      <w:r>
        <w:rPr>
          <w:rFonts w:ascii="Calibri Light" w:hAnsi="Calibri Light"/>
          <w:color w:val="000000"/>
          <w:spacing w:val="-1"/>
          <w:sz w:val="18"/>
          <w:szCs w:val="18"/>
        </w:rPr>
        <w:t>2</w:t>
      </w:r>
      <w:r>
        <w:rPr>
          <w:rFonts w:ascii="Calibri Light" w:hAnsi="Calibri Light"/>
          <w:color w:val="000000"/>
          <w:sz w:val="18"/>
          <w:szCs w:val="18"/>
        </w:rPr>
        <w:t xml:space="preserve"> от 10.12.2020 </w:t>
      </w:r>
      <w:r w:rsidRPr="001D2154">
        <w:rPr>
          <w:rFonts w:ascii="Calibri Light" w:hAnsi="Calibri Light" w:cs="Calibri Light"/>
          <w:sz w:val="18"/>
          <w:szCs w:val="18"/>
          <w:lang w:val="ro-RO"/>
        </w:rPr>
        <w:t>„</w:t>
      </w:r>
      <w:r>
        <w:rPr>
          <w:rFonts w:ascii="Calibri Light" w:hAnsi="Calibri Light" w:cs="Calibri Light"/>
          <w:sz w:val="18"/>
          <w:szCs w:val="18"/>
        </w:rPr>
        <w:t xml:space="preserve">Об утверждении </w:t>
      </w:r>
      <w:r>
        <w:rPr>
          <w:rFonts w:ascii="Calibri Light" w:hAnsi="Calibri Light" w:cstheme="majorHAnsi"/>
          <w:sz w:val="18"/>
          <w:szCs w:val="18"/>
        </w:rPr>
        <w:t>Программы аудиторской деятельности</w:t>
      </w:r>
      <w:r>
        <w:rPr>
          <w:rFonts w:ascii="Calibri Light" w:hAnsi="Calibri Light" w:cs="Calibri Light"/>
          <w:sz w:val="18"/>
          <w:szCs w:val="18"/>
        </w:rPr>
        <w:t xml:space="preserve"> на </w:t>
      </w:r>
      <w:r w:rsidRPr="001D2154">
        <w:rPr>
          <w:rFonts w:ascii="Calibri Light" w:hAnsi="Calibri Light" w:cs="Calibri Light"/>
          <w:sz w:val="18"/>
          <w:szCs w:val="18"/>
          <w:lang w:val="ro-RO"/>
        </w:rPr>
        <w:t>202</w:t>
      </w:r>
      <w:r>
        <w:rPr>
          <w:rFonts w:ascii="Calibri Light" w:hAnsi="Calibri Light" w:cs="Calibri Light"/>
          <w:sz w:val="18"/>
          <w:szCs w:val="18"/>
        </w:rPr>
        <w:t>1 год</w:t>
      </w:r>
      <w:r w:rsidRPr="001D2154">
        <w:rPr>
          <w:rFonts w:ascii="Calibri Light" w:hAnsi="Calibri Light" w:cs="Calibri Light"/>
          <w:sz w:val="18"/>
          <w:szCs w:val="18"/>
          <w:lang w:val="ro-RO"/>
        </w:rPr>
        <w:t>”</w:t>
      </w:r>
      <w:r>
        <w:rPr>
          <w:rFonts w:ascii="Calibri Light" w:hAnsi="Calibri Light" w:cs="Calibri Light"/>
          <w:sz w:val="18"/>
          <w:szCs w:val="18"/>
        </w:rPr>
        <w:t>, с последующими изменениями.</w:t>
      </w:r>
    </w:p>
  </w:footnote>
  <w:footnote w:id="4">
    <w:p w:rsidR="00F07244" w:rsidRPr="00665CAE" w:rsidRDefault="00F07244" w:rsidP="00F07244">
      <w:pPr>
        <w:spacing w:after="0" w:line="240" w:lineRule="auto"/>
        <w:jc w:val="both"/>
        <w:rPr>
          <w:rFonts w:ascii="Calibri Light" w:eastAsia="Times New Roman" w:hAnsi="Calibri Light" w:cstheme="majorHAnsi"/>
          <w:sz w:val="18"/>
          <w:szCs w:val="18"/>
          <w:lang w:val="ru-RU"/>
        </w:rPr>
      </w:pPr>
      <w:r>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 Утверждены </w:t>
      </w:r>
      <w:r>
        <w:rPr>
          <w:rFonts w:ascii="Calibri Light" w:hAnsi="Calibri Light" w:cstheme="majorHAnsi"/>
          <w:sz w:val="18"/>
          <w:szCs w:val="18"/>
          <w:lang w:val="az-Cyrl-AZ"/>
        </w:rPr>
        <w:t xml:space="preserve">Постановлением Счетной палаты </w:t>
      </w:r>
      <w:r>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Pr>
          <w:rFonts w:ascii="Calibri Light" w:eastAsia="Times New Roman" w:hAnsi="Calibri Light" w:cstheme="majorHAnsi"/>
          <w:sz w:val="18"/>
          <w:szCs w:val="18"/>
          <w:lang w:val="ro-RO"/>
        </w:rPr>
        <w:t>24.01.2020</w:t>
      </w:r>
      <w:r>
        <w:rPr>
          <w:rFonts w:ascii="Calibri Light" w:eastAsia="Times New Roman" w:hAnsi="Calibri Light" w:cstheme="majorHAnsi"/>
          <w:sz w:val="18"/>
          <w:szCs w:val="18"/>
          <w:lang w:val="ru-RU"/>
        </w:rPr>
        <w:t>, в частности</w:t>
      </w:r>
      <w:r>
        <w:rPr>
          <w:rFonts w:ascii="Calibri Light" w:eastAsia="Times New Roman" w:hAnsi="Calibri Light" w:cstheme="majorHAnsi"/>
          <w:sz w:val="18"/>
          <w:szCs w:val="18"/>
          <w:lang w:val="ro-RO"/>
        </w:rPr>
        <w:t xml:space="preserve"> </w:t>
      </w:r>
      <w:r w:rsidRPr="001D2154">
        <w:rPr>
          <w:rFonts w:ascii="Calibri Light" w:hAnsi="Calibri Light"/>
          <w:sz w:val="18"/>
          <w:szCs w:val="18"/>
          <w:lang w:val="ro-RO"/>
        </w:rPr>
        <w:t xml:space="preserve">ISSAI 100 </w:t>
      </w:r>
      <w:r>
        <w:rPr>
          <w:rFonts w:ascii="Calibri Light" w:eastAsia="Times New Roman" w:hAnsi="Calibri Light" w:cstheme="majorHAnsi"/>
          <w:sz w:val="18"/>
          <w:szCs w:val="18"/>
          <w:lang w:val="ro-RO"/>
        </w:rPr>
        <w:t>„</w:t>
      </w:r>
      <w:r w:rsidR="008A1104">
        <w:rPr>
          <w:rFonts w:ascii="Calibri Light" w:eastAsia="Times New Roman" w:hAnsi="Calibri Light" w:cstheme="majorHAnsi"/>
          <w:sz w:val="18"/>
          <w:szCs w:val="18"/>
          <w:lang w:val="ru-RU"/>
        </w:rPr>
        <w:t>Основополагающие принципы для аудита публичного сектора</w:t>
      </w:r>
      <w:r w:rsidR="008A1104" w:rsidRPr="001D2154">
        <w:rPr>
          <w:rFonts w:ascii="Calibri Light" w:hAnsi="Calibri Light"/>
          <w:sz w:val="18"/>
          <w:szCs w:val="18"/>
          <w:lang w:val="ro-RO"/>
        </w:rPr>
        <w:t>”; ISSAI 300 „</w:t>
      </w:r>
      <w:r w:rsidR="008A1104">
        <w:rPr>
          <w:rFonts w:ascii="Calibri Light" w:eastAsia="Times New Roman" w:hAnsi="Calibri Light" w:cstheme="majorHAnsi"/>
          <w:sz w:val="18"/>
          <w:szCs w:val="18"/>
          <w:lang w:val="ru-RU"/>
        </w:rPr>
        <w:t>Основополагающие принципы аудита эффективности</w:t>
      </w:r>
      <w:r w:rsidR="008A1104" w:rsidRPr="001D2154">
        <w:rPr>
          <w:rFonts w:ascii="Calibri Light" w:hAnsi="Calibri Light"/>
          <w:sz w:val="18"/>
          <w:szCs w:val="18"/>
          <w:lang w:val="ro-RO"/>
        </w:rPr>
        <w:t>”; ISSAI 3000-3899 „</w:t>
      </w:r>
      <w:r w:rsidR="008A1104">
        <w:rPr>
          <w:rFonts w:ascii="Calibri Light" w:hAnsi="Calibri Light"/>
          <w:sz w:val="18"/>
          <w:szCs w:val="18"/>
          <w:lang w:val="ru-RU"/>
        </w:rPr>
        <w:t>Стандарты аудита эффективности</w:t>
      </w:r>
      <w:r w:rsidR="008A1104" w:rsidRPr="001D2154">
        <w:rPr>
          <w:rFonts w:ascii="Calibri Light" w:hAnsi="Calibri Light"/>
          <w:sz w:val="18"/>
          <w:szCs w:val="18"/>
          <w:lang w:val="ro-RO"/>
        </w:rPr>
        <w:t>”; GUID 3910 „</w:t>
      </w:r>
      <w:r w:rsidR="008A1104">
        <w:rPr>
          <w:rFonts w:ascii="Calibri Light" w:hAnsi="Calibri Light"/>
          <w:sz w:val="18"/>
          <w:szCs w:val="18"/>
          <w:lang w:val="ru-RU"/>
        </w:rPr>
        <w:t>основные концепции по аудиту эффективности</w:t>
      </w:r>
      <w:r w:rsidR="008A1104" w:rsidRPr="001D2154">
        <w:rPr>
          <w:rFonts w:ascii="Calibri Light" w:hAnsi="Calibri Light"/>
          <w:sz w:val="18"/>
          <w:szCs w:val="18"/>
          <w:lang w:val="ro-RO"/>
        </w:rPr>
        <w:t>”, GUID 3920</w:t>
      </w:r>
      <w:r w:rsidR="008A1104">
        <w:rPr>
          <w:rFonts w:ascii="Calibri Light" w:hAnsi="Calibri Light"/>
          <w:sz w:val="18"/>
          <w:szCs w:val="18"/>
          <w:lang w:val="ru-RU"/>
        </w:rPr>
        <w:t xml:space="preserve"> </w:t>
      </w:r>
      <w:r w:rsidR="008A1104" w:rsidRPr="001D2154">
        <w:rPr>
          <w:rFonts w:ascii="Calibri Light" w:hAnsi="Calibri Light"/>
          <w:sz w:val="18"/>
          <w:szCs w:val="18"/>
          <w:lang w:val="ro-RO"/>
        </w:rPr>
        <w:t>„</w:t>
      </w:r>
      <w:r w:rsidR="008A1104">
        <w:rPr>
          <w:rFonts w:ascii="Calibri Light" w:hAnsi="Calibri Light"/>
          <w:sz w:val="18"/>
          <w:szCs w:val="18"/>
          <w:lang w:val="ru-RU"/>
        </w:rPr>
        <w:t>Процесс аудита эффективности</w:t>
      </w:r>
      <w:r w:rsidR="008A1104" w:rsidRPr="001D2154">
        <w:rPr>
          <w:rFonts w:ascii="Calibri Light" w:hAnsi="Calibri Light"/>
          <w:sz w:val="18"/>
          <w:szCs w:val="18"/>
          <w:lang w:val="ro-RO"/>
        </w:rPr>
        <w:t>”</w:t>
      </w:r>
      <w:r w:rsidR="008A1104">
        <w:rPr>
          <w:rFonts w:ascii="Calibri Light" w:hAnsi="Calibri Light"/>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b/>
        <w:i w:val="0"/>
      </w:rPr>
    </w:lvl>
    <w:lvl w:ilvl="2">
      <w:start w:val="1"/>
      <w:numFmt w:val="decimal"/>
      <w:isLgl/>
      <w:lvlText w:val="%1.%2.%3."/>
      <w:lvlJc w:val="left"/>
      <w:pPr>
        <w:ind w:left="1354" w:hanging="720"/>
      </w:pPr>
      <w:rPr>
        <w:b/>
        <w:i w:val="0"/>
      </w:r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 w15:restartNumberingAfterBreak="0">
    <w:nsid w:val="45FE5D40"/>
    <w:multiLevelType w:val="hybridMultilevel"/>
    <w:tmpl w:val="C57A504C"/>
    <w:lvl w:ilvl="0" w:tplc="D18C8B6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7A"/>
    <w:rsid w:val="000C71EA"/>
    <w:rsid w:val="000F150D"/>
    <w:rsid w:val="000F2392"/>
    <w:rsid w:val="0012183C"/>
    <w:rsid w:val="001D2154"/>
    <w:rsid w:val="001F6F35"/>
    <w:rsid w:val="00343CA6"/>
    <w:rsid w:val="00393395"/>
    <w:rsid w:val="003A3DFC"/>
    <w:rsid w:val="003A51EC"/>
    <w:rsid w:val="00421035"/>
    <w:rsid w:val="004C308B"/>
    <w:rsid w:val="004D7288"/>
    <w:rsid w:val="00652967"/>
    <w:rsid w:val="00665CAE"/>
    <w:rsid w:val="006E0000"/>
    <w:rsid w:val="007637BA"/>
    <w:rsid w:val="007B52DF"/>
    <w:rsid w:val="007C776D"/>
    <w:rsid w:val="00806DC9"/>
    <w:rsid w:val="00851E0E"/>
    <w:rsid w:val="008A1104"/>
    <w:rsid w:val="008E0085"/>
    <w:rsid w:val="00956A4C"/>
    <w:rsid w:val="009B0A89"/>
    <w:rsid w:val="00A703F6"/>
    <w:rsid w:val="00A91063"/>
    <w:rsid w:val="00BA61FD"/>
    <w:rsid w:val="00BF01A7"/>
    <w:rsid w:val="00C505AC"/>
    <w:rsid w:val="00C55890"/>
    <w:rsid w:val="00CF33D7"/>
    <w:rsid w:val="00DB0D65"/>
    <w:rsid w:val="00E21DE9"/>
    <w:rsid w:val="00F07244"/>
    <w:rsid w:val="00F41539"/>
    <w:rsid w:val="00F7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32944-30CB-4C28-9161-D3D69127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54"/>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154"/>
    <w:rPr>
      <w:color w:val="0000FF" w:themeColor="hyperlink"/>
      <w:u w:val="single"/>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Знак Char"/>
    <w:link w:val="NormalWeb"/>
    <w:uiPriority w:val="99"/>
    <w:locked/>
    <w:rsid w:val="001D2154"/>
    <w:rPr>
      <w:rFonts w:ascii="Times New Roman" w:eastAsia="Times New Roman" w:hAnsi="Times New Roman" w:cs="Times New Roman"/>
      <w:sz w:val="24"/>
      <w:szCs w:val="24"/>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Footnote Text Char Char2,Знак"/>
    <w:basedOn w:val="Normal"/>
    <w:link w:val="NormalWebChar"/>
    <w:uiPriority w:val="99"/>
    <w:unhideWhenUsed/>
    <w:qFormat/>
    <w:rsid w:val="001D2154"/>
    <w:pPr>
      <w:tabs>
        <w:tab w:val="center" w:pos="4844"/>
        <w:tab w:val="right" w:pos="9689"/>
      </w:tabs>
      <w:spacing w:after="0" w:line="240" w:lineRule="auto"/>
    </w:pPr>
    <w:rPr>
      <w:rFonts w:ascii="Times New Roman" w:eastAsia="Times New Roman" w:hAnsi="Times New Roman" w:cs="Times New Roman"/>
      <w:sz w:val="24"/>
      <w:szCs w:val="24"/>
      <w:lang w:val="ru-RU"/>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1D2154"/>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1D2154"/>
    <w:pPr>
      <w:spacing w:after="0" w:line="240" w:lineRule="auto"/>
    </w:pPr>
    <w:rPr>
      <w:sz w:val="20"/>
      <w:szCs w:val="20"/>
      <w:lang w:val="ru-RU"/>
    </w:rPr>
  </w:style>
  <w:style w:type="character" w:customStyle="1" w:styleId="1">
    <w:name w:val="Текст сноски Знак1"/>
    <w:basedOn w:val="DefaultParagraphFont"/>
    <w:uiPriority w:val="99"/>
    <w:semiHidden/>
    <w:rsid w:val="001D2154"/>
    <w:rPr>
      <w:sz w:val="20"/>
      <w:szCs w:val="20"/>
      <w:lang w:val="en-US"/>
    </w:rPr>
  </w:style>
  <w:style w:type="character" w:customStyle="1" w:styleId="ListParagraphChar">
    <w:name w:val="List Paragraph Char"/>
    <w:aliases w:val="List Paragraph 1 Char,Scriptoria bullet points Char,Абзац списка1 Char,strikethrough Char,standaard met opsomming Char,Bullet Points Char,Liste Paragraf Char,Normal bullet 2 Char,body 2 Char,List Paragraph1 Char,List Paragraph2 Char"/>
    <w:link w:val="ListParagraph"/>
    <w:uiPriority w:val="34"/>
    <w:locked/>
    <w:rsid w:val="001D2154"/>
  </w:style>
  <w:style w:type="paragraph" w:styleId="ListParagraph">
    <w:name w:val="List Paragraph"/>
    <w:aliases w:val="List Paragraph 1,Scriptoria bullet points,Абзац списка1,strikethrough,standaard met opsomming,Bullet Points,Liste Paragraf,Normal bullet 2,body 2,List Paragraph1,List Paragraph2,List Bullet-OpsManual,References,Title Style 1"/>
    <w:basedOn w:val="Normal"/>
    <w:link w:val="ListParagraphChar"/>
    <w:uiPriority w:val="34"/>
    <w:qFormat/>
    <w:rsid w:val="001D2154"/>
    <w:pPr>
      <w:ind w:left="720"/>
      <w:contextualSpacing/>
    </w:pPr>
    <w:rPr>
      <w:lang w:val="ru-RU"/>
    </w:rPr>
  </w:style>
  <w:style w:type="character" w:styleId="FootnoteReference">
    <w:name w:val="footnote reference"/>
    <w:aliases w:val="Footnote Text Char2,fr,Cha Char1,ftref,Times 10 Point,Exposant 3 Point,Footnote symbol,Footnote reference number,EN Footnote Reference,note TESI,16 Point,Superscript 6 Point,BVI fnr,Char Char1,FOOTNOTES Char1,fn Char1,Ref"/>
    <w:basedOn w:val="DefaultParagraphFont"/>
    <w:link w:val="FNRefeCharChar"/>
    <w:uiPriority w:val="99"/>
    <w:unhideWhenUsed/>
    <w:rsid w:val="001D2154"/>
    <w:rPr>
      <w:vertAlign w:val="superscript"/>
    </w:rPr>
  </w:style>
  <w:style w:type="character" w:customStyle="1" w:styleId="Bodytext2">
    <w:name w:val="Body text (2)"/>
    <w:basedOn w:val="DefaultParagraphFont"/>
    <w:rsid w:val="001D2154"/>
    <w:rPr>
      <w:rFonts w:ascii="Book Antiqua" w:eastAsia="Book Antiqua" w:hAnsi="Book Antiqua" w:cs="Book Antiqua" w:hint="default"/>
      <w:b w:val="0"/>
      <w:bCs w:val="0"/>
      <w:i w:val="0"/>
      <w:iCs w:val="0"/>
      <w:smallCaps w:val="0"/>
      <w:strike w:val="0"/>
      <w:dstrike w:val="0"/>
      <w:color w:val="231F20"/>
      <w:spacing w:val="0"/>
      <w:w w:val="100"/>
      <w:position w:val="0"/>
      <w:sz w:val="22"/>
      <w:szCs w:val="22"/>
      <w:u w:val="none"/>
      <w:effect w:val="none"/>
      <w:lang w:val="ro-RO" w:eastAsia="ro-RO" w:bidi="ro-RO"/>
    </w:rPr>
  </w:style>
  <w:style w:type="paragraph" w:styleId="Header">
    <w:name w:val="header"/>
    <w:basedOn w:val="Normal"/>
    <w:link w:val="HeaderChar"/>
    <w:uiPriority w:val="99"/>
    <w:unhideWhenUsed/>
    <w:rsid w:val="001D2154"/>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2154"/>
    <w:rPr>
      <w:lang w:val="en-US"/>
    </w:rPr>
  </w:style>
  <w:style w:type="paragraph" w:styleId="Footer">
    <w:name w:val="footer"/>
    <w:basedOn w:val="Normal"/>
    <w:link w:val="FooterChar"/>
    <w:uiPriority w:val="99"/>
    <w:unhideWhenUsed/>
    <w:rsid w:val="001D2154"/>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2154"/>
    <w:rPr>
      <w:lang w:val="en-US"/>
    </w:rPr>
  </w:style>
  <w:style w:type="paragraph" w:styleId="BalloonText">
    <w:name w:val="Balloon Text"/>
    <w:basedOn w:val="Normal"/>
    <w:link w:val="BalloonTextChar"/>
    <w:uiPriority w:val="99"/>
    <w:semiHidden/>
    <w:unhideWhenUsed/>
    <w:rsid w:val="001D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54"/>
    <w:rPr>
      <w:rFonts w:ascii="Tahoma" w:hAnsi="Tahoma" w:cs="Tahoma"/>
      <w:sz w:val="16"/>
      <w:szCs w:val="16"/>
      <w:lang w:val="en-US"/>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qFormat/>
    <w:rsid w:val="00806DC9"/>
    <w:pPr>
      <w:spacing w:line="240" w:lineRule="exact"/>
    </w:pPr>
    <w:rPr>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487">
      <w:bodyDiv w:val="1"/>
      <w:marLeft w:val="0"/>
      <w:marRight w:val="0"/>
      <w:marTop w:val="0"/>
      <w:marBottom w:val="0"/>
      <w:divBdr>
        <w:top w:val="none" w:sz="0" w:space="0" w:color="auto"/>
        <w:left w:val="none" w:sz="0" w:space="0" w:color="auto"/>
        <w:bottom w:val="none" w:sz="0" w:space="0" w:color="auto"/>
        <w:right w:val="none" w:sz="0" w:space="0" w:color="auto"/>
      </w:divBdr>
    </w:div>
    <w:div w:id="138154672">
      <w:bodyDiv w:val="1"/>
      <w:marLeft w:val="0"/>
      <w:marRight w:val="0"/>
      <w:marTop w:val="0"/>
      <w:marBottom w:val="0"/>
      <w:divBdr>
        <w:top w:val="none" w:sz="0" w:space="0" w:color="auto"/>
        <w:left w:val="none" w:sz="0" w:space="0" w:color="auto"/>
        <w:bottom w:val="none" w:sz="0" w:space="0" w:color="auto"/>
        <w:right w:val="none" w:sz="0" w:space="0" w:color="auto"/>
      </w:divBdr>
    </w:div>
    <w:div w:id="193883821">
      <w:bodyDiv w:val="1"/>
      <w:marLeft w:val="0"/>
      <w:marRight w:val="0"/>
      <w:marTop w:val="0"/>
      <w:marBottom w:val="0"/>
      <w:divBdr>
        <w:top w:val="none" w:sz="0" w:space="0" w:color="auto"/>
        <w:left w:val="none" w:sz="0" w:space="0" w:color="auto"/>
        <w:bottom w:val="none" w:sz="0" w:space="0" w:color="auto"/>
        <w:right w:val="none" w:sz="0" w:space="0" w:color="auto"/>
      </w:divBdr>
    </w:div>
    <w:div w:id="265042210">
      <w:bodyDiv w:val="1"/>
      <w:marLeft w:val="0"/>
      <w:marRight w:val="0"/>
      <w:marTop w:val="0"/>
      <w:marBottom w:val="0"/>
      <w:divBdr>
        <w:top w:val="none" w:sz="0" w:space="0" w:color="auto"/>
        <w:left w:val="none" w:sz="0" w:space="0" w:color="auto"/>
        <w:bottom w:val="none" w:sz="0" w:space="0" w:color="auto"/>
        <w:right w:val="none" w:sz="0" w:space="0" w:color="auto"/>
      </w:divBdr>
    </w:div>
    <w:div w:id="268199887">
      <w:bodyDiv w:val="1"/>
      <w:marLeft w:val="0"/>
      <w:marRight w:val="0"/>
      <w:marTop w:val="0"/>
      <w:marBottom w:val="0"/>
      <w:divBdr>
        <w:top w:val="none" w:sz="0" w:space="0" w:color="auto"/>
        <w:left w:val="none" w:sz="0" w:space="0" w:color="auto"/>
        <w:bottom w:val="none" w:sz="0" w:space="0" w:color="auto"/>
        <w:right w:val="none" w:sz="0" w:space="0" w:color="auto"/>
      </w:divBdr>
    </w:div>
    <w:div w:id="283006095">
      <w:bodyDiv w:val="1"/>
      <w:marLeft w:val="0"/>
      <w:marRight w:val="0"/>
      <w:marTop w:val="0"/>
      <w:marBottom w:val="0"/>
      <w:divBdr>
        <w:top w:val="none" w:sz="0" w:space="0" w:color="auto"/>
        <w:left w:val="none" w:sz="0" w:space="0" w:color="auto"/>
        <w:bottom w:val="none" w:sz="0" w:space="0" w:color="auto"/>
        <w:right w:val="none" w:sz="0" w:space="0" w:color="auto"/>
      </w:divBdr>
    </w:div>
    <w:div w:id="430400525">
      <w:bodyDiv w:val="1"/>
      <w:marLeft w:val="0"/>
      <w:marRight w:val="0"/>
      <w:marTop w:val="0"/>
      <w:marBottom w:val="0"/>
      <w:divBdr>
        <w:top w:val="none" w:sz="0" w:space="0" w:color="auto"/>
        <w:left w:val="none" w:sz="0" w:space="0" w:color="auto"/>
        <w:bottom w:val="none" w:sz="0" w:space="0" w:color="auto"/>
        <w:right w:val="none" w:sz="0" w:space="0" w:color="auto"/>
      </w:divBdr>
    </w:div>
    <w:div w:id="603075061">
      <w:bodyDiv w:val="1"/>
      <w:marLeft w:val="0"/>
      <w:marRight w:val="0"/>
      <w:marTop w:val="0"/>
      <w:marBottom w:val="0"/>
      <w:divBdr>
        <w:top w:val="none" w:sz="0" w:space="0" w:color="auto"/>
        <w:left w:val="none" w:sz="0" w:space="0" w:color="auto"/>
        <w:bottom w:val="none" w:sz="0" w:space="0" w:color="auto"/>
        <w:right w:val="none" w:sz="0" w:space="0" w:color="auto"/>
      </w:divBdr>
    </w:div>
    <w:div w:id="616909112">
      <w:bodyDiv w:val="1"/>
      <w:marLeft w:val="0"/>
      <w:marRight w:val="0"/>
      <w:marTop w:val="0"/>
      <w:marBottom w:val="0"/>
      <w:divBdr>
        <w:top w:val="none" w:sz="0" w:space="0" w:color="auto"/>
        <w:left w:val="none" w:sz="0" w:space="0" w:color="auto"/>
        <w:bottom w:val="none" w:sz="0" w:space="0" w:color="auto"/>
        <w:right w:val="none" w:sz="0" w:space="0" w:color="auto"/>
      </w:divBdr>
    </w:div>
    <w:div w:id="653413366">
      <w:bodyDiv w:val="1"/>
      <w:marLeft w:val="0"/>
      <w:marRight w:val="0"/>
      <w:marTop w:val="0"/>
      <w:marBottom w:val="0"/>
      <w:divBdr>
        <w:top w:val="none" w:sz="0" w:space="0" w:color="auto"/>
        <w:left w:val="none" w:sz="0" w:space="0" w:color="auto"/>
        <w:bottom w:val="none" w:sz="0" w:space="0" w:color="auto"/>
        <w:right w:val="none" w:sz="0" w:space="0" w:color="auto"/>
      </w:divBdr>
    </w:div>
    <w:div w:id="732041212">
      <w:bodyDiv w:val="1"/>
      <w:marLeft w:val="0"/>
      <w:marRight w:val="0"/>
      <w:marTop w:val="0"/>
      <w:marBottom w:val="0"/>
      <w:divBdr>
        <w:top w:val="none" w:sz="0" w:space="0" w:color="auto"/>
        <w:left w:val="none" w:sz="0" w:space="0" w:color="auto"/>
        <w:bottom w:val="none" w:sz="0" w:space="0" w:color="auto"/>
        <w:right w:val="none" w:sz="0" w:space="0" w:color="auto"/>
      </w:divBdr>
    </w:div>
    <w:div w:id="826938444">
      <w:bodyDiv w:val="1"/>
      <w:marLeft w:val="0"/>
      <w:marRight w:val="0"/>
      <w:marTop w:val="0"/>
      <w:marBottom w:val="0"/>
      <w:divBdr>
        <w:top w:val="none" w:sz="0" w:space="0" w:color="auto"/>
        <w:left w:val="none" w:sz="0" w:space="0" w:color="auto"/>
        <w:bottom w:val="none" w:sz="0" w:space="0" w:color="auto"/>
        <w:right w:val="none" w:sz="0" w:space="0" w:color="auto"/>
      </w:divBdr>
    </w:div>
    <w:div w:id="993607786">
      <w:bodyDiv w:val="1"/>
      <w:marLeft w:val="0"/>
      <w:marRight w:val="0"/>
      <w:marTop w:val="0"/>
      <w:marBottom w:val="0"/>
      <w:divBdr>
        <w:top w:val="none" w:sz="0" w:space="0" w:color="auto"/>
        <w:left w:val="none" w:sz="0" w:space="0" w:color="auto"/>
        <w:bottom w:val="none" w:sz="0" w:space="0" w:color="auto"/>
        <w:right w:val="none" w:sz="0" w:space="0" w:color="auto"/>
      </w:divBdr>
    </w:div>
    <w:div w:id="995375617">
      <w:bodyDiv w:val="1"/>
      <w:marLeft w:val="0"/>
      <w:marRight w:val="0"/>
      <w:marTop w:val="0"/>
      <w:marBottom w:val="0"/>
      <w:divBdr>
        <w:top w:val="none" w:sz="0" w:space="0" w:color="auto"/>
        <w:left w:val="none" w:sz="0" w:space="0" w:color="auto"/>
        <w:bottom w:val="none" w:sz="0" w:space="0" w:color="auto"/>
        <w:right w:val="none" w:sz="0" w:space="0" w:color="auto"/>
      </w:divBdr>
    </w:div>
    <w:div w:id="1022055840">
      <w:bodyDiv w:val="1"/>
      <w:marLeft w:val="0"/>
      <w:marRight w:val="0"/>
      <w:marTop w:val="0"/>
      <w:marBottom w:val="0"/>
      <w:divBdr>
        <w:top w:val="none" w:sz="0" w:space="0" w:color="auto"/>
        <w:left w:val="none" w:sz="0" w:space="0" w:color="auto"/>
        <w:bottom w:val="none" w:sz="0" w:space="0" w:color="auto"/>
        <w:right w:val="none" w:sz="0" w:space="0" w:color="auto"/>
      </w:divBdr>
    </w:div>
    <w:div w:id="1025015504">
      <w:bodyDiv w:val="1"/>
      <w:marLeft w:val="0"/>
      <w:marRight w:val="0"/>
      <w:marTop w:val="0"/>
      <w:marBottom w:val="0"/>
      <w:divBdr>
        <w:top w:val="none" w:sz="0" w:space="0" w:color="auto"/>
        <w:left w:val="none" w:sz="0" w:space="0" w:color="auto"/>
        <w:bottom w:val="none" w:sz="0" w:space="0" w:color="auto"/>
        <w:right w:val="none" w:sz="0" w:space="0" w:color="auto"/>
      </w:divBdr>
    </w:div>
    <w:div w:id="1206986476">
      <w:bodyDiv w:val="1"/>
      <w:marLeft w:val="0"/>
      <w:marRight w:val="0"/>
      <w:marTop w:val="0"/>
      <w:marBottom w:val="0"/>
      <w:divBdr>
        <w:top w:val="none" w:sz="0" w:space="0" w:color="auto"/>
        <w:left w:val="none" w:sz="0" w:space="0" w:color="auto"/>
        <w:bottom w:val="none" w:sz="0" w:space="0" w:color="auto"/>
        <w:right w:val="none" w:sz="0" w:space="0" w:color="auto"/>
      </w:divBdr>
    </w:div>
    <w:div w:id="1303541140">
      <w:bodyDiv w:val="1"/>
      <w:marLeft w:val="0"/>
      <w:marRight w:val="0"/>
      <w:marTop w:val="0"/>
      <w:marBottom w:val="0"/>
      <w:divBdr>
        <w:top w:val="none" w:sz="0" w:space="0" w:color="auto"/>
        <w:left w:val="none" w:sz="0" w:space="0" w:color="auto"/>
        <w:bottom w:val="none" w:sz="0" w:space="0" w:color="auto"/>
        <w:right w:val="none" w:sz="0" w:space="0" w:color="auto"/>
      </w:divBdr>
    </w:div>
    <w:div w:id="1688365656">
      <w:bodyDiv w:val="1"/>
      <w:marLeft w:val="0"/>
      <w:marRight w:val="0"/>
      <w:marTop w:val="0"/>
      <w:marBottom w:val="0"/>
      <w:divBdr>
        <w:top w:val="none" w:sz="0" w:space="0" w:color="auto"/>
        <w:left w:val="none" w:sz="0" w:space="0" w:color="auto"/>
        <w:bottom w:val="none" w:sz="0" w:space="0" w:color="auto"/>
        <w:right w:val="none" w:sz="0" w:space="0" w:color="auto"/>
      </w:divBdr>
    </w:div>
    <w:div w:id="1717048030">
      <w:bodyDiv w:val="1"/>
      <w:marLeft w:val="0"/>
      <w:marRight w:val="0"/>
      <w:marTop w:val="0"/>
      <w:marBottom w:val="0"/>
      <w:divBdr>
        <w:top w:val="none" w:sz="0" w:space="0" w:color="auto"/>
        <w:left w:val="none" w:sz="0" w:space="0" w:color="auto"/>
        <w:bottom w:val="none" w:sz="0" w:space="0" w:color="auto"/>
        <w:right w:val="none" w:sz="0" w:space="0" w:color="auto"/>
      </w:divBdr>
    </w:div>
    <w:div w:id="1841843971">
      <w:bodyDiv w:val="1"/>
      <w:marLeft w:val="0"/>
      <w:marRight w:val="0"/>
      <w:marTop w:val="0"/>
      <w:marBottom w:val="0"/>
      <w:divBdr>
        <w:top w:val="none" w:sz="0" w:space="0" w:color="auto"/>
        <w:left w:val="none" w:sz="0" w:space="0" w:color="auto"/>
        <w:bottom w:val="none" w:sz="0" w:space="0" w:color="auto"/>
        <w:right w:val="none" w:sz="0" w:space="0" w:color="auto"/>
      </w:divBdr>
    </w:div>
    <w:div w:id="1875577754">
      <w:bodyDiv w:val="1"/>
      <w:marLeft w:val="0"/>
      <w:marRight w:val="0"/>
      <w:marTop w:val="0"/>
      <w:marBottom w:val="0"/>
      <w:divBdr>
        <w:top w:val="none" w:sz="0" w:space="0" w:color="auto"/>
        <w:left w:val="none" w:sz="0" w:space="0" w:color="auto"/>
        <w:bottom w:val="none" w:sz="0" w:space="0" w:color="auto"/>
        <w:right w:val="none" w:sz="0" w:space="0" w:color="auto"/>
      </w:divBdr>
    </w:div>
    <w:div w:id="1892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7646</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2021-12-24T08:45:00Z</dcterms:created>
  <dcterms:modified xsi:type="dcterms:W3CDTF">2021-12-24T08:45:00Z</dcterms:modified>
</cp:coreProperties>
</file>