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3CE" w:rsidRPr="002135B0" w:rsidRDefault="001143CE" w:rsidP="001143CE">
      <w:pPr>
        <w:spacing w:after="0" w:line="240" w:lineRule="auto"/>
        <w:jc w:val="right"/>
        <w:rPr>
          <w:rFonts w:asciiTheme="majorHAnsi" w:hAnsiTheme="majorHAnsi" w:cstheme="majorHAnsi"/>
          <w:sz w:val="24"/>
          <w:szCs w:val="24"/>
          <w:lang w:val="ru-MD"/>
        </w:rPr>
      </w:pPr>
      <w:bookmarkStart w:id="0" w:name="_GoBack"/>
      <w:bookmarkEnd w:id="0"/>
      <w:r w:rsidRPr="002135B0">
        <w:rPr>
          <w:rFonts w:asciiTheme="majorHAnsi" w:hAnsiTheme="majorHAnsi" w:cstheme="majorHAnsi"/>
          <w:b/>
          <w:sz w:val="24"/>
          <w:szCs w:val="24"/>
          <w:u w:val="single"/>
          <w:lang w:val="ru-MD"/>
        </w:rPr>
        <w:t>ПЕРЕВОД</w:t>
      </w:r>
      <w:r w:rsidRPr="002135B0">
        <w:rPr>
          <w:rFonts w:asciiTheme="majorHAnsi" w:hAnsiTheme="majorHAnsi" w:cstheme="majorHAnsi"/>
          <w:sz w:val="24"/>
          <w:szCs w:val="24"/>
          <w:lang w:val="ru-MD"/>
        </w:rPr>
        <w:t xml:space="preserve"> </w:t>
      </w:r>
    </w:p>
    <w:p w:rsidR="001143CE" w:rsidRPr="002135B0" w:rsidRDefault="001143CE" w:rsidP="001143CE">
      <w:pPr>
        <w:spacing w:after="0" w:line="240" w:lineRule="auto"/>
        <w:jc w:val="right"/>
        <w:rPr>
          <w:rFonts w:asciiTheme="majorHAnsi" w:hAnsiTheme="majorHAnsi" w:cstheme="majorHAnsi"/>
          <w:sz w:val="24"/>
          <w:szCs w:val="24"/>
          <w:lang w:val="ru-MD"/>
        </w:rPr>
      </w:pPr>
    </w:p>
    <w:p w:rsidR="001143CE" w:rsidRPr="002135B0" w:rsidRDefault="001143CE" w:rsidP="001143CE">
      <w:pPr>
        <w:spacing w:after="0" w:line="240" w:lineRule="auto"/>
        <w:jc w:val="right"/>
        <w:rPr>
          <w:rFonts w:asciiTheme="majorHAnsi" w:hAnsiTheme="majorHAnsi" w:cstheme="majorHAnsi"/>
          <w:sz w:val="24"/>
          <w:szCs w:val="24"/>
          <w:lang w:val="ru-MD"/>
        </w:rPr>
      </w:pPr>
      <w:r w:rsidRPr="002135B0">
        <w:rPr>
          <w:rFonts w:asciiTheme="majorHAnsi" w:hAnsiTheme="majorHAnsi" w:cstheme="majorHAnsi"/>
          <w:sz w:val="24"/>
          <w:szCs w:val="24"/>
          <w:lang w:val="ru-MD"/>
        </w:rPr>
        <w:t>Приложение</w:t>
      </w:r>
    </w:p>
    <w:p w:rsidR="001143CE" w:rsidRPr="002135B0" w:rsidRDefault="001143CE" w:rsidP="001143CE">
      <w:pPr>
        <w:spacing w:after="0" w:line="240" w:lineRule="auto"/>
        <w:jc w:val="right"/>
        <w:rPr>
          <w:rFonts w:asciiTheme="majorHAnsi" w:hAnsiTheme="majorHAnsi" w:cstheme="majorHAnsi"/>
          <w:sz w:val="24"/>
          <w:szCs w:val="24"/>
          <w:lang w:val="ru-MD"/>
        </w:rPr>
      </w:pPr>
      <w:r w:rsidRPr="002135B0">
        <w:rPr>
          <w:rFonts w:asciiTheme="majorHAnsi" w:hAnsiTheme="majorHAnsi" w:cstheme="majorHAnsi"/>
          <w:sz w:val="24"/>
          <w:szCs w:val="24"/>
          <w:lang w:val="ru-MD"/>
        </w:rPr>
        <w:t>к Постановлению Счетной палаты</w:t>
      </w:r>
    </w:p>
    <w:p w:rsidR="001143CE" w:rsidRPr="002135B0" w:rsidRDefault="001143CE" w:rsidP="001143CE">
      <w:pPr>
        <w:spacing w:after="0" w:line="240" w:lineRule="auto"/>
        <w:jc w:val="right"/>
        <w:rPr>
          <w:rFonts w:asciiTheme="majorHAnsi" w:hAnsiTheme="majorHAnsi" w:cstheme="majorHAnsi"/>
          <w:sz w:val="24"/>
          <w:szCs w:val="24"/>
          <w:lang w:val="ru-MD"/>
        </w:rPr>
      </w:pPr>
      <w:r w:rsidRPr="002135B0">
        <w:rPr>
          <w:rFonts w:asciiTheme="majorHAnsi" w:hAnsiTheme="majorHAnsi" w:cstheme="majorHAnsi"/>
          <w:sz w:val="24"/>
          <w:szCs w:val="24"/>
          <w:lang w:val="ru-MD"/>
        </w:rPr>
        <w:t xml:space="preserve">                                                                                             №23 от 10 июня 2021 года</w:t>
      </w:r>
    </w:p>
    <w:p w:rsidR="001143CE" w:rsidRPr="002135B0" w:rsidRDefault="001143CE" w:rsidP="001143CE">
      <w:pPr>
        <w:spacing w:after="0" w:line="240" w:lineRule="auto"/>
        <w:jc w:val="center"/>
        <w:rPr>
          <w:rFonts w:asciiTheme="majorHAnsi" w:hAnsiTheme="majorHAnsi" w:cstheme="majorHAnsi"/>
          <w:b/>
          <w:szCs w:val="28"/>
          <w:lang w:val="ru-MD"/>
        </w:rPr>
      </w:pPr>
      <w:r>
        <w:rPr>
          <w:rFonts w:asciiTheme="majorHAnsi" w:hAnsiTheme="majorHAnsi" w:cstheme="majorHAnsi"/>
          <w:b/>
          <w:szCs w:val="28"/>
          <w:lang w:val="ru-MD"/>
        </w:rPr>
        <w:t xml:space="preserve"> </w:t>
      </w:r>
    </w:p>
    <w:p w:rsidR="001143CE" w:rsidRPr="002135B0" w:rsidRDefault="001143CE" w:rsidP="001143CE">
      <w:pPr>
        <w:spacing w:after="0" w:line="240" w:lineRule="auto"/>
        <w:jc w:val="center"/>
        <w:rPr>
          <w:rFonts w:asciiTheme="majorHAnsi" w:hAnsiTheme="majorHAnsi" w:cstheme="majorHAnsi"/>
          <w:b/>
          <w:szCs w:val="28"/>
          <w:lang w:val="ru-MD"/>
        </w:rPr>
      </w:pPr>
    </w:p>
    <w:p w:rsidR="001143CE" w:rsidRPr="002135B0" w:rsidRDefault="001143CE" w:rsidP="001143CE">
      <w:pPr>
        <w:spacing w:after="0" w:line="240" w:lineRule="auto"/>
        <w:jc w:val="center"/>
        <w:rPr>
          <w:rFonts w:asciiTheme="majorHAnsi" w:hAnsiTheme="majorHAnsi" w:cstheme="majorHAnsi"/>
          <w:b/>
          <w:szCs w:val="28"/>
          <w:lang w:val="ru-MD"/>
        </w:rPr>
      </w:pPr>
      <w:r w:rsidRPr="002135B0">
        <w:rPr>
          <w:rFonts w:asciiTheme="majorHAnsi" w:hAnsiTheme="majorHAnsi" w:cstheme="majorHAnsi"/>
          <w:b/>
          <w:noProof/>
          <w:szCs w:val="28"/>
          <w:lang w:val="en-US"/>
        </w:rPr>
        <w:drawing>
          <wp:inline distT="0" distB="0" distL="0" distR="0" wp14:anchorId="38A9F123" wp14:editId="6A94AB19">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1143CE" w:rsidRPr="002135B0" w:rsidRDefault="001143CE" w:rsidP="001143CE">
      <w:pPr>
        <w:spacing w:after="0" w:line="240" w:lineRule="auto"/>
        <w:jc w:val="center"/>
        <w:rPr>
          <w:rFonts w:asciiTheme="majorHAnsi" w:hAnsiTheme="majorHAnsi" w:cstheme="majorHAnsi"/>
          <w:b/>
          <w:szCs w:val="28"/>
          <w:lang w:val="ru-MD"/>
        </w:rPr>
      </w:pPr>
    </w:p>
    <w:p w:rsidR="001143CE" w:rsidRPr="002135B0" w:rsidRDefault="001143CE" w:rsidP="001143CE">
      <w:pPr>
        <w:spacing w:after="0" w:line="240" w:lineRule="auto"/>
        <w:jc w:val="center"/>
        <w:rPr>
          <w:rFonts w:asciiTheme="majorHAnsi" w:hAnsiTheme="majorHAnsi" w:cstheme="majorHAnsi"/>
          <w:b/>
          <w:szCs w:val="28"/>
          <w:lang w:val="ru-MD"/>
        </w:rPr>
      </w:pPr>
    </w:p>
    <w:p w:rsidR="001143CE" w:rsidRPr="002135B0" w:rsidRDefault="001143CE" w:rsidP="001143CE">
      <w:pPr>
        <w:spacing w:after="0" w:line="240" w:lineRule="auto"/>
        <w:jc w:val="center"/>
        <w:rPr>
          <w:rFonts w:asciiTheme="majorHAnsi" w:hAnsiTheme="majorHAnsi" w:cstheme="majorHAnsi"/>
          <w:b/>
          <w:szCs w:val="28"/>
          <w:lang w:val="ru-MD"/>
        </w:rPr>
      </w:pPr>
      <w:r w:rsidRPr="002135B0">
        <w:rPr>
          <w:rFonts w:asciiTheme="majorHAnsi" w:hAnsiTheme="majorHAnsi" w:cstheme="majorHAnsi"/>
          <w:b/>
          <w:bCs/>
          <w:iCs/>
          <w:szCs w:val="28"/>
          <w:lang w:val="ru-MD"/>
        </w:rPr>
        <w:t>СЧЕТНАЯ ПАЛАТА РЕСПУБЛИКИ МОЛДОВА</w:t>
      </w:r>
      <w:r w:rsidRPr="002135B0">
        <w:rPr>
          <w:rFonts w:asciiTheme="majorHAnsi" w:hAnsiTheme="majorHAnsi" w:cstheme="majorHAnsi"/>
          <w:b/>
          <w:szCs w:val="28"/>
          <w:lang w:val="ru-MD"/>
        </w:rPr>
        <w:t xml:space="preserve"> </w:t>
      </w:r>
    </w:p>
    <w:p w:rsidR="001143CE" w:rsidRPr="002135B0" w:rsidRDefault="001143CE" w:rsidP="001143CE">
      <w:pPr>
        <w:spacing w:after="0" w:line="240" w:lineRule="auto"/>
        <w:rPr>
          <w:rFonts w:asciiTheme="majorHAnsi" w:hAnsiTheme="majorHAnsi" w:cstheme="majorHAnsi"/>
          <w:lang w:val="ru-MD"/>
        </w:rPr>
      </w:pPr>
    </w:p>
    <w:p w:rsidR="001143CE" w:rsidRPr="002135B0" w:rsidRDefault="001143CE" w:rsidP="001143CE">
      <w:pPr>
        <w:tabs>
          <w:tab w:val="left" w:pos="720"/>
        </w:tabs>
        <w:spacing w:after="0" w:line="240" w:lineRule="auto"/>
        <w:jc w:val="right"/>
        <w:rPr>
          <w:rFonts w:asciiTheme="majorHAnsi" w:eastAsia="Times New Roman" w:hAnsiTheme="majorHAnsi" w:cstheme="majorHAnsi"/>
          <w:b/>
          <w:bCs/>
          <w:sz w:val="24"/>
          <w:szCs w:val="24"/>
          <w:lang w:val="ru-MD"/>
        </w:rPr>
      </w:pPr>
    </w:p>
    <w:p w:rsidR="001143CE" w:rsidRPr="002135B0" w:rsidRDefault="001143CE" w:rsidP="001143CE">
      <w:pPr>
        <w:tabs>
          <w:tab w:val="left" w:pos="720"/>
        </w:tabs>
        <w:spacing w:after="0" w:line="240" w:lineRule="auto"/>
        <w:jc w:val="right"/>
        <w:rPr>
          <w:rFonts w:asciiTheme="majorHAnsi" w:eastAsia="Times New Roman" w:hAnsiTheme="majorHAnsi" w:cstheme="majorHAnsi"/>
          <w:b/>
          <w:bCs/>
          <w:sz w:val="24"/>
          <w:szCs w:val="24"/>
          <w:lang w:val="ru-MD"/>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143CE" w:rsidRPr="002135B0" w:rsidTr="006D258B">
        <w:trPr>
          <w:trHeight w:val="435"/>
        </w:trPr>
        <w:tc>
          <w:tcPr>
            <w:tcW w:w="9350" w:type="dxa"/>
          </w:tcPr>
          <w:p w:rsidR="001143CE" w:rsidRPr="001143CE" w:rsidRDefault="001143CE" w:rsidP="006D258B">
            <w:pPr>
              <w:tabs>
                <w:tab w:val="left" w:pos="720"/>
              </w:tabs>
              <w:jc w:val="center"/>
              <w:rPr>
                <w:rFonts w:asciiTheme="majorHAnsi" w:eastAsia="Times New Roman" w:hAnsiTheme="majorHAnsi" w:cstheme="majorHAnsi"/>
                <w:b/>
                <w:bCs/>
                <w:sz w:val="24"/>
                <w:szCs w:val="24"/>
                <w:lang w:val="en-US"/>
              </w:rPr>
            </w:pPr>
            <w:r w:rsidRPr="001143CE">
              <w:rPr>
                <w:rFonts w:asciiTheme="majorHAnsi" w:hAnsiTheme="majorHAnsi" w:cstheme="majorHAnsi"/>
                <w:sz w:val="18"/>
                <w:szCs w:val="18"/>
                <w:lang w:val="en-US"/>
              </w:rPr>
              <w:t xml:space="preserve">MD-2001, </w:t>
            </w:r>
            <w:proofErr w:type="spellStart"/>
            <w:r w:rsidRPr="001143CE">
              <w:rPr>
                <w:rFonts w:asciiTheme="majorHAnsi" w:hAnsiTheme="majorHAnsi" w:cstheme="majorHAnsi"/>
                <w:sz w:val="18"/>
                <w:szCs w:val="18"/>
                <w:lang w:val="en-US"/>
              </w:rPr>
              <w:t>mun</w:t>
            </w:r>
            <w:proofErr w:type="spellEnd"/>
            <w:r w:rsidRPr="001143CE">
              <w:rPr>
                <w:rFonts w:asciiTheme="majorHAnsi" w:hAnsiTheme="majorHAnsi" w:cstheme="majorHAnsi"/>
                <w:sz w:val="18"/>
                <w:szCs w:val="18"/>
                <w:lang w:val="en-US"/>
              </w:rPr>
              <w:t xml:space="preserve">. </w:t>
            </w:r>
            <w:proofErr w:type="spellStart"/>
            <w:r w:rsidRPr="001143CE">
              <w:rPr>
                <w:rFonts w:asciiTheme="majorHAnsi" w:hAnsiTheme="majorHAnsi" w:cstheme="majorHAnsi"/>
                <w:sz w:val="18"/>
                <w:szCs w:val="18"/>
                <w:lang w:val="en-US"/>
              </w:rPr>
              <w:t>Chișinău</w:t>
            </w:r>
            <w:proofErr w:type="spellEnd"/>
            <w:r w:rsidRPr="001143CE">
              <w:rPr>
                <w:rFonts w:asciiTheme="majorHAnsi" w:hAnsiTheme="majorHAnsi" w:cstheme="majorHAnsi"/>
                <w:sz w:val="18"/>
                <w:szCs w:val="18"/>
                <w:lang w:val="en-US"/>
              </w:rPr>
              <w:t xml:space="preserve">, bd. </w:t>
            </w:r>
            <w:proofErr w:type="spellStart"/>
            <w:r w:rsidRPr="001143CE">
              <w:rPr>
                <w:rFonts w:asciiTheme="majorHAnsi" w:hAnsiTheme="majorHAnsi" w:cstheme="majorHAnsi"/>
                <w:sz w:val="18"/>
                <w:szCs w:val="18"/>
                <w:lang w:val="en-US"/>
              </w:rPr>
              <w:t>Ștefan</w:t>
            </w:r>
            <w:proofErr w:type="spellEnd"/>
            <w:r w:rsidRPr="001143CE">
              <w:rPr>
                <w:rFonts w:asciiTheme="majorHAnsi" w:hAnsiTheme="majorHAnsi" w:cstheme="majorHAnsi"/>
                <w:sz w:val="18"/>
                <w:szCs w:val="18"/>
                <w:lang w:val="en-US"/>
              </w:rPr>
              <w:t xml:space="preserve"> </w:t>
            </w:r>
            <w:proofErr w:type="spellStart"/>
            <w:r w:rsidRPr="001143CE">
              <w:rPr>
                <w:rFonts w:asciiTheme="majorHAnsi" w:hAnsiTheme="majorHAnsi" w:cstheme="majorHAnsi"/>
                <w:sz w:val="18"/>
                <w:szCs w:val="18"/>
                <w:lang w:val="en-US"/>
              </w:rPr>
              <w:t>cel</w:t>
            </w:r>
            <w:proofErr w:type="spellEnd"/>
            <w:r w:rsidRPr="001143CE">
              <w:rPr>
                <w:rFonts w:asciiTheme="majorHAnsi" w:hAnsiTheme="majorHAnsi" w:cstheme="majorHAnsi"/>
                <w:sz w:val="18"/>
                <w:szCs w:val="18"/>
                <w:lang w:val="en-US"/>
              </w:rPr>
              <w:t xml:space="preserve"> Mare </w:t>
            </w:r>
            <w:proofErr w:type="spellStart"/>
            <w:r w:rsidRPr="001143CE">
              <w:rPr>
                <w:rFonts w:asciiTheme="majorHAnsi" w:hAnsiTheme="majorHAnsi" w:cstheme="majorHAnsi"/>
                <w:sz w:val="18"/>
                <w:szCs w:val="18"/>
                <w:lang w:val="en-US"/>
              </w:rPr>
              <w:t>și</w:t>
            </w:r>
            <w:proofErr w:type="spellEnd"/>
            <w:r w:rsidRPr="001143CE">
              <w:rPr>
                <w:rFonts w:asciiTheme="majorHAnsi" w:hAnsiTheme="majorHAnsi" w:cstheme="majorHAnsi"/>
                <w:sz w:val="18"/>
                <w:szCs w:val="18"/>
                <w:lang w:val="en-US"/>
              </w:rPr>
              <w:t xml:space="preserve"> </w:t>
            </w:r>
            <w:proofErr w:type="spellStart"/>
            <w:r w:rsidRPr="001143CE">
              <w:rPr>
                <w:rFonts w:asciiTheme="majorHAnsi" w:hAnsiTheme="majorHAnsi" w:cstheme="majorHAnsi"/>
                <w:sz w:val="18"/>
                <w:szCs w:val="18"/>
                <w:lang w:val="en-US"/>
              </w:rPr>
              <w:t>Sfânt</w:t>
            </w:r>
            <w:proofErr w:type="spellEnd"/>
            <w:r w:rsidRPr="001143CE">
              <w:rPr>
                <w:rFonts w:asciiTheme="majorHAnsi" w:hAnsiTheme="majorHAnsi" w:cstheme="majorHAnsi"/>
                <w:sz w:val="18"/>
                <w:szCs w:val="18"/>
                <w:lang w:val="en-US"/>
              </w:rPr>
              <w:t xml:space="preserve"> nr.69, tel.: (+373) 22 23 25 79, fax: (+373) 22 23 30 20,                 </w:t>
            </w:r>
            <w:hyperlink r:id="rId8" w:history="1">
              <w:r w:rsidRPr="001143CE">
                <w:rPr>
                  <w:rStyle w:val="Hyperlink"/>
                  <w:rFonts w:asciiTheme="majorHAnsi" w:hAnsiTheme="majorHAnsi" w:cstheme="majorHAnsi"/>
                  <w:b/>
                  <w:color w:val="auto"/>
                  <w:sz w:val="18"/>
                  <w:szCs w:val="18"/>
                  <w:lang w:val="en-US"/>
                </w:rPr>
                <w:t>www.ccrm.md</w:t>
              </w:r>
            </w:hyperlink>
            <w:r w:rsidRPr="001143CE">
              <w:rPr>
                <w:rStyle w:val="Hyperlink"/>
                <w:rFonts w:asciiTheme="majorHAnsi" w:hAnsiTheme="majorHAnsi" w:cstheme="majorHAnsi"/>
                <w:b/>
                <w:color w:val="auto"/>
                <w:sz w:val="18"/>
                <w:szCs w:val="18"/>
                <w:lang w:val="en-US"/>
              </w:rPr>
              <w:t xml:space="preserve">; </w:t>
            </w:r>
            <w:r w:rsidRPr="001143CE">
              <w:rPr>
                <w:rFonts w:asciiTheme="majorHAnsi" w:hAnsiTheme="majorHAnsi" w:cstheme="majorHAnsi"/>
                <w:sz w:val="18"/>
                <w:szCs w:val="18"/>
                <w:lang w:val="en-US"/>
              </w:rPr>
              <w:t xml:space="preserve">e-mail: </w:t>
            </w:r>
            <w:hyperlink r:id="rId9" w:history="1">
              <w:r w:rsidRPr="001143CE">
                <w:rPr>
                  <w:rStyle w:val="Hyperlink"/>
                  <w:rFonts w:asciiTheme="majorHAnsi" w:hAnsiTheme="majorHAnsi" w:cstheme="majorHAnsi"/>
                  <w:b/>
                  <w:color w:val="auto"/>
                  <w:sz w:val="18"/>
                  <w:szCs w:val="18"/>
                  <w:lang w:val="en-US"/>
                </w:rPr>
                <w:t>ccrm@ccrm.md</w:t>
              </w:r>
            </w:hyperlink>
          </w:p>
        </w:tc>
      </w:tr>
    </w:tbl>
    <w:p w:rsidR="001143CE" w:rsidRPr="001143CE" w:rsidRDefault="001143CE" w:rsidP="001143CE">
      <w:pPr>
        <w:tabs>
          <w:tab w:val="left" w:pos="720"/>
        </w:tabs>
        <w:spacing w:after="0" w:line="240" w:lineRule="auto"/>
        <w:jc w:val="right"/>
        <w:rPr>
          <w:rFonts w:asciiTheme="majorHAnsi" w:eastAsia="Times New Roman" w:hAnsiTheme="majorHAnsi" w:cstheme="majorHAnsi"/>
          <w:b/>
          <w:bCs/>
          <w:sz w:val="24"/>
          <w:szCs w:val="24"/>
          <w:lang w:val="en-US"/>
        </w:rPr>
      </w:pPr>
    </w:p>
    <w:p w:rsidR="001143CE" w:rsidRPr="001143CE" w:rsidRDefault="001143CE" w:rsidP="001143CE">
      <w:pPr>
        <w:tabs>
          <w:tab w:val="left" w:pos="720"/>
        </w:tabs>
        <w:spacing w:after="0" w:line="240" w:lineRule="auto"/>
        <w:jc w:val="right"/>
        <w:rPr>
          <w:rFonts w:asciiTheme="majorHAnsi" w:eastAsia="Times New Roman" w:hAnsiTheme="majorHAnsi" w:cstheme="majorHAnsi"/>
          <w:b/>
          <w:bCs/>
          <w:sz w:val="24"/>
          <w:szCs w:val="24"/>
          <w:lang w:val="en-US"/>
        </w:rPr>
      </w:pPr>
    </w:p>
    <w:p w:rsidR="001143CE" w:rsidRPr="001143CE" w:rsidRDefault="001143CE" w:rsidP="001143CE">
      <w:pPr>
        <w:tabs>
          <w:tab w:val="left" w:pos="720"/>
        </w:tabs>
        <w:spacing w:after="0" w:line="240" w:lineRule="auto"/>
        <w:jc w:val="right"/>
        <w:rPr>
          <w:rFonts w:asciiTheme="majorHAnsi" w:eastAsia="Times New Roman" w:hAnsiTheme="majorHAnsi" w:cstheme="majorHAnsi"/>
          <w:b/>
          <w:bCs/>
          <w:sz w:val="24"/>
          <w:szCs w:val="24"/>
          <w:lang w:val="en-US"/>
        </w:rPr>
      </w:pPr>
    </w:p>
    <w:p w:rsidR="001143CE" w:rsidRPr="001143CE" w:rsidRDefault="001143CE" w:rsidP="001143CE">
      <w:pPr>
        <w:tabs>
          <w:tab w:val="left" w:pos="720"/>
        </w:tabs>
        <w:spacing w:after="0" w:line="240" w:lineRule="auto"/>
        <w:jc w:val="right"/>
        <w:rPr>
          <w:rFonts w:asciiTheme="majorHAnsi" w:eastAsia="Times New Roman" w:hAnsiTheme="majorHAnsi" w:cstheme="majorHAnsi"/>
          <w:b/>
          <w:bCs/>
          <w:sz w:val="24"/>
          <w:szCs w:val="24"/>
          <w:lang w:val="en-US"/>
        </w:rPr>
      </w:pPr>
    </w:p>
    <w:p w:rsidR="001143CE" w:rsidRPr="001143CE" w:rsidRDefault="001143CE" w:rsidP="001143CE">
      <w:pPr>
        <w:tabs>
          <w:tab w:val="left" w:pos="720"/>
        </w:tabs>
        <w:spacing w:after="0" w:line="240" w:lineRule="auto"/>
        <w:jc w:val="center"/>
        <w:rPr>
          <w:rFonts w:asciiTheme="majorHAnsi" w:eastAsia="Times New Roman" w:hAnsiTheme="majorHAnsi" w:cstheme="majorHAnsi"/>
          <w:b/>
          <w:bCs/>
          <w:sz w:val="24"/>
          <w:szCs w:val="24"/>
          <w:lang w:val="en-US"/>
        </w:rPr>
      </w:pPr>
    </w:p>
    <w:p w:rsidR="001143CE" w:rsidRPr="001143CE" w:rsidRDefault="001143CE" w:rsidP="001143CE">
      <w:pPr>
        <w:tabs>
          <w:tab w:val="left" w:pos="720"/>
        </w:tabs>
        <w:spacing w:after="0" w:line="240" w:lineRule="auto"/>
        <w:jc w:val="center"/>
        <w:rPr>
          <w:rFonts w:asciiTheme="majorHAnsi" w:eastAsia="Times New Roman" w:hAnsiTheme="majorHAnsi" w:cstheme="majorHAnsi"/>
          <w:b/>
          <w:bCs/>
          <w:sz w:val="24"/>
          <w:szCs w:val="24"/>
          <w:lang w:val="en-US"/>
        </w:rPr>
      </w:pPr>
    </w:p>
    <w:p w:rsidR="001143CE" w:rsidRPr="001143CE" w:rsidRDefault="001143CE" w:rsidP="001143CE">
      <w:pPr>
        <w:tabs>
          <w:tab w:val="left" w:pos="720"/>
        </w:tabs>
        <w:spacing w:after="0" w:line="240" w:lineRule="auto"/>
        <w:jc w:val="center"/>
        <w:rPr>
          <w:rFonts w:asciiTheme="majorHAnsi" w:eastAsia="Times New Roman" w:hAnsiTheme="majorHAnsi" w:cstheme="majorHAnsi"/>
          <w:b/>
          <w:bCs/>
          <w:sz w:val="32"/>
          <w:szCs w:val="32"/>
          <w:lang w:val="en-US"/>
        </w:rPr>
      </w:pPr>
    </w:p>
    <w:p w:rsidR="001143CE" w:rsidRPr="002135B0" w:rsidRDefault="001143CE" w:rsidP="001143CE">
      <w:pPr>
        <w:tabs>
          <w:tab w:val="left" w:pos="720"/>
          <w:tab w:val="left" w:pos="3330"/>
        </w:tabs>
        <w:spacing w:after="0" w:line="276" w:lineRule="auto"/>
        <w:jc w:val="center"/>
        <w:rPr>
          <w:rFonts w:asciiTheme="majorHAnsi" w:eastAsia="Times New Roman" w:hAnsiTheme="majorHAnsi" w:cstheme="majorHAnsi"/>
          <w:b/>
          <w:bCs/>
          <w:szCs w:val="28"/>
          <w:lang w:val="ru-MD"/>
        </w:rPr>
      </w:pPr>
      <w:r w:rsidRPr="002135B0">
        <w:rPr>
          <w:rFonts w:asciiTheme="majorHAnsi" w:eastAsia="Times New Roman" w:hAnsiTheme="majorHAnsi" w:cstheme="majorHAnsi"/>
          <w:b/>
          <w:bCs/>
          <w:szCs w:val="28"/>
          <w:lang w:val="ru-MD"/>
        </w:rPr>
        <w:t xml:space="preserve">ОТЧЕТ </w:t>
      </w:r>
    </w:p>
    <w:p w:rsidR="001143CE" w:rsidRPr="002135B0" w:rsidRDefault="001143CE" w:rsidP="001143CE">
      <w:pPr>
        <w:tabs>
          <w:tab w:val="left" w:pos="720"/>
          <w:tab w:val="left" w:pos="3330"/>
        </w:tabs>
        <w:spacing w:after="0" w:line="276" w:lineRule="auto"/>
        <w:jc w:val="center"/>
        <w:rPr>
          <w:rFonts w:asciiTheme="majorHAnsi" w:eastAsia="Times New Roman" w:hAnsiTheme="majorHAnsi" w:cstheme="majorHAnsi"/>
          <w:b/>
          <w:bCs/>
          <w:szCs w:val="28"/>
          <w:lang w:val="ru-MD"/>
        </w:rPr>
      </w:pPr>
      <w:r w:rsidRPr="002135B0">
        <w:rPr>
          <w:rFonts w:asciiTheme="majorHAnsi" w:eastAsia="Times New Roman" w:hAnsiTheme="majorHAnsi" w:cstheme="majorHAnsi"/>
          <w:b/>
          <w:bCs/>
          <w:szCs w:val="28"/>
          <w:lang w:val="ru-MD"/>
        </w:rPr>
        <w:t>аудита консолидированной финансовой отчетности</w:t>
      </w:r>
    </w:p>
    <w:p w:rsidR="001143CE" w:rsidRPr="002135B0" w:rsidRDefault="001143CE" w:rsidP="001143CE">
      <w:pPr>
        <w:tabs>
          <w:tab w:val="left" w:pos="720"/>
          <w:tab w:val="left" w:pos="3330"/>
        </w:tabs>
        <w:spacing w:after="0" w:line="276" w:lineRule="auto"/>
        <w:jc w:val="center"/>
        <w:rPr>
          <w:rFonts w:asciiTheme="majorHAnsi" w:eastAsia="Times New Roman" w:hAnsiTheme="majorHAnsi" w:cstheme="majorHAnsi"/>
          <w:b/>
          <w:bCs/>
          <w:szCs w:val="28"/>
          <w:lang w:val="ru-MD"/>
        </w:rPr>
      </w:pPr>
      <w:r w:rsidRPr="002135B0">
        <w:rPr>
          <w:rFonts w:asciiTheme="majorHAnsi" w:eastAsia="Times New Roman" w:hAnsiTheme="majorHAnsi" w:cstheme="majorHAnsi"/>
          <w:b/>
          <w:bCs/>
          <w:szCs w:val="28"/>
          <w:lang w:val="ru-MD"/>
        </w:rPr>
        <w:t xml:space="preserve"> Министерства финансов, по состоянию на 31 декабря 2020 года </w:t>
      </w:r>
    </w:p>
    <w:p w:rsidR="001143CE" w:rsidRPr="002135B0" w:rsidRDefault="001143CE" w:rsidP="001143CE">
      <w:pPr>
        <w:spacing w:after="0" w:line="276" w:lineRule="auto"/>
        <w:jc w:val="center"/>
        <w:rPr>
          <w:rFonts w:asciiTheme="majorHAnsi" w:eastAsia="Times New Roman" w:hAnsiTheme="majorHAnsi" w:cstheme="majorHAnsi"/>
          <w:b/>
          <w:bCs/>
          <w:szCs w:val="28"/>
          <w:lang w:val="ru-MD"/>
        </w:rPr>
      </w:pPr>
    </w:p>
    <w:p w:rsidR="001143CE" w:rsidRPr="002135B0" w:rsidRDefault="001143CE" w:rsidP="001143CE">
      <w:pPr>
        <w:jc w:val="center"/>
        <w:rPr>
          <w:rFonts w:asciiTheme="majorHAnsi" w:eastAsia="Times New Roman" w:hAnsiTheme="majorHAnsi" w:cstheme="majorHAnsi"/>
          <w:b/>
          <w:szCs w:val="28"/>
          <w:lang w:val="ru-MD" w:eastAsia="ru-RU"/>
        </w:rPr>
      </w:pPr>
      <w:r w:rsidRPr="002135B0">
        <w:rPr>
          <w:rFonts w:asciiTheme="majorHAnsi" w:eastAsia="Times New Roman" w:hAnsiTheme="majorHAnsi" w:cstheme="majorHAnsi"/>
          <w:b/>
          <w:bCs/>
          <w:szCs w:val="28"/>
          <w:lang w:val="ru-MD"/>
        </w:rPr>
        <w:br w:type="page"/>
      </w:r>
      <w:bookmarkStart w:id="1" w:name="_Toc519878939"/>
      <w:bookmarkStart w:id="2" w:name="_Toc482967819"/>
    </w:p>
    <w:p w:rsidR="001143CE" w:rsidRPr="002135B0" w:rsidRDefault="001143CE" w:rsidP="001143CE">
      <w:pPr>
        <w:spacing w:after="0"/>
        <w:rPr>
          <w:rFonts w:asciiTheme="majorHAnsi" w:eastAsia="Times New Roman" w:hAnsiTheme="majorHAnsi" w:cstheme="majorHAnsi"/>
          <w:b/>
          <w:bCs/>
          <w:szCs w:val="28"/>
          <w:lang w:val="ru-MD"/>
        </w:rPr>
      </w:pPr>
      <w:r w:rsidRPr="002135B0">
        <w:rPr>
          <w:rFonts w:asciiTheme="majorHAnsi" w:eastAsia="Times New Roman" w:hAnsiTheme="majorHAnsi" w:cstheme="majorHAnsi"/>
          <w:b/>
          <w:szCs w:val="28"/>
          <w:lang w:val="ru-MD" w:eastAsia="ru-RU"/>
        </w:rPr>
        <w:lastRenderedPageBreak/>
        <w:t xml:space="preserve">I. АУДИТОРСКОЕ МНЕНИЕ </w:t>
      </w:r>
      <w:bookmarkEnd w:id="1"/>
    </w:p>
    <w:p w:rsidR="001143CE" w:rsidRPr="002135B0" w:rsidRDefault="001143CE" w:rsidP="001143CE">
      <w:pPr>
        <w:pStyle w:val="FootnoteText"/>
        <w:spacing w:after="120" w:line="276" w:lineRule="auto"/>
        <w:rPr>
          <w:rFonts w:asciiTheme="majorHAnsi" w:hAnsiTheme="majorHAnsi" w:cstheme="majorHAnsi"/>
          <w:sz w:val="24"/>
          <w:szCs w:val="24"/>
          <w:lang w:val="ru-MD"/>
        </w:rPr>
      </w:pPr>
      <w:r w:rsidRPr="002135B0">
        <w:rPr>
          <w:rFonts w:asciiTheme="majorHAnsi" w:hAnsiTheme="majorHAnsi" w:cstheme="majorHAnsi"/>
          <w:sz w:val="24"/>
          <w:szCs w:val="24"/>
          <w:lang w:val="ru-MD"/>
        </w:rPr>
        <w:t xml:space="preserve">Мы провели аудит консолидированной финансовой отчетности Министерства финансов за бюджетный год, завершившийся 31 декабря 2020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об исполнении бюджета за 2020 год, включая краткое изложение существенных аспектов </w:t>
      </w:r>
      <w:r w:rsidR="00847C46" w:rsidRPr="0073210C">
        <w:rPr>
          <w:rFonts w:asciiTheme="majorHAnsi" w:hAnsiTheme="majorHAnsi" w:cstheme="majorHAnsi"/>
          <w:sz w:val="24"/>
          <w:szCs w:val="24"/>
          <w:lang w:val="ro-MD"/>
        </w:rPr>
        <w:t>у</w:t>
      </w:r>
      <w:r w:rsidR="00847C46" w:rsidRPr="0073210C">
        <w:rPr>
          <w:rFonts w:asciiTheme="majorHAnsi" w:hAnsiTheme="majorHAnsi" w:cstheme="majorHAnsi"/>
          <w:sz w:val="24"/>
          <w:szCs w:val="24"/>
          <w:lang w:val="ru-MD"/>
        </w:rPr>
        <w:t>четных</w:t>
      </w:r>
      <w:r w:rsidRPr="002135B0">
        <w:rPr>
          <w:rFonts w:asciiTheme="majorHAnsi" w:hAnsiTheme="majorHAnsi" w:cstheme="majorHAnsi"/>
          <w:sz w:val="24"/>
          <w:szCs w:val="24"/>
          <w:lang w:val="ru-MD"/>
        </w:rPr>
        <w:t xml:space="preserve"> политик. По нашему мнению, 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2135B0">
        <w:rPr>
          <w:rStyle w:val="FootnoteReference"/>
          <w:rFonts w:asciiTheme="majorHAnsi" w:hAnsiTheme="majorHAnsi" w:cstheme="majorHAnsi"/>
          <w:sz w:val="24"/>
          <w:szCs w:val="24"/>
          <w:lang w:val="ru-MD"/>
        </w:rPr>
        <w:footnoteReference w:id="1"/>
      </w:r>
      <w:r w:rsidRPr="002135B0">
        <w:rPr>
          <w:rFonts w:asciiTheme="majorHAnsi" w:hAnsiTheme="majorHAnsi" w:cstheme="majorHAnsi"/>
          <w:sz w:val="24"/>
          <w:szCs w:val="24"/>
          <w:lang w:val="ru-MD"/>
        </w:rPr>
        <w:t>.</w:t>
      </w:r>
    </w:p>
    <w:p w:rsidR="001143CE" w:rsidRPr="002135B0" w:rsidRDefault="001143CE" w:rsidP="001143CE">
      <w:pPr>
        <w:keepNext/>
        <w:keepLines/>
        <w:tabs>
          <w:tab w:val="left" w:pos="-284"/>
          <w:tab w:val="left" w:pos="270"/>
        </w:tabs>
        <w:spacing w:after="0" w:line="276" w:lineRule="auto"/>
        <w:ind w:right="-68"/>
        <w:outlineLvl w:val="0"/>
        <w:rPr>
          <w:rFonts w:asciiTheme="majorHAnsi" w:hAnsiTheme="majorHAnsi" w:cstheme="majorHAnsi"/>
          <w:b/>
          <w:szCs w:val="28"/>
          <w:lang w:val="ru-MD" w:eastAsia="ru-RU"/>
        </w:rPr>
      </w:pPr>
      <w:bookmarkStart w:id="3" w:name="_Toc518977954"/>
      <w:bookmarkStart w:id="4" w:name="_Toc519878940"/>
      <w:bookmarkEnd w:id="2"/>
      <w:r w:rsidRPr="002135B0">
        <w:rPr>
          <w:rFonts w:asciiTheme="majorHAnsi" w:eastAsia="Times New Roman" w:hAnsiTheme="majorHAnsi" w:cstheme="majorHAnsi"/>
          <w:b/>
          <w:szCs w:val="28"/>
          <w:lang w:val="ru-MD" w:eastAsia="ru-RU"/>
        </w:rPr>
        <w:t>II. ОСНОВАНИЕ ДЛЯ ВЫРАЖЕНИЯ МНЕНИЯ</w:t>
      </w:r>
      <w:bookmarkStart w:id="5" w:name="_Toc506212732"/>
      <w:bookmarkEnd w:id="3"/>
      <w:bookmarkEnd w:id="4"/>
    </w:p>
    <w:p w:rsidR="001143CE" w:rsidRPr="00047ACF" w:rsidRDefault="001143CE" w:rsidP="001143CE">
      <w:pPr>
        <w:spacing w:after="120" w:line="276" w:lineRule="auto"/>
        <w:rPr>
          <w:rFonts w:ascii="Calibri Light" w:hAnsi="Calibri Light" w:cstheme="majorHAnsi"/>
          <w:color w:val="FF0000"/>
          <w:sz w:val="24"/>
          <w:szCs w:val="24"/>
          <w:shd w:val="clear" w:color="auto" w:fill="FFFFFF" w:themeFill="background1"/>
          <w:lang w:val="ru-MD"/>
        </w:rPr>
      </w:pPr>
      <w:r w:rsidRPr="002135B0">
        <w:rPr>
          <w:rFonts w:ascii="Calibri Light" w:hAnsi="Calibri Light" w:cstheme="majorHAnsi"/>
          <w:sz w:val="24"/>
          <w:szCs w:val="24"/>
          <w:shd w:val="clear" w:color="auto" w:fill="FFFFFF" w:themeFill="background1"/>
          <w:lang w:val="ru-MD"/>
        </w:rPr>
        <w:t>Мы провели аудиторскую миссию в соответствии с Международными стандартами Высших органов аудита</w:t>
      </w:r>
      <w:r w:rsidRPr="002135B0">
        <w:rPr>
          <w:rStyle w:val="FootnoteReference"/>
          <w:rFonts w:asciiTheme="majorHAnsi" w:eastAsia="Times New Roman" w:hAnsiTheme="majorHAnsi" w:cs="Times New Roman"/>
          <w:sz w:val="24"/>
          <w:szCs w:val="24"/>
          <w:lang w:val="ru-MD"/>
        </w:rPr>
        <w:footnoteReference w:id="2"/>
      </w:r>
      <w:r w:rsidRPr="002135B0">
        <w:rPr>
          <w:rFonts w:ascii="Calibri Light" w:hAnsi="Calibri Light" w:cstheme="majorHAnsi"/>
          <w:sz w:val="24"/>
          <w:szCs w:val="24"/>
          <w:shd w:val="clear" w:color="auto" w:fill="FFFFFF" w:themeFill="background1"/>
          <w:lang w:val="ru-MD"/>
        </w:rPr>
        <w:t xml:space="preserve">. Наши обязанности, согласно указанным стандартам, описаны в </w:t>
      </w:r>
      <w:r w:rsidRPr="002135B0">
        <w:rPr>
          <w:rFonts w:ascii="Calibri Light" w:hAnsi="Calibri Light" w:cstheme="majorHAnsi"/>
          <w:i/>
          <w:sz w:val="24"/>
          <w:szCs w:val="24"/>
          <w:shd w:val="clear" w:color="auto" w:fill="FFFFFF" w:themeFill="background1"/>
          <w:lang w:val="ru-MD"/>
        </w:rPr>
        <w:t xml:space="preserve">Разделе VII. </w:t>
      </w:r>
      <w:r w:rsidRPr="0073210C">
        <w:rPr>
          <w:rFonts w:ascii="Calibri Light" w:hAnsi="Calibri Light" w:cstheme="majorHAnsi"/>
          <w:i/>
          <w:sz w:val="24"/>
          <w:szCs w:val="24"/>
          <w:shd w:val="clear" w:color="auto" w:fill="FFFFFF" w:themeFill="background1"/>
          <w:lang w:val="ru-MD"/>
        </w:rPr>
        <w:t>Обязанности аудитора в рамках аудита финансовой отчетности</w:t>
      </w:r>
      <w:r w:rsidR="0073210C">
        <w:rPr>
          <w:rFonts w:ascii="Calibri Light" w:hAnsi="Calibri Light" w:cstheme="majorHAnsi"/>
          <w:i/>
          <w:sz w:val="24"/>
          <w:szCs w:val="24"/>
          <w:shd w:val="clear" w:color="auto" w:fill="FFFFFF" w:themeFill="background1"/>
          <w:lang w:val="ru-MD"/>
        </w:rPr>
        <w:t xml:space="preserve">. </w:t>
      </w:r>
    </w:p>
    <w:p w:rsidR="001143CE" w:rsidRPr="002135B0" w:rsidRDefault="001143CE" w:rsidP="001143CE">
      <w:pPr>
        <w:spacing w:after="120" w:line="276" w:lineRule="auto"/>
        <w:rPr>
          <w:rFonts w:ascii="Calibri Light" w:hAnsi="Calibri Light" w:cstheme="majorHAnsi"/>
          <w:sz w:val="24"/>
          <w:szCs w:val="24"/>
          <w:shd w:val="clear" w:color="auto" w:fill="FFFFFF" w:themeFill="background1"/>
          <w:lang w:val="ru-MD"/>
        </w:rPr>
      </w:pPr>
      <w:r w:rsidRPr="002135B0">
        <w:rPr>
          <w:rFonts w:ascii="Calibri Light" w:hAnsi="Calibri Light" w:cstheme="majorHAnsi"/>
          <w:sz w:val="24"/>
          <w:szCs w:val="24"/>
          <w:shd w:val="clear" w:color="auto" w:fill="FFFFFF" w:themeFill="background1"/>
          <w:lang w:val="ru-MD"/>
        </w:rPr>
        <w:t xml:space="preserve">Мы являемся независимыми </w:t>
      </w:r>
      <w:r w:rsidRPr="0073210C">
        <w:rPr>
          <w:rFonts w:ascii="Calibri Light" w:hAnsi="Calibri Light" w:cstheme="majorHAnsi"/>
          <w:sz w:val="24"/>
          <w:szCs w:val="24"/>
          <w:shd w:val="clear" w:color="auto" w:fill="FFFFFF" w:themeFill="background1"/>
          <w:lang w:val="ru-MD"/>
        </w:rPr>
        <w:t xml:space="preserve">от </w:t>
      </w:r>
      <w:proofErr w:type="spellStart"/>
      <w:r w:rsidRPr="0073210C">
        <w:rPr>
          <w:rFonts w:ascii="Calibri Light" w:hAnsi="Calibri Light" w:cstheme="majorHAnsi"/>
          <w:sz w:val="24"/>
          <w:szCs w:val="24"/>
          <w:shd w:val="clear" w:color="auto" w:fill="FFFFFF" w:themeFill="background1"/>
          <w:lang w:val="ru-MD"/>
        </w:rPr>
        <w:t>аудируемого</w:t>
      </w:r>
      <w:proofErr w:type="spellEnd"/>
      <w:r w:rsidRPr="002135B0">
        <w:rPr>
          <w:rFonts w:ascii="Calibri Light" w:hAnsi="Calibri Light" w:cstheme="majorHAnsi"/>
          <w:sz w:val="24"/>
          <w:szCs w:val="24"/>
          <w:shd w:val="clear" w:color="auto" w:fill="FFFFFF" w:themeFill="background1"/>
          <w:lang w:val="ru-MD"/>
        </w:rPr>
        <w:t xml:space="preserve"> </w:t>
      </w:r>
      <w:r w:rsidR="00047ACF" w:rsidRPr="00D70175">
        <w:rPr>
          <w:rFonts w:ascii="Calibri Light" w:eastAsia="Times New Roman" w:hAnsi="Calibri Light" w:cs="Calibri Light"/>
          <w:sz w:val="24"/>
          <w:szCs w:val="24"/>
          <w:lang w:val="ru-RU" w:eastAsia="ru-RU"/>
        </w:rPr>
        <w:t>перед</w:t>
      </w:r>
      <w:r w:rsidR="00047ACF" w:rsidRPr="002135B0">
        <w:rPr>
          <w:rFonts w:ascii="Calibri Light" w:hAnsi="Calibri Light" w:cstheme="majorHAnsi"/>
          <w:sz w:val="24"/>
          <w:szCs w:val="24"/>
          <w:shd w:val="clear" w:color="auto" w:fill="FFFFFF" w:themeFill="background1"/>
          <w:lang w:val="ru-MD"/>
        </w:rPr>
        <w:t xml:space="preserve"> </w:t>
      </w:r>
      <w:r w:rsidRPr="002135B0">
        <w:rPr>
          <w:rFonts w:ascii="Calibri Light" w:hAnsi="Calibri Light" w:cstheme="majorHAnsi"/>
          <w:sz w:val="24"/>
          <w:szCs w:val="24"/>
          <w:shd w:val="clear" w:color="auto" w:fill="FFFFFF" w:themeFill="background1"/>
          <w:lang w:val="ru-MD"/>
        </w:rPr>
        <w:t>субъект</w:t>
      </w:r>
      <w:r w:rsidRPr="0073210C">
        <w:rPr>
          <w:rFonts w:ascii="Calibri Light" w:hAnsi="Calibri Light" w:cstheme="majorHAnsi"/>
          <w:sz w:val="24"/>
          <w:szCs w:val="24"/>
          <w:shd w:val="clear" w:color="auto" w:fill="FFFFFF" w:themeFill="background1"/>
          <w:lang w:val="ru-MD"/>
        </w:rPr>
        <w:t>а</w:t>
      </w:r>
      <w:r w:rsidR="0073210C">
        <w:rPr>
          <w:rFonts w:ascii="Calibri Light" w:hAnsi="Calibri Light" w:cstheme="majorHAnsi"/>
          <w:sz w:val="24"/>
          <w:szCs w:val="24"/>
          <w:shd w:val="clear" w:color="auto" w:fill="FFFFFF" w:themeFill="background1"/>
          <w:lang w:val="ru-MD"/>
        </w:rPr>
        <w:t xml:space="preserve"> </w:t>
      </w:r>
      <w:r w:rsidRPr="002135B0">
        <w:rPr>
          <w:rFonts w:ascii="Calibri Light" w:hAnsi="Calibri Light" w:cstheme="majorHAnsi"/>
          <w:sz w:val="24"/>
          <w:szCs w:val="24"/>
          <w:shd w:val="clear" w:color="auto" w:fill="FFFFFF" w:themeFill="background1"/>
          <w:lang w:val="ru-MD"/>
        </w:rPr>
        <w:t xml:space="preserve">и выполняем обязанности по этике в соответствии с требованиями Кодекса этики Счетной палаты. Считаем, что полученные аудитом констатации являются достаточными и </w:t>
      </w:r>
      <w:r w:rsidR="00047ACF" w:rsidRPr="0073210C">
        <w:rPr>
          <w:rFonts w:ascii="Calibri Light" w:eastAsia="Times New Roman" w:hAnsi="Calibri Light" w:cs="Calibri Light"/>
          <w:sz w:val="24"/>
          <w:szCs w:val="24"/>
          <w:lang w:val="ru-RU" w:eastAsia="ru-RU"/>
        </w:rPr>
        <w:t>адекватными</w:t>
      </w:r>
      <w:r w:rsidRPr="002135B0">
        <w:rPr>
          <w:rFonts w:ascii="Calibri Light" w:hAnsi="Calibri Light" w:cstheme="majorHAnsi"/>
          <w:sz w:val="24"/>
          <w:szCs w:val="24"/>
          <w:shd w:val="clear" w:color="auto" w:fill="FFFFFF" w:themeFill="background1"/>
          <w:lang w:val="ru-MD"/>
        </w:rPr>
        <w:t>, чтобы служить основанием для нашего мнения.</w:t>
      </w:r>
    </w:p>
    <w:p w:rsidR="001143CE" w:rsidRPr="002135B0" w:rsidRDefault="001143CE" w:rsidP="001143CE">
      <w:pPr>
        <w:tabs>
          <w:tab w:val="left" w:pos="-238"/>
          <w:tab w:val="left" w:pos="90"/>
          <w:tab w:val="left" w:pos="360"/>
        </w:tabs>
        <w:rPr>
          <w:rFonts w:asciiTheme="majorHAnsi" w:hAnsiTheme="majorHAnsi" w:cstheme="minorHAnsi"/>
          <w:b/>
          <w:bCs/>
          <w:szCs w:val="28"/>
          <w:lang w:val="ru-MD"/>
        </w:rPr>
      </w:pPr>
      <w:r w:rsidRPr="002135B0">
        <w:rPr>
          <w:rFonts w:asciiTheme="majorHAnsi" w:hAnsiTheme="majorHAnsi" w:cstheme="minorHAnsi"/>
          <w:b/>
          <w:bCs/>
          <w:szCs w:val="28"/>
          <w:lang w:val="ru-MD"/>
        </w:rPr>
        <w:t>III. КЛЮЧЕВЫЕ АСПЕКТЫ АУДИТА</w:t>
      </w:r>
    </w:p>
    <w:p w:rsidR="001143CE" w:rsidRPr="002135B0" w:rsidRDefault="001143CE" w:rsidP="001143CE">
      <w:pPr>
        <w:tabs>
          <w:tab w:val="left" w:pos="90"/>
        </w:tabs>
        <w:spacing w:after="120" w:line="276" w:lineRule="auto"/>
        <w:rPr>
          <w:rFonts w:asciiTheme="majorHAnsi" w:eastAsia="Calibri" w:hAnsiTheme="majorHAnsi" w:cstheme="majorHAnsi"/>
          <w:sz w:val="24"/>
          <w:szCs w:val="24"/>
          <w:lang w:val="ru-MD"/>
        </w:rPr>
      </w:pPr>
      <w:r w:rsidRPr="002135B0">
        <w:rPr>
          <w:rFonts w:asciiTheme="majorHAnsi" w:eastAsia="Times New Roman" w:hAnsiTheme="majorHAnsi" w:cstheme="majorHAnsi"/>
          <w:color w:val="000000" w:themeColor="text1"/>
          <w:sz w:val="24"/>
          <w:szCs w:val="24"/>
          <w:lang w:val="ru-MD"/>
        </w:rPr>
        <w:t>Ключевыми аспектами аудита являются те аспекты, которые, по наш</w:t>
      </w:r>
      <w:r w:rsidR="00BD3BC7" w:rsidRPr="0073210C">
        <w:rPr>
          <w:rFonts w:asciiTheme="majorHAnsi" w:eastAsia="Times New Roman" w:hAnsiTheme="majorHAnsi" w:cstheme="majorHAnsi"/>
          <w:color w:val="000000" w:themeColor="text1"/>
          <w:sz w:val="24"/>
          <w:szCs w:val="24"/>
          <w:lang w:val="ru-MD"/>
        </w:rPr>
        <w:t>ем</w:t>
      </w:r>
      <w:r w:rsidR="0073210C">
        <w:rPr>
          <w:rFonts w:asciiTheme="majorHAnsi" w:eastAsia="Times New Roman" w:hAnsiTheme="majorHAnsi" w:cstheme="majorHAnsi"/>
          <w:color w:val="000000" w:themeColor="text1"/>
          <w:sz w:val="24"/>
          <w:szCs w:val="24"/>
          <w:lang w:val="ru-MD"/>
        </w:rPr>
        <w:t>у</w:t>
      </w:r>
      <w:r w:rsidRPr="00BD3BC7">
        <w:rPr>
          <w:rFonts w:asciiTheme="majorHAnsi" w:eastAsia="Times New Roman" w:hAnsiTheme="majorHAnsi" w:cstheme="majorHAnsi"/>
          <w:color w:val="FF0000"/>
          <w:sz w:val="24"/>
          <w:szCs w:val="24"/>
          <w:lang w:val="ru-MD"/>
        </w:rPr>
        <w:t xml:space="preserve"> </w:t>
      </w:r>
      <w:r w:rsidRPr="002135B0">
        <w:rPr>
          <w:rFonts w:asciiTheme="majorHAnsi" w:eastAsia="Times New Roman" w:hAnsiTheme="majorHAnsi" w:cstheme="majorHAnsi"/>
          <w:color w:val="000000" w:themeColor="text1"/>
          <w:sz w:val="24"/>
          <w:szCs w:val="24"/>
          <w:lang w:val="ru-MD"/>
        </w:rPr>
        <w:t>профессиональн</w:t>
      </w:r>
      <w:r w:rsidRPr="0073210C">
        <w:rPr>
          <w:rFonts w:asciiTheme="majorHAnsi" w:eastAsia="Times New Roman" w:hAnsiTheme="majorHAnsi" w:cstheme="majorHAnsi"/>
          <w:color w:val="000000" w:themeColor="text1"/>
          <w:sz w:val="24"/>
          <w:szCs w:val="24"/>
          <w:lang w:val="ru-MD"/>
        </w:rPr>
        <w:t>ому</w:t>
      </w:r>
      <w:r w:rsidRPr="002135B0">
        <w:rPr>
          <w:rFonts w:asciiTheme="majorHAnsi" w:eastAsia="Times New Roman" w:hAnsiTheme="majorHAnsi" w:cstheme="majorHAnsi"/>
          <w:color w:val="000000" w:themeColor="text1"/>
          <w:sz w:val="24"/>
          <w:szCs w:val="24"/>
          <w:lang w:val="ru-MD"/>
        </w:rPr>
        <w:t xml:space="preserve"> </w:t>
      </w:r>
      <w:r w:rsidRPr="0073210C">
        <w:rPr>
          <w:rFonts w:asciiTheme="majorHAnsi" w:eastAsia="Times New Roman" w:hAnsiTheme="majorHAnsi" w:cstheme="majorHAnsi"/>
          <w:color w:val="000000" w:themeColor="text1"/>
          <w:sz w:val="24"/>
          <w:szCs w:val="24"/>
          <w:lang w:val="ru-MD"/>
        </w:rPr>
        <w:t>суждению</w:t>
      </w:r>
      <w:r w:rsidRPr="002135B0">
        <w:rPr>
          <w:rFonts w:asciiTheme="majorHAnsi" w:eastAsia="Times New Roman" w:hAnsiTheme="majorHAnsi" w:cstheme="majorHAnsi"/>
          <w:color w:val="000000" w:themeColor="text1"/>
          <w:sz w:val="24"/>
          <w:szCs w:val="24"/>
          <w:lang w:val="ru-MD"/>
        </w:rPr>
        <w:t>, имели наибольшее значение для аудита консолидированной финансовой отчетности Министерства финансов по состоянию на 31 декабря 2020 года. Эти аспекты были рассмотрены в контексте аудита финансовой отчетности в целом, и формирования нашего мнения по ней, и мы не предлагаем отдельного мнения по этим аспектам.</w:t>
      </w:r>
      <w:r w:rsidRPr="002135B0">
        <w:rPr>
          <w:rFonts w:asciiTheme="majorHAnsi" w:eastAsia="Calibri" w:hAnsiTheme="majorHAnsi" w:cstheme="majorHAnsi"/>
          <w:sz w:val="24"/>
          <w:szCs w:val="24"/>
          <w:lang w:val="ru-MD"/>
        </w:rPr>
        <w:t xml:space="preserve"> </w:t>
      </w:r>
      <w:bookmarkEnd w:id="5"/>
    </w:p>
    <w:p w:rsidR="001143CE" w:rsidRPr="002135B0" w:rsidRDefault="001143CE" w:rsidP="001143CE">
      <w:pPr>
        <w:tabs>
          <w:tab w:val="left" w:pos="-182"/>
          <w:tab w:val="left" w:pos="360"/>
          <w:tab w:val="left" w:pos="450"/>
        </w:tabs>
        <w:spacing w:after="0" w:line="276" w:lineRule="auto"/>
        <w:rPr>
          <w:rFonts w:asciiTheme="majorHAnsi" w:eastAsia="Calibri" w:hAnsiTheme="majorHAnsi" w:cstheme="majorHAnsi"/>
          <w:b/>
          <w:szCs w:val="28"/>
          <w:lang w:val="ru-MD"/>
        </w:rPr>
      </w:pPr>
      <w:r w:rsidRPr="002135B0">
        <w:rPr>
          <w:rFonts w:asciiTheme="majorHAnsi" w:eastAsia="Calibri" w:hAnsiTheme="majorHAnsi" w:cstheme="majorHAnsi"/>
          <w:b/>
          <w:szCs w:val="28"/>
          <w:lang w:val="ru-MD"/>
        </w:rPr>
        <w:t>IV.</w:t>
      </w:r>
      <w:r w:rsidRPr="002135B0">
        <w:rPr>
          <w:rFonts w:asciiTheme="majorHAnsi" w:eastAsia="Calibri" w:hAnsiTheme="majorHAnsi" w:cstheme="majorHAnsi"/>
          <w:b/>
          <w:szCs w:val="28"/>
          <w:lang w:val="ru-MD"/>
        </w:rPr>
        <w:tab/>
      </w:r>
      <w:r w:rsidR="0073210C">
        <w:rPr>
          <w:rFonts w:asciiTheme="majorHAnsi" w:eastAsia="Calibri" w:hAnsiTheme="majorHAnsi" w:cstheme="majorHAnsi"/>
          <w:b/>
          <w:szCs w:val="28"/>
          <w:lang w:val="ru-MD"/>
        </w:rPr>
        <w:t>ДРУГАЯ ИНФОРМАЦИЯ</w:t>
      </w:r>
    </w:p>
    <w:p w:rsidR="001143CE" w:rsidRPr="002135B0" w:rsidRDefault="001143CE" w:rsidP="001143CE">
      <w:pPr>
        <w:spacing w:after="120" w:line="276" w:lineRule="auto"/>
        <w:ind w:right="50"/>
        <w:rPr>
          <w:rFonts w:asciiTheme="majorHAnsi" w:hAnsiTheme="majorHAnsi" w:cstheme="majorHAnsi"/>
          <w:bCs/>
          <w:sz w:val="24"/>
          <w:szCs w:val="24"/>
          <w:lang w:val="ru-MD"/>
        </w:rPr>
      </w:pPr>
      <w:r w:rsidRPr="002135B0">
        <w:rPr>
          <w:rFonts w:asciiTheme="majorHAnsi" w:eastAsia="Calibri" w:hAnsiTheme="majorHAnsi" w:cstheme="majorHAnsi"/>
          <w:sz w:val="24"/>
          <w:szCs w:val="24"/>
          <w:lang w:val="ru-MD"/>
        </w:rPr>
        <w:t xml:space="preserve">Информация, изложенная в Отчете аудита, хотя и не повлияла на наше аудиторское мнение, представляет собой информацию, которая должна быть доведена </w:t>
      </w:r>
      <w:proofErr w:type="spellStart"/>
      <w:r w:rsidRPr="0073210C">
        <w:rPr>
          <w:rFonts w:asciiTheme="majorHAnsi" w:eastAsia="Calibri" w:hAnsiTheme="majorHAnsi" w:cstheme="majorHAnsi"/>
          <w:sz w:val="24"/>
          <w:szCs w:val="24"/>
          <w:lang w:val="ru-MD"/>
        </w:rPr>
        <w:t>аудируемым</w:t>
      </w:r>
      <w:proofErr w:type="spellEnd"/>
      <w:r w:rsidRPr="002135B0">
        <w:rPr>
          <w:rFonts w:asciiTheme="majorHAnsi" w:eastAsia="Calibri" w:hAnsiTheme="majorHAnsi" w:cstheme="majorHAnsi"/>
          <w:sz w:val="24"/>
          <w:szCs w:val="24"/>
          <w:lang w:val="ru-MD"/>
        </w:rPr>
        <w:t xml:space="preserve"> </w:t>
      </w:r>
      <w:proofErr w:type="spellStart"/>
      <w:r w:rsidRPr="002135B0">
        <w:rPr>
          <w:rFonts w:asciiTheme="majorHAnsi" w:eastAsia="Calibri" w:hAnsiTheme="majorHAnsi" w:cstheme="majorHAnsi"/>
          <w:sz w:val="24"/>
          <w:szCs w:val="24"/>
          <w:lang w:val="ru-MD"/>
        </w:rPr>
        <w:t>субъек</w:t>
      </w:r>
      <w:proofErr w:type="spellEnd"/>
      <w:r w:rsidR="00AB2EA0">
        <w:rPr>
          <w:rFonts w:asciiTheme="majorHAnsi" w:eastAsia="Calibri" w:hAnsiTheme="majorHAnsi" w:cstheme="majorHAnsi"/>
          <w:sz w:val="24"/>
          <w:szCs w:val="24"/>
          <w:lang w:val="en-US"/>
        </w:rPr>
        <w:t>a</w:t>
      </w:r>
      <w:r w:rsidRPr="002135B0">
        <w:rPr>
          <w:rFonts w:asciiTheme="majorHAnsi" w:eastAsia="Calibri" w:hAnsiTheme="majorHAnsi" w:cstheme="majorHAnsi"/>
          <w:sz w:val="24"/>
          <w:szCs w:val="24"/>
          <w:lang w:val="ru-MD"/>
        </w:rPr>
        <w:t>там, в целях содействия улучшению системы внутреннего управленческого контроля Министерства финансов и его подведомственных учреждений</w:t>
      </w:r>
      <w:r w:rsidRPr="002135B0">
        <w:rPr>
          <w:rFonts w:asciiTheme="majorHAnsi" w:hAnsiTheme="majorHAnsi" w:cstheme="majorHAnsi"/>
          <w:bCs/>
          <w:sz w:val="24"/>
          <w:szCs w:val="24"/>
          <w:lang w:val="ru-MD"/>
        </w:rPr>
        <w:t>.</w:t>
      </w:r>
    </w:p>
    <w:p w:rsidR="001143CE" w:rsidRPr="002135B0" w:rsidRDefault="001143CE" w:rsidP="001143CE">
      <w:pPr>
        <w:tabs>
          <w:tab w:val="left" w:pos="180"/>
        </w:tabs>
        <w:spacing w:after="120" w:line="276" w:lineRule="auto"/>
        <w:rPr>
          <w:rFonts w:asciiTheme="majorHAnsi" w:hAnsiTheme="majorHAnsi" w:cstheme="majorHAnsi"/>
          <w:sz w:val="24"/>
          <w:szCs w:val="24"/>
          <w:lang w:val="ru-MD"/>
        </w:rPr>
      </w:pPr>
      <w:r w:rsidRPr="002135B0">
        <w:rPr>
          <w:rFonts w:asciiTheme="majorHAnsi" w:hAnsiTheme="majorHAnsi" w:cstheme="majorHAnsi"/>
          <w:iCs/>
          <w:sz w:val="24"/>
          <w:szCs w:val="24"/>
          <w:shd w:val="clear" w:color="auto" w:fill="FFFFFF" w:themeFill="background1"/>
          <w:lang w:val="ru-MD"/>
        </w:rPr>
        <w:t>4.1. Неприменение Государственной налоговой службой общих правил оценки</w:t>
      </w:r>
      <w:r w:rsidRPr="002135B0">
        <w:rPr>
          <w:rStyle w:val="FootnoteReference"/>
          <w:rFonts w:asciiTheme="majorHAnsi" w:hAnsiTheme="majorHAnsi" w:cstheme="majorHAnsi"/>
          <w:sz w:val="24"/>
          <w:szCs w:val="24"/>
          <w:lang w:val="ru-MD"/>
        </w:rPr>
        <w:footnoteReference w:id="3"/>
      </w:r>
      <w:r w:rsidRPr="002135B0">
        <w:rPr>
          <w:rFonts w:asciiTheme="majorHAnsi" w:hAnsiTheme="majorHAnsi" w:cstheme="majorHAnsi"/>
          <w:iCs/>
          <w:sz w:val="24"/>
          <w:szCs w:val="24"/>
          <w:shd w:val="clear" w:color="auto" w:fill="FFFFFF" w:themeFill="background1"/>
          <w:lang w:val="ru-MD"/>
        </w:rPr>
        <w:t xml:space="preserve"> в случае 11 земельных участков общей площадью 1,127 га обусловило занижение сальдо подкласса 37 „Непродуктивные активы</w:t>
      </w:r>
      <w:r w:rsidRPr="002135B0">
        <w:rPr>
          <w:rFonts w:asciiTheme="majorHAnsi" w:hAnsiTheme="majorHAnsi" w:cs="Times New Roman"/>
          <w:sz w:val="24"/>
          <w:szCs w:val="24"/>
          <w:lang w:val="ru-MD"/>
        </w:rPr>
        <w:t>” в</w:t>
      </w:r>
      <w:r w:rsidRPr="002135B0">
        <w:rPr>
          <w:rFonts w:asciiTheme="majorHAnsi" w:hAnsiTheme="majorHAnsi" w:cstheme="majorHAnsi"/>
          <w:iCs/>
          <w:sz w:val="24"/>
          <w:szCs w:val="24"/>
          <w:shd w:val="clear" w:color="auto" w:fill="FFFFFF" w:themeFill="background1"/>
          <w:lang w:val="ru-MD"/>
        </w:rPr>
        <w:t xml:space="preserve"> консолидированной финансовой отчетности, на сумму 1,5 млн. леев</w:t>
      </w:r>
      <w:r w:rsidRPr="002135B0">
        <w:rPr>
          <w:rFonts w:asciiTheme="majorHAnsi" w:hAnsiTheme="majorHAnsi" w:cstheme="majorHAnsi"/>
          <w:sz w:val="24"/>
          <w:szCs w:val="24"/>
          <w:lang w:val="ru-MD"/>
        </w:rPr>
        <w:t xml:space="preserve">. </w:t>
      </w:r>
    </w:p>
    <w:p w:rsidR="001143CE" w:rsidRPr="002135B0" w:rsidRDefault="001143CE" w:rsidP="001143CE">
      <w:pPr>
        <w:tabs>
          <w:tab w:val="left" w:pos="180"/>
        </w:tabs>
        <w:spacing w:after="120" w:line="276" w:lineRule="auto"/>
        <w:rPr>
          <w:rFonts w:asciiTheme="majorHAnsi" w:hAnsiTheme="majorHAnsi" w:cs="Times New Roman"/>
          <w:sz w:val="24"/>
          <w:szCs w:val="24"/>
          <w:lang w:val="ru-MD"/>
        </w:rPr>
      </w:pPr>
      <w:r w:rsidRPr="002135B0">
        <w:rPr>
          <w:rFonts w:asciiTheme="majorHAnsi" w:hAnsiTheme="majorHAnsi" w:cs="Times New Roman"/>
          <w:sz w:val="24"/>
          <w:szCs w:val="24"/>
          <w:lang w:val="ru-MD"/>
        </w:rPr>
        <w:lastRenderedPageBreak/>
        <w:t xml:space="preserve">4.2. </w:t>
      </w:r>
      <w:r w:rsidRPr="002135B0">
        <w:rPr>
          <w:rFonts w:asciiTheme="majorHAnsi" w:hAnsiTheme="majorHAnsi" w:cstheme="majorHAnsi"/>
          <w:sz w:val="24"/>
          <w:szCs w:val="24"/>
          <w:lang w:val="ru-MD"/>
        </w:rPr>
        <w:t xml:space="preserve"> Сохранение в инвестиционных расходах</w:t>
      </w:r>
      <w:r w:rsidRPr="002135B0">
        <w:rPr>
          <w:rStyle w:val="FootnoteReference"/>
          <w:rFonts w:asciiTheme="majorHAnsi" w:hAnsiTheme="majorHAnsi" w:cstheme="majorHAnsi"/>
          <w:sz w:val="24"/>
          <w:szCs w:val="24"/>
          <w:lang w:val="ru-MD"/>
        </w:rPr>
        <w:footnoteReference w:id="4"/>
      </w:r>
      <w:r w:rsidRPr="002135B0">
        <w:rPr>
          <w:rFonts w:asciiTheme="majorHAnsi" w:hAnsiTheme="majorHAnsi" w:cstheme="majorHAnsi"/>
          <w:sz w:val="24"/>
          <w:szCs w:val="24"/>
          <w:lang w:val="ru-MD"/>
        </w:rPr>
        <w:t xml:space="preserve"> Таможенной службой стоимости некоторых объектов недвижимого имущества (1,5 млн. леев), обусловленное затягиванием процесса приема и сдачи в эксплуатацию зданий, привело к </w:t>
      </w:r>
      <w:r w:rsidR="00E36EE0" w:rsidRPr="0073210C">
        <w:rPr>
          <w:rFonts w:asciiTheme="majorHAnsi" w:hAnsiTheme="majorHAnsi" w:cstheme="majorHAnsi"/>
          <w:sz w:val="24"/>
          <w:szCs w:val="24"/>
          <w:shd w:val="clear" w:color="auto" w:fill="FFFFFF" w:themeFill="background1"/>
          <w:lang w:val="ru-MD"/>
        </w:rPr>
        <w:t>занижени</w:t>
      </w:r>
      <w:r w:rsidR="0073210C" w:rsidRPr="0073210C">
        <w:rPr>
          <w:rFonts w:asciiTheme="majorHAnsi" w:hAnsiTheme="majorHAnsi" w:cstheme="majorHAnsi"/>
          <w:sz w:val="24"/>
          <w:szCs w:val="24"/>
          <w:shd w:val="clear" w:color="auto" w:fill="FFFFFF" w:themeFill="background1"/>
          <w:lang w:val="ru-MD"/>
        </w:rPr>
        <w:t>ю</w:t>
      </w:r>
      <w:r w:rsidRPr="0073210C">
        <w:rPr>
          <w:rFonts w:asciiTheme="majorHAnsi" w:hAnsiTheme="majorHAnsi" w:cstheme="majorHAnsi"/>
          <w:sz w:val="24"/>
          <w:szCs w:val="24"/>
          <w:lang w:val="ru-MD"/>
        </w:rPr>
        <w:t xml:space="preserve"> остатка группы</w:t>
      </w:r>
      <w:r w:rsidR="00E36EE0" w:rsidRPr="0073210C">
        <w:rPr>
          <w:rFonts w:asciiTheme="majorHAnsi" w:hAnsiTheme="majorHAnsi" w:cstheme="majorHAnsi"/>
          <w:sz w:val="24"/>
          <w:szCs w:val="24"/>
          <w:lang w:val="ru-MD"/>
        </w:rPr>
        <w:t xml:space="preserve"> </w:t>
      </w:r>
      <w:r w:rsidRPr="0073210C">
        <w:rPr>
          <w:rFonts w:asciiTheme="majorHAnsi" w:hAnsiTheme="majorHAnsi" w:cstheme="majorHAnsi"/>
          <w:sz w:val="24"/>
          <w:szCs w:val="24"/>
          <w:lang w:val="ru-MD"/>
        </w:rPr>
        <w:t xml:space="preserve"> счетов 311 </w:t>
      </w:r>
      <w:r w:rsidRPr="0073210C">
        <w:rPr>
          <w:rFonts w:asciiTheme="majorHAnsi" w:hAnsiTheme="majorHAnsi" w:cstheme="majorHAnsi"/>
          <w:iCs/>
          <w:lang w:val="ru-MD"/>
        </w:rPr>
        <w:t>„</w:t>
      </w:r>
      <w:r w:rsidRPr="0073210C">
        <w:rPr>
          <w:rFonts w:asciiTheme="majorHAnsi" w:hAnsiTheme="majorHAnsi" w:cstheme="majorHAnsi"/>
          <w:sz w:val="24"/>
          <w:szCs w:val="24"/>
          <w:lang w:val="ru-MD"/>
        </w:rPr>
        <w:t>Здания</w:t>
      </w:r>
      <w:r w:rsidRPr="0073210C">
        <w:rPr>
          <w:rFonts w:asciiTheme="majorHAnsi" w:eastAsia="Times New Roman" w:hAnsiTheme="majorHAnsi" w:cstheme="majorHAnsi"/>
          <w:bCs/>
          <w:sz w:val="24"/>
          <w:szCs w:val="24"/>
          <w:lang w:val="ru-MD" w:eastAsia="ru-RU"/>
        </w:rPr>
        <w:t>”</w:t>
      </w:r>
      <w:r w:rsidRPr="0073210C">
        <w:rPr>
          <w:rFonts w:asciiTheme="majorHAnsi" w:hAnsiTheme="majorHAnsi" w:cstheme="majorHAnsi"/>
          <w:sz w:val="24"/>
          <w:szCs w:val="24"/>
          <w:lang w:val="ru-MD"/>
        </w:rPr>
        <w:t xml:space="preserve"> и </w:t>
      </w:r>
      <w:r w:rsidR="00E36EE0" w:rsidRPr="0073210C">
        <w:rPr>
          <w:rFonts w:asciiTheme="majorHAnsi" w:hAnsiTheme="majorHAnsi" w:cstheme="majorHAnsi"/>
          <w:color w:val="000000"/>
          <w:sz w:val="24"/>
          <w:szCs w:val="24"/>
          <w:shd w:val="clear" w:color="auto" w:fill="FFFFFF" w:themeFill="background1"/>
          <w:lang w:val="ru-MD"/>
        </w:rPr>
        <w:t>завышени</w:t>
      </w:r>
      <w:r w:rsidR="0073210C" w:rsidRPr="0073210C">
        <w:rPr>
          <w:rFonts w:asciiTheme="majorHAnsi" w:hAnsiTheme="majorHAnsi" w:cstheme="majorHAnsi"/>
          <w:color w:val="000000"/>
          <w:sz w:val="24"/>
          <w:szCs w:val="24"/>
          <w:shd w:val="clear" w:color="auto" w:fill="FFFFFF" w:themeFill="background1"/>
          <w:lang w:val="ru-MD"/>
        </w:rPr>
        <w:t>ю</w:t>
      </w:r>
      <w:r w:rsidRPr="0073210C">
        <w:rPr>
          <w:rFonts w:asciiTheme="majorHAnsi" w:hAnsiTheme="majorHAnsi" w:cstheme="majorHAnsi"/>
          <w:sz w:val="24"/>
          <w:szCs w:val="24"/>
          <w:lang w:val="ru-MD"/>
        </w:rPr>
        <w:t xml:space="preserve"> остатка группы счетов 319 </w:t>
      </w:r>
      <w:r w:rsidRPr="0073210C">
        <w:rPr>
          <w:rFonts w:asciiTheme="majorHAnsi" w:hAnsiTheme="majorHAnsi" w:cstheme="majorHAnsi"/>
          <w:iCs/>
          <w:lang w:val="ru-MD"/>
        </w:rPr>
        <w:t>„</w:t>
      </w:r>
      <w:r w:rsidRPr="0073210C">
        <w:rPr>
          <w:rFonts w:asciiTheme="majorHAnsi" w:hAnsiTheme="majorHAnsi" w:cstheme="majorHAnsi"/>
          <w:sz w:val="24"/>
          <w:szCs w:val="24"/>
          <w:lang w:val="ru-MD"/>
        </w:rPr>
        <w:t>Неза</w:t>
      </w:r>
      <w:r w:rsidRPr="002135B0">
        <w:rPr>
          <w:rFonts w:asciiTheme="majorHAnsi" w:hAnsiTheme="majorHAnsi" w:cstheme="majorHAnsi"/>
          <w:sz w:val="24"/>
          <w:szCs w:val="24"/>
          <w:lang w:val="ru-MD"/>
        </w:rPr>
        <w:t xml:space="preserve">вершенные капитальные инвестиции” в </w:t>
      </w:r>
      <w:r w:rsidRPr="002135B0">
        <w:rPr>
          <w:rFonts w:asciiTheme="majorHAnsi" w:hAnsiTheme="majorHAnsi" w:cstheme="majorHAnsi"/>
          <w:iCs/>
          <w:sz w:val="24"/>
          <w:szCs w:val="24"/>
          <w:shd w:val="clear" w:color="auto" w:fill="FFFFFF" w:themeFill="background1"/>
          <w:lang w:val="ru-MD"/>
        </w:rPr>
        <w:t>консолидированной финансовой отчетности,</w:t>
      </w:r>
      <w:r w:rsidRPr="002135B0">
        <w:rPr>
          <w:rFonts w:asciiTheme="majorHAnsi" w:hAnsiTheme="majorHAnsi" w:cstheme="majorHAnsi"/>
          <w:sz w:val="24"/>
          <w:szCs w:val="24"/>
          <w:lang w:val="ru-MD"/>
        </w:rPr>
        <w:t xml:space="preserve"> на указанную сумму.</w:t>
      </w:r>
      <w:r w:rsidRPr="002135B0">
        <w:rPr>
          <w:rFonts w:asciiTheme="majorHAnsi" w:eastAsia="Times New Roman" w:hAnsiTheme="majorHAnsi" w:cstheme="majorHAnsi"/>
          <w:bCs/>
          <w:sz w:val="24"/>
          <w:szCs w:val="24"/>
          <w:lang w:val="ru-MD" w:eastAsia="ru-RU"/>
        </w:rPr>
        <w:t xml:space="preserve">  </w:t>
      </w:r>
    </w:p>
    <w:p w:rsidR="001143CE" w:rsidRPr="002135B0" w:rsidRDefault="001143CE" w:rsidP="001143CE">
      <w:pPr>
        <w:tabs>
          <w:tab w:val="left" w:pos="0"/>
          <w:tab w:val="left" w:pos="90"/>
        </w:tabs>
        <w:spacing w:after="120" w:line="276" w:lineRule="auto"/>
        <w:rPr>
          <w:rFonts w:asciiTheme="majorHAnsi" w:eastAsia="Times New Roman" w:hAnsiTheme="majorHAnsi" w:cstheme="majorHAnsi"/>
          <w:sz w:val="24"/>
          <w:szCs w:val="24"/>
          <w:lang w:val="ru-MD"/>
        </w:rPr>
      </w:pPr>
      <w:r w:rsidRPr="002135B0">
        <w:rPr>
          <w:rFonts w:asciiTheme="majorHAnsi" w:hAnsiTheme="majorHAnsi" w:cstheme="majorHAnsi"/>
          <w:sz w:val="24"/>
          <w:szCs w:val="24"/>
          <w:lang w:val="ru-MD"/>
        </w:rPr>
        <w:t>4.3. Классификация, признание и неправильное отнесение некоторых нефинансовых активов на сумму 2,4 млн. леев, из-за ошибочного и неоднозначного толкования положений методологических норм</w:t>
      </w:r>
      <w:r w:rsidRPr="002135B0">
        <w:rPr>
          <w:rStyle w:val="FootnoteReference"/>
          <w:rFonts w:asciiTheme="majorHAnsi" w:eastAsia="Times New Roman" w:hAnsiTheme="majorHAnsi" w:cstheme="majorHAnsi"/>
          <w:sz w:val="24"/>
          <w:szCs w:val="24"/>
          <w:lang w:val="ru-MD"/>
        </w:rPr>
        <w:footnoteReference w:id="5"/>
      </w:r>
      <w:r w:rsidRPr="002135B0">
        <w:rPr>
          <w:rFonts w:asciiTheme="majorHAnsi" w:hAnsiTheme="majorHAnsi" w:cstheme="majorHAnsi"/>
          <w:sz w:val="24"/>
          <w:szCs w:val="24"/>
          <w:lang w:val="ru-MD"/>
        </w:rPr>
        <w:t xml:space="preserve"> Министерством финансов и некоторыми подведомственными учреждениями, повлияли на </w:t>
      </w:r>
      <w:r w:rsidRPr="002135B0">
        <w:rPr>
          <w:rFonts w:asciiTheme="majorHAnsi" w:hAnsiTheme="majorHAnsi" w:cstheme="majorHAnsi"/>
          <w:iCs/>
          <w:sz w:val="24"/>
          <w:szCs w:val="24"/>
          <w:shd w:val="clear" w:color="auto" w:fill="FFFFFF" w:themeFill="background1"/>
          <w:lang w:val="ru-MD"/>
        </w:rPr>
        <w:t>консолидированную финансовую отчетность</w:t>
      </w:r>
      <w:r w:rsidRPr="002135B0">
        <w:rPr>
          <w:rFonts w:asciiTheme="majorHAnsi" w:hAnsiTheme="majorHAnsi" w:cstheme="majorHAnsi"/>
          <w:sz w:val="24"/>
          <w:szCs w:val="24"/>
          <w:lang w:val="ru-MD"/>
        </w:rPr>
        <w:t xml:space="preserve"> на указанную сумму</w:t>
      </w:r>
      <w:r w:rsidRPr="002135B0">
        <w:rPr>
          <w:rFonts w:asciiTheme="majorHAnsi" w:eastAsia="Times New Roman" w:hAnsiTheme="majorHAnsi" w:cstheme="majorHAnsi"/>
          <w:sz w:val="24"/>
          <w:szCs w:val="24"/>
          <w:lang w:val="ru-MD"/>
        </w:rPr>
        <w:t xml:space="preserve">. </w:t>
      </w:r>
    </w:p>
    <w:p w:rsidR="001143CE" w:rsidRPr="002135B0" w:rsidRDefault="001143CE" w:rsidP="001143CE">
      <w:pPr>
        <w:tabs>
          <w:tab w:val="left" w:pos="0"/>
          <w:tab w:val="left" w:pos="90"/>
        </w:tabs>
        <w:spacing w:after="120" w:line="276" w:lineRule="auto"/>
        <w:rPr>
          <w:rFonts w:asciiTheme="majorHAnsi" w:hAnsiTheme="majorHAnsi" w:cstheme="majorHAnsi"/>
          <w:sz w:val="24"/>
          <w:szCs w:val="24"/>
          <w:lang w:val="ru-MD"/>
        </w:rPr>
      </w:pPr>
      <w:r w:rsidRPr="002135B0">
        <w:rPr>
          <w:rFonts w:asciiTheme="majorHAnsi" w:hAnsiTheme="majorHAnsi" w:cstheme="majorHAnsi"/>
          <w:sz w:val="24"/>
          <w:szCs w:val="24"/>
          <w:lang w:val="ru-MD"/>
        </w:rPr>
        <w:t>4.4. Искажение информации о некоторых расходах в сумме 2,6 млн. леев, обусловленное некоторыми ошибками, допущенными при их признании и классификации</w:t>
      </w:r>
      <w:r w:rsidRPr="002135B0">
        <w:rPr>
          <w:rStyle w:val="FootnoteReference"/>
          <w:rFonts w:asciiTheme="majorHAnsi" w:hAnsiTheme="majorHAnsi" w:cstheme="majorHAnsi"/>
          <w:sz w:val="24"/>
          <w:szCs w:val="24"/>
          <w:lang w:val="ru-MD"/>
        </w:rPr>
        <w:footnoteReference w:id="6"/>
      </w:r>
      <w:r w:rsidRPr="002135B0">
        <w:rPr>
          <w:rFonts w:asciiTheme="majorHAnsi" w:hAnsiTheme="majorHAnsi" w:cstheme="majorHAnsi"/>
          <w:sz w:val="24"/>
          <w:szCs w:val="24"/>
          <w:lang w:val="ru-MD"/>
        </w:rPr>
        <w:t>. В этом аспекте, отмечаются (i) расходы, связанные с внедрением модулей и функциональных возможностей, связанных с информационными системами, на общую сумму 0,5 млн. леев, которые не были отражены в стоимости соответствующих систем Информационных технологий; (</w:t>
      </w:r>
      <w:proofErr w:type="spellStart"/>
      <w:r w:rsidRPr="002135B0">
        <w:rPr>
          <w:rFonts w:asciiTheme="majorHAnsi" w:hAnsiTheme="majorHAnsi" w:cstheme="majorHAnsi"/>
          <w:sz w:val="24"/>
          <w:szCs w:val="24"/>
          <w:lang w:val="ru-MD"/>
        </w:rPr>
        <w:t>ii</w:t>
      </w:r>
      <w:proofErr w:type="spellEnd"/>
      <w:r w:rsidRPr="002135B0">
        <w:rPr>
          <w:rFonts w:asciiTheme="majorHAnsi" w:hAnsiTheme="majorHAnsi" w:cstheme="majorHAnsi"/>
          <w:sz w:val="24"/>
          <w:szCs w:val="24"/>
          <w:lang w:val="ru-MD"/>
        </w:rPr>
        <w:t>) услуги по анализу налоговой информации на сумму 0,8 млн. леев, которые были неправильно отнесены на ,,Услуги, не отнесенные к другим подстатьям”; (</w:t>
      </w:r>
      <w:proofErr w:type="spellStart"/>
      <w:r w:rsidRPr="002135B0">
        <w:rPr>
          <w:rFonts w:asciiTheme="majorHAnsi" w:hAnsiTheme="majorHAnsi" w:cstheme="majorHAnsi"/>
          <w:sz w:val="24"/>
          <w:szCs w:val="24"/>
          <w:lang w:val="ru-MD"/>
        </w:rPr>
        <w:t>iii</w:t>
      </w:r>
      <w:proofErr w:type="spellEnd"/>
      <w:r w:rsidRPr="002135B0">
        <w:rPr>
          <w:rFonts w:asciiTheme="majorHAnsi" w:hAnsiTheme="majorHAnsi" w:cstheme="majorHAnsi"/>
          <w:sz w:val="24"/>
          <w:szCs w:val="24"/>
          <w:lang w:val="ru-MD"/>
        </w:rPr>
        <w:t xml:space="preserve">) расходы на услуги по разработке технического задания и концепции системы SIECAR в </w:t>
      </w:r>
      <w:r w:rsidRPr="002135B0">
        <w:rPr>
          <w:rFonts w:asciiTheme="majorHAnsi" w:eastAsia="Times New Roman" w:hAnsiTheme="majorHAnsi" w:cstheme="majorHAnsi"/>
          <w:sz w:val="24"/>
          <w:szCs w:val="24"/>
          <w:lang w:val="ru-MD"/>
        </w:rPr>
        <w:t xml:space="preserve">1C </w:t>
      </w:r>
      <w:proofErr w:type="spellStart"/>
      <w:r w:rsidRPr="002135B0">
        <w:rPr>
          <w:rFonts w:asciiTheme="majorHAnsi" w:eastAsia="Times New Roman" w:hAnsiTheme="majorHAnsi" w:cstheme="majorHAnsi"/>
          <w:sz w:val="24"/>
          <w:szCs w:val="24"/>
          <w:lang w:val="ru-MD"/>
        </w:rPr>
        <w:t>Cloud</w:t>
      </w:r>
      <w:proofErr w:type="spellEnd"/>
      <w:r w:rsidRPr="002135B0">
        <w:rPr>
          <w:rFonts w:asciiTheme="majorHAnsi" w:eastAsia="Times New Roman" w:hAnsiTheme="majorHAnsi" w:cstheme="majorHAnsi"/>
          <w:sz w:val="24"/>
          <w:szCs w:val="24"/>
          <w:lang w:val="ru-MD"/>
        </w:rPr>
        <w:t xml:space="preserve"> </w:t>
      </w:r>
      <w:proofErr w:type="spellStart"/>
      <w:r w:rsidRPr="002135B0">
        <w:rPr>
          <w:rFonts w:asciiTheme="majorHAnsi" w:eastAsia="Times New Roman" w:hAnsiTheme="majorHAnsi" w:cstheme="majorHAnsi"/>
          <w:sz w:val="24"/>
          <w:szCs w:val="24"/>
          <w:lang w:val="ru-MD"/>
        </w:rPr>
        <w:t>Guvernamental</w:t>
      </w:r>
      <w:proofErr w:type="spellEnd"/>
      <w:r w:rsidRPr="002135B0">
        <w:rPr>
          <w:rFonts w:asciiTheme="majorHAnsi" w:eastAsia="Times New Roman" w:hAnsiTheme="majorHAnsi" w:cstheme="majorHAnsi"/>
          <w:sz w:val="24"/>
          <w:szCs w:val="24"/>
          <w:lang w:val="ru-MD"/>
        </w:rPr>
        <w:t xml:space="preserve"> </w:t>
      </w:r>
      <w:r w:rsidRPr="002135B0">
        <w:rPr>
          <w:rFonts w:asciiTheme="majorHAnsi" w:hAnsiTheme="majorHAnsi" w:cstheme="majorHAnsi"/>
          <w:sz w:val="24"/>
          <w:szCs w:val="24"/>
          <w:lang w:val="ru-MD"/>
        </w:rPr>
        <w:t>для бюджетных учреждений, на сумму 0,8 млн. леев, которые должны были быть учтены как капитальные инвестиции в незавершенные активы; (</w:t>
      </w:r>
      <w:proofErr w:type="spellStart"/>
      <w:r w:rsidRPr="002135B0">
        <w:rPr>
          <w:rFonts w:asciiTheme="majorHAnsi" w:hAnsiTheme="majorHAnsi" w:cstheme="majorHAnsi"/>
          <w:sz w:val="24"/>
          <w:szCs w:val="24"/>
          <w:lang w:val="ru-MD"/>
        </w:rPr>
        <w:t>iv</w:t>
      </w:r>
      <w:proofErr w:type="spellEnd"/>
      <w:r w:rsidRPr="002135B0">
        <w:rPr>
          <w:rFonts w:asciiTheme="majorHAnsi" w:hAnsiTheme="majorHAnsi" w:cstheme="majorHAnsi"/>
          <w:sz w:val="24"/>
          <w:szCs w:val="24"/>
          <w:lang w:val="ru-MD"/>
        </w:rPr>
        <w:t xml:space="preserve">) расходы на проектные услуги и ремонтные работы в некоторых таможенных офисах, на сумму 0,4 млн. леев, которые должны были быть отражены на стоимости восстановленных объектов; (v) расходы на обесценивание активов в размере 0,1 млн. леев, вследствие неправильного расчета износа основных средств. </w:t>
      </w:r>
    </w:p>
    <w:p w:rsidR="001143CE" w:rsidRPr="002135B0" w:rsidRDefault="001143CE" w:rsidP="001143CE">
      <w:pPr>
        <w:pStyle w:val="NormalWeb"/>
        <w:spacing w:after="120" w:line="276" w:lineRule="auto"/>
        <w:ind w:firstLine="0"/>
        <w:rPr>
          <w:rFonts w:asciiTheme="majorHAnsi" w:hAnsiTheme="majorHAnsi" w:cstheme="majorHAnsi"/>
          <w:lang w:val="ru-MD"/>
        </w:rPr>
      </w:pPr>
      <w:r w:rsidRPr="002135B0">
        <w:rPr>
          <w:rFonts w:asciiTheme="majorHAnsi" w:hAnsiTheme="majorHAnsi" w:cstheme="majorHAnsi"/>
          <w:lang w:val="ru-MD"/>
        </w:rPr>
        <w:t xml:space="preserve">4.5. Недостаточное регулирование в нормативной базе процедур, касающихся учета конфискованных товаров, не принадлежащих учреждению, </w:t>
      </w:r>
      <w:r w:rsidR="00A4489B" w:rsidRPr="0073210C">
        <w:rPr>
          <w:rFonts w:asciiTheme="majorHAnsi" w:hAnsiTheme="majorHAnsi" w:cstheme="majorHAnsi"/>
          <w:lang w:val="ru-MD"/>
        </w:rPr>
        <w:t>генерирует</w:t>
      </w:r>
      <w:r w:rsidR="00A4489B">
        <w:rPr>
          <w:rFonts w:asciiTheme="majorHAnsi" w:hAnsiTheme="majorHAnsi" w:cstheme="majorHAnsi"/>
          <w:lang w:val="ru-MD"/>
        </w:rPr>
        <w:t xml:space="preserve"> </w:t>
      </w:r>
      <w:r w:rsidRPr="002135B0">
        <w:rPr>
          <w:rFonts w:asciiTheme="majorHAnsi" w:hAnsiTheme="majorHAnsi" w:cstheme="majorHAnsi"/>
          <w:lang w:val="ru-MD"/>
        </w:rPr>
        <w:t xml:space="preserve">неясности в отношении порядка их учета. Так, несмотря на то, что Государственная налоговая служба ведет аналитический учет конфискованного имущества, полученного </w:t>
      </w:r>
      <w:r w:rsidRPr="0073210C">
        <w:rPr>
          <w:rFonts w:asciiTheme="majorHAnsi" w:hAnsiTheme="majorHAnsi" w:cstheme="majorHAnsi"/>
          <w:lang w:val="ru-MD"/>
        </w:rPr>
        <w:t>на</w:t>
      </w:r>
      <w:r w:rsidRPr="002135B0">
        <w:rPr>
          <w:rFonts w:asciiTheme="majorHAnsi" w:hAnsiTheme="majorHAnsi" w:cstheme="majorHAnsi"/>
          <w:lang w:val="ru-MD"/>
        </w:rPr>
        <w:t xml:space="preserve"> продаж</w:t>
      </w:r>
      <w:r w:rsidRPr="0073210C">
        <w:rPr>
          <w:rFonts w:asciiTheme="majorHAnsi" w:hAnsiTheme="majorHAnsi" w:cstheme="majorHAnsi"/>
          <w:lang w:val="ru-MD"/>
        </w:rPr>
        <w:t>у</w:t>
      </w:r>
      <w:r w:rsidRPr="002135B0">
        <w:rPr>
          <w:rFonts w:asciiTheme="majorHAnsi" w:hAnsiTheme="majorHAnsi" w:cstheme="majorHAnsi"/>
          <w:lang w:val="ru-MD"/>
        </w:rPr>
        <w:t xml:space="preserve"> от Таможенной службы и других органов с правом конфискации, их стоимость в размере 18,4 млн. леев (на 31.12.2020) не отражается на </w:t>
      </w:r>
      <w:proofErr w:type="spellStart"/>
      <w:r w:rsidRPr="002135B0">
        <w:rPr>
          <w:rFonts w:asciiTheme="majorHAnsi" w:hAnsiTheme="majorHAnsi" w:cstheme="majorHAnsi"/>
          <w:lang w:val="ru-MD"/>
        </w:rPr>
        <w:t>внебалансовом</w:t>
      </w:r>
      <w:proofErr w:type="spellEnd"/>
      <w:r w:rsidRPr="002135B0">
        <w:rPr>
          <w:rFonts w:asciiTheme="majorHAnsi" w:hAnsiTheme="majorHAnsi" w:cstheme="majorHAnsi"/>
          <w:lang w:val="ru-MD"/>
        </w:rPr>
        <w:t xml:space="preserve"> счете (8222 „Товарно-материальные ценности, не принадлежащие учреждению”). Одновременно, в рамках Таможенной службы </w:t>
      </w:r>
      <w:r w:rsidR="00485007" w:rsidRPr="0073210C">
        <w:rPr>
          <w:rFonts w:asciiTheme="majorHAnsi" w:hAnsiTheme="majorHAnsi" w:cstheme="majorHAnsi"/>
          <w:lang w:val="ru-MD"/>
        </w:rPr>
        <w:t>конфискованные</w:t>
      </w:r>
      <w:r w:rsidR="00485007">
        <w:rPr>
          <w:rFonts w:asciiTheme="majorHAnsi" w:hAnsiTheme="majorHAnsi" w:cstheme="majorHAnsi"/>
          <w:lang w:val="ru-MD"/>
        </w:rPr>
        <w:t xml:space="preserve"> </w:t>
      </w:r>
      <w:r w:rsidRPr="002135B0">
        <w:rPr>
          <w:rFonts w:asciiTheme="majorHAnsi" w:hAnsiTheme="majorHAnsi" w:cstheme="majorHAnsi"/>
          <w:lang w:val="ru-MD"/>
        </w:rPr>
        <w:t xml:space="preserve">активы отражаются в бухгалтерском учете на счете 82221 „Товарно-материальные ценности, принятые на хранение” со стоимостью, установленной констатирующим агентом, а в протоколах их передачи Государственной налоговой службе на продажу, указывается стоимость активов, переоцененная таможенной лабораторией. В результате, возникает расхождение между стоимостью активов, конфискованных Таможенной службой, и их стоимостью, переданной Государственной налоговой службе, что генерирует </w:t>
      </w:r>
      <w:r w:rsidRPr="002135B0">
        <w:rPr>
          <w:rFonts w:asciiTheme="majorHAnsi" w:hAnsiTheme="majorHAnsi" w:cstheme="majorHAnsi"/>
          <w:lang w:val="ru-MD"/>
        </w:rPr>
        <w:lastRenderedPageBreak/>
        <w:t xml:space="preserve">неточности между данными, отраженными учреждениями, находящимися в подчинении Министерства финансов, что может повлиять на финансовую отчетность.  </w:t>
      </w:r>
    </w:p>
    <w:p w:rsidR="001143CE" w:rsidRPr="002135B0" w:rsidRDefault="001143CE" w:rsidP="001143CE">
      <w:pPr>
        <w:pStyle w:val="ListParagraph"/>
        <w:tabs>
          <w:tab w:val="left" w:pos="90"/>
        </w:tabs>
        <w:ind w:left="0"/>
        <w:contextualSpacing w:val="0"/>
        <w:rPr>
          <w:rFonts w:asciiTheme="majorHAnsi" w:hAnsiTheme="majorHAnsi" w:cstheme="majorHAnsi"/>
          <w:sz w:val="24"/>
          <w:szCs w:val="24"/>
          <w:lang w:val="ru-MD"/>
        </w:rPr>
      </w:pPr>
      <w:r w:rsidRPr="002135B0">
        <w:rPr>
          <w:rFonts w:asciiTheme="majorHAnsi" w:hAnsiTheme="majorHAnsi" w:cstheme="majorHAnsi"/>
          <w:sz w:val="24"/>
          <w:szCs w:val="24"/>
          <w:lang w:val="ru-MD"/>
        </w:rPr>
        <w:t xml:space="preserve">4.6. На </w:t>
      </w:r>
      <w:proofErr w:type="gramStart"/>
      <w:r w:rsidRPr="002135B0">
        <w:rPr>
          <w:rFonts w:asciiTheme="majorHAnsi" w:hAnsiTheme="majorHAnsi" w:cstheme="majorHAnsi"/>
          <w:sz w:val="24"/>
          <w:szCs w:val="24"/>
          <w:lang w:val="ru-MD"/>
        </w:rPr>
        <w:t>счете ,,Незавершенные</w:t>
      </w:r>
      <w:proofErr w:type="gramEnd"/>
      <w:r w:rsidRPr="002135B0">
        <w:rPr>
          <w:rFonts w:asciiTheme="majorHAnsi" w:hAnsiTheme="majorHAnsi" w:cstheme="majorHAnsi"/>
          <w:sz w:val="24"/>
          <w:szCs w:val="24"/>
          <w:lang w:val="ru-MD"/>
        </w:rPr>
        <w:t xml:space="preserve"> капитальные инвестиции” в рамках Таможенной службы отражены расходы на разработку технических проектов 1997-2015 годов на общую сумму 2,1 млн. леев, которые не будут реализованы, увеличив, таким образом, остаток группы соответствующих счетов из-за отсутствия в нормативно-методологической базе, до конца 2020 года, положений о порядке списания этих расходов. </w:t>
      </w:r>
    </w:p>
    <w:p w:rsidR="001143CE" w:rsidRPr="002135B0" w:rsidRDefault="001143CE" w:rsidP="001143CE">
      <w:pPr>
        <w:pStyle w:val="ListParagraph"/>
        <w:numPr>
          <w:ilvl w:val="0"/>
          <w:numId w:val="1"/>
        </w:numPr>
        <w:tabs>
          <w:tab w:val="left" w:pos="90"/>
          <w:tab w:val="left" w:pos="270"/>
          <w:tab w:val="left" w:pos="720"/>
        </w:tabs>
        <w:spacing w:after="0" w:line="276" w:lineRule="auto"/>
        <w:jc w:val="left"/>
        <w:rPr>
          <w:rFonts w:asciiTheme="majorHAnsi" w:hAnsiTheme="majorHAnsi" w:cstheme="majorHAnsi"/>
          <w:b/>
          <w:szCs w:val="28"/>
          <w:lang w:val="ru-MD"/>
        </w:rPr>
      </w:pPr>
      <w:r w:rsidRPr="002135B0">
        <w:rPr>
          <w:rFonts w:asciiTheme="majorHAnsi" w:hAnsiTheme="majorHAnsi" w:cstheme="majorHAnsi"/>
          <w:b/>
          <w:szCs w:val="28"/>
          <w:lang w:val="ru-MD"/>
        </w:rPr>
        <w:t>НАДЛЕЖАЩЕЕ УПРАВЛЕНИЕ</w:t>
      </w:r>
    </w:p>
    <w:p w:rsidR="001143CE" w:rsidRPr="002135B0" w:rsidRDefault="001143CE" w:rsidP="001143CE">
      <w:pPr>
        <w:tabs>
          <w:tab w:val="left" w:pos="90"/>
        </w:tabs>
        <w:spacing w:after="120" w:line="276" w:lineRule="auto"/>
        <w:rPr>
          <w:rFonts w:asciiTheme="majorHAnsi" w:hAnsiTheme="majorHAnsi" w:cstheme="majorHAnsi"/>
          <w:sz w:val="24"/>
          <w:szCs w:val="24"/>
          <w:lang w:val="ru-MD"/>
        </w:rPr>
      </w:pPr>
      <w:r w:rsidRPr="002135B0">
        <w:rPr>
          <w:rFonts w:asciiTheme="majorHAnsi" w:hAnsiTheme="majorHAnsi" w:cstheme="majorHAnsi"/>
          <w:sz w:val="24"/>
          <w:szCs w:val="24"/>
          <w:lang w:val="ru-MD"/>
        </w:rPr>
        <w:t xml:space="preserve">5.1. В результате самооценки системы внутреннего управленческого контроля, министр финансов </w:t>
      </w:r>
      <w:r w:rsidR="00485007" w:rsidRPr="0073210C">
        <w:rPr>
          <w:rFonts w:asciiTheme="majorHAnsi" w:hAnsiTheme="majorHAnsi" w:cstheme="majorHAnsi"/>
          <w:sz w:val="24"/>
          <w:szCs w:val="24"/>
          <w:lang w:val="ru-RU"/>
        </w:rPr>
        <w:t>дал</w:t>
      </w:r>
      <w:r w:rsidR="00485007">
        <w:rPr>
          <w:rFonts w:asciiTheme="majorHAnsi" w:hAnsiTheme="majorHAnsi" w:cstheme="majorHAnsi"/>
          <w:sz w:val="24"/>
          <w:szCs w:val="24"/>
          <w:lang w:val="ru-RU"/>
        </w:rPr>
        <w:t xml:space="preserve"> </w:t>
      </w:r>
      <w:r w:rsidRPr="002135B0">
        <w:rPr>
          <w:rFonts w:asciiTheme="majorHAnsi" w:hAnsiTheme="majorHAnsi" w:cstheme="majorHAnsi"/>
          <w:sz w:val="24"/>
          <w:szCs w:val="24"/>
          <w:lang w:val="ru-MD"/>
        </w:rPr>
        <w:t>завер</w:t>
      </w:r>
      <w:r w:rsidR="00485007">
        <w:rPr>
          <w:rFonts w:asciiTheme="majorHAnsi" w:hAnsiTheme="majorHAnsi" w:cstheme="majorHAnsi"/>
          <w:sz w:val="24"/>
          <w:szCs w:val="24"/>
          <w:lang w:val="ru-MD"/>
        </w:rPr>
        <w:t>ения</w:t>
      </w:r>
      <w:r w:rsidRPr="002135B0">
        <w:rPr>
          <w:rFonts w:asciiTheme="majorHAnsi" w:hAnsiTheme="majorHAnsi" w:cstheme="majorHAnsi"/>
          <w:sz w:val="24"/>
          <w:szCs w:val="24"/>
          <w:lang w:val="ru-MD"/>
        </w:rPr>
        <w:t xml:space="preserve">, что как в Центральном аппарате Министерства финансов, так и на уровне подведомственных учреждений, составленные и представленные финансовые отчеты содержат полную информацию, в соответствии с Приказом министра финансов №216 от 28.12.2015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 Наличие </w:t>
      </w:r>
      <w:r w:rsidR="008F1689" w:rsidRPr="0073210C">
        <w:rPr>
          <w:rFonts w:asciiTheme="majorHAnsi" w:hAnsiTheme="majorHAnsi" w:cstheme="majorHAnsi"/>
          <w:sz w:val="24"/>
          <w:szCs w:val="24"/>
          <w:lang w:val="ru-RU"/>
        </w:rPr>
        <w:t>некоторых</w:t>
      </w:r>
      <w:r w:rsidR="008F1689" w:rsidRPr="002135B0">
        <w:rPr>
          <w:rFonts w:asciiTheme="majorHAnsi" w:hAnsiTheme="majorHAnsi" w:cstheme="majorHAnsi"/>
          <w:sz w:val="24"/>
          <w:szCs w:val="24"/>
          <w:lang w:val="ru-MD"/>
        </w:rPr>
        <w:t xml:space="preserve"> </w:t>
      </w:r>
      <w:r w:rsidRPr="002135B0">
        <w:rPr>
          <w:rFonts w:asciiTheme="majorHAnsi" w:hAnsiTheme="majorHAnsi" w:cstheme="majorHAnsi"/>
          <w:sz w:val="24"/>
          <w:szCs w:val="24"/>
          <w:lang w:val="ru-MD"/>
        </w:rPr>
        <w:t>недостатков в порядке организации и функционирования внутреннего управленческого контроля обусловило возникновение определенных несоответствий, что свидетельствует о необходимости принятия соответствующих мер для его укрепления. Также, необходимо обеспечить и в дальнейшем процедуры контроля, направленные на минимизацию сопутствующих рисков</w:t>
      </w:r>
      <w:r w:rsidRPr="002135B0">
        <w:rPr>
          <w:rFonts w:asciiTheme="majorHAnsi" w:hAnsiTheme="majorHAnsi" w:cstheme="majorHAnsi"/>
          <w:bCs/>
          <w:sz w:val="24"/>
          <w:szCs w:val="24"/>
          <w:lang w:val="ru-MD"/>
        </w:rPr>
        <w:t xml:space="preserve">. </w:t>
      </w:r>
      <w:r w:rsidRPr="002135B0">
        <w:rPr>
          <w:rFonts w:asciiTheme="majorHAnsi" w:hAnsiTheme="majorHAnsi" w:cstheme="majorHAnsi"/>
          <w:sz w:val="24"/>
          <w:szCs w:val="24"/>
          <w:lang w:val="ru-MD"/>
        </w:rPr>
        <w:t xml:space="preserve"> </w:t>
      </w:r>
    </w:p>
    <w:p w:rsidR="001143CE" w:rsidRPr="002135B0" w:rsidRDefault="001143CE" w:rsidP="001143CE">
      <w:pPr>
        <w:tabs>
          <w:tab w:val="left" w:pos="90"/>
        </w:tabs>
        <w:spacing w:after="120" w:line="276" w:lineRule="auto"/>
        <w:rPr>
          <w:rFonts w:asciiTheme="majorHAnsi" w:hAnsiTheme="majorHAnsi" w:cstheme="majorHAnsi"/>
          <w:bCs/>
          <w:sz w:val="24"/>
          <w:szCs w:val="24"/>
          <w:lang w:val="ru-MD"/>
        </w:rPr>
      </w:pPr>
      <w:r w:rsidRPr="002135B0">
        <w:rPr>
          <w:rFonts w:asciiTheme="majorHAnsi" w:hAnsiTheme="majorHAnsi" w:cstheme="majorHAnsi"/>
          <w:bCs/>
          <w:sz w:val="24"/>
          <w:szCs w:val="24"/>
          <w:lang w:val="ru-MD"/>
        </w:rPr>
        <w:t>5.2. В организационных структурах Центрального аппарата Министерства финансов, Государственной налоговой службы и Таможенной службы были учреждены, согласно законодательным требованиям, подразделения внутреннего аудита, которые в течение 2020 года были функциональными, их деятельность осуществлялась в соответствии с положениями нормативной базы и Национальными стандартами внутреннего аудита</w:t>
      </w:r>
      <w:r w:rsidRPr="002135B0">
        <w:rPr>
          <w:rStyle w:val="FootnoteReference"/>
          <w:rFonts w:asciiTheme="majorHAnsi" w:hAnsiTheme="majorHAnsi" w:cstheme="majorHAnsi"/>
          <w:sz w:val="24"/>
          <w:szCs w:val="24"/>
          <w:lang w:val="ru-MD"/>
        </w:rPr>
        <w:footnoteReference w:id="7"/>
      </w:r>
      <w:r w:rsidRPr="002135B0">
        <w:rPr>
          <w:rFonts w:asciiTheme="majorHAnsi" w:hAnsiTheme="majorHAnsi" w:cstheme="majorHAnsi"/>
          <w:sz w:val="24"/>
          <w:szCs w:val="24"/>
          <w:lang w:val="ru-MD"/>
        </w:rPr>
        <w:t>.</w:t>
      </w:r>
      <w:r w:rsidRPr="002135B0">
        <w:rPr>
          <w:rFonts w:asciiTheme="majorHAnsi" w:hAnsiTheme="majorHAnsi" w:cstheme="majorHAnsi"/>
          <w:bCs/>
          <w:sz w:val="24"/>
          <w:szCs w:val="24"/>
          <w:lang w:val="ru-MD"/>
        </w:rPr>
        <w:t xml:space="preserve"> </w:t>
      </w:r>
    </w:p>
    <w:p w:rsidR="001143CE" w:rsidRPr="002135B0" w:rsidRDefault="001143CE" w:rsidP="001143CE">
      <w:pPr>
        <w:tabs>
          <w:tab w:val="left" w:pos="90"/>
        </w:tabs>
        <w:spacing w:after="120" w:line="276" w:lineRule="auto"/>
        <w:rPr>
          <w:rFonts w:asciiTheme="majorHAnsi" w:hAnsiTheme="majorHAnsi"/>
          <w:sz w:val="24"/>
          <w:szCs w:val="24"/>
          <w:lang w:val="ru-MD"/>
        </w:rPr>
      </w:pPr>
      <w:r w:rsidRPr="002135B0">
        <w:rPr>
          <w:rFonts w:asciiTheme="majorHAnsi" w:hAnsiTheme="majorHAnsi" w:cstheme="majorHAnsi"/>
          <w:bCs/>
          <w:sz w:val="24"/>
          <w:szCs w:val="24"/>
          <w:lang w:val="ru-MD"/>
        </w:rPr>
        <w:t>5.3. В целях устранения ошибок, выявленных предыдущей аудиторской миссией, Счетная палата, Постановлением Счетной палаты №36 от 24.07.2020, направила Министерству финансов и его подведомственным учреждениям рекомендацию, которая была полностью внедрена</w:t>
      </w:r>
      <w:r w:rsidRPr="002135B0">
        <w:rPr>
          <w:rFonts w:asciiTheme="majorHAnsi" w:hAnsiTheme="majorHAnsi"/>
          <w:sz w:val="24"/>
          <w:szCs w:val="24"/>
          <w:lang w:val="ru-MD"/>
        </w:rPr>
        <w:t xml:space="preserve">. </w:t>
      </w:r>
    </w:p>
    <w:p w:rsidR="001143CE" w:rsidRPr="002135B0" w:rsidRDefault="001143CE" w:rsidP="001143CE">
      <w:pPr>
        <w:spacing w:after="120"/>
        <w:rPr>
          <w:rFonts w:asciiTheme="majorHAnsi" w:hAnsiTheme="majorHAnsi" w:cstheme="majorHAnsi"/>
          <w:sz w:val="24"/>
          <w:szCs w:val="24"/>
          <w:lang w:val="ru-MD"/>
        </w:rPr>
      </w:pPr>
      <w:r w:rsidRPr="002135B0">
        <w:rPr>
          <w:rFonts w:asciiTheme="majorHAnsi" w:hAnsiTheme="majorHAnsi" w:cstheme="majorHAnsi"/>
          <w:bCs/>
          <w:sz w:val="24"/>
          <w:szCs w:val="24"/>
          <w:lang w:val="ru-MD"/>
        </w:rPr>
        <w:t>5.4. Дебиторская задолженность судебных исполнителей перед государством по состоянию на 31.12.2020 составили 3,2 млн. леев, или на 0,7 млн. леев больше по сравнению с аналогичным периодом прошлого года. Государственная налоговая служба осуществляет мониторинг дебиторской задолженности на основе внутреннего Положения об администрировании актов судебных исполнителей, с проведением выборочных проверок и передачей для согласования контрольных документов. Аудит отмечает динамичный рост, на протяжении нескольких лет, соответствующей дебиторской задолженности, что указывает на необходимость усиления мер по погашению задолженностей судебных исполнителей</w:t>
      </w:r>
      <w:r w:rsidRPr="002135B0">
        <w:rPr>
          <w:rFonts w:asciiTheme="majorHAnsi" w:hAnsiTheme="majorHAnsi" w:cstheme="majorHAnsi"/>
          <w:sz w:val="24"/>
          <w:szCs w:val="24"/>
          <w:lang w:val="ru-MD"/>
        </w:rPr>
        <w:t>.</w:t>
      </w:r>
    </w:p>
    <w:p w:rsidR="001143CE" w:rsidRPr="002135B0" w:rsidRDefault="001143CE" w:rsidP="001143CE">
      <w:pPr>
        <w:tabs>
          <w:tab w:val="left" w:pos="90"/>
        </w:tabs>
        <w:spacing w:after="120" w:line="276" w:lineRule="auto"/>
        <w:rPr>
          <w:rFonts w:asciiTheme="majorHAnsi" w:eastAsia="Times New Roman" w:hAnsiTheme="majorHAnsi" w:cs="Times New Roman"/>
          <w:sz w:val="24"/>
          <w:szCs w:val="24"/>
          <w:lang w:val="ru-MD"/>
        </w:rPr>
      </w:pPr>
      <w:r w:rsidRPr="002135B0">
        <w:rPr>
          <w:rFonts w:asciiTheme="majorHAnsi" w:hAnsiTheme="majorHAnsi" w:cstheme="majorHAnsi"/>
          <w:b/>
          <w:szCs w:val="28"/>
          <w:lang w:val="ru-MD"/>
        </w:rPr>
        <w:lastRenderedPageBreak/>
        <w:t xml:space="preserve">VI. ОТВЕТСТВЕННОСТЬ РУКОВОДСТВА ЗА ФИНАНСОВУЮ ОТЧЕТНОСТЬ </w:t>
      </w:r>
    </w:p>
    <w:p w:rsidR="001143CE" w:rsidRPr="002135B0" w:rsidRDefault="001143CE" w:rsidP="001143CE">
      <w:pPr>
        <w:tabs>
          <w:tab w:val="left" w:pos="90"/>
        </w:tabs>
        <w:autoSpaceDE w:val="0"/>
        <w:autoSpaceDN w:val="0"/>
        <w:adjustRightInd w:val="0"/>
        <w:spacing w:after="120" w:line="276" w:lineRule="auto"/>
        <w:rPr>
          <w:rFonts w:asciiTheme="majorHAnsi" w:hAnsiTheme="majorHAnsi" w:cstheme="majorHAnsi"/>
          <w:sz w:val="24"/>
          <w:szCs w:val="24"/>
          <w:lang w:val="ru-MD"/>
        </w:rPr>
      </w:pPr>
      <w:r w:rsidRPr="002135B0">
        <w:rPr>
          <w:rFonts w:asciiTheme="majorHAnsi" w:hAnsiTheme="majorHAnsi" w:cstheme="majorHAnsi"/>
          <w:sz w:val="24"/>
          <w:szCs w:val="24"/>
          <w:lang w:val="ru-MD"/>
        </w:rPr>
        <w:t>Министр финансов, в качестве руководителя центрального отраслевого органа публичного управления, несет ответственность за составление и подписание консолидированной финансовой отчетности</w:t>
      </w:r>
      <w:r w:rsidRPr="002135B0">
        <w:rPr>
          <w:rFonts w:asciiTheme="majorHAnsi" w:hAnsiTheme="majorHAnsi" w:cstheme="majorHAnsi"/>
          <w:sz w:val="24"/>
          <w:szCs w:val="24"/>
          <w:vertAlign w:val="superscript"/>
          <w:lang w:val="ru-MD"/>
        </w:rPr>
        <w:footnoteReference w:id="8"/>
      </w:r>
      <w:r w:rsidRPr="002135B0">
        <w:rPr>
          <w:rFonts w:asciiTheme="majorHAnsi" w:hAnsiTheme="majorHAnsi" w:cstheme="majorHAnsi"/>
          <w:sz w:val="24"/>
          <w:szCs w:val="24"/>
          <w:lang w:val="ru-MD"/>
        </w:rPr>
        <w:t>, в соответствии с применяемой базой по финансовой отчетности, а также за организацию системы внутреннего контроля</w:t>
      </w:r>
      <w:r w:rsidRPr="002135B0">
        <w:rPr>
          <w:rFonts w:asciiTheme="majorHAnsi" w:hAnsiTheme="majorHAnsi" w:cstheme="majorHAnsi"/>
          <w:sz w:val="24"/>
          <w:szCs w:val="24"/>
          <w:vertAlign w:val="superscript"/>
          <w:lang w:val="ru-MD"/>
        </w:rPr>
        <w:footnoteReference w:id="9"/>
      </w:r>
      <w:r w:rsidRPr="002135B0">
        <w:rPr>
          <w:rFonts w:asciiTheme="majorHAnsi" w:hAnsiTheme="majorHAnsi" w:cstheme="majorHAnsi"/>
          <w:sz w:val="24"/>
          <w:szCs w:val="24"/>
          <w:lang w:val="ru-MD"/>
        </w:rPr>
        <w:t>, для обеспечения организованного и эффективного ведения экономической деятельности субъекта, включая строгое соблюдение целостности активов, предотвращение и выявление причин мошенничества и ошибки, точность и полнота бухгалтерских записей, а также своевременная подготовка надежной финансовой информации</w:t>
      </w:r>
      <w:r w:rsidRPr="002135B0">
        <w:rPr>
          <w:rFonts w:asciiTheme="majorHAnsi" w:hAnsiTheme="majorHAnsi" w:cstheme="majorHAnsi"/>
          <w:color w:val="000000"/>
          <w:sz w:val="24"/>
          <w:szCs w:val="24"/>
          <w:lang w:val="ru-MD"/>
        </w:rPr>
        <w:t>.</w:t>
      </w:r>
      <w:r w:rsidRPr="002135B0">
        <w:rPr>
          <w:rFonts w:asciiTheme="majorHAnsi" w:hAnsiTheme="majorHAnsi" w:cstheme="majorHAnsi"/>
          <w:sz w:val="24"/>
          <w:szCs w:val="24"/>
          <w:lang w:val="ru-MD"/>
        </w:rPr>
        <w:t xml:space="preserve"> </w:t>
      </w: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ajorHAnsi"/>
          <w:b/>
          <w:szCs w:val="28"/>
          <w:lang w:val="ru-MD"/>
        </w:rPr>
      </w:pPr>
      <w:r w:rsidRPr="002135B0">
        <w:rPr>
          <w:rFonts w:asciiTheme="majorHAnsi" w:hAnsiTheme="majorHAnsi" w:cstheme="majorHAnsi"/>
          <w:b/>
          <w:szCs w:val="28"/>
          <w:lang w:val="ru-MD"/>
        </w:rPr>
        <w:t>VII. ОТВЕТСТВЕННОСТЬ АУДИТОРА В РАМКАХ АУДИТА ФИНАНСОВОЙ ОТЧЕТНОСТИ</w:t>
      </w: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sz w:val="24"/>
          <w:szCs w:val="24"/>
          <w:lang w:val="ru-MD"/>
        </w:rPr>
      </w:pPr>
      <w:r w:rsidRPr="002135B0">
        <w:rPr>
          <w:rFonts w:asciiTheme="majorHAnsi" w:hAnsiTheme="majorHAnsi" w:cstheme="minorHAnsi"/>
          <w:sz w:val="24"/>
          <w:szCs w:val="24"/>
          <w:lang w:val="ru-MD"/>
        </w:rPr>
        <w:t>Наша ответственность заключалась в планировании и проведении аудиторской миссии с получением достаточных и уместных доказательств, подтверждающих основание для выражения аудиторского мнения. Наши цели были направлены на получение разумной уверенности в том, что консолидированная финансовая отчетность не содержит существенных искажений, обусловленных мошенничеством или ошибками, и в составлении соответствующего мнения.</w:t>
      </w: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sz w:val="24"/>
          <w:szCs w:val="24"/>
          <w:lang w:val="ru-MD"/>
        </w:rPr>
      </w:pPr>
      <w:r w:rsidRPr="002135B0">
        <w:rPr>
          <w:rFonts w:asciiTheme="majorHAnsi" w:hAnsiTheme="majorHAnsi" w:cstheme="majorHAnsi"/>
          <w:sz w:val="24"/>
          <w:szCs w:val="24"/>
          <w:lang w:val="ru-MD"/>
        </w:rPr>
        <w:t>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Pr="002135B0">
        <w:rPr>
          <w:rFonts w:asciiTheme="majorHAnsi" w:hAnsiTheme="majorHAnsi" w:cstheme="minorHAnsi"/>
          <w:sz w:val="24"/>
          <w:szCs w:val="24"/>
          <w:lang w:val="ru-MD"/>
        </w:rPr>
        <w:t xml:space="preserve">. </w:t>
      </w: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sz w:val="24"/>
          <w:szCs w:val="24"/>
          <w:lang w:val="ru-MD"/>
        </w:rPr>
      </w:pPr>
      <w:r w:rsidRPr="002135B0">
        <w:rPr>
          <w:rFonts w:asciiTheme="majorHAnsi" w:hAnsiTheme="majorHAnsi" w:cstheme="minorHAnsi"/>
          <w:sz w:val="24"/>
          <w:szCs w:val="24"/>
          <w:lang w:val="ru-MD"/>
        </w:rPr>
        <w:t>Более детальное описание обязанностей аудитора в рамках аудита финансовой отчетности опубликовано на сайте Счетной палаты:</w:t>
      </w:r>
      <w:r w:rsidRPr="002135B0">
        <w:rPr>
          <w:rFonts w:asciiTheme="majorHAnsi" w:hAnsiTheme="majorHAnsi"/>
          <w:lang w:val="ru-MD"/>
        </w:rPr>
        <w:t xml:space="preserve"> </w:t>
      </w:r>
      <w:hyperlink r:id="rId10" w:history="1">
        <w:r w:rsidRPr="002135B0">
          <w:rPr>
            <w:rStyle w:val="Hyperlink"/>
            <w:rFonts w:asciiTheme="majorHAnsi" w:hAnsiTheme="majorHAnsi" w:cstheme="majorHAnsi"/>
            <w:i/>
            <w:sz w:val="24"/>
            <w:szCs w:val="24"/>
            <w:lang w:val="ru-MD"/>
          </w:rPr>
          <w:t>http://www.ccrm.md/activitatea-curtii-de-conturi-1-25</w:t>
        </w:r>
      </w:hyperlink>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sz w:val="24"/>
          <w:szCs w:val="24"/>
          <w:lang w:val="ru-MD"/>
        </w:rPr>
      </w:pPr>
      <w:r w:rsidRPr="002135B0">
        <w:rPr>
          <w:rFonts w:asciiTheme="majorHAnsi" w:hAnsiTheme="majorHAnsi" w:cstheme="minorHAnsi"/>
          <w:sz w:val="24"/>
          <w:szCs w:val="24"/>
          <w:lang w:val="ru-MD"/>
        </w:rPr>
        <w:t xml:space="preserve"> </w:t>
      </w:r>
      <w:r w:rsidRPr="002135B0">
        <w:rPr>
          <w:rFonts w:asciiTheme="majorHAnsi" w:hAnsiTheme="majorHAnsi" w:cstheme="majorHAnsi"/>
          <w:sz w:val="24"/>
          <w:szCs w:val="24"/>
          <w:lang w:val="ru-MD"/>
        </w:rPr>
        <w:t>Это описание является составной частью настоящего Отчета аудита</w:t>
      </w:r>
      <w:r w:rsidRPr="002135B0">
        <w:rPr>
          <w:rFonts w:asciiTheme="majorHAnsi" w:hAnsiTheme="majorHAnsi" w:cstheme="minorHAnsi"/>
          <w:sz w:val="24"/>
          <w:szCs w:val="24"/>
          <w:lang w:val="ru-MD"/>
        </w:rPr>
        <w:t>.</w:t>
      </w: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sz w:val="24"/>
          <w:szCs w:val="24"/>
          <w:lang w:val="ru-MD"/>
        </w:rPr>
      </w:pP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sz w:val="24"/>
          <w:szCs w:val="24"/>
          <w:lang w:val="ru-MD"/>
        </w:rPr>
      </w:pP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b/>
          <w:i/>
          <w:sz w:val="24"/>
          <w:szCs w:val="24"/>
          <w:lang w:val="ru-MD"/>
        </w:rPr>
      </w:pPr>
      <w:r w:rsidRPr="002135B0">
        <w:rPr>
          <w:rFonts w:asciiTheme="majorHAnsi" w:eastAsia="Times New Roman" w:hAnsiTheme="majorHAnsi" w:cs="Times New Roman"/>
          <w:b/>
          <w:i/>
          <w:sz w:val="24"/>
          <w:szCs w:val="24"/>
          <w:lang w:val="ru-MD"/>
        </w:rPr>
        <w:t>Ответственный за составление Отчета аудита</w:t>
      </w:r>
      <w:r w:rsidRPr="002135B0">
        <w:rPr>
          <w:rFonts w:asciiTheme="majorHAnsi" w:hAnsiTheme="majorHAnsi" w:cstheme="minorHAnsi"/>
          <w:b/>
          <w:i/>
          <w:sz w:val="24"/>
          <w:szCs w:val="24"/>
          <w:lang w:val="ru-MD"/>
        </w:rPr>
        <w:t>:</w:t>
      </w: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sz w:val="24"/>
          <w:szCs w:val="24"/>
          <w:lang w:val="ru-MD"/>
        </w:rPr>
      </w:pPr>
      <w:r w:rsidRPr="002135B0">
        <w:rPr>
          <w:rFonts w:asciiTheme="majorHAnsi" w:eastAsia="Times New Roman" w:hAnsiTheme="majorHAnsi" w:cs="Times New Roman"/>
          <w:sz w:val="24"/>
          <w:szCs w:val="24"/>
          <w:lang w:val="ru-MD"/>
        </w:rPr>
        <w:t>Руководитель аудиторской группы</w:t>
      </w:r>
      <w:r w:rsidRPr="002135B0">
        <w:rPr>
          <w:rFonts w:asciiTheme="majorHAnsi" w:hAnsiTheme="majorHAnsi" w:cstheme="minorHAnsi"/>
          <w:sz w:val="24"/>
          <w:szCs w:val="24"/>
          <w:lang w:val="ru-MD"/>
        </w:rPr>
        <w:t>,</w:t>
      </w: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b/>
          <w:sz w:val="24"/>
          <w:szCs w:val="24"/>
          <w:lang w:val="ru-MD"/>
        </w:rPr>
      </w:pPr>
      <w:r w:rsidRPr="002135B0">
        <w:rPr>
          <w:rFonts w:asciiTheme="majorHAnsi" w:eastAsia="Times New Roman" w:hAnsiTheme="majorHAnsi" w:cs="Times New Roman"/>
          <w:sz w:val="24"/>
          <w:szCs w:val="24"/>
          <w:lang w:val="ru-MD"/>
        </w:rPr>
        <w:t>главный публичный аудитор</w:t>
      </w:r>
      <w:r w:rsidRPr="002135B0">
        <w:rPr>
          <w:rFonts w:asciiTheme="majorHAnsi" w:hAnsiTheme="majorHAnsi" w:cstheme="minorHAnsi"/>
          <w:sz w:val="24"/>
          <w:szCs w:val="24"/>
          <w:lang w:val="ru-MD"/>
        </w:rPr>
        <w:t xml:space="preserve">                                                                 </w:t>
      </w:r>
      <w:proofErr w:type="spellStart"/>
      <w:r w:rsidRPr="002135B0">
        <w:rPr>
          <w:rFonts w:asciiTheme="majorHAnsi" w:hAnsiTheme="majorHAnsi" w:cstheme="minorHAnsi"/>
          <w:b/>
          <w:sz w:val="24"/>
          <w:szCs w:val="24"/>
          <w:lang w:val="ru-MD"/>
        </w:rPr>
        <w:t>Тудор</w:t>
      </w:r>
      <w:proofErr w:type="spellEnd"/>
      <w:r w:rsidRPr="002135B0">
        <w:rPr>
          <w:rFonts w:asciiTheme="majorHAnsi" w:hAnsiTheme="majorHAnsi" w:cstheme="minorHAnsi"/>
          <w:b/>
          <w:sz w:val="24"/>
          <w:szCs w:val="24"/>
          <w:lang w:val="ru-MD"/>
        </w:rPr>
        <w:t xml:space="preserve"> Сухан</w:t>
      </w: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b/>
          <w:sz w:val="24"/>
          <w:szCs w:val="24"/>
          <w:lang w:val="ru-MD"/>
        </w:rPr>
      </w:pP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b/>
          <w:i/>
          <w:sz w:val="24"/>
          <w:szCs w:val="24"/>
          <w:lang w:val="ru-MD"/>
        </w:rPr>
      </w:pPr>
      <w:r w:rsidRPr="002135B0">
        <w:rPr>
          <w:rFonts w:asciiTheme="majorHAnsi" w:eastAsia="Times New Roman" w:hAnsiTheme="majorHAnsi" w:cs="Times New Roman"/>
          <w:b/>
          <w:i/>
          <w:sz w:val="24"/>
          <w:szCs w:val="24"/>
          <w:lang w:val="ru-MD"/>
        </w:rPr>
        <w:t>Члены аудиторской группы</w:t>
      </w:r>
      <w:r w:rsidRPr="002135B0">
        <w:rPr>
          <w:rFonts w:asciiTheme="majorHAnsi" w:hAnsiTheme="majorHAnsi" w:cstheme="minorHAnsi"/>
          <w:b/>
          <w:i/>
          <w:sz w:val="24"/>
          <w:szCs w:val="24"/>
          <w:lang w:val="ru-MD"/>
        </w:rPr>
        <w:t>:</w:t>
      </w:r>
    </w:p>
    <w:p w:rsidR="001143CE" w:rsidRPr="002135B0" w:rsidRDefault="001143CE" w:rsidP="001143CE">
      <w:pPr>
        <w:tabs>
          <w:tab w:val="left" w:pos="90"/>
          <w:tab w:val="left" w:pos="6480"/>
        </w:tabs>
        <w:autoSpaceDE w:val="0"/>
        <w:autoSpaceDN w:val="0"/>
        <w:adjustRightInd w:val="0"/>
        <w:spacing w:after="0" w:line="276" w:lineRule="auto"/>
        <w:rPr>
          <w:rFonts w:asciiTheme="majorHAnsi" w:hAnsiTheme="majorHAnsi" w:cstheme="minorHAnsi"/>
          <w:b/>
          <w:sz w:val="24"/>
          <w:szCs w:val="24"/>
          <w:lang w:val="ru-MD"/>
        </w:rPr>
      </w:pPr>
      <w:r w:rsidRPr="002135B0">
        <w:rPr>
          <w:rFonts w:asciiTheme="majorHAnsi" w:eastAsia="Times New Roman" w:hAnsiTheme="majorHAnsi" w:cs="Times New Roman"/>
          <w:sz w:val="24"/>
          <w:szCs w:val="24"/>
          <w:lang w:val="ru-MD"/>
        </w:rPr>
        <w:t>Старший публичный аудитор</w:t>
      </w:r>
      <w:r w:rsidRPr="002135B0">
        <w:rPr>
          <w:rFonts w:asciiTheme="majorHAnsi" w:hAnsiTheme="majorHAnsi" w:cstheme="minorHAnsi"/>
          <w:sz w:val="24"/>
          <w:szCs w:val="24"/>
          <w:lang w:val="ru-MD"/>
        </w:rPr>
        <w:t xml:space="preserve">                                                                  </w:t>
      </w:r>
      <w:r w:rsidRPr="002135B0">
        <w:rPr>
          <w:rFonts w:asciiTheme="majorHAnsi" w:hAnsiTheme="majorHAnsi" w:cstheme="minorHAnsi"/>
          <w:b/>
          <w:sz w:val="24"/>
          <w:szCs w:val="24"/>
          <w:lang w:val="ru-MD"/>
        </w:rPr>
        <w:t>Наталья Кабак</w:t>
      </w: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b/>
          <w:sz w:val="24"/>
          <w:szCs w:val="24"/>
          <w:lang w:val="ru-MD"/>
        </w:rPr>
      </w:pP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b/>
          <w:sz w:val="24"/>
          <w:szCs w:val="24"/>
          <w:lang w:val="ru-MD"/>
        </w:rPr>
      </w:pPr>
      <w:r w:rsidRPr="002135B0">
        <w:rPr>
          <w:rFonts w:asciiTheme="majorHAnsi" w:hAnsiTheme="majorHAnsi" w:cstheme="minorHAnsi"/>
          <w:b/>
          <w:sz w:val="24"/>
          <w:szCs w:val="24"/>
          <w:lang w:val="ru-MD"/>
        </w:rPr>
        <w:t>Ответственный за аудит</w:t>
      </w: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sz w:val="24"/>
          <w:szCs w:val="24"/>
          <w:lang w:val="ru-MD"/>
        </w:rPr>
      </w:pPr>
      <w:r w:rsidRPr="002135B0">
        <w:rPr>
          <w:rFonts w:asciiTheme="majorHAnsi" w:hAnsiTheme="majorHAnsi" w:cstheme="minorHAnsi"/>
          <w:sz w:val="24"/>
          <w:szCs w:val="24"/>
          <w:lang w:val="ru-MD"/>
        </w:rPr>
        <w:t>Начальник Главного управления аудита I,</w:t>
      </w: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b/>
          <w:sz w:val="24"/>
          <w:szCs w:val="24"/>
          <w:lang w:val="ru-MD"/>
        </w:rPr>
      </w:pPr>
      <w:r w:rsidRPr="002135B0">
        <w:rPr>
          <w:rFonts w:asciiTheme="majorHAnsi" w:hAnsiTheme="majorHAnsi" w:cstheme="minorHAnsi"/>
          <w:sz w:val="24"/>
          <w:szCs w:val="24"/>
          <w:lang w:val="ru-MD"/>
        </w:rPr>
        <w:lastRenderedPageBreak/>
        <w:t xml:space="preserve">публичный аудитор                                                                                   </w:t>
      </w:r>
      <w:r w:rsidRPr="002135B0">
        <w:rPr>
          <w:rFonts w:asciiTheme="majorHAnsi" w:hAnsiTheme="majorHAnsi" w:cstheme="minorHAnsi"/>
          <w:b/>
          <w:sz w:val="24"/>
          <w:szCs w:val="24"/>
          <w:lang w:val="ru-MD"/>
        </w:rPr>
        <w:t xml:space="preserve">Наталья Трофим </w:t>
      </w: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b/>
          <w:sz w:val="24"/>
          <w:szCs w:val="24"/>
          <w:lang w:val="ru-MD"/>
        </w:rPr>
      </w:pP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b/>
          <w:sz w:val="24"/>
          <w:szCs w:val="24"/>
          <w:lang w:val="ru-MD"/>
        </w:rPr>
      </w:pPr>
      <w:r w:rsidRPr="002135B0">
        <w:rPr>
          <w:rFonts w:asciiTheme="majorHAnsi" w:hAnsiTheme="majorHAnsi" w:cstheme="minorHAnsi"/>
          <w:b/>
          <w:sz w:val="24"/>
          <w:szCs w:val="24"/>
          <w:lang w:val="ru-MD"/>
        </w:rPr>
        <w:t>Ответственный за аудит</w:t>
      </w:r>
    </w:p>
    <w:p w:rsidR="001143CE" w:rsidRPr="002135B0" w:rsidRDefault="001143CE" w:rsidP="001143CE">
      <w:pPr>
        <w:tabs>
          <w:tab w:val="left" w:pos="90"/>
        </w:tabs>
        <w:autoSpaceDE w:val="0"/>
        <w:autoSpaceDN w:val="0"/>
        <w:adjustRightInd w:val="0"/>
        <w:spacing w:after="0" w:line="276" w:lineRule="auto"/>
        <w:rPr>
          <w:rFonts w:asciiTheme="majorHAnsi" w:hAnsiTheme="majorHAnsi" w:cstheme="minorHAnsi"/>
          <w:sz w:val="24"/>
          <w:szCs w:val="24"/>
          <w:lang w:val="ru-MD"/>
        </w:rPr>
      </w:pPr>
      <w:r w:rsidRPr="002135B0">
        <w:rPr>
          <w:rFonts w:asciiTheme="majorHAnsi" w:hAnsiTheme="majorHAnsi" w:cstheme="minorHAnsi"/>
          <w:sz w:val="24"/>
          <w:szCs w:val="24"/>
          <w:lang w:val="ru-MD"/>
        </w:rPr>
        <w:t>Начальник I Управления аудита в рамках</w:t>
      </w:r>
    </w:p>
    <w:p w:rsidR="001143CE" w:rsidRPr="002135B0" w:rsidRDefault="001143CE" w:rsidP="001143CE">
      <w:pPr>
        <w:tabs>
          <w:tab w:val="left" w:pos="90"/>
          <w:tab w:val="left" w:pos="6480"/>
        </w:tabs>
        <w:autoSpaceDE w:val="0"/>
        <w:autoSpaceDN w:val="0"/>
        <w:adjustRightInd w:val="0"/>
        <w:spacing w:after="0" w:line="276" w:lineRule="auto"/>
        <w:rPr>
          <w:rFonts w:asciiTheme="majorHAnsi" w:hAnsiTheme="majorHAnsi"/>
          <w:lang w:val="ru-MD"/>
        </w:rPr>
      </w:pPr>
      <w:r w:rsidRPr="002135B0">
        <w:rPr>
          <w:rFonts w:asciiTheme="majorHAnsi" w:hAnsiTheme="majorHAnsi" w:cstheme="minorHAnsi"/>
          <w:sz w:val="24"/>
          <w:szCs w:val="24"/>
          <w:lang w:val="ru-MD"/>
        </w:rPr>
        <w:t xml:space="preserve">Главного управления аудита I                                                                 </w:t>
      </w:r>
      <w:r w:rsidRPr="002135B0">
        <w:rPr>
          <w:rFonts w:asciiTheme="majorHAnsi" w:hAnsiTheme="majorHAnsi" w:cstheme="minorHAnsi"/>
          <w:b/>
          <w:sz w:val="24"/>
          <w:szCs w:val="24"/>
          <w:lang w:val="ru-MD"/>
        </w:rPr>
        <w:t xml:space="preserve">Ион </w:t>
      </w:r>
      <w:proofErr w:type="spellStart"/>
      <w:r w:rsidRPr="002135B0">
        <w:rPr>
          <w:rFonts w:asciiTheme="majorHAnsi" w:hAnsiTheme="majorHAnsi" w:cstheme="minorHAnsi"/>
          <w:b/>
          <w:sz w:val="24"/>
          <w:szCs w:val="24"/>
          <w:lang w:val="ru-MD"/>
        </w:rPr>
        <w:t>Булмага</w:t>
      </w:r>
      <w:proofErr w:type="spellEnd"/>
    </w:p>
    <w:p w:rsidR="00814298" w:rsidRPr="001143CE" w:rsidRDefault="00814298">
      <w:pPr>
        <w:rPr>
          <w:lang w:val="ru-RU"/>
        </w:rPr>
      </w:pPr>
    </w:p>
    <w:sectPr w:rsidR="00814298" w:rsidRPr="001143CE">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F0" w:rsidRDefault="00004AF0" w:rsidP="001143CE">
      <w:pPr>
        <w:spacing w:after="0" w:line="240" w:lineRule="auto"/>
      </w:pPr>
      <w:r>
        <w:separator/>
      </w:r>
    </w:p>
  </w:endnote>
  <w:endnote w:type="continuationSeparator" w:id="0">
    <w:p w:rsidR="00004AF0" w:rsidRDefault="00004AF0" w:rsidP="0011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F0" w:rsidRDefault="00004AF0" w:rsidP="001143CE">
      <w:pPr>
        <w:spacing w:after="0" w:line="240" w:lineRule="auto"/>
      </w:pPr>
      <w:r>
        <w:separator/>
      </w:r>
    </w:p>
  </w:footnote>
  <w:footnote w:type="continuationSeparator" w:id="0">
    <w:p w:rsidR="00004AF0" w:rsidRDefault="00004AF0" w:rsidP="001143CE">
      <w:pPr>
        <w:spacing w:after="0" w:line="240" w:lineRule="auto"/>
      </w:pPr>
      <w:r>
        <w:continuationSeparator/>
      </w:r>
    </w:p>
  </w:footnote>
  <w:footnote w:id="1">
    <w:p w:rsidR="001143CE" w:rsidRPr="00F23811" w:rsidRDefault="001143CE" w:rsidP="001143CE">
      <w:pPr>
        <w:pStyle w:val="FootnoteText"/>
        <w:rPr>
          <w:rFonts w:asciiTheme="majorHAnsi" w:eastAsia="Times New Roman" w:hAnsiTheme="majorHAnsi" w:cstheme="majorHAnsi"/>
          <w:lang w:val="ru-MD"/>
        </w:rPr>
      </w:pPr>
      <w:r w:rsidRPr="00F23811">
        <w:rPr>
          <w:rFonts w:asciiTheme="majorHAnsi" w:eastAsia="Times New Roman" w:hAnsiTheme="majorHAnsi" w:cstheme="majorHAnsi"/>
          <w:vertAlign w:val="superscript"/>
          <w:lang w:val="ru-MD"/>
        </w:rPr>
        <w:footnoteRef/>
      </w:r>
      <w:r w:rsidRPr="00F23811">
        <w:rPr>
          <w:rFonts w:asciiTheme="majorHAnsi" w:eastAsia="Times New Roman" w:hAnsiTheme="majorHAnsi" w:cstheme="majorHAnsi"/>
          <w:lang w:val="ru-MD"/>
        </w:rPr>
        <w:t xml:space="preserve"> Закон о бухгалтерском учете №113-XVI от 27.04.2007; Приказ министра финансов №216 от 28.12.2015</w:t>
      </w:r>
      <w:r>
        <w:rPr>
          <w:rFonts w:asciiTheme="majorHAnsi" w:eastAsia="Times New Roman" w:hAnsiTheme="majorHAnsi" w:cstheme="majorHAnsi"/>
          <w:lang w:val="ru-MD"/>
        </w:rPr>
        <w:t xml:space="preserve"> </w:t>
      </w:r>
      <w:r w:rsidRPr="00F23811">
        <w:rPr>
          <w:rFonts w:asciiTheme="majorHAnsi" w:eastAsia="Times New Roman" w:hAnsiTheme="majorHAnsi" w:cstheme="majorHAnsi"/>
          <w:lang w:val="ru-MD"/>
        </w:rPr>
        <w:t>„</w:t>
      </w:r>
      <w:r>
        <w:rPr>
          <w:rFonts w:asciiTheme="majorHAnsi" w:eastAsia="Times New Roman" w:hAnsiTheme="majorHAnsi" w:cstheme="majorHAnsi"/>
          <w:lang w:val="ru-MD"/>
        </w:rPr>
        <w:t xml:space="preserve">Об </w:t>
      </w:r>
      <w:r w:rsidRPr="00F23811">
        <w:rPr>
          <w:rFonts w:asciiTheme="majorHAnsi" w:eastAsia="Times New Roman" w:hAnsiTheme="majorHAnsi" w:cstheme="majorHAnsi"/>
          <w:lang w:val="ru-MD"/>
        </w:rPr>
        <w:t>утвержден</w:t>
      </w:r>
      <w:r>
        <w:rPr>
          <w:rFonts w:asciiTheme="majorHAnsi" w:eastAsia="Times New Roman" w:hAnsiTheme="majorHAnsi" w:cstheme="majorHAnsi"/>
          <w:lang w:val="ru-MD"/>
        </w:rPr>
        <w:t>ии</w:t>
      </w:r>
      <w:r w:rsidRPr="00F23811">
        <w:rPr>
          <w:rFonts w:asciiTheme="majorHAnsi" w:eastAsia="Times New Roman" w:hAnsiTheme="majorHAnsi" w:cstheme="majorHAnsi"/>
          <w:lang w:val="ru-MD"/>
        </w:rPr>
        <w:t xml:space="preserve"> План</w:t>
      </w:r>
      <w:r>
        <w:rPr>
          <w:rFonts w:asciiTheme="majorHAnsi" w:eastAsia="Times New Roman" w:hAnsiTheme="majorHAnsi" w:cstheme="majorHAnsi"/>
          <w:lang w:val="ru-MD"/>
        </w:rPr>
        <w:t>а</w:t>
      </w:r>
      <w:r w:rsidRPr="00F23811">
        <w:rPr>
          <w:rFonts w:asciiTheme="majorHAnsi" w:eastAsia="Times New Roman" w:hAnsiTheme="majorHAnsi" w:cstheme="majorHAnsi"/>
          <w:lang w:val="ru-MD"/>
        </w:rPr>
        <w:t xml:space="preserve"> счетов бюджетного учета и Методологически</w:t>
      </w:r>
      <w:r>
        <w:rPr>
          <w:rFonts w:asciiTheme="majorHAnsi" w:eastAsia="Times New Roman" w:hAnsiTheme="majorHAnsi" w:cstheme="majorHAnsi"/>
          <w:lang w:val="ru-MD"/>
        </w:rPr>
        <w:t>х</w:t>
      </w:r>
      <w:r w:rsidRPr="00F23811">
        <w:rPr>
          <w:rFonts w:asciiTheme="majorHAnsi" w:eastAsia="Times New Roman" w:hAnsiTheme="majorHAnsi" w:cstheme="majorHAnsi"/>
          <w:lang w:val="ru-MD"/>
        </w:rPr>
        <w:t xml:space="preserve"> норм организации бухгалтерского учета и финансовой отчетности бюджетных учреждений</w:t>
      </w:r>
      <w:r>
        <w:rPr>
          <w:rFonts w:asciiTheme="majorHAnsi" w:eastAsia="Times New Roman" w:hAnsiTheme="majorHAnsi" w:cstheme="majorHAnsi"/>
          <w:lang w:val="ru-MD"/>
        </w:rPr>
        <w:t xml:space="preserve"> (далее - </w:t>
      </w:r>
      <w:r w:rsidRPr="00F23811">
        <w:rPr>
          <w:rFonts w:asciiTheme="majorHAnsi" w:eastAsia="Times New Roman" w:hAnsiTheme="majorHAnsi" w:cstheme="majorHAnsi"/>
          <w:lang w:val="ru-MD"/>
        </w:rPr>
        <w:t>Приказ министра финансов №216 от 28.12.2015</w:t>
      </w:r>
      <w:r>
        <w:rPr>
          <w:rFonts w:asciiTheme="majorHAnsi" w:eastAsia="Times New Roman" w:hAnsiTheme="majorHAnsi" w:cstheme="majorHAnsi"/>
          <w:lang w:val="ru-MD"/>
        </w:rPr>
        <w:t>)</w:t>
      </w:r>
      <w:r w:rsidRPr="00F23811">
        <w:rPr>
          <w:rFonts w:asciiTheme="majorHAnsi" w:eastAsia="Times New Roman" w:hAnsiTheme="majorHAnsi" w:cstheme="majorHAnsi"/>
          <w:lang w:val="ru-MD"/>
        </w:rPr>
        <w:t>; Приказ министра финансов №164 от 30.12.2016 „</w:t>
      </w:r>
      <w:r w:rsidRPr="00F23811">
        <w:rPr>
          <w:rFonts w:asciiTheme="majorHAnsi" w:eastAsia="Times New Roman" w:hAnsiTheme="majorHAnsi" w:cstheme="majorHAnsi"/>
          <w:bCs/>
          <w:lang w:val="ru-MD"/>
        </w:rPr>
        <w:t>Об утверждении Требований при составлении пояснительной записки к годовому отчету об</w:t>
      </w:r>
      <w:r>
        <w:rPr>
          <w:rFonts w:asciiTheme="majorHAnsi" w:eastAsia="Times New Roman" w:hAnsiTheme="majorHAnsi" w:cstheme="majorHAnsi"/>
          <w:bCs/>
          <w:lang w:val="ru-MD"/>
        </w:rPr>
        <w:t xml:space="preserve"> </w:t>
      </w:r>
      <w:r w:rsidRPr="00F23811">
        <w:rPr>
          <w:rFonts w:asciiTheme="majorHAnsi" w:eastAsia="Times New Roman" w:hAnsiTheme="majorHAnsi" w:cstheme="majorHAnsi"/>
          <w:bCs/>
          <w:lang w:val="ru-MD"/>
        </w:rPr>
        <w:t>исполнении бюджетов бюджетных органов/учреждений</w:t>
      </w:r>
      <w:r w:rsidRPr="00F23811">
        <w:rPr>
          <w:rFonts w:asciiTheme="majorHAnsi" w:eastAsia="Times New Roman" w:hAnsiTheme="majorHAnsi" w:cstheme="majorHAnsi"/>
          <w:lang w:val="ru-MD"/>
        </w:rPr>
        <w:t xml:space="preserve">”. </w:t>
      </w:r>
    </w:p>
  </w:footnote>
  <w:footnote w:id="2">
    <w:p w:rsidR="001143CE" w:rsidRPr="00F23811" w:rsidRDefault="001143CE" w:rsidP="001143CE">
      <w:pPr>
        <w:pStyle w:val="FootnoteText"/>
        <w:rPr>
          <w:rFonts w:asciiTheme="majorHAnsi" w:eastAsia="Times New Roman" w:hAnsiTheme="majorHAnsi" w:cstheme="majorHAnsi"/>
          <w:lang w:val="ru-MD"/>
        </w:rPr>
      </w:pPr>
      <w:r w:rsidRPr="00F23811">
        <w:rPr>
          <w:rStyle w:val="FootnoteReference"/>
          <w:rFonts w:asciiTheme="majorHAnsi" w:hAnsiTheme="majorHAnsi" w:cstheme="majorHAnsi"/>
          <w:lang w:val="ru-MD"/>
        </w:rPr>
        <w:footnoteRef/>
      </w:r>
      <w:r w:rsidRPr="00F23811">
        <w:rPr>
          <w:rFonts w:asciiTheme="majorHAnsi" w:hAnsiTheme="majorHAnsi" w:cstheme="majorHAnsi"/>
          <w:lang w:val="ru-MD"/>
        </w:rPr>
        <w:t xml:space="preserve"> </w:t>
      </w:r>
      <w:r w:rsidRPr="00B77C86">
        <w:rPr>
          <w:rFonts w:asciiTheme="majorHAnsi" w:hAnsiTheme="majorHAnsi" w:cstheme="majorHAnsi"/>
          <w:lang w:val="ru-RU"/>
        </w:rPr>
        <w:t xml:space="preserve">Постановление Счетной палаты №2 от 24.01.2020 „О </w:t>
      </w:r>
      <w:r>
        <w:rPr>
          <w:rFonts w:asciiTheme="majorHAnsi" w:hAnsiTheme="majorHAnsi" w:cstheme="majorHAnsi"/>
          <w:lang w:val="ru-RU"/>
        </w:rPr>
        <w:t>Системе</w:t>
      </w:r>
      <w:r w:rsidRPr="00B77C86">
        <w:rPr>
          <w:rFonts w:asciiTheme="majorHAnsi" w:hAnsiTheme="majorHAnsi" w:cstheme="majorHAnsi"/>
          <w:lang w:val="ru-RU"/>
        </w:rPr>
        <w:t xml:space="preserve"> профессиональных деклараций </w:t>
      </w:r>
      <w:r w:rsidRPr="00B77C86">
        <w:rPr>
          <w:rFonts w:asciiTheme="majorHAnsi" w:hAnsiTheme="majorHAnsi" w:cstheme="majorHAnsi"/>
          <w:lang w:val="ro-MD"/>
        </w:rPr>
        <w:t>INTOSAI</w:t>
      </w:r>
      <w:r w:rsidRPr="00B77C86">
        <w:rPr>
          <w:rFonts w:asciiTheme="majorHAnsi" w:hAnsiTheme="majorHAnsi" w:cstheme="majorHAnsi"/>
          <w:lang w:val="ru-RU"/>
        </w:rPr>
        <w:t>”</w:t>
      </w:r>
      <w:r w:rsidRPr="00F23811">
        <w:rPr>
          <w:rFonts w:asciiTheme="majorHAnsi" w:eastAsia="Times New Roman" w:hAnsiTheme="majorHAnsi" w:cstheme="majorHAnsi"/>
          <w:lang w:val="ru-MD"/>
        </w:rPr>
        <w:t xml:space="preserve">.  </w:t>
      </w:r>
    </w:p>
  </w:footnote>
  <w:footnote w:id="3">
    <w:p w:rsidR="001143CE" w:rsidRPr="00DF7C82" w:rsidRDefault="001143CE" w:rsidP="001143CE">
      <w:pPr>
        <w:pStyle w:val="FootnoteText"/>
        <w:rPr>
          <w:rFonts w:asciiTheme="majorHAnsi" w:hAnsiTheme="majorHAnsi"/>
          <w:lang w:val="ru-RU"/>
        </w:rPr>
      </w:pPr>
      <w:r w:rsidRPr="00F23811">
        <w:rPr>
          <w:rStyle w:val="FootnoteReference"/>
          <w:rFonts w:asciiTheme="majorHAnsi" w:hAnsiTheme="majorHAnsi"/>
          <w:lang w:val="ru-MD"/>
        </w:rPr>
        <w:footnoteRef/>
      </w:r>
      <w:r w:rsidRPr="00DF7C82">
        <w:rPr>
          <w:rFonts w:asciiTheme="majorHAnsi" w:hAnsiTheme="majorHAnsi"/>
          <w:lang w:val="ru-RU"/>
        </w:rPr>
        <w:t xml:space="preserve"> </w:t>
      </w:r>
      <w:r w:rsidRPr="00F23811">
        <w:rPr>
          <w:rFonts w:asciiTheme="majorHAnsi" w:eastAsia="Times New Roman" w:hAnsiTheme="majorHAnsi" w:cstheme="majorHAnsi"/>
          <w:lang w:val="ru-MD"/>
        </w:rPr>
        <w:t>Приказ министра финансов №216 от 28.12.2015</w:t>
      </w:r>
      <w:r w:rsidRPr="00DF7C82">
        <w:rPr>
          <w:rFonts w:asciiTheme="majorHAnsi" w:hAnsiTheme="majorHAnsi" w:cs="Times New Roman"/>
          <w:lang w:val="ru-RU"/>
        </w:rPr>
        <w:t>.</w:t>
      </w:r>
    </w:p>
  </w:footnote>
  <w:footnote w:id="4">
    <w:p w:rsidR="001143CE" w:rsidRPr="00F23811" w:rsidRDefault="001143CE" w:rsidP="001143CE">
      <w:pPr>
        <w:pStyle w:val="FootnoteText"/>
        <w:rPr>
          <w:rFonts w:asciiTheme="majorHAnsi" w:hAnsiTheme="majorHAnsi" w:cstheme="majorHAnsi"/>
          <w:lang w:val="ru-MD"/>
        </w:rPr>
      </w:pPr>
      <w:r w:rsidRPr="00F23811">
        <w:rPr>
          <w:rStyle w:val="FootnoteReference"/>
          <w:rFonts w:asciiTheme="majorHAnsi" w:hAnsiTheme="majorHAnsi" w:cstheme="majorHAnsi"/>
          <w:lang w:val="ru-MD"/>
        </w:rPr>
        <w:footnoteRef/>
      </w:r>
      <w:r w:rsidRPr="00F23811">
        <w:rPr>
          <w:rFonts w:asciiTheme="majorHAnsi" w:hAnsiTheme="majorHAnsi" w:cstheme="majorHAnsi"/>
          <w:lang w:val="ru-MD"/>
        </w:rPr>
        <w:t xml:space="preserve"> </w:t>
      </w:r>
      <w:r>
        <w:rPr>
          <w:rFonts w:asciiTheme="majorHAnsi" w:hAnsiTheme="majorHAnsi" w:cstheme="majorHAnsi"/>
          <w:lang w:val="ru-MD"/>
        </w:rPr>
        <w:t>П.</w:t>
      </w:r>
      <w:r w:rsidRPr="00F23811">
        <w:rPr>
          <w:rFonts w:asciiTheme="majorHAnsi" w:hAnsiTheme="majorHAnsi" w:cstheme="majorHAnsi"/>
          <w:lang w:val="ru-MD"/>
        </w:rPr>
        <w:t>3.3.7.</w:t>
      </w:r>
      <w:r>
        <w:rPr>
          <w:rFonts w:asciiTheme="majorHAnsi" w:hAnsiTheme="majorHAnsi" w:cstheme="majorHAnsi"/>
          <w:lang w:val="ru-MD"/>
        </w:rPr>
        <w:t xml:space="preserve"> </w:t>
      </w:r>
      <w:r w:rsidRPr="00F23811">
        <w:rPr>
          <w:rFonts w:asciiTheme="majorHAnsi" w:eastAsia="Times New Roman" w:hAnsiTheme="majorHAnsi" w:cstheme="majorHAnsi"/>
          <w:lang w:val="ru-MD"/>
        </w:rPr>
        <w:t>Приказ</w:t>
      </w:r>
      <w:r>
        <w:rPr>
          <w:rFonts w:asciiTheme="majorHAnsi" w:eastAsia="Times New Roman" w:hAnsiTheme="majorHAnsi" w:cstheme="majorHAnsi"/>
          <w:lang w:val="ru-MD"/>
        </w:rPr>
        <w:t>а</w:t>
      </w:r>
      <w:r w:rsidRPr="00F23811">
        <w:rPr>
          <w:rFonts w:asciiTheme="majorHAnsi" w:eastAsia="Times New Roman" w:hAnsiTheme="majorHAnsi" w:cstheme="majorHAnsi"/>
          <w:lang w:val="ru-MD"/>
        </w:rPr>
        <w:t xml:space="preserve"> министра финансов №216 от 28.12.2015</w:t>
      </w:r>
      <w:r w:rsidRPr="00F23811">
        <w:rPr>
          <w:rFonts w:asciiTheme="majorHAnsi" w:hAnsiTheme="majorHAnsi" w:cstheme="majorHAnsi"/>
          <w:lang w:val="ru-MD"/>
        </w:rPr>
        <w:t>.</w:t>
      </w:r>
    </w:p>
  </w:footnote>
  <w:footnote w:id="5">
    <w:p w:rsidR="001143CE" w:rsidRPr="00F23811" w:rsidRDefault="001143CE" w:rsidP="001143CE">
      <w:pPr>
        <w:pStyle w:val="FootnoteText"/>
        <w:rPr>
          <w:rFonts w:asciiTheme="majorHAnsi" w:hAnsiTheme="majorHAnsi" w:cstheme="majorHAnsi"/>
          <w:lang w:val="ru-MD"/>
        </w:rPr>
      </w:pPr>
      <w:r w:rsidRPr="00F23811">
        <w:rPr>
          <w:rStyle w:val="FootnoteReference"/>
          <w:rFonts w:asciiTheme="majorHAnsi" w:hAnsiTheme="majorHAnsi" w:cstheme="majorHAnsi"/>
          <w:lang w:val="ru-MD"/>
        </w:rPr>
        <w:footnoteRef/>
      </w:r>
      <w:r w:rsidRPr="00F23811">
        <w:rPr>
          <w:rFonts w:asciiTheme="majorHAnsi" w:hAnsiTheme="majorHAnsi" w:cstheme="majorHAnsi"/>
          <w:lang w:val="ru-MD"/>
        </w:rPr>
        <w:t xml:space="preserve"> </w:t>
      </w:r>
      <w:r>
        <w:rPr>
          <w:rFonts w:asciiTheme="majorHAnsi" w:hAnsiTheme="majorHAnsi" w:cstheme="majorHAnsi"/>
          <w:lang w:val="ru-MD"/>
        </w:rPr>
        <w:t>П.</w:t>
      </w:r>
      <w:r w:rsidRPr="00F23811">
        <w:rPr>
          <w:rFonts w:asciiTheme="majorHAnsi" w:hAnsiTheme="majorHAnsi" w:cstheme="majorHAnsi"/>
          <w:lang w:val="ru-MD"/>
        </w:rPr>
        <w:t xml:space="preserve">3.3. </w:t>
      </w:r>
      <w:r w:rsidRPr="00F23811">
        <w:rPr>
          <w:rFonts w:asciiTheme="majorHAnsi" w:eastAsia="Times New Roman" w:hAnsiTheme="majorHAnsi" w:cstheme="majorHAnsi"/>
          <w:lang w:val="ru-MD"/>
        </w:rPr>
        <w:t>Приказ</w:t>
      </w:r>
      <w:r>
        <w:rPr>
          <w:rFonts w:asciiTheme="majorHAnsi" w:eastAsia="Times New Roman" w:hAnsiTheme="majorHAnsi" w:cstheme="majorHAnsi"/>
          <w:lang w:val="ru-MD"/>
        </w:rPr>
        <w:t>а</w:t>
      </w:r>
      <w:r w:rsidRPr="00F23811">
        <w:rPr>
          <w:rFonts w:asciiTheme="majorHAnsi" w:eastAsia="Times New Roman" w:hAnsiTheme="majorHAnsi" w:cstheme="majorHAnsi"/>
          <w:lang w:val="ru-MD"/>
        </w:rPr>
        <w:t xml:space="preserve"> министра финансов №216 от 28.12.2015.</w:t>
      </w:r>
    </w:p>
  </w:footnote>
  <w:footnote w:id="6">
    <w:p w:rsidR="001143CE" w:rsidRPr="00F23811" w:rsidRDefault="001143CE" w:rsidP="001143CE">
      <w:pPr>
        <w:spacing w:after="0" w:line="240" w:lineRule="auto"/>
        <w:rPr>
          <w:rFonts w:asciiTheme="majorHAnsi" w:eastAsia="Calibri" w:hAnsiTheme="majorHAnsi" w:cstheme="majorHAnsi"/>
          <w:sz w:val="20"/>
          <w:szCs w:val="20"/>
          <w:lang w:val="ru-MD"/>
        </w:rPr>
      </w:pPr>
      <w:r w:rsidRPr="00F23811">
        <w:rPr>
          <w:rStyle w:val="FootnoteReference"/>
          <w:rFonts w:asciiTheme="majorHAnsi" w:hAnsiTheme="majorHAnsi" w:cstheme="majorHAnsi"/>
          <w:sz w:val="20"/>
          <w:szCs w:val="20"/>
          <w:lang w:val="ru-MD"/>
        </w:rPr>
        <w:footnoteRef/>
      </w:r>
      <w:r w:rsidRPr="00F23811">
        <w:rPr>
          <w:rFonts w:asciiTheme="majorHAnsi" w:hAnsiTheme="majorHAnsi" w:cstheme="majorHAnsi"/>
          <w:sz w:val="20"/>
          <w:szCs w:val="20"/>
          <w:lang w:val="ru-MD"/>
        </w:rPr>
        <w:t xml:space="preserve"> </w:t>
      </w:r>
      <w:r>
        <w:rPr>
          <w:rFonts w:asciiTheme="majorHAnsi" w:hAnsiTheme="majorHAnsi" w:cstheme="majorHAnsi"/>
          <w:sz w:val="20"/>
          <w:szCs w:val="20"/>
          <w:lang w:val="ru-MD"/>
        </w:rPr>
        <w:t>П.</w:t>
      </w:r>
      <w:r w:rsidRPr="00F23811">
        <w:rPr>
          <w:rFonts w:asciiTheme="majorHAnsi" w:hAnsiTheme="majorHAnsi" w:cstheme="majorHAnsi"/>
          <w:sz w:val="20"/>
          <w:szCs w:val="20"/>
          <w:lang w:val="ru-MD"/>
        </w:rPr>
        <w:t xml:space="preserve">3.2. </w:t>
      </w:r>
      <w:r w:rsidRPr="00F23811">
        <w:rPr>
          <w:rFonts w:asciiTheme="majorHAnsi" w:eastAsia="Times New Roman" w:hAnsiTheme="majorHAnsi" w:cstheme="majorHAnsi"/>
          <w:sz w:val="20"/>
          <w:szCs w:val="20"/>
          <w:lang w:val="ru-MD"/>
        </w:rPr>
        <w:t>Приказ</w:t>
      </w:r>
      <w:r>
        <w:rPr>
          <w:rFonts w:asciiTheme="majorHAnsi" w:eastAsia="Times New Roman" w:hAnsiTheme="majorHAnsi" w:cstheme="majorHAnsi"/>
          <w:sz w:val="20"/>
          <w:szCs w:val="20"/>
          <w:lang w:val="ru-MD"/>
        </w:rPr>
        <w:t>а</w:t>
      </w:r>
      <w:r w:rsidRPr="00F23811">
        <w:rPr>
          <w:rFonts w:asciiTheme="majorHAnsi" w:eastAsia="Times New Roman" w:hAnsiTheme="majorHAnsi" w:cstheme="majorHAnsi"/>
          <w:sz w:val="20"/>
          <w:szCs w:val="20"/>
          <w:lang w:val="ru-MD"/>
        </w:rPr>
        <w:t xml:space="preserve"> министра финансов №216 от 28.12.2015.</w:t>
      </w:r>
    </w:p>
  </w:footnote>
  <w:footnote w:id="7">
    <w:p w:rsidR="001143CE" w:rsidRPr="002A7B31" w:rsidRDefault="001143CE" w:rsidP="001143CE">
      <w:pPr>
        <w:pStyle w:val="FootnoteText"/>
        <w:rPr>
          <w:rFonts w:asciiTheme="majorHAnsi" w:hAnsiTheme="majorHAnsi" w:cstheme="majorHAnsi"/>
          <w:lang w:val="ru-MD"/>
        </w:rPr>
      </w:pPr>
      <w:r w:rsidRPr="00F23811">
        <w:rPr>
          <w:rStyle w:val="FootnoteReference"/>
          <w:rFonts w:asciiTheme="majorHAnsi" w:hAnsiTheme="majorHAnsi" w:cstheme="majorHAnsi"/>
          <w:lang w:val="ru-MD"/>
        </w:rPr>
        <w:footnoteRef/>
      </w:r>
      <w:r w:rsidRPr="00F23811">
        <w:rPr>
          <w:rFonts w:asciiTheme="majorHAnsi" w:hAnsiTheme="majorHAnsi" w:cstheme="majorHAnsi"/>
          <w:lang w:val="ru-MD"/>
        </w:rPr>
        <w:t xml:space="preserve"> </w:t>
      </w:r>
      <w:r w:rsidRPr="002A7B31">
        <w:rPr>
          <w:rFonts w:asciiTheme="majorHAnsi" w:hAnsiTheme="majorHAnsi" w:cstheme="majorHAnsi"/>
          <w:lang w:val="ru-MD"/>
        </w:rPr>
        <w:t>Национальные стандарты по внутреннему контролю в публичном секторе, утвержденные Приказом МФ №189 от 05.11.2015.</w:t>
      </w:r>
    </w:p>
  </w:footnote>
  <w:footnote w:id="8">
    <w:p w:rsidR="001143CE" w:rsidRPr="00F23811" w:rsidRDefault="001143CE" w:rsidP="001143CE">
      <w:pPr>
        <w:pStyle w:val="FootnoteText"/>
        <w:rPr>
          <w:rFonts w:asciiTheme="majorHAnsi" w:hAnsiTheme="majorHAnsi" w:cstheme="majorHAnsi"/>
          <w:lang w:val="ru-MD"/>
        </w:rPr>
      </w:pPr>
      <w:r w:rsidRPr="00F23811">
        <w:rPr>
          <w:rStyle w:val="FootnoteReference"/>
          <w:rFonts w:asciiTheme="majorHAnsi" w:hAnsiTheme="majorHAnsi" w:cstheme="majorHAnsi"/>
          <w:lang w:val="ru-MD"/>
        </w:rPr>
        <w:footnoteRef/>
      </w:r>
      <w:r w:rsidRPr="00F23811">
        <w:rPr>
          <w:rFonts w:asciiTheme="majorHAnsi" w:hAnsiTheme="majorHAnsi" w:cstheme="majorHAnsi"/>
          <w:lang w:val="ru-MD"/>
        </w:rPr>
        <w:t xml:space="preserve"> </w:t>
      </w:r>
      <w:r>
        <w:rPr>
          <w:rFonts w:asciiTheme="majorHAnsi" w:hAnsiTheme="majorHAnsi" w:cstheme="majorHAnsi"/>
          <w:lang w:val="ru-MD"/>
        </w:rPr>
        <w:t>Ст.</w:t>
      </w:r>
      <w:r w:rsidRPr="00F23811">
        <w:rPr>
          <w:rFonts w:asciiTheme="majorHAnsi" w:hAnsiTheme="majorHAnsi" w:cstheme="majorHAnsi"/>
          <w:lang w:val="ru-MD"/>
        </w:rPr>
        <w:t xml:space="preserve">37 (5) </w:t>
      </w:r>
      <w:r>
        <w:rPr>
          <w:rFonts w:asciiTheme="majorHAnsi" w:hAnsiTheme="majorHAnsi" w:cstheme="majorHAnsi"/>
          <w:lang w:val="ru-RU"/>
        </w:rPr>
        <w:t>Закона о бухгалтерском учете №</w:t>
      </w:r>
      <w:r w:rsidRPr="00F23811">
        <w:rPr>
          <w:rFonts w:asciiTheme="majorHAnsi" w:hAnsiTheme="majorHAnsi" w:cstheme="majorHAnsi"/>
          <w:lang w:val="ru-MD"/>
        </w:rPr>
        <w:t xml:space="preserve">113-XVI </w:t>
      </w:r>
      <w:r>
        <w:rPr>
          <w:rFonts w:asciiTheme="majorHAnsi" w:hAnsiTheme="majorHAnsi" w:cstheme="majorHAnsi"/>
          <w:lang w:val="ru-MD"/>
        </w:rPr>
        <w:t>от</w:t>
      </w:r>
      <w:r w:rsidRPr="00F23811">
        <w:rPr>
          <w:rFonts w:asciiTheme="majorHAnsi" w:hAnsiTheme="majorHAnsi" w:cstheme="majorHAnsi"/>
          <w:lang w:val="ru-MD"/>
        </w:rPr>
        <w:t xml:space="preserve"> 27.04.2007; </w:t>
      </w:r>
      <w:r>
        <w:rPr>
          <w:rFonts w:asciiTheme="majorHAnsi" w:hAnsiTheme="majorHAnsi" w:cstheme="majorHAnsi"/>
          <w:lang w:val="ru-MD"/>
        </w:rPr>
        <w:t>п</w:t>
      </w:r>
      <w:r w:rsidRPr="00F23811">
        <w:rPr>
          <w:rFonts w:asciiTheme="majorHAnsi" w:hAnsiTheme="majorHAnsi" w:cstheme="majorHAnsi"/>
          <w:lang w:val="ru-MD"/>
        </w:rPr>
        <w:t xml:space="preserve">.1.4.1.3. </w:t>
      </w:r>
      <w:r>
        <w:rPr>
          <w:rFonts w:asciiTheme="majorHAnsi" w:hAnsiTheme="majorHAnsi" w:cstheme="majorHAnsi"/>
          <w:lang w:val="ru-MD"/>
        </w:rPr>
        <w:t>Приложения №</w:t>
      </w:r>
      <w:r w:rsidRPr="00F23811">
        <w:rPr>
          <w:rFonts w:asciiTheme="majorHAnsi" w:hAnsiTheme="majorHAnsi" w:cstheme="majorHAnsi"/>
          <w:lang w:val="ru-MD"/>
        </w:rPr>
        <w:t xml:space="preserve">1 </w:t>
      </w:r>
      <w:r>
        <w:rPr>
          <w:rFonts w:asciiTheme="majorHAnsi" w:hAnsiTheme="majorHAnsi" w:cstheme="majorHAnsi"/>
          <w:lang w:val="ru-MD"/>
        </w:rPr>
        <w:t>к Приказу министра финансов №</w:t>
      </w:r>
      <w:r w:rsidRPr="00F23811">
        <w:rPr>
          <w:rFonts w:asciiTheme="majorHAnsi" w:hAnsiTheme="majorHAnsi" w:cstheme="majorHAnsi"/>
          <w:lang w:val="ru-MD"/>
        </w:rPr>
        <w:t xml:space="preserve">216 </w:t>
      </w:r>
      <w:r>
        <w:rPr>
          <w:rFonts w:asciiTheme="majorHAnsi" w:hAnsiTheme="majorHAnsi" w:cstheme="majorHAnsi"/>
          <w:lang w:val="ru-MD"/>
        </w:rPr>
        <w:t>от</w:t>
      </w:r>
      <w:r w:rsidRPr="00F23811">
        <w:rPr>
          <w:rFonts w:asciiTheme="majorHAnsi" w:hAnsiTheme="majorHAnsi" w:cstheme="majorHAnsi"/>
          <w:lang w:val="ru-MD"/>
        </w:rPr>
        <w:t xml:space="preserve"> 28.12.2015.</w:t>
      </w:r>
    </w:p>
  </w:footnote>
  <w:footnote w:id="9">
    <w:p w:rsidR="001143CE" w:rsidRPr="00FB54F3" w:rsidRDefault="001143CE" w:rsidP="001143CE">
      <w:pPr>
        <w:pStyle w:val="FootnoteText"/>
        <w:rPr>
          <w:rFonts w:asciiTheme="majorHAnsi" w:hAnsiTheme="majorHAnsi" w:cstheme="majorHAnsi"/>
          <w:lang w:val="ru-RU"/>
        </w:rPr>
      </w:pPr>
      <w:r w:rsidRPr="00F23811">
        <w:rPr>
          <w:rStyle w:val="FootnoteReference"/>
          <w:rFonts w:asciiTheme="majorHAnsi" w:hAnsiTheme="majorHAnsi" w:cstheme="majorHAnsi"/>
          <w:lang w:val="ru-MD"/>
        </w:rPr>
        <w:footnoteRef/>
      </w:r>
      <w:r w:rsidRPr="00FB54F3">
        <w:rPr>
          <w:rFonts w:asciiTheme="majorHAnsi" w:hAnsiTheme="majorHAnsi" w:cstheme="majorHAnsi"/>
          <w:lang w:val="ru-RU"/>
        </w:rPr>
        <w:t xml:space="preserve"> </w:t>
      </w:r>
      <w:proofErr w:type="spellStart"/>
      <w:r>
        <w:rPr>
          <w:rFonts w:asciiTheme="majorHAnsi" w:hAnsiTheme="majorHAnsi" w:cstheme="majorHAnsi"/>
          <w:lang w:val="ru-MD"/>
        </w:rPr>
        <w:t>Ст</w:t>
      </w:r>
      <w:proofErr w:type="spellEnd"/>
      <w:r w:rsidRPr="00FB54F3">
        <w:rPr>
          <w:rFonts w:asciiTheme="majorHAnsi" w:hAnsiTheme="majorHAnsi" w:cstheme="majorHAnsi"/>
          <w:lang w:val="ru-RU"/>
        </w:rPr>
        <w:t xml:space="preserve">.13 (2) </w:t>
      </w:r>
      <w:r>
        <w:rPr>
          <w:rFonts w:asciiTheme="majorHAnsi" w:hAnsiTheme="majorHAnsi" w:cstheme="majorHAnsi"/>
          <w:lang w:val="ru-RU"/>
        </w:rPr>
        <w:t>Закона о бухгалтерском учете №</w:t>
      </w:r>
      <w:r w:rsidRPr="00FB54F3">
        <w:rPr>
          <w:rFonts w:asciiTheme="majorHAnsi" w:hAnsiTheme="majorHAnsi" w:cstheme="majorHAnsi"/>
          <w:lang w:val="ru-RU"/>
        </w:rPr>
        <w:t>113-</w:t>
      </w:r>
      <w:r w:rsidRPr="00FB54F3">
        <w:rPr>
          <w:rFonts w:asciiTheme="majorHAnsi" w:hAnsiTheme="majorHAnsi" w:cstheme="majorHAnsi"/>
        </w:rPr>
        <w:t>XVI</w:t>
      </w:r>
      <w:r w:rsidRPr="00FB54F3">
        <w:rPr>
          <w:rFonts w:asciiTheme="majorHAnsi" w:hAnsiTheme="majorHAnsi" w:cstheme="majorHAnsi"/>
          <w:lang w:val="ru-RU"/>
        </w:rPr>
        <w:t xml:space="preserve"> </w:t>
      </w:r>
      <w:r>
        <w:rPr>
          <w:rFonts w:asciiTheme="majorHAnsi" w:hAnsiTheme="majorHAnsi" w:cstheme="majorHAnsi"/>
          <w:lang w:val="ru-RU"/>
        </w:rPr>
        <w:t>от</w:t>
      </w:r>
      <w:r w:rsidRPr="00FB54F3">
        <w:rPr>
          <w:rFonts w:asciiTheme="majorHAnsi" w:hAnsiTheme="majorHAnsi" w:cstheme="majorHAnsi"/>
          <w:lang w:val="ru-RU"/>
        </w:rPr>
        <w:t xml:space="preserve"> 27.04.2007.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75CA"/>
    <w:multiLevelType w:val="hybridMultilevel"/>
    <w:tmpl w:val="9B74564C"/>
    <w:lvl w:ilvl="0" w:tplc="0642608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CE"/>
    <w:rsid w:val="00004AF0"/>
    <w:rsid w:val="00047ACF"/>
    <w:rsid w:val="00070F38"/>
    <w:rsid w:val="001143CE"/>
    <w:rsid w:val="001C1EF8"/>
    <w:rsid w:val="00401DE4"/>
    <w:rsid w:val="00485007"/>
    <w:rsid w:val="00560EC6"/>
    <w:rsid w:val="0073210C"/>
    <w:rsid w:val="007607DB"/>
    <w:rsid w:val="00814298"/>
    <w:rsid w:val="00842567"/>
    <w:rsid w:val="00847C46"/>
    <w:rsid w:val="008F1689"/>
    <w:rsid w:val="00A2673C"/>
    <w:rsid w:val="00A4489B"/>
    <w:rsid w:val="00AB2EA0"/>
    <w:rsid w:val="00BD3BC7"/>
    <w:rsid w:val="00E3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7C72F-6F02-42AC-96FB-C4B60669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CE"/>
    <w:pPr>
      <w:jc w:val="both"/>
    </w:pPr>
    <w:rPr>
      <w:rFonts w:ascii="Times New Roman" w:hAnsi="Times New Roman"/>
      <w:sz w:val="28"/>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3CE"/>
    <w:rPr>
      <w:color w:val="0563C1" w:themeColor="hyperlink"/>
      <w:u w:val="single"/>
    </w:rPr>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iPriority w:val="99"/>
    <w:unhideWhenUsed/>
    <w:qFormat/>
    <w:rsid w:val="001143CE"/>
    <w:pPr>
      <w:spacing w:after="0" w:line="240" w:lineRule="auto"/>
    </w:pPr>
    <w:rPr>
      <w:sz w:val="20"/>
      <w:szCs w:val="20"/>
      <w:lang w:val="en-US"/>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uiPriority w:val="99"/>
    <w:rsid w:val="001143CE"/>
    <w:rPr>
      <w:rFonts w:ascii="Times New Roman" w:hAnsi="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1143CE"/>
    <w:rPr>
      <w:vertAlign w:val="superscript"/>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34"/>
    <w:qFormat/>
    <w:rsid w:val="001143CE"/>
    <w:pPr>
      <w:ind w:left="720"/>
      <w:contextualSpacing/>
    </w:pPr>
    <w:rPr>
      <w:lang w:val="en-US"/>
    </w:r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locked/>
    <w:rsid w:val="001143CE"/>
    <w:rPr>
      <w:rFonts w:ascii="Times New Roman" w:hAnsi="Times New Roman"/>
      <w:sz w:val="28"/>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1143CE"/>
    <w:pPr>
      <w:spacing w:line="240" w:lineRule="exact"/>
    </w:pPr>
    <w:rPr>
      <w:rFonts w:asciiTheme="minorHAnsi" w:hAnsiTheme="minorHAnsi"/>
      <w:sz w:val="22"/>
      <w:vertAlign w:val="superscript"/>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Обычный (веб)1,Текст сноски1,Текст сноски11"/>
    <w:basedOn w:val="Normal"/>
    <w:link w:val="NormalWebChar"/>
    <w:qFormat/>
    <w:rsid w:val="001143CE"/>
    <w:pPr>
      <w:spacing w:after="0" w:line="240" w:lineRule="auto"/>
      <w:ind w:firstLine="567"/>
    </w:pPr>
    <w:rPr>
      <w:rFonts w:eastAsia="Times New Roman" w:cs="Times New Roman"/>
      <w:sz w:val="24"/>
      <w:szCs w:val="24"/>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Обычный (веб)1 Char,Текст сноски1 Char"/>
    <w:basedOn w:val="DefaultParagraphFont"/>
    <w:link w:val="NormalWeb"/>
    <w:rsid w:val="001143C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crm.md/activitatea-curtii-de-conturi-1-25"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9317</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Suhan Tudor</dc:creator>
  <cp:keywords/>
  <dc:description/>
  <cp:lastModifiedBy>Paiu Eugenia</cp:lastModifiedBy>
  <cp:revision>2</cp:revision>
  <dcterms:created xsi:type="dcterms:W3CDTF">2021-06-23T20:12:00Z</dcterms:created>
  <dcterms:modified xsi:type="dcterms:W3CDTF">2021-06-23T20:12:00Z</dcterms:modified>
</cp:coreProperties>
</file>