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7C6" w:rsidRPr="009B37C6" w:rsidRDefault="009B37C6" w:rsidP="0004459C">
      <w:pPr>
        <w:tabs>
          <w:tab w:val="left" w:pos="720"/>
        </w:tabs>
        <w:spacing w:after="0" w:line="276" w:lineRule="auto"/>
        <w:jc w:val="right"/>
        <w:rPr>
          <w:rFonts w:asciiTheme="majorHAnsi" w:eastAsia="Times New Roman" w:hAnsiTheme="majorHAnsi" w:cstheme="majorHAnsi"/>
          <w:b/>
          <w:sz w:val="24"/>
          <w:szCs w:val="24"/>
          <w:u w:val="single"/>
          <w:lang w:val="ru-RU"/>
        </w:rPr>
      </w:pPr>
      <w:r w:rsidRPr="009B37C6">
        <w:rPr>
          <w:rFonts w:asciiTheme="majorHAnsi" w:eastAsia="Times New Roman" w:hAnsiTheme="majorHAnsi" w:cstheme="majorHAnsi"/>
          <w:b/>
          <w:sz w:val="24"/>
          <w:szCs w:val="24"/>
          <w:u w:val="single"/>
          <w:lang w:val="ru-RU"/>
        </w:rPr>
        <w:t>ПЕРЕВОД</w:t>
      </w:r>
    </w:p>
    <w:p w:rsidR="0004459C" w:rsidRPr="00973E5B" w:rsidRDefault="009B37C6" w:rsidP="0004459C">
      <w:pPr>
        <w:tabs>
          <w:tab w:val="left" w:pos="720"/>
        </w:tabs>
        <w:spacing w:after="0" w:line="276" w:lineRule="auto"/>
        <w:jc w:val="right"/>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u-RU"/>
        </w:rPr>
        <w:t>Приложение</w:t>
      </w:r>
      <w:r w:rsidR="0004459C" w:rsidRPr="00973E5B">
        <w:rPr>
          <w:rFonts w:asciiTheme="majorHAnsi" w:eastAsia="Times New Roman" w:hAnsiTheme="majorHAnsi" w:cstheme="majorHAnsi"/>
          <w:sz w:val="24"/>
          <w:szCs w:val="24"/>
          <w:lang w:val="ro-RO"/>
        </w:rPr>
        <w:t xml:space="preserve"> </w:t>
      </w:r>
    </w:p>
    <w:p w:rsidR="0004459C" w:rsidRPr="00E4517B" w:rsidRDefault="009B37C6" w:rsidP="0004459C">
      <w:pPr>
        <w:tabs>
          <w:tab w:val="left" w:pos="720"/>
        </w:tabs>
        <w:spacing w:after="0" w:line="276" w:lineRule="auto"/>
        <w:jc w:val="right"/>
        <w:rPr>
          <w:rFonts w:asciiTheme="majorHAnsi" w:eastAsia="Times New Roman" w:hAnsiTheme="majorHAnsi" w:cstheme="majorHAnsi"/>
          <w:bCs/>
          <w:sz w:val="24"/>
          <w:szCs w:val="24"/>
          <w:lang w:val="ro-RO"/>
        </w:rPr>
      </w:pPr>
      <w:r>
        <w:rPr>
          <w:rFonts w:asciiTheme="majorHAnsi" w:eastAsia="Times New Roman" w:hAnsiTheme="majorHAnsi" w:cstheme="majorHAnsi"/>
          <w:sz w:val="24"/>
          <w:szCs w:val="24"/>
          <w:lang w:val="ru-RU"/>
        </w:rPr>
        <w:t>к Постановлению Счетной палаты</w:t>
      </w:r>
      <w:r w:rsidR="0004459C" w:rsidRPr="00B05CFC">
        <w:rPr>
          <w:rFonts w:asciiTheme="majorHAnsi" w:eastAsia="Times New Roman" w:hAnsiTheme="majorHAnsi" w:cstheme="majorHAnsi"/>
          <w:sz w:val="24"/>
          <w:szCs w:val="24"/>
          <w:lang w:val="ro-RO"/>
        </w:rPr>
        <w:t xml:space="preserve"> </w:t>
      </w:r>
    </w:p>
    <w:p w:rsidR="0004459C" w:rsidRPr="009B37C6" w:rsidRDefault="009B37C6" w:rsidP="0004459C">
      <w:pPr>
        <w:tabs>
          <w:tab w:val="left" w:pos="720"/>
        </w:tabs>
        <w:spacing w:after="0" w:line="276" w:lineRule="auto"/>
        <w:jc w:val="right"/>
        <w:rPr>
          <w:rFonts w:asciiTheme="majorHAnsi" w:eastAsia="Times New Roman" w:hAnsiTheme="majorHAnsi" w:cstheme="majorHAnsi"/>
          <w:bCs/>
          <w:color w:val="1F4E79" w:themeColor="accent1" w:themeShade="80"/>
          <w:sz w:val="24"/>
          <w:szCs w:val="24"/>
          <w:lang w:val="ru-RU"/>
        </w:rPr>
      </w:pPr>
      <w:r>
        <w:rPr>
          <w:rFonts w:asciiTheme="majorHAnsi" w:eastAsia="Times New Roman" w:hAnsiTheme="majorHAnsi" w:cstheme="majorHAnsi"/>
          <w:sz w:val="24"/>
          <w:szCs w:val="24"/>
          <w:lang w:val="ru-RU"/>
        </w:rPr>
        <w:t>№</w:t>
      </w:r>
      <w:r w:rsidR="00FF6BF4">
        <w:rPr>
          <w:rFonts w:asciiTheme="majorHAnsi" w:eastAsia="Times New Roman" w:hAnsiTheme="majorHAnsi" w:cstheme="majorHAnsi"/>
          <w:sz w:val="24"/>
          <w:szCs w:val="24"/>
          <w:lang w:val="ro-RO"/>
        </w:rPr>
        <w:t xml:space="preserve">30 </w:t>
      </w:r>
      <w:r>
        <w:rPr>
          <w:rFonts w:asciiTheme="majorHAnsi" w:eastAsia="Times New Roman" w:hAnsiTheme="majorHAnsi" w:cstheme="majorHAnsi"/>
          <w:sz w:val="24"/>
          <w:szCs w:val="24"/>
          <w:lang w:val="ru-RU"/>
        </w:rPr>
        <w:t>от</w:t>
      </w:r>
      <w:r w:rsidR="00AC6703" w:rsidRPr="00E4517B">
        <w:rPr>
          <w:rFonts w:asciiTheme="majorHAnsi" w:eastAsia="Times New Roman" w:hAnsiTheme="majorHAnsi" w:cstheme="majorHAnsi"/>
          <w:sz w:val="24"/>
          <w:szCs w:val="24"/>
          <w:lang w:val="ro-RO"/>
        </w:rPr>
        <w:t xml:space="preserve"> 28 </w:t>
      </w:r>
      <w:r>
        <w:rPr>
          <w:rFonts w:asciiTheme="majorHAnsi" w:eastAsia="Times New Roman" w:hAnsiTheme="majorHAnsi" w:cstheme="majorHAnsi"/>
          <w:sz w:val="24"/>
          <w:szCs w:val="24"/>
          <w:lang w:val="ru-RU"/>
        </w:rPr>
        <w:t>июня</w:t>
      </w:r>
      <w:r w:rsidR="00AC6703" w:rsidRPr="00E4517B">
        <w:rPr>
          <w:rFonts w:asciiTheme="majorHAnsi" w:eastAsia="Times New Roman" w:hAnsiTheme="majorHAnsi" w:cstheme="majorHAnsi"/>
          <w:sz w:val="24"/>
          <w:szCs w:val="24"/>
          <w:lang w:val="ro-RO"/>
        </w:rPr>
        <w:t xml:space="preserve"> 2021</w:t>
      </w:r>
      <w:r>
        <w:rPr>
          <w:rFonts w:asciiTheme="majorHAnsi" w:eastAsia="Times New Roman" w:hAnsiTheme="majorHAnsi" w:cstheme="majorHAnsi"/>
          <w:sz w:val="24"/>
          <w:szCs w:val="24"/>
          <w:lang w:val="ru-RU"/>
        </w:rPr>
        <w:t xml:space="preserve"> года</w:t>
      </w:r>
    </w:p>
    <w:p w:rsidR="0004459C" w:rsidRPr="00E4517B" w:rsidRDefault="0004459C" w:rsidP="0004459C">
      <w:pPr>
        <w:spacing w:after="0" w:line="276" w:lineRule="auto"/>
        <w:jc w:val="center"/>
        <w:rPr>
          <w:rFonts w:asciiTheme="majorHAnsi" w:hAnsiTheme="majorHAnsi" w:cstheme="majorHAnsi"/>
          <w:b/>
          <w:sz w:val="24"/>
          <w:szCs w:val="24"/>
          <w:lang w:val="ro-RO"/>
        </w:rPr>
      </w:pPr>
    </w:p>
    <w:p w:rsidR="0004459C" w:rsidRPr="00E4517B" w:rsidRDefault="0004459C" w:rsidP="0004459C">
      <w:pPr>
        <w:spacing w:after="0" w:line="276" w:lineRule="auto"/>
        <w:jc w:val="center"/>
        <w:rPr>
          <w:rFonts w:asciiTheme="majorHAnsi" w:hAnsiTheme="majorHAnsi" w:cstheme="majorHAnsi"/>
          <w:b/>
          <w:sz w:val="24"/>
          <w:szCs w:val="24"/>
          <w:lang w:val="ro-RO"/>
        </w:rPr>
      </w:pPr>
      <w:r w:rsidRPr="004946B2">
        <w:rPr>
          <w:rFonts w:asciiTheme="majorHAnsi" w:hAnsiTheme="majorHAnsi" w:cstheme="majorHAnsi"/>
          <w:b/>
          <w:bCs/>
          <w:noProof/>
          <w:sz w:val="24"/>
          <w:szCs w:val="24"/>
          <w:lang w:val="en-US"/>
        </w:rPr>
        <w:drawing>
          <wp:inline distT="0" distB="0" distL="0" distR="0" wp14:anchorId="2315C5EF" wp14:editId="1557141B">
            <wp:extent cx="1377950" cy="1383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04459C" w:rsidRPr="00973E5B" w:rsidRDefault="0004459C" w:rsidP="0004459C">
      <w:pPr>
        <w:spacing w:after="0" w:line="276" w:lineRule="auto"/>
        <w:jc w:val="center"/>
        <w:rPr>
          <w:rFonts w:asciiTheme="majorHAnsi" w:hAnsiTheme="majorHAnsi" w:cstheme="majorHAnsi"/>
          <w:b/>
          <w:sz w:val="24"/>
          <w:szCs w:val="24"/>
          <w:lang w:val="ro-RO"/>
        </w:rPr>
      </w:pPr>
    </w:p>
    <w:p w:rsidR="0004459C" w:rsidRPr="00B05CFC" w:rsidRDefault="0004459C" w:rsidP="0004459C">
      <w:pPr>
        <w:spacing w:after="0" w:line="276" w:lineRule="auto"/>
        <w:jc w:val="center"/>
        <w:rPr>
          <w:rFonts w:asciiTheme="majorHAnsi" w:hAnsiTheme="majorHAnsi" w:cstheme="majorHAnsi"/>
          <w:b/>
          <w:sz w:val="24"/>
          <w:szCs w:val="24"/>
          <w:lang w:val="ro-RO"/>
        </w:rPr>
      </w:pPr>
    </w:p>
    <w:p w:rsidR="0004459C" w:rsidRPr="00E4517B" w:rsidRDefault="0004459C" w:rsidP="0004459C">
      <w:pPr>
        <w:spacing w:after="0" w:line="276" w:lineRule="auto"/>
        <w:rPr>
          <w:rFonts w:asciiTheme="majorHAnsi" w:hAnsiTheme="majorHAnsi" w:cstheme="majorHAnsi"/>
          <w:b/>
          <w:sz w:val="24"/>
          <w:szCs w:val="24"/>
          <w:lang w:val="ro-RO"/>
        </w:rPr>
      </w:pPr>
    </w:p>
    <w:p w:rsidR="0004459C" w:rsidRPr="00E4517B" w:rsidRDefault="00C722A4" w:rsidP="0004459C">
      <w:pPr>
        <w:spacing w:after="0" w:line="276" w:lineRule="auto"/>
        <w:jc w:val="center"/>
        <w:rPr>
          <w:rFonts w:asciiTheme="majorHAnsi" w:hAnsiTheme="majorHAnsi" w:cstheme="majorHAnsi"/>
          <w:b/>
          <w:sz w:val="24"/>
          <w:szCs w:val="24"/>
          <w:lang w:val="ro-RO"/>
        </w:rPr>
      </w:pPr>
      <w:r>
        <w:rPr>
          <w:rFonts w:asciiTheme="majorHAnsi" w:hAnsiTheme="majorHAnsi" w:cstheme="majorHAnsi"/>
          <w:b/>
          <w:bCs/>
          <w:sz w:val="24"/>
          <w:szCs w:val="24"/>
          <w:lang w:val="ru-RU"/>
        </w:rPr>
        <w:t>СЧЕТНАЯ ПАЛАТА РЕСПУБЛИКИ МОЛДОВА</w:t>
      </w:r>
    </w:p>
    <w:p w:rsidR="0004459C" w:rsidRPr="00E4517B" w:rsidRDefault="0004459C" w:rsidP="0004459C">
      <w:pPr>
        <w:spacing w:after="0" w:line="276" w:lineRule="auto"/>
        <w:rPr>
          <w:rFonts w:asciiTheme="majorHAnsi" w:hAnsiTheme="majorHAnsi" w:cstheme="majorHAnsi"/>
          <w:sz w:val="24"/>
          <w:szCs w:val="24"/>
          <w:lang w:val="ro-RO"/>
        </w:rPr>
      </w:pPr>
    </w:p>
    <w:p w:rsidR="0004459C" w:rsidRPr="00E4517B" w:rsidRDefault="0004459C" w:rsidP="0004459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04459C" w:rsidRPr="00E4517B" w:rsidTr="00502813">
        <w:trPr>
          <w:trHeight w:val="435"/>
        </w:trPr>
        <w:tc>
          <w:tcPr>
            <w:tcW w:w="9350" w:type="dxa"/>
          </w:tcPr>
          <w:p w:rsidR="0004459C" w:rsidRPr="00E4517B" w:rsidRDefault="0004459C" w:rsidP="00DD5BFF">
            <w:pPr>
              <w:tabs>
                <w:tab w:val="left" w:pos="0"/>
              </w:tabs>
              <w:spacing w:after="0" w:line="276" w:lineRule="auto"/>
              <w:jc w:val="center"/>
              <w:rPr>
                <w:rFonts w:asciiTheme="majorHAnsi" w:hAnsiTheme="majorHAnsi" w:cstheme="majorHAnsi"/>
                <w:sz w:val="24"/>
                <w:szCs w:val="24"/>
                <w:lang w:val="ro-RO"/>
              </w:rPr>
            </w:pPr>
            <w:r w:rsidRPr="00E4517B">
              <w:rPr>
                <w:rFonts w:asciiTheme="majorHAnsi" w:hAnsiTheme="majorHAnsi" w:cstheme="majorHAnsi"/>
                <w:sz w:val="24"/>
                <w:szCs w:val="24"/>
                <w:lang w:val="ro-RO"/>
              </w:rPr>
              <w:t>MD-2001, mun. Chișinău, bd Ștefan cel Mare și Sfânt nr.69, tel.: (+</w:t>
            </w:r>
            <w:r w:rsidRPr="00935C8D">
              <w:rPr>
                <w:rFonts w:asciiTheme="majorHAnsi" w:hAnsiTheme="majorHAnsi" w:cstheme="majorHAnsi"/>
                <w:sz w:val="24"/>
                <w:szCs w:val="24"/>
                <w:lang w:val="ro-RO"/>
              </w:rPr>
              <w:t xml:space="preserve">373) </w:t>
            </w:r>
            <w:r w:rsidR="002A2E1D">
              <w:rPr>
                <w:rFonts w:asciiTheme="majorHAnsi" w:hAnsiTheme="majorHAnsi" w:cstheme="majorHAnsi"/>
                <w:sz w:val="24"/>
                <w:szCs w:val="24"/>
                <w:lang w:val="ro-RO"/>
              </w:rPr>
              <w:t>26 60 02</w:t>
            </w:r>
            <w:r w:rsidRPr="00935C8D">
              <w:rPr>
                <w:rFonts w:asciiTheme="majorHAnsi" w:hAnsiTheme="majorHAnsi" w:cstheme="majorHAnsi"/>
                <w:sz w:val="24"/>
                <w:szCs w:val="24"/>
                <w:lang w:val="ro-RO"/>
              </w:rPr>
              <w:t>, fax: (+373</w:t>
            </w:r>
            <w:r w:rsidR="002A2E1D">
              <w:rPr>
                <w:rFonts w:asciiTheme="majorHAnsi" w:hAnsiTheme="majorHAnsi" w:cstheme="majorHAnsi"/>
                <w:sz w:val="24"/>
                <w:szCs w:val="24"/>
                <w:lang w:val="ro-RO"/>
              </w:rPr>
              <w:t xml:space="preserve"> 22</w:t>
            </w:r>
            <w:r w:rsidRPr="00935C8D">
              <w:rPr>
                <w:rFonts w:asciiTheme="majorHAnsi" w:hAnsiTheme="majorHAnsi" w:cstheme="majorHAnsi"/>
                <w:sz w:val="24"/>
                <w:szCs w:val="24"/>
                <w:lang w:val="ro-RO"/>
              </w:rPr>
              <w:t xml:space="preserve">) </w:t>
            </w:r>
            <w:r w:rsidR="002A2E1D">
              <w:rPr>
                <w:rFonts w:asciiTheme="majorHAnsi" w:hAnsiTheme="majorHAnsi" w:cstheme="majorHAnsi"/>
                <w:sz w:val="24"/>
                <w:szCs w:val="24"/>
                <w:lang w:val="ro-RO"/>
              </w:rPr>
              <w:t>26 61 00</w:t>
            </w:r>
          </w:p>
          <w:p w:rsidR="0004459C" w:rsidRPr="00E4517B" w:rsidRDefault="001A3EA6" w:rsidP="00502813">
            <w:pPr>
              <w:tabs>
                <w:tab w:val="left" w:pos="720"/>
              </w:tabs>
              <w:spacing w:after="0" w:line="276" w:lineRule="auto"/>
              <w:jc w:val="center"/>
              <w:rPr>
                <w:rFonts w:asciiTheme="majorHAnsi" w:hAnsiTheme="majorHAnsi" w:cstheme="majorHAnsi"/>
                <w:b/>
                <w:color w:val="0563C1" w:themeColor="hyperlink"/>
                <w:sz w:val="24"/>
                <w:szCs w:val="24"/>
                <w:u w:val="single"/>
                <w:lang w:val="ro-RO"/>
              </w:rPr>
            </w:pPr>
            <w:hyperlink r:id="rId9" w:history="1">
              <w:r w:rsidR="0004459C" w:rsidRPr="00E4517B">
                <w:rPr>
                  <w:rStyle w:val="Hyperlink"/>
                  <w:rFonts w:asciiTheme="majorHAnsi" w:hAnsiTheme="majorHAnsi" w:cstheme="majorHAnsi"/>
                  <w:sz w:val="24"/>
                  <w:szCs w:val="24"/>
                  <w:lang w:val="ro-RO"/>
                </w:rPr>
                <w:t>www.ccrm.md</w:t>
              </w:r>
            </w:hyperlink>
            <w:r w:rsidR="0004459C" w:rsidRPr="00E4517B">
              <w:rPr>
                <w:rStyle w:val="Hyperlink"/>
                <w:rFonts w:asciiTheme="majorHAnsi" w:hAnsiTheme="majorHAnsi" w:cstheme="majorHAnsi"/>
                <w:sz w:val="24"/>
                <w:szCs w:val="24"/>
                <w:lang w:val="ro-RO"/>
              </w:rPr>
              <w:t xml:space="preserve">; </w:t>
            </w:r>
            <w:r w:rsidR="0004459C" w:rsidRPr="00973E5B">
              <w:rPr>
                <w:rFonts w:asciiTheme="majorHAnsi" w:hAnsiTheme="majorHAnsi" w:cstheme="majorHAnsi"/>
                <w:sz w:val="24"/>
                <w:szCs w:val="24"/>
                <w:lang w:val="ro-RO"/>
              </w:rPr>
              <w:t xml:space="preserve">e-mail: </w:t>
            </w:r>
            <w:hyperlink r:id="rId10" w:history="1">
              <w:r w:rsidR="0004459C" w:rsidRPr="00E4517B">
                <w:rPr>
                  <w:rStyle w:val="Hyperlink"/>
                  <w:rFonts w:asciiTheme="majorHAnsi" w:hAnsiTheme="majorHAnsi" w:cstheme="majorHAnsi"/>
                  <w:sz w:val="24"/>
                  <w:szCs w:val="24"/>
                  <w:lang w:val="ro-RO"/>
                </w:rPr>
                <w:t>ccrm@ccrm.md</w:t>
              </w:r>
            </w:hyperlink>
          </w:p>
        </w:tc>
      </w:tr>
    </w:tbl>
    <w:p w:rsidR="0004459C" w:rsidRPr="00E4517B" w:rsidRDefault="0004459C" w:rsidP="0004459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04459C" w:rsidRPr="00973E5B" w:rsidRDefault="0004459C" w:rsidP="0004459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04459C" w:rsidRPr="00B05CFC" w:rsidRDefault="0004459C" w:rsidP="0004459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04459C" w:rsidRPr="00E4517B" w:rsidRDefault="0004459C" w:rsidP="0004459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04459C" w:rsidRPr="00E4517B" w:rsidRDefault="0004459C" w:rsidP="0004459C">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rsidR="00A107A4" w:rsidRPr="00211B90" w:rsidRDefault="00A107A4" w:rsidP="009371C6">
      <w:pPr>
        <w:tabs>
          <w:tab w:val="left" w:pos="720"/>
        </w:tabs>
        <w:spacing w:after="0" w:line="276" w:lineRule="auto"/>
        <w:jc w:val="center"/>
        <w:rPr>
          <w:rFonts w:asciiTheme="majorHAnsi" w:eastAsia="Times New Roman" w:hAnsiTheme="majorHAnsi" w:cs="Times New Roman"/>
          <w:b/>
          <w:bCs/>
          <w:szCs w:val="28"/>
          <w:lang w:val="en-US"/>
        </w:rPr>
      </w:pPr>
    </w:p>
    <w:p w:rsidR="002900C1" w:rsidRPr="002D6EC2" w:rsidRDefault="002900C1" w:rsidP="009371C6">
      <w:pPr>
        <w:tabs>
          <w:tab w:val="left" w:pos="720"/>
        </w:tabs>
        <w:spacing w:after="0" w:line="276" w:lineRule="auto"/>
        <w:jc w:val="center"/>
        <w:rPr>
          <w:rFonts w:asciiTheme="majorHAnsi" w:eastAsia="Times New Roman" w:hAnsiTheme="majorHAnsi" w:cs="Times New Roman"/>
          <w:b/>
          <w:bCs/>
          <w:szCs w:val="28"/>
          <w:lang w:val="ru-MD"/>
        </w:rPr>
      </w:pPr>
      <w:r w:rsidRPr="002D6EC2">
        <w:rPr>
          <w:rFonts w:asciiTheme="majorHAnsi" w:eastAsia="Times New Roman" w:hAnsiTheme="majorHAnsi" w:cs="Times New Roman"/>
          <w:b/>
          <w:bCs/>
          <w:szCs w:val="28"/>
          <w:lang w:val="ru-MD"/>
        </w:rPr>
        <w:t xml:space="preserve">ОТЧЕТ </w:t>
      </w:r>
    </w:p>
    <w:p w:rsidR="002D6EC2" w:rsidRDefault="002900C1" w:rsidP="009371C6">
      <w:pPr>
        <w:tabs>
          <w:tab w:val="left" w:pos="720"/>
        </w:tabs>
        <w:spacing w:after="0" w:line="276" w:lineRule="auto"/>
        <w:jc w:val="center"/>
        <w:rPr>
          <w:rFonts w:asciiTheme="majorHAnsi" w:eastAsia="Times New Roman" w:hAnsiTheme="majorHAnsi" w:cs="Times New Roman"/>
          <w:b/>
          <w:bCs/>
          <w:szCs w:val="28"/>
          <w:lang w:val="ru-MD"/>
        </w:rPr>
      </w:pPr>
      <w:r w:rsidRPr="002D6EC2">
        <w:rPr>
          <w:rFonts w:asciiTheme="majorHAnsi" w:eastAsia="Times New Roman" w:hAnsiTheme="majorHAnsi" w:cs="Times New Roman"/>
          <w:b/>
          <w:bCs/>
          <w:szCs w:val="28"/>
          <w:lang w:val="ru-MD"/>
        </w:rPr>
        <w:t>финансового аудита по Отчету Правительства об исполнении</w:t>
      </w:r>
    </w:p>
    <w:p w:rsidR="002900C1" w:rsidRPr="002D6EC2" w:rsidRDefault="002900C1" w:rsidP="009371C6">
      <w:pPr>
        <w:tabs>
          <w:tab w:val="left" w:pos="720"/>
        </w:tabs>
        <w:spacing w:after="0" w:line="276" w:lineRule="auto"/>
        <w:jc w:val="center"/>
        <w:rPr>
          <w:rFonts w:asciiTheme="majorHAnsi" w:eastAsia="Times New Roman" w:hAnsiTheme="majorHAnsi" w:cs="Times New Roman"/>
          <w:b/>
          <w:bCs/>
          <w:szCs w:val="28"/>
          <w:lang w:val="ru-MD"/>
        </w:rPr>
      </w:pPr>
      <w:r w:rsidRPr="002D6EC2">
        <w:rPr>
          <w:rFonts w:asciiTheme="majorHAnsi" w:eastAsia="Times New Roman" w:hAnsiTheme="majorHAnsi" w:cs="Times New Roman"/>
          <w:b/>
          <w:bCs/>
          <w:szCs w:val="28"/>
          <w:lang w:val="ru-MD"/>
        </w:rPr>
        <w:t>государственного бюджета за 2020 год</w:t>
      </w:r>
    </w:p>
    <w:p w:rsidR="00663798" w:rsidRPr="00F55BA6" w:rsidRDefault="00663798">
      <w:pPr>
        <w:rPr>
          <w:lang w:val="ro-RO"/>
        </w:rPr>
      </w:pPr>
    </w:p>
    <w:p w:rsidR="006412F2" w:rsidRPr="00F55BA6" w:rsidRDefault="006412F2">
      <w:pPr>
        <w:rPr>
          <w:lang w:val="ro-RO"/>
        </w:rPr>
      </w:pPr>
    </w:p>
    <w:p w:rsidR="009E2B4F" w:rsidRPr="00F55BA6" w:rsidRDefault="009E2B4F">
      <w:pPr>
        <w:rPr>
          <w:lang w:val="ro-RO"/>
        </w:rPr>
      </w:pPr>
    </w:p>
    <w:p w:rsidR="009E2B4F" w:rsidRDefault="009E2B4F">
      <w:pPr>
        <w:rPr>
          <w:lang w:val="ro-RO"/>
        </w:rPr>
      </w:pPr>
    </w:p>
    <w:p w:rsidR="0052195D" w:rsidRDefault="0052195D">
      <w:pPr>
        <w:rPr>
          <w:lang w:val="ro-RO"/>
        </w:rPr>
      </w:pPr>
      <w:r>
        <w:rPr>
          <w:lang w:val="ro-RO"/>
        </w:rPr>
        <w:br w:type="page"/>
      </w:r>
    </w:p>
    <w:p w:rsidR="00F7775C" w:rsidRPr="00F55BA6" w:rsidRDefault="002900C1" w:rsidP="00F7775C">
      <w:pPr>
        <w:numPr>
          <w:ilvl w:val="0"/>
          <w:numId w:val="1"/>
        </w:numPr>
        <w:tabs>
          <w:tab w:val="left" w:pos="284"/>
        </w:tabs>
        <w:spacing w:after="0" w:line="276" w:lineRule="auto"/>
        <w:ind w:left="0" w:firstLine="0"/>
        <w:contextualSpacing/>
        <w:jc w:val="left"/>
        <w:outlineLvl w:val="0"/>
        <w:rPr>
          <w:rFonts w:asciiTheme="majorHAnsi" w:eastAsia="Times New Roman" w:hAnsiTheme="majorHAnsi" w:cs="Times New Roman"/>
          <w:b/>
          <w:bCs/>
          <w:szCs w:val="28"/>
          <w:lang w:val="ro-RO"/>
        </w:rPr>
      </w:pPr>
      <w:r>
        <w:rPr>
          <w:rFonts w:asciiTheme="majorHAnsi" w:eastAsia="Times New Roman" w:hAnsiTheme="majorHAnsi" w:cs="Times New Roman"/>
          <w:b/>
          <w:bCs/>
          <w:szCs w:val="28"/>
          <w:lang w:val="ru-RU"/>
        </w:rPr>
        <w:lastRenderedPageBreak/>
        <w:t>АУДИТОРСКОЕ МНЕНИЕ</w:t>
      </w:r>
      <w:r w:rsidR="00F7775C" w:rsidRPr="00F55BA6">
        <w:rPr>
          <w:rFonts w:asciiTheme="majorHAnsi" w:eastAsia="Times New Roman" w:hAnsiTheme="majorHAnsi" w:cs="Times New Roman"/>
          <w:b/>
          <w:bCs/>
          <w:szCs w:val="28"/>
          <w:lang w:val="ro-RO"/>
        </w:rPr>
        <w:t xml:space="preserve"> </w:t>
      </w:r>
    </w:p>
    <w:p w:rsidR="00F7775C" w:rsidRPr="00D13FB9" w:rsidRDefault="002900C1" w:rsidP="00F7775C">
      <w:pPr>
        <w:tabs>
          <w:tab w:val="left" w:pos="720"/>
        </w:tabs>
        <w:spacing w:after="0" w:line="276" w:lineRule="auto"/>
        <w:contextualSpacing/>
        <w:rPr>
          <w:rFonts w:asciiTheme="majorHAnsi" w:hAnsiTheme="majorHAnsi" w:cstheme="majorHAnsi"/>
          <w:sz w:val="24"/>
          <w:szCs w:val="24"/>
          <w:lang w:val="ru-MD"/>
        </w:rPr>
      </w:pPr>
      <w:r w:rsidRPr="00D13FB9">
        <w:rPr>
          <w:rFonts w:asciiTheme="majorHAnsi" w:hAnsiTheme="majorHAnsi" w:cstheme="majorHAnsi"/>
          <w:sz w:val="24"/>
          <w:szCs w:val="24"/>
          <w:lang w:val="ru-MD"/>
        </w:rPr>
        <w:t xml:space="preserve">Мы проаудировали Отчет Правительства об исполнении государственного бюджета, подготовленный Министерством финансов за бюджетный год, завершившийся 31 декабря 2020 года, который включает Формы №1; №2; №3; №3.1; №3.2; №3.3; nr.3.4; №4; №5; №6; №6.1; № 6.2; №7; №7.1; №7.1.1; №8; №9; №10; №11; №№ 12 и 13, а </w:t>
      </w:r>
      <w:r w:rsidR="00D13FB9" w:rsidRPr="00D13FB9">
        <w:rPr>
          <w:rFonts w:asciiTheme="majorHAnsi" w:hAnsiTheme="majorHAnsi" w:cstheme="majorHAnsi"/>
          <w:sz w:val="24"/>
          <w:szCs w:val="24"/>
          <w:lang w:val="ru-MD"/>
        </w:rPr>
        <w:t xml:space="preserve">также, </w:t>
      </w:r>
      <w:r w:rsidRPr="00D13FB9">
        <w:rPr>
          <w:rFonts w:asciiTheme="majorHAnsi" w:hAnsiTheme="majorHAnsi" w:cstheme="majorHAnsi"/>
          <w:sz w:val="24"/>
          <w:szCs w:val="24"/>
          <w:lang w:val="ru-MD"/>
        </w:rPr>
        <w:t xml:space="preserve">Пояснительную записку, за исключением Формы №14 </w:t>
      </w:r>
      <w:r w:rsidRPr="00D13FB9">
        <w:rPr>
          <w:rFonts w:asciiTheme="majorHAnsi" w:eastAsia="Times New Roman" w:hAnsiTheme="majorHAnsi" w:cstheme="majorHAnsi"/>
          <w:bCs/>
          <w:iCs/>
          <w:sz w:val="20"/>
          <w:szCs w:val="20"/>
          <w:lang w:val="ru-MD" w:eastAsia="ru-RU"/>
        </w:rPr>
        <w:t>„</w:t>
      </w:r>
      <w:r w:rsidRPr="00D13FB9">
        <w:rPr>
          <w:rFonts w:asciiTheme="majorHAnsi" w:hAnsiTheme="majorHAnsi" w:cstheme="majorHAnsi"/>
          <w:sz w:val="24"/>
          <w:szCs w:val="24"/>
          <w:lang w:val="ru-MD"/>
        </w:rPr>
        <w:t>Отчет об исполнении НПБ</w:t>
      </w:r>
      <w:r w:rsidRPr="00D13FB9">
        <w:rPr>
          <w:rFonts w:asciiTheme="majorHAnsi" w:hAnsiTheme="majorHAnsi" w:cstheme="majorHAnsi"/>
          <w:bCs/>
          <w:iCs/>
          <w:sz w:val="24"/>
          <w:szCs w:val="24"/>
          <w:lang w:val="ru-MD"/>
        </w:rPr>
        <w:t>”</w:t>
      </w:r>
      <w:r w:rsidRPr="00D13FB9">
        <w:rPr>
          <w:rStyle w:val="FootnoteReference"/>
          <w:rFonts w:asciiTheme="majorHAnsi" w:hAnsiTheme="majorHAnsi" w:cstheme="majorHAnsi"/>
          <w:bCs/>
          <w:iCs/>
          <w:sz w:val="24"/>
          <w:szCs w:val="24"/>
          <w:lang w:val="ru-MD"/>
        </w:rPr>
        <w:footnoteReference w:id="1"/>
      </w:r>
      <w:r w:rsidRPr="00D13FB9">
        <w:rPr>
          <w:rFonts w:asciiTheme="majorHAnsi" w:hAnsiTheme="majorHAnsi" w:cstheme="majorHAnsi"/>
          <w:sz w:val="24"/>
          <w:szCs w:val="24"/>
          <w:lang w:val="ru-MD"/>
        </w:rPr>
        <w:t xml:space="preserve">. По нашему мнению, Отчет Правительства об исполнении государственного бюджета за 2020 год представляет, во всех существенных аспектах, </w:t>
      </w:r>
      <w:r w:rsidRPr="00D13FB9">
        <w:rPr>
          <w:rFonts w:asciiTheme="majorHAnsi" w:hAnsiTheme="majorHAnsi" w:cstheme="majorHAnsi"/>
          <w:i/>
          <w:sz w:val="24"/>
          <w:szCs w:val="24"/>
          <w:lang w:val="ru-MD"/>
        </w:rPr>
        <w:t xml:space="preserve">правильную и достоверную ситуацию </w:t>
      </w:r>
      <w:r w:rsidR="00D13FB9" w:rsidRPr="00D13FB9">
        <w:rPr>
          <w:rFonts w:asciiTheme="majorHAnsi" w:hAnsiTheme="majorHAnsi" w:cstheme="majorHAnsi"/>
          <w:i/>
          <w:sz w:val="24"/>
          <w:szCs w:val="24"/>
          <w:lang w:val="ru-MD"/>
        </w:rPr>
        <w:t xml:space="preserve">по </w:t>
      </w:r>
      <w:r w:rsidRPr="00D13FB9">
        <w:rPr>
          <w:rFonts w:asciiTheme="majorHAnsi" w:hAnsiTheme="majorHAnsi" w:cstheme="majorHAnsi"/>
          <w:i/>
          <w:sz w:val="24"/>
          <w:szCs w:val="24"/>
          <w:lang w:val="ru-MD"/>
        </w:rPr>
        <w:t>кассово</w:t>
      </w:r>
      <w:r w:rsidR="00D13FB9" w:rsidRPr="00D13FB9">
        <w:rPr>
          <w:rFonts w:asciiTheme="majorHAnsi" w:hAnsiTheme="majorHAnsi" w:cstheme="majorHAnsi"/>
          <w:i/>
          <w:sz w:val="24"/>
          <w:szCs w:val="24"/>
          <w:lang w:val="ru-MD"/>
        </w:rPr>
        <w:t>му</w:t>
      </w:r>
      <w:r w:rsidRPr="00D13FB9">
        <w:rPr>
          <w:rFonts w:asciiTheme="majorHAnsi" w:hAnsiTheme="majorHAnsi" w:cstheme="majorHAnsi"/>
          <w:i/>
          <w:sz w:val="24"/>
          <w:szCs w:val="24"/>
          <w:lang w:val="ru-MD"/>
        </w:rPr>
        <w:t xml:space="preserve"> исполнени</w:t>
      </w:r>
      <w:r w:rsidR="00D13FB9" w:rsidRPr="00D13FB9">
        <w:rPr>
          <w:rFonts w:asciiTheme="majorHAnsi" w:hAnsiTheme="majorHAnsi" w:cstheme="majorHAnsi"/>
          <w:i/>
          <w:sz w:val="24"/>
          <w:szCs w:val="24"/>
          <w:lang w:val="ru-MD"/>
        </w:rPr>
        <w:t>ю</w:t>
      </w:r>
      <w:r w:rsidRPr="00D13FB9">
        <w:rPr>
          <w:rFonts w:asciiTheme="majorHAnsi" w:hAnsiTheme="majorHAnsi" w:cstheme="majorHAnsi"/>
          <w:sz w:val="24"/>
          <w:szCs w:val="24"/>
          <w:lang w:val="ru-MD"/>
        </w:rPr>
        <w:t>, в соответствии с применяемой базой по</w:t>
      </w:r>
      <w:r w:rsidR="00D13FB9" w:rsidRPr="00D13FB9">
        <w:rPr>
          <w:rFonts w:asciiTheme="majorHAnsi" w:hAnsiTheme="majorHAnsi" w:cstheme="majorHAnsi"/>
          <w:sz w:val="24"/>
          <w:szCs w:val="24"/>
          <w:lang w:val="ru-MD"/>
        </w:rPr>
        <w:t xml:space="preserve"> финансовой отчетности</w:t>
      </w:r>
      <w:r w:rsidR="00F7775C" w:rsidRPr="00D13FB9">
        <w:rPr>
          <w:rFonts w:asciiTheme="majorHAnsi" w:hAnsiTheme="majorHAnsi" w:cstheme="majorHAnsi"/>
          <w:sz w:val="24"/>
          <w:szCs w:val="24"/>
          <w:vertAlign w:val="superscript"/>
          <w:lang w:val="ru-MD"/>
        </w:rPr>
        <w:footnoteReference w:id="2"/>
      </w:r>
      <w:r w:rsidR="00F7775C" w:rsidRPr="00D13FB9">
        <w:rPr>
          <w:rFonts w:asciiTheme="majorHAnsi" w:hAnsiTheme="majorHAnsi" w:cstheme="majorHAnsi"/>
          <w:sz w:val="24"/>
          <w:szCs w:val="24"/>
          <w:lang w:val="ru-MD"/>
        </w:rPr>
        <w:t>.</w:t>
      </w:r>
    </w:p>
    <w:p w:rsidR="00F7775C" w:rsidRPr="00F55BA6" w:rsidRDefault="00F7775C" w:rsidP="00F7775C">
      <w:pPr>
        <w:tabs>
          <w:tab w:val="left" w:pos="284"/>
          <w:tab w:val="left" w:pos="1560"/>
        </w:tabs>
        <w:spacing w:after="0" w:line="276" w:lineRule="auto"/>
        <w:contextualSpacing/>
        <w:jc w:val="left"/>
        <w:outlineLvl w:val="0"/>
        <w:rPr>
          <w:rFonts w:asciiTheme="minorHAnsi" w:hAnsiTheme="minorHAnsi"/>
          <w:sz w:val="24"/>
          <w:szCs w:val="24"/>
          <w:lang w:val="ro-RO"/>
        </w:rPr>
      </w:pPr>
      <w:bookmarkStart w:id="0" w:name="_Toc9338529"/>
    </w:p>
    <w:p w:rsidR="00F7775C" w:rsidRPr="00F55BA6" w:rsidRDefault="002900C1" w:rsidP="00F7775C">
      <w:pPr>
        <w:numPr>
          <w:ilvl w:val="0"/>
          <w:numId w:val="1"/>
        </w:numPr>
        <w:tabs>
          <w:tab w:val="left" w:pos="284"/>
          <w:tab w:val="left" w:pos="1560"/>
        </w:tabs>
        <w:spacing w:after="0" w:line="276" w:lineRule="auto"/>
        <w:ind w:left="0" w:firstLine="0"/>
        <w:contextualSpacing/>
        <w:jc w:val="left"/>
        <w:outlineLvl w:val="0"/>
        <w:rPr>
          <w:rFonts w:asciiTheme="majorHAnsi" w:eastAsia="Times New Roman" w:hAnsiTheme="majorHAnsi" w:cs="Times New Roman"/>
          <w:b/>
          <w:bCs/>
          <w:szCs w:val="28"/>
          <w:lang w:val="ro-RO"/>
        </w:rPr>
      </w:pPr>
      <w:r>
        <w:rPr>
          <w:rFonts w:asciiTheme="majorHAnsi" w:eastAsia="Times New Roman" w:hAnsiTheme="majorHAnsi" w:cs="Times New Roman"/>
          <w:b/>
          <w:bCs/>
          <w:szCs w:val="28"/>
          <w:lang w:val="ru-RU"/>
        </w:rPr>
        <w:t>ОСНОВАНИЕ ДЛЯ АУДИТОРСКОГО МНЕНИЯ</w:t>
      </w:r>
      <w:bookmarkEnd w:id="0"/>
    </w:p>
    <w:p w:rsidR="00F7775C" w:rsidRPr="00D13FB9" w:rsidRDefault="00D13FB9" w:rsidP="00D13FB9">
      <w:pPr>
        <w:spacing w:after="0" w:line="276" w:lineRule="auto"/>
        <w:rPr>
          <w:rFonts w:asciiTheme="majorHAnsi" w:hAnsiTheme="majorHAnsi" w:cstheme="majorHAnsi"/>
          <w:sz w:val="24"/>
          <w:szCs w:val="24"/>
          <w:lang w:val="ru-MD"/>
        </w:rPr>
      </w:pPr>
      <w:r w:rsidRPr="00D13FB9">
        <w:rPr>
          <w:rFonts w:asciiTheme="majorHAnsi" w:hAnsiTheme="majorHAnsi" w:cstheme="majorHAnsi"/>
          <w:sz w:val="24"/>
          <w:szCs w:val="24"/>
          <w:lang w:val="ru-MD"/>
        </w:rPr>
        <w:t>Мы провели аудиторскую миссию в соответствии с Международными стандартами аудита</w:t>
      </w:r>
      <w:r w:rsidRPr="00D13FB9">
        <w:rPr>
          <w:rStyle w:val="FootnoteReference"/>
          <w:rFonts w:asciiTheme="majorHAnsi" w:eastAsia="Times New Roman" w:hAnsiTheme="majorHAnsi" w:cs="Times New Roman"/>
          <w:sz w:val="24"/>
          <w:szCs w:val="24"/>
          <w:lang w:val="ru-MD"/>
        </w:rPr>
        <w:footnoteReference w:id="3"/>
      </w:r>
      <w:r w:rsidRPr="00D13FB9">
        <w:rPr>
          <w:rFonts w:asciiTheme="majorHAnsi" w:hAnsiTheme="majorHAnsi" w:cstheme="majorHAnsi"/>
          <w:sz w:val="24"/>
          <w:szCs w:val="24"/>
          <w:lang w:val="ru-MD"/>
        </w:rPr>
        <w:t xml:space="preserve">. Наши обязанности, согласно указанным стандартам, изложены в разделе </w:t>
      </w:r>
      <w:r w:rsidRPr="00D13FB9">
        <w:rPr>
          <w:rFonts w:asciiTheme="majorHAnsi" w:hAnsiTheme="majorHAnsi" w:cstheme="majorHAnsi"/>
          <w:i/>
          <w:sz w:val="24"/>
          <w:szCs w:val="24"/>
          <w:lang w:val="ru-MD"/>
        </w:rPr>
        <w:t>Обязанности аудитора в рамках аудита финансовой отчетности</w:t>
      </w:r>
      <w:r w:rsidRPr="00D13FB9">
        <w:rPr>
          <w:rFonts w:asciiTheme="majorHAnsi" w:hAnsiTheme="majorHAnsi" w:cstheme="majorHAnsi"/>
          <w:sz w:val="24"/>
          <w:szCs w:val="24"/>
          <w:lang w:val="ru-MD"/>
        </w:rPr>
        <w:t xml:space="preserve"> настоящего Отчета. Мы являемся независимыми от аудируемого субъекта и выполняли обязанности по этике в соответствии с требованиями Кодекса этики Счетной палаты. Считаем, что полученные нами аудиторские доказательства являются достаточными и адекватными, чтобы служить основанием для нашего мнения</w:t>
      </w:r>
      <w:r w:rsidR="00F7775C" w:rsidRPr="00D13FB9">
        <w:rPr>
          <w:rFonts w:asciiTheme="majorHAnsi" w:hAnsiTheme="majorHAnsi" w:cstheme="majorHAnsi"/>
          <w:sz w:val="24"/>
          <w:szCs w:val="24"/>
          <w:lang w:val="ru-MD"/>
        </w:rPr>
        <w:t>.</w:t>
      </w:r>
    </w:p>
    <w:p w:rsidR="00F7775C" w:rsidRPr="00E4517B" w:rsidRDefault="00F7775C" w:rsidP="00F7775C">
      <w:pPr>
        <w:spacing w:after="0" w:line="276" w:lineRule="auto"/>
        <w:rPr>
          <w:rFonts w:asciiTheme="majorHAnsi" w:eastAsia="Times New Roman" w:hAnsiTheme="majorHAnsi" w:cstheme="majorHAnsi"/>
          <w:iCs/>
          <w:sz w:val="24"/>
          <w:szCs w:val="24"/>
          <w:lang w:val="ro-RO"/>
        </w:rPr>
      </w:pPr>
    </w:p>
    <w:p w:rsidR="00F7775C" w:rsidRPr="00F55BA6" w:rsidRDefault="00B32266" w:rsidP="00B32266">
      <w:pPr>
        <w:numPr>
          <w:ilvl w:val="0"/>
          <w:numId w:val="1"/>
        </w:numPr>
        <w:tabs>
          <w:tab w:val="left" w:pos="0"/>
          <w:tab w:val="left" w:pos="426"/>
        </w:tabs>
        <w:spacing w:after="0" w:line="276" w:lineRule="auto"/>
        <w:contextualSpacing/>
        <w:jc w:val="left"/>
        <w:outlineLvl w:val="0"/>
        <w:rPr>
          <w:rFonts w:asciiTheme="majorHAnsi" w:eastAsia="Times New Roman" w:hAnsiTheme="majorHAnsi" w:cs="Times New Roman"/>
          <w:b/>
          <w:bCs/>
          <w:szCs w:val="28"/>
          <w:lang w:val="ro-RO"/>
        </w:rPr>
      </w:pPr>
      <w:r w:rsidRPr="00B32266">
        <w:rPr>
          <w:rFonts w:asciiTheme="majorHAnsi" w:eastAsia="Times New Roman" w:hAnsiTheme="majorHAnsi" w:cs="Times New Roman"/>
          <w:b/>
          <w:bCs/>
          <w:szCs w:val="28"/>
          <w:lang w:val="ro-RO"/>
        </w:rPr>
        <w:t>ВЫДЕЛЕНИ</w:t>
      </w:r>
      <w:r>
        <w:rPr>
          <w:rFonts w:asciiTheme="majorHAnsi" w:eastAsia="Times New Roman" w:hAnsiTheme="majorHAnsi" w:cs="Times New Roman"/>
          <w:b/>
          <w:bCs/>
          <w:szCs w:val="28"/>
          <w:lang w:val="ru-RU"/>
        </w:rPr>
        <w:t>Е</w:t>
      </w:r>
      <w:r w:rsidRPr="00B32266">
        <w:rPr>
          <w:rFonts w:asciiTheme="majorHAnsi" w:eastAsia="Times New Roman" w:hAnsiTheme="majorHAnsi" w:cs="Times New Roman"/>
          <w:b/>
          <w:bCs/>
          <w:szCs w:val="28"/>
          <w:lang w:val="ro-RO"/>
        </w:rPr>
        <w:t xml:space="preserve"> НЕКОТОРЫХ АСПЕКТОВ</w:t>
      </w:r>
    </w:p>
    <w:p w:rsidR="00E61CC4" w:rsidRPr="00F55BA6" w:rsidRDefault="002D6EC2" w:rsidP="00A30659">
      <w:pPr>
        <w:pStyle w:val="ListParagraph"/>
        <w:numPr>
          <w:ilvl w:val="1"/>
          <w:numId w:val="29"/>
        </w:numPr>
        <w:tabs>
          <w:tab w:val="left" w:pos="0"/>
        </w:tabs>
        <w:spacing w:after="0" w:line="276" w:lineRule="auto"/>
        <w:ind w:left="0" w:firstLine="0"/>
        <w:rPr>
          <w:rFonts w:asciiTheme="majorHAnsi" w:eastAsia="Times New Roman" w:hAnsiTheme="majorHAnsi" w:cstheme="majorHAnsi"/>
          <w:sz w:val="24"/>
          <w:szCs w:val="24"/>
          <w:lang w:val="ro-RO"/>
        </w:rPr>
      </w:pPr>
      <w:r w:rsidRPr="002D6EC2">
        <w:rPr>
          <w:rFonts w:asciiTheme="majorHAnsi" w:eastAsia="Times New Roman" w:hAnsiTheme="majorHAnsi" w:cstheme="majorHAnsi"/>
          <w:b/>
          <w:sz w:val="24"/>
          <w:szCs w:val="24"/>
          <w:lang w:val="ru-MD"/>
        </w:rPr>
        <w:t>Обращаем внимание на то,</w:t>
      </w:r>
      <w:r w:rsidR="00B32266" w:rsidRPr="002D6EC2">
        <w:rPr>
          <w:rFonts w:asciiTheme="majorHAnsi" w:eastAsia="Times New Roman" w:hAnsiTheme="majorHAnsi" w:cstheme="majorHAnsi"/>
          <w:b/>
          <w:sz w:val="24"/>
          <w:szCs w:val="24"/>
          <w:lang w:val="ru-MD"/>
        </w:rPr>
        <w:t xml:space="preserve"> что специфика концепции планирования и финансирования ассигнований посредством компонента </w:t>
      </w:r>
      <w:r w:rsidR="00B32266" w:rsidRPr="002D6EC2">
        <w:rPr>
          <w:rFonts w:asciiTheme="majorHAnsi" w:eastAsia="Times New Roman" w:hAnsiTheme="majorHAnsi" w:cstheme="majorHAnsi"/>
          <w:b/>
          <w:bCs/>
          <w:iCs/>
          <w:sz w:val="24"/>
          <w:szCs w:val="24"/>
          <w:lang w:val="ru-MD"/>
        </w:rPr>
        <w:t>„О</w:t>
      </w:r>
      <w:r w:rsidR="00B32266" w:rsidRPr="002D6EC2">
        <w:rPr>
          <w:rFonts w:asciiTheme="majorHAnsi" w:eastAsia="Times New Roman" w:hAnsiTheme="majorHAnsi" w:cstheme="majorHAnsi"/>
          <w:b/>
          <w:sz w:val="24"/>
          <w:szCs w:val="24"/>
          <w:lang w:val="ru-MD"/>
        </w:rPr>
        <w:t>бщие действия</w:t>
      </w:r>
      <w:r w:rsidR="00B32266" w:rsidRPr="002D6EC2">
        <w:rPr>
          <w:rFonts w:asciiTheme="majorHAnsi" w:eastAsia="Times New Roman" w:hAnsiTheme="majorHAnsi" w:cstheme="majorHAnsi"/>
          <w:b/>
          <w:bCs/>
          <w:iCs/>
          <w:sz w:val="24"/>
          <w:szCs w:val="24"/>
          <w:lang w:val="ru-MD"/>
        </w:rPr>
        <w:t>”</w:t>
      </w:r>
      <w:r w:rsidR="00B32266" w:rsidRPr="002D6EC2">
        <w:rPr>
          <w:rFonts w:asciiTheme="majorHAnsi" w:eastAsia="Times New Roman" w:hAnsiTheme="majorHAnsi" w:cstheme="majorHAnsi"/>
          <w:b/>
          <w:sz w:val="24"/>
          <w:szCs w:val="24"/>
          <w:lang w:val="ru-MD"/>
        </w:rPr>
        <w:t xml:space="preserve"> не может обеспечить, по мнению аудита, прозрачность и надлежащее администрирование публичных фондов</w:t>
      </w:r>
      <w:r w:rsidR="00873A0D" w:rsidRPr="002D6EC2">
        <w:rPr>
          <w:rFonts w:asciiTheme="majorHAnsi" w:eastAsia="Times New Roman" w:hAnsiTheme="majorHAnsi" w:cstheme="majorHAnsi"/>
          <w:b/>
          <w:bCs/>
          <w:iCs/>
          <w:sz w:val="24"/>
          <w:szCs w:val="24"/>
          <w:lang w:val="ru-MD"/>
        </w:rPr>
        <w:t>.</w:t>
      </w:r>
      <w:r w:rsidR="00B342AD" w:rsidRPr="002D6EC2">
        <w:rPr>
          <w:lang w:val="ru-MD"/>
        </w:rPr>
        <w:t xml:space="preserve"> </w:t>
      </w:r>
      <w:r w:rsidR="00B342AD" w:rsidRPr="002D6EC2">
        <w:rPr>
          <w:rFonts w:asciiTheme="majorHAnsi" w:eastAsia="Times New Roman" w:hAnsiTheme="majorHAnsi" w:cstheme="majorHAnsi"/>
          <w:bCs/>
          <w:iCs/>
          <w:sz w:val="24"/>
          <w:szCs w:val="24"/>
          <w:lang w:val="ru-MD"/>
        </w:rPr>
        <w:t xml:space="preserve">Так, согласно Закону о ГБ на 2020 год, в Орг1 </w:t>
      </w:r>
      <w:r w:rsidR="00B342AD" w:rsidRPr="002D6EC2">
        <w:rPr>
          <w:rFonts w:asciiTheme="majorHAnsi" w:hAnsiTheme="majorHAnsi" w:cstheme="majorHAnsi"/>
          <w:sz w:val="24"/>
          <w:szCs w:val="24"/>
          <w:lang w:val="ru-MD"/>
        </w:rPr>
        <w:t>„</w:t>
      </w:r>
      <w:r w:rsidR="00B342AD" w:rsidRPr="002D6EC2">
        <w:rPr>
          <w:rFonts w:asciiTheme="majorHAnsi" w:eastAsia="Times New Roman" w:hAnsiTheme="majorHAnsi" w:cstheme="majorHAnsi"/>
          <w:bCs/>
          <w:iCs/>
          <w:sz w:val="24"/>
          <w:szCs w:val="24"/>
          <w:lang w:val="ru-MD"/>
        </w:rPr>
        <w:t>Общие действия</w:t>
      </w:r>
      <w:r w:rsidR="00B342AD" w:rsidRPr="002D6EC2">
        <w:rPr>
          <w:rFonts w:asciiTheme="majorHAnsi" w:hAnsiTheme="majorHAnsi" w:cstheme="majorHAnsi"/>
          <w:sz w:val="24"/>
          <w:szCs w:val="24"/>
          <w:lang w:val="ru-MD"/>
        </w:rPr>
        <w:t>”</w:t>
      </w:r>
      <w:r w:rsidR="00B342AD" w:rsidRPr="002D6EC2">
        <w:rPr>
          <w:rStyle w:val="FootnoteReference"/>
          <w:rFonts w:asciiTheme="majorHAnsi" w:hAnsiTheme="majorHAnsi" w:cstheme="majorHAnsi"/>
          <w:sz w:val="24"/>
          <w:szCs w:val="24"/>
          <w:lang w:val="ru-MD"/>
        </w:rPr>
        <w:footnoteReference w:id="4"/>
      </w:r>
      <w:r w:rsidR="00B342AD" w:rsidRPr="002D6EC2">
        <w:rPr>
          <w:rFonts w:asciiTheme="majorHAnsi" w:eastAsia="Times New Roman" w:hAnsiTheme="majorHAnsi" w:cstheme="majorHAnsi"/>
          <w:bCs/>
          <w:iCs/>
          <w:sz w:val="24"/>
          <w:szCs w:val="24"/>
          <w:lang w:val="ru-MD"/>
        </w:rPr>
        <w:t xml:space="preserve"> (0799) были утверждены ассигнования на сумму 30 273,5 млн. леев, что составляет около 56,9% от общих расходов и нефинансовых активов, утвержденных в целом по ГБ (53 200,9 млн. леев). Эт</w:t>
      </w:r>
      <w:r w:rsidRPr="002D6EC2">
        <w:rPr>
          <w:rFonts w:asciiTheme="majorHAnsi" w:eastAsia="Times New Roman" w:hAnsiTheme="majorHAnsi" w:cstheme="majorHAnsi"/>
          <w:bCs/>
          <w:iCs/>
          <w:sz w:val="24"/>
          <w:szCs w:val="24"/>
          <w:lang w:val="ru-MD"/>
        </w:rPr>
        <w:t>и обстоятельства</w:t>
      </w:r>
      <w:r w:rsidR="00B342AD" w:rsidRPr="002D6EC2">
        <w:rPr>
          <w:rFonts w:asciiTheme="majorHAnsi" w:eastAsia="Times New Roman" w:hAnsiTheme="majorHAnsi" w:cstheme="majorHAnsi"/>
          <w:bCs/>
          <w:iCs/>
          <w:sz w:val="24"/>
          <w:szCs w:val="24"/>
          <w:lang w:val="ru-MD"/>
        </w:rPr>
        <w:t xml:space="preserve"> мо</w:t>
      </w:r>
      <w:r w:rsidRPr="002D6EC2">
        <w:rPr>
          <w:rFonts w:asciiTheme="majorHAnsi" w:eastAsia="Times New Roman" w:hAnsiTheme="majorHAnsi" w:cstheme="majorHAnsi"/>
          <w:bCs/>
          <w:iCs/>
          <w:sz w:val="24"/>
          <w:szCs w:val="24"/>
          <w:lang w:val="ru-MD"/>
        </w:rPr>
        <w:t>гу</w:t>
      </w:r>
      <w:r w:rsidR="00B342AD" w:rsidRPr="002D6EC2">
        <w:rPr>
          <w:rFonts w:asciiTheme="majorHAnsi" w:eastAsia="Times New Roman" w:hAnsiTheme="majorHAnsi" w:cstheme="majorHAnsi"/>
          <w:bCs/>
          <w:iCs/>
          <w:sz w:val="24"/>
          <w:szCs w:val="24"/>
          <w:lang w:val="ru-MD"/>
        </w:rPr>
        <w:t xml:space="preserve">т повлиять на </w:t>
      </w:r>
      <w:r w:rsidR="00A30659" w:rsidRPr="002D6EC2">
        <w:rPr>
          <w:rFonts w:asciiTheme="majorHAnsi" w:eastAsia="Times New Roman" w:hAnsiTheme="majorHAnsi" w:cstheme="majorHAnsi"/>
          <w:bCs/>
          <w:iCs/>
          <w:sz w:val="24"/>
          <w:szCs w:val="24"/>
          <w:lang w:val="ru-MD"/>
        </w:rPr>
        <w:t>результативн</w:t>
      </w:r>
      <w:r w:rsidR="00B342AD" w:rsidRPr="002D6EC2">
        <w:rPr>
          <w:rFonts w:asciiTheme="majorHAnsi" w:eastAsia="Times New Roman" w:hAnsiTheme="majorHAnsi" w:cstheme="majorHAnsi"/>
          <w:bCs/>
          <w:iCs/>
          <w:sz w:val="24"/>
          <w:szCs w:val="24"/>
          <w:lang w:val="ru-MD"/>
        </w:rPr>
        <w:t xml:space="preserve">ость программ бюджетных расходов, а также подорвать разработку и </w:t>
      </w:r>
      <w:r w:rsidR="00A83BBC">
        <w:rPr>
          <w:rFonts w:asciiTheme="majorHAnsi" w:eastAsia="Times New Roman" w:hAnsiTheme="majorHAnsi" w:cstheme="majorHAnsi"/>
          <w:bCs/>
          <w:iCs/>
          <w:sz w:val="24"/>
          <w:szCs w:val="24"/>
          <w:lang w:val="ru-MD"/>
        </w:rPr>
        <w:t xml:space="preserve">составление </w:t>
      </w:r>
      <w:r w:rsidR="00B342AD" w:rsidRPr="002D6EC2">
        <w:rPr>
          <w:rFonts w:asciiTheme="majorHAnsi" w:eastAsia="Times New Roman" w:hAnsiTheme="majorHAnsi" w:cstheme="majorHAnsi"/>
          <w:bCs/>
          <w:iCs/>
          <w:sz w:val="24"/>
          <w:szCs w:val="24"/>
          <w:lang w:val="ru-MD"/>
        </w:rPr>
        <w:t>отчетност</w:t>
      </w:r>
      <w:r w:rsidR="00A83BBC">
        <w:rPr>
          <w:rFonts w:asciiTheme="majorHAnsi" w:eastAsia="Times New Roman" w:hAnsiTheme="majorHAnsi" w:cstheme="majorHAnsi"/>
          <w:bCs/>
          <w:iCs/>
          <w:sz w:val="24"/>
          <w:szCs w:val="24"/>
          <w:lang w:val="ru-MD"/>
        </w:rPr>
        <w:t>и</w:t>
      </w:r>
      <w:r w:rsidR="00B342AD" w:rsidRPr="002D6EC2">
        <w:rPr>
          <w:rFonts w:asciiTheme="majorHAnsi" w:eastAsia="Times New Roman" w:hAnsiTheme="majorHAnsi" w:cstheme="majorHAnsi"/>
          <w:bCs/>
          <w:iCs/>
          <w:sz w:val="24"/>
          <w:szCs w:val="24"/>
          <w:lang w:val="ru-MD"/>
        </w:rPr>
        <w:t xml:space="preserve"> </w:t>
      </w:r>
      <w:r w:rsidR="00A30659" w:rsidRPr="002D6EC2">
        <w:rPr>
          <w:rFonts w:asciiTheme="majorHAnsi" w:eastAsia="Times New Roman" w:hAnsiTheme="majorHAnsi" w:cstheme="majorHAnsi"/>
          <w:bCs/>
          <w:iCs/>
          <w:sz w:val="24"/>
          <w:szCs w:val="24"/>
          <w:lang w:val="ru-MD"/>
        </w:rPr>
        <w:t xml:space="preserve">по </w:t>
      </w:r>
      <w:r w:rsidR="00B342AD" w:rsidRPr="002D6EC2">
        <w:rPr>
          <w:rFonts w:asciiTheme="majorHAnsi" w:eastAsia="Times New Roman" w:hAnsiTheme="majorHAnsi" w:cstheme="majorHAnsi"/>
          <w:bCs/>
          <w:iCs/>
          <w:sz w:val="24"/>
          <w:szCs w:val="24"/>
          <w:lang w:val="ru-MD"/>
        </w:rPr>
        <w:t>бюджет</w:t>
      </w:r>
      <w:r w:rsidR="00A30659" w:rsidRPr="002D6EC2">
        <w:rPr>
          <w:rFonts w:asciiTheme="majorHAnsi" w:eastAsia="Times New Roman" w:hAnsiTheme="majorHAnsi" w:cstheme="majorHAnsi"/>
          <w:bCs/>
          <w:iCs/>
          <w:sz w:val="24"/>
          <w:szCs w:val="24"/>
          <w:lang w:val="ru-MD"/>
        </w:rPr>
        <w:t>ам</w:t>
      </w:r>
      <w:r w:rsidR="00B342AD" w:rsidRPr="002D6EC2">
        <w:rPr>
          <w:rFonts w:asciiTheme="majorHAnsi" w:eastAsia="Times New Roman" w:hAnsiTheme="majorHAnsi" w:cstheme="majorHAnsi"/>
          <w:bCs/>
          <w:iCs/>
          <w:sz w:val="24"/>
          <w:szCs w:val="24"/>
          <w:lang w:val="ru-MD"/>
        </w:rPr>
        <w:t>, основанны</w:t>
      </w:r>
      <w:r w:rsidRPr="002D6EC2">
        <w:rPr>
          <w:rFonts w:asciiTheme="majorHAnsi" w:eastAsia="Times New Roman" w:hAnsiTheme="majorHAnsi" w:cstheme="majorHAnsi"/>
          <w:bCs/>
          <w:iCs/>
          <w:sz w:val="24"/>
          <w:szCs w:val="24"/>
          <w:lang w:val="ru-MD"/>
        </w:rPr>
        <w:t>м</w:t>
      </w:r>
      <w:r w:rsidR="00B342AD" w:rsidRPr="002D6EC2">
        <w:rPr>
          <w:rFonts w:asciiTheme="majorHAnsi" w:eastAsia="Times New Roman" w:hAnsiTheme="majorHAnsi" w:cstheme="majorHAnsi"/>
          <w:bCs/>
          <w:iCs/>
          <w:sz w:val="24"/>
          <w:szCs w:val="24"/>
          <w:lang w:val="ru-MD"/>
        </w:rPr>
        <w:t xml:space="preserve"> на программах и </w:t>
      </w:r>
      <w:r w:rsidR="00A30659" w:rsidRPr="002D6EC2">
        <w:rPr>
          <w:rFonts w:asciiTheme="majorHAnsi" w:eastAsia="Times New Roman" w:hAnsiTheme="majorHAnsi" w:cstheme="majorHAnsi"/>
          <w:bCs/>
          <w:iCs/>
          <w:sz w:val="24"/>
          <w:szCs w:val="24"/>
          <w:lang w:val="ru-MD"/>
        </w:rPr>
        <w:t>результатах дея</w:t>
      </w:r>
      <w:r w:rsidR="00B342AD" w:rsidRPr="002D6EC2">
        <w:rPr>
          <w:rFonts w:asciiTheme="majorHAnsi" w:eastAsia="Times New Roman" w:hAnsiTheme="majorHAnsi" w:cstheme="majorHAnsi"/>
          <w:bCs/>
          <w:iCs/>
          <w:sz w:val="24"/>
          <w:szCs w:val="24"/>
          <w:lang w:val="ru-MD"/>
        </w:rPr>
        <w:t xml:space="preserve">тельности некоторых бюджетных учреждений/органов, </w:t>
      </w:r>
      <w:r w:rsidR="00A30659" w:rsidRPr="002D6EC2">
        <w:rPr>
          <w:rFonts w:asciiTheme="majorHAnsi" w:eastAsia="Times New Roman" w:hAnsiTheme="majorHAnsi" w:cstheme="majorHAnsi"/>
          <w:bCs/>
          <w:iCs/>
          <w:sz w:val="24"/>
          <w:szCs w:val="24"/>
          <w:lang w:val="ru-MD"/>
        </w:rPr>
        <w:t>учитывая</w:t>
      </w:r>
      <w:r w:rsidR="00B342AD" w:rsidRPr="002D6EC2">
        <w:rPr>
          <w:rFonts w:asciiTheme="majorHAnsi" w:eastAsia="Times New Roman" w:hAnsiTheme="majorHAnsi" w:cstheme="majorHAnsi"/>
          <w:bCs/>
          <w:iCs/>
          <w:sz w:val="24"/>
          <w:szCs w:val="24"/>
          <w:lang w:val="ru-MD"/>
        </w:rPr>
        <w:t xml:space="preserve">, </w:t>
      </w:r>
      <w:r w:rsidR="00A30659" w:rsidRPr="002D6EC2">
        <w:rPr>
          <w:rFonts w:asciiTheme="majorHAnsi" w:eastAsia="Times New Roman" w:hAnsiTheme="majorHAnsi" w:cstheme="majorHAnsi"/>
          <w:bCs/>
          <w:iCs/>
          <w:sz w:val="24"/>
          <w:szCs w:val="24"/>
          <w:lang w:val="ru-MD"/>
        </w:rPr>
        <w:t>что согласно ст.</w:t>
      </w:r>
      <w:r w:rsidR="00B342AD" w:rsidRPr="002D6EC2">
        <w:rPr>
          <w:rFonts w:asciiTheme="majorHAnsi" w:eastAsia="Times New Roman" w:hAnsiTheme="majorHAnsi" w:cstheme="majorHAnsi"/>
          <w:bCs/>
          <w:iCs/>
          <w:sz w:val="24"/>
          <w:szCs w:val="24"/>
          <w:lang w:val="ru-MD"/>
        </w:rPr>
        <w:t>29 (2) Закона</w:t>
      </w:r>
      <w:r w:rsidR="00A30659" w:rsidRPr="002D6EC2">
        <w:rPr>
          <w:rFonts w:asciiTheme="majorHAnsi" w:eastAsia="Times New Roman" w:hAnsiTheme="majorHAnsi" w:cstheme="majorHAnsi"/>
          <w:bCs/>
          <w:iCs/>
          <w:sz w:val="24"/>
          <w:szCs w:val="24"/>
          <w:lang w:val="ru-MD"/>
        </w:rPr>
        <w:t xml:space="preserve"> </w:t>
      </w:r>
      <w:r w:rsidR="00B342AD" w:rsidRPr="002D6EC2">
        <w:rPr>
          <w:rFonts w:asciiTheme="majorHAnsi" w:eastAsia="Times New Roman" w:hAnsiTheme="majorHAnsi" w:cstheme="majorHAnsi"/>
          <w:bCs/>
          <w:iCs/>
          <w:sz w:val="24"/>
          <w:szCs w:val="24"/>
          <w:lang w:val="ru-MD"/>
        </w:rPr>
        <w:t>№181 от 25.07.2014</w:t>
      </w:r>
      <w:r w:rsidRPr="002D6EC2">
        <w:rPr>
          <w:rFonts w:asciiTheme="majorHAnsi" w:eastAsia="Times New Roman" w:hAnsiTheme="majorHAnsi" w:cstheme="majorHAnsi"/>
          <w:bCs/>
          <w:iCs/>
          <w:sz w:val="24"/>
          <w:szCs w:val="24"/>
          <w:lang w:val="ru-MD"/>
        </w:rPr>
        <w:t>,</w:t>
      </w:r>
      <w:r w:rsidR="00B342AD" w:rsidRPr="002D6EC2">
        <w:rPr>
          <w:rFonts w:asciiTheme="majorHAnsi" w:eastAsia="Times New Roman" w:hAnsiTheme="majorHAnsi" w:cstheme="majorHAnsi"/>
          <w:bCs/>
          <w:iCs/>
          <w:sz w:val="24"/>
          <w:szCs w:val="24"/>
          <w:lang w:val="ru-MD"/>
        </w:rPr>
        <w:t xml:space="preserve"> бюджетные расходы осуществляются только посредством бюджетных органов/учреждений</w:t>
      </w:r>
      <w:r w:rsidR="00A30659">
        <w:rPr>
          <w:rFonts w:asciiTheme="majorHAnsi" w:eastAsia="Times New Roman" w:hAnsiTheme="majorHAnsi" w:cstheme="majorHAnsi"/>
          <w:bCs/>
          <w:iCs/>
          <w:sz w:val="24"/>
          <w:szCs w:val="24"/>
          <w:lang w:val="ru-RU"/>
        </w:rPr>
        <w:t xml:space="preserve">. </w:t>
      </w:r>
      <w:r w:rsidR="00A30659" w:rsidRPr="00A30659">
        <w:rPr>
          <w:rFonts w:asciiTheme="majorHAnsi" w:eastAsia="Times New Roman" w:hAnsiTheme="majorHAnsi" w:cstheme="majorHAnsi"/>
          <w:bCs/>
          <w:iCs/>
          <w:sz w:val="24"/>
          <w:szCs w:val="24"/>
          <w:lang w:val="ru-RU"/>
        </w:rPr>
        <w:t xml:space="preserve">В результате аудиторских проверок было установлено, что необходимо улучшить планирование ассигнований в разделе </w:t>
      </w:r>
      <w:r w:rsidRPr="002D6EC2">
        <w:rPr>
          <w:rFonts w:asciiTheme="majorHAnsi" w:hAnsiTheme="majorHAnsi" w:cstheme="majorHAnsi"/>
          <w:sz w:val="24"/>
          <w:szCs w:val="24"/>
          <w:lang w:val="ru-MD"/>
        </w:rPr>
        <w:t>„</w:t>
      </w:r>
      <w:r w:rsidRPr="002D6EC2">
        <w:rPr>
          <w:rFonts w:asciiTheme="majorHAnsi" w:eastAsia="Times New Roman" w:hAnsiTheme="majorHAnsi" w:cstheme="majorHAnsi"/>
          <w:bCs/>
          <w:iCs/>
          <w:sz w:val="24"/>
          <w:szCs w:val="24"/>
          <w:lang w:val="ru-MD"/>
        </w:rPr>
        <w:t>Общие действия</w:t>
      </w:r>
      <w:r w:rsidRPr="002D6EC2">
        <w:rPr>
          <w:rFonts w:asciiTheme="majorHAnsi" w:hAnsiTheme="majorHAnsi" w:cstheme="majorHAnsi"/>
          <w:sz w:val="24"/>
          <w:szCs w:val="24"/>
          <w:lang w:val="ru-MD"/>
        </w:rPr>
        <w:t>”</w:t>
      </w:r>
      <w:r w:rsidR="00A30659" w:rsidRPr="00A30659">
        <w:rPr>
          <w:rFonts w:asciiTheme="majorHAnsi" w:eastAsia="Times New Roman" w:hAnsiTheme="majorHAnsi" w:cstheme="majorHAnsi"/>
          <w:bCs/>
          <w:iCs/>
          <w:sz w:val="24"/>
          <w:szCs w:val="24"/>
          <w:lang w:val="ru-RU"/>
        </w:rPr>
        <w:t xml:space="preserve"> путем разделения </w:t>
      </w:r>
      <w:r w:rsidR="00A30659" w:rsidRPr="00A30659">
        <w:rPr>
          <w:rFonts w:asciiTheme="majorHAnsi" w:eastAsia="Times New Roman" w:hAnsiTheme="majorHAnsi" w:cstheme="majorHAnsi"/>
          <w:bCs/>
          <w:iCs/>
          <w:sz w:val="24"/>
          <w:szCs w:val="24"/>
          <w:lang w:val="ru-RU"/>
        </w:rPr>
        <w:lastRenderedPageBreak/>
        <w:t xml:space="preserve">бюджетных расходов </w:t>
      </w:r>
      <w:r>
        <w:rPr>
          <w:rFonts w:asciiTheme="majorHAnsi" w:eastAsia="Times New Roman" w:hAnsiTheme="majorHAnsi" w:cstheme="majorHAnsi"/>
          <w:bCs/>
          <w:iCs/>
          <w:sz w:val="24"/>
          <w:szCs w:val="24"/>
          <w:lang w:val="ru-RU"/>
        </w:rPr>
        <w:t xml:space="preserve">на </w:t>
      </w:r>
      <w:r w:rsidRPr="00A30659">
        <w:rPr>
          <w:rFonts w:asciiTheme="majorHAnsi" w:eastAsia="Times New Roman" w:hAnsiTheme="majorHAnsi" w:cstheme="majorHAnsi"/>
          <w:bCs/>
          <w:iCs/>
          <w:sz w:val="24"/>
          <w:szCs w:val="24"/>
          <w:lang w:val="ru-RU"/>
        </w:rPr>
        <w:t>программ</w:t>
      </w:r>
      <w:r>
        <w:rPr>
          <w:rFonts w:asciiTheme="majorHAnsi" w:eastAsia="Times New Roman" w:hAnsiTheme="majorHAnsi" w:cstheme="majorHAnsi"/>
          <w:bCs/>
          <w:iCs/>
          <w:sz w:val="24"/>
          <w:szCs w:val="24"/>
          <w:lang w:val="ru-RU"/>
        </w:rPr>
        <w:t>ы</w:t>
      </w:r>
      <w:r w:rsidRPr="00A30659">
        <w:rPr>
          <w:rFonts w:asciiTheme="majorHAnsi" w:eastAsia="Times New Roman" w:hAnsiTheme="majorHAnsi" w:cstheme="majorHAnsi"/>
          <w:bCs/>
          <w:iCs/>
          <w:sz w:val="24"/>
          <w:szCs w:val="24"/>
          <w:lang w:val="ru-RU"/>
        </w:rPr>
        <w:t>/подпрограмм</w:t>
      </w:r>
      <w:r>
        <w:rPr>
          <w:rFonts w:asciiTheme="majorHAnsi" w:eastAsia="Times New Roman" w:hAnsiTheme="majorHAnsi" w:cstheme="majorHAnsi"/>
          <w:bCs/>
          <w:iCs/>
          <w:sz w:val="24"/>
          <w:szCs w:val="24"/>
          <w:lang w:val="ru-RU"/>
        </w:rPr>
        <w:t>ы,</w:t>
      </w:r>
      <w:r w:rsidRPr="00A30659">
        <w:rPr>
          <w:rFonts w:asciiTheme="majorHAnsi" w:eastAsia="Times New Roman" w:hAnsiTheme="majorHAnsi" w:cstheme="majorHAnsi"/>
          <w:bCs/>
          <w:iCs/>
          <w:sz w:val="24"/>
          <w:szCs w:val="24"/>
          <w:lang w:val="ru-RU"/>
        </w:rPr>
        <w:t xml:space="preserve"> </w:t>
      </w:r>
      <w:r w:rsidR="00A83BBC">
        <w:rPr>
          <w:rFonts w:asciiTheme="majorHAnsi" w:eastAsia="Times New Roman" w:hAnsiTheme="majorHAnsi" w:cstheme="majorHAnsi"/>
          <w:bCs/>
          <w:iCs/>
          <w:sz w:val="24"/>
          <w:szCs w:val="24"/>
          <w:lang w:val="ru-RU"/>
        </w:rPr>
        <w:t>в целях</w:t>
      </w:r>
      <w:r w:rsidR="00A30659" w:rsidRPr="00A30659">
        <w:rPr>
          <w:rFonts w:asciiTheme="majorHAnsi" w:eastAsia="Times New Roman" w:hAnsiTheme="majorHAnsi" w:cstheme="majorHAnsi"/>
          <w:bCs/>
          <w:iCs/>
          <w:sz w:val="24"/>
          <w:szCs w:val="24"/>
          <w:lang w:val="ru-RU"/>
        </w:rPr>
        <w:t xml:space="preserve"> разработки и </w:t>
      </w:r>
      <w:r>
        <w:rPr>
          <w:rFonts w:asciiTheme="majorHAnsi" w:eastAsia="Times New Roman" w:hAnsiTheme="majorHAnsi" w:cstheme="majorHAnsi"/>
          <w:bCs/>
          <w:iCs/>
          <w:sz w:val="24"/>
          <w:szCs w:val="24"/>
          <w:lang w:val="ru-RU"/>
        </w:rPr>
        <w:t>составлени</w:t>
      </w:r>
      <w:r w:rsidR="00A83BBC">
        <w:rPr>
          <w:rFonts w:asciiTheme="majorHAnsi" w:eastAsia="Times New Roman" w:hAnsiTheme="majorHAnsi" w:cstheme="majorHAnsi"/>
          <w:bCs/>
          <w:iCs/>
          <w:sz w:val="24"/>
          <w:szCs w:val="24"/>
          <w:lang w:val="ru-RU"/>
        </w:rPr>
        <w:t>я</w:t>
      </w:r>
      <w:r>
        <w:rPr>
          <w:rFonts w:asciiTheme="majorHAnsi" w:eastAsia="Times New Roman" w:hAnsiTheme="majorHAnsi" w:cstheme="majorHAnsi"/>
          <w:bCs/>
          <w:iCs/>
          <w:sz w:val="24"/>
          <w:szCs w:val="24"/>
          <w:lang w:val="ru-RU"/>
        </w:rPr>
        <w:t xml:space="preserve"> </w:t>
      </w:r>
      <w:r w:rsidR="00A30659" w:rsidRPr="00A30659">
        <w:rPr>
          <w:rFonts w:asciiTheme="majorHAnsi" w:eastAsia="Times New Roman" w:hAnsiTheme="majorHAnsi" w:cstheme="majorHAnsi"/>
          <w:bCs/>
          <w:iCs/>
          <w:sz w:val="24"/>
          <w:szCs w:val="24"/>
          <w:lang w:val="ru-RU"/>
        </w:rPr>
        <w:t xml:space="preserve">отчетности </w:t>
      </w:r>
      <w:r w:rsidR="00A83BBC">
        <w:rPr>
          <w:rFonts w:asciiTheme="majorHAnsi" w:eastAsia="Times New Roman" w:hAnsiTheme="majorHAnsi" w:cstheme="majorHAnsi"/>
          <w:bCs/>
          <w:iCs/>
          <w:sz w:val="24"/>
          <w:szCs w:val="24"/>
          <w:lang w:val="ru-RU"/>
        </w:rPr>
        <w:t xml:space="preserve">по </w:t>
      </w:r>
      <w:r w:rsidR="00A30659" w:rsidRPr="00A30659">
        <w:rPr>
          <w:rFonts w:asciiTheme="majorHAnsi" w:eastAsia="Times New Roman" w:hAnsiTheme="majorHAnsi" w:cstheme="majorHAnsi"/>
          <w:bCs/>
          <w:iCs/>
          <w:sz w:val="24"/>
          <w:szCs w:val="24"/>
          <w:lang w:val="ru-RU"/>
        </w:rPr>
        <w:t>бюджет</w:t>
      </w:r>
      <w:r w:rsidR="00A83BBC">
        <w:rPr>
          <w:rFonts w:asciiTheme="majorHAnsi" w:eastAsia="Times New Roman" w:hAnsiTheme="majorHAnsi" w:cstheme="majorHAnsi"/>
          <w:bCs/>
          <w:iCs/>
          <w:sz w:val="24"/>
          <w:szCs w:val="24"/>
          <w:lang w:val="ru-RU"/>
        </w:rPr>
        <w:t>у</w:t>
      </w:r>
      <w:r w:rsidR="00A83BBC" w:rsidRPr="002D6EC2">
        <w:rPr>
          <w:rFonts w:asciiTheme="majorHAnsi" w:eastAsia="Times New Roman" w:hAnsiTheme="majorHAnsi" w:cstheme="majorHAnsi"/>
          <w:bCs/>
          <w:iCs/>
          <w:sz w:val="24"/>
          <w:szCs w:val="24"/>
          <w:lang w:val="ru-MD"/>
        </w:rPr>
        <w:t>, основанн</w:t>
      </w:r>
      <w:r w:rsidR="00A83BBC">
        <w:rPr>
          <w:rFonts w:asciiTheme="majorHAnsi" w:eastAsia="Times New Roman" w:hAnsiTheme="majorHAnsi" w:cstheme="majorHAnsi"/>
          <w:bCs/>
          <w:iCs/>
          <w:sz w:val="24"/>
          <w:szCs w:val="24"/>
          <w:lang w:val="ru-MD"/>
        </w:rPr>
        <w:t>о</w:t>
      </w:r>
      <w:r w:rsidR="00A83BBC" w:rsidRPr="002D6EC2">
        <w:rPr>
          <w:rFonts w:asciiTheme="majorHAnsi" w:eastAsia="Times New Roman" w:hAnsiTheme="majorHAnsi" w:cstheme="majorHAnsi"/>
          <w:bCs/>
          <w:iCs/>
          <w:sz w:val="24"/>
          <w:szCs w:val="24"/>
          <w:lang w:val="ru-MD"/>
        </w:rPr>
        <w:t>м</w:t>
      </w:r>
      <w:r w:rsidR="00A83BBC">
        <w:rPr>
          <w:rFonts w:asciiTheme="majorHAnsi" w:eastAsia="Times New Roman" w:hAnsiTheme="majorHAnsi" w:cstheme="majorHAnsi"/>
          <w:bCs/>
          <w:iCs/>
          <w:sz w:val="24"/>
          <w:szCs w:val="24"/>
          <w:lang w:val="ru-MD"/>
        </w:rPr>
        <w:t>у</w:t>
      </w:r>
      <w:r w:rsidR="00A83BBC" w:rsidRPr="002D6EC2">
        <w:rPr>
          <w:rFonts w:asciiTheme="majorHAnsi" w:eastAsia="Times New Roman" w:hAnsiTheme="majorHAnsi" w:cstheme="majorHAnsi"/>
          <w:bCs/>
          <w:iCs/>
          <w:sz w:val="24"/>
          <w:szCs w:val="24"/>
          <w:lang w:val="ru-MD"/>
        </w:rPr>
        <w:t xml:space="preserve"> на программах и результатах деятельности</w:t>
      </w:r>
      <w:r w:rsidR="00E61CC4" w:rsidRPr="00F55BA6">
        <w:rPr>
          <w:rFonts w:asciiTheme="majorHAnsi" w:eastAsia="Times New Roman" w:hAnsiTheme="majorHAnsi" w:cstheme="majorHAnsi"/>
          <w:color w:val="000000"/>
          <w:sz w:val="24"/>
          <w:szCs w:val="24"/>
          <w:lang w:val="ro-RO" w:eastAsia="ro-RO" w:bidi="ro-RO"/>
        </w:rPr>
        <w:t>.</w:t>
      </w:r>
      <w:r w:rsidR="00E61CC4" w:rsidRPr="00F55BA6">
        <w:rPr>
          <w:rFonts w:asciiTheme="majorHAnsi" w:eastAsia="Times New Roman" w:hAnsiTheme="majorHAnsi" w:cstheme="majorHAnsi"/>
          <w:b/>
          <w:color w:val="000000"/>
          <w:sz w:val="24"/>
          <w:szCs w:val="24"/>
          <w:lang w:val="ro-RO" w:eastAsia="ro-RO" w:bidi="ro-RO"/>
        </w:rPr>
        <w:t xml:space="preserve"> </w:t>
      </w:r>
    </w:p>
    <w:p w:rsidR="00F7775C" w:rsidRPr="00A83BBC" w:rsidRDefault="002D6EC2" w:rsidP="0072459B">
      <w:pPr>
        <w:pStyle w:val="ListParagraph"/>
        <w:numPr>
          <w:ilvl w:val="1"/>
          <w:numId w:val="29"/>
        </w:numPr>
        <w:tabs>
          <w:tab w:val="left" w:pos="0"/>
          <w:tab w:val="left" w:pos="90"/>
        </w:tabs>
        <w:spacing w:after="0" w:line="276" w:lineRule="auto"/>
        <w:ind w:left="0" w:firstLine="0"/>
        <w:rPr>
          <w:rFonts w:asciiTheme="majorHAnsi" w:eastAsia="Times New Roman" w:hAnsiTheme="majorHAnsi" w:cstheme="majorHAnsi"/>
          <w:b/>
          <w:sz w:val="24"/>
          <w:szCs w:val="24"/>
          <w:lang w:val="ru-MD"/>
        </w:rPr>
      </w:pPr>
      <w:r w:rsidRPr="00A83BBC">
        <w:rPr>
          <w:rFonts w:asciiTheme="majorHAnsi" w:eastAsia="Times New Roman" w:hAnsiTheme="majorHAnsi" w:cstheme="majorHAnsi"/>
          <w:b/>
          <w:color w:val="000000" w:themeColor="text1"/>
          <w:sz w:val="24"/>
          <w:szCs w:val="24"/>
          <w:lang w:val="ru-MD"/>
        </w:rPr>
        <w:t>Обращаем внимание на то,</w:t>
      </w:r>
      <w:r w:rsidR="0072459B" w:rsidRPr="00A83BBC">
        <w:rPr>
          <w:rFonts w:asciiTheme="majorHAnsi" w:eastAsia="Times New Roman" w:hAnsiTheme="majorHAnsi" w:cstheme="majorHAnsi"/>
          <w:b/>
          <w:color w:val="000000" w:themeColor="text1"/>
          <w:sz w:val="24"/>
          <w:szCs w:val="24"/>
          <w:lang w:val="ru-MD"/>
        </w:rPr>
        <w:t xml:space="preserve"> что </w:t>
      </w:r>
      <w:r w:rsidR="00A83BBC" w:rsidRPr="00A83BBC">
        <w:rPr>
          <w:rFonts w:asciiTheme="majorHAnsi" w:eastAsia="Times New Roman" w:hAnsiTheme="majorHAnsi" w:cstheme="majorHAnsi"/>
          <w:b/>
          <w:color w:val="000000" w:themeColor="text1"/>
          <w:sz w:val="24"/>
          <w:szCs w:val="24"/>
          <w:lang w:val="ru-MD"/>
        </w:rPr>
        <w:t>по</w:t>
      </w:r>
      <w:r w:rsidR="0072459B" w:rsidRPr="00A83BBC">
        <w:rPr>
          <w:rFonts w:asciiTheme="majorHAnsi" w:eastAsia="Times New Roman" w:hAnsiTheme="majorHAnsi" w:cstheme="majorHAnsi"/>
          <w:b/>
          <w:color w:val="000000" w:themeColor="text1"/>
          <w:sz w:val="24"/>
          <w:szCs w:val="24"/>
          <w:lang w:val="ru-MD"/>
        </w:rPr>
        <w:t xml:space="preserve"> компоненту </w:t>
      </w:r>
      <w:r w:rsidR="00A83BBC" w:rsidRPr="00A83BBC">
        <w:rPr>
          <w:rFonts w:asciiTheme="majorHAnsi" w:eastAsia="Times New Roman" w:hAnsiTheme="majorHAnsi" w:cstheme="majorHAnsi"/>
          <w:b/>
          <w:color w:val="000000" w:themeColor="text1"/>
          <w:sz w:val="24"/>
          <w:szCs w:val="24"/>
          <w:lang w:val="ru-MD"/>
        </w:rPr>
        <w:t>„О</w:t>
      </w:r>
      <w:r w:rsidR="0072459B" w:rsidRPr="00A83BBC">
        <w:rPr>
          <w:rFonts w:asciiTheme="majorHAnsi" w:eastAsia="Times New Roman" w:hAnsiTheme="majorHAnsi" w:cstheme="majorHAnsi"/>
          <w:b/>
          <w:color w:val="000000" w:themeColor="text1"/>
          <w:sz w:val="24"/>
          <w:szCs w:val="24"/>
          <w:lang w:val="ru-MD"/>
        </w:rPr>
        <w:t>бщие действия</w:t>
      </w:r>
      <w:r w:rsidR="00A83BBC" w:rsidRPr="00A83BBC">
        <w:rPr>
          <w:rFonts w:asciiTheme="majorHAnsi" w:eastAsia="Times New Roman" w:hAnsiTheme="majorHAnsi" w:cstheme="majorHAnsi"/>
          <w:b/>
          <w:color w:val="000000" w:themeColor="text1"/>
          <w:sz w:val="24"/>
          <w:szCs w:val="24"/>
          <w:lang w:val="ru-MD"/>
        </w:rPr>
        <w:t>”</w:t>
      </w:r>
      <w:r w:rsidR="0072459B" w:rsidRPr="00A83BBC">
        <w:rPr>
          <w:rFonts w:asciiTheme="majorHAnsi" w:eastAsia="Times New Roman" w:hAnsiTheme="majorHAnsi" w:cstheme="majorHAnsi"/>
          <w:b/>
          <w:color w:val="000000" w:themeColor="text1"/>
          <w:sz w:val="24"/>
          <w:szCs w:val="24"/>
          <w:lang w:val="ru-MD"/>
        </w:rPr>
        <w:t xml:space="preserve"> МФ запланировал</w:t>
      </w:r>
      <w:r w:rsidR="00A83BBC" w:rsidRPr="00A83BBC">
        <w:rPr>
          <w:rFonts w:asciiTheme="majorHAnsi" w:eastAsia="Times New Roman" w:hAnsiTheme="majorHAnsi" w:cstheme="majorHAnsi"/>
          <w:b/>
          <w:color w:val="000000" w:themeColor="text1"/>
          <w:sz w:val="24"/>
          <w:szCs w:val="24"/>
          <w:lang w:val="ru-MD"/>
        </w:rPr>
        <w:t>о</w:t>
      </w:r>
      <w:r w:rsidR="0072459B" w:rsidRPr="00A83BBC">
        <w:rPr>
          <w:rFonts w:asciiTheme="majorHAnsi" w:eastAsia="Times New Roman" w:hAnsiTheme="majorHAnsi" w:cstheme="majorHAnsi"/>
          <w:b/>
          <w:color w:val="000000" w:themeColor="text1"/>
          <w:sz w:val="24"/>
          <w:szCs w:val="24"/>
          <w:lang w:val="ru-MD"/>
        </w:rPr>
        <w:t xml:space="preserve"> ассигнования на общую сумму 1 064,8 млн. леев на „</w:t>
      </w:r>
      <w:r w:rsidR="00A83BBC" w:rsidRPr="00A83BBC">
        <w:rPr>
          <w:rFonts w:asciiTheme="majorHAnsi" w:eastAsia="Times New Roman" w:hAnsiTheme="majorHAnsi" w:cstheme="majorHAnsi"/>
          <w:b/>
          <w:color w:val="000000" w:themeColor="text1"/>
          <w:sz w:val="24"/>
          <w:szCs w:val="24"/>
          <w:lang w:val="ru-MD"/>
        </w:rPr>
        <w:t>У</w:t>
      </w:r>
      <w:r w:rsidR="0072459B" w:rsidRPr="00A83BBC">
        <w:rPr>
          <w:rFonts w:asciiTheme="majorHAnsi" w:eastAsia="Times New Roman" w:hAnsiTheme="majorHAnsi" w:cstheme="majorHAnsi"/>
          <w:b/>
          <w:color w:val="000000" w:themeColor="text1"/>
          <w:sz w:val="24"/>
          <w:szCs w:val="24"/>
          <w:lang w:val="ru-MD"/>
        </w:rPr>
        <w:t xml:space="preserve">слуги в области экономики” (04), из которых: на поддержку малых и средних предприятий-42,9 млн. леев, и на развитие дорог – 1 021,9 млн. леев. Аудит отмечает, </w:t>
      </w:r>
      <w:proofErr w:type="gramStart"/>
      <w:r w:rsidR="0072459B" w:rsidRPr="00A83BBC">
        <w:rPr>
          <w:rFonts w:asciiTheme="majorHAnsi" w:eastAsia="Times New Roman" w:hAnsiTheme="majorHAnsi" w:cstheme="majorHAnsi"/>
          <w:b/>
          <w:color w:val="000000" w:themeColor="text1"/>
          <w:sz w:val="24"/>
          <w:szCs w:val="24"/>
          <w:lang w:val="ru-MD"/>
        </w:rPr>
        <w:t>что</w:t>
      </w:r>
      <w:proofErr w:type="gramEnd"/>
      <w:r w:rsidR="0072459B" w:rsidRPr="00A83BBC">
        <w:rPr>
          <w:rFonts w:asciiTheme="majorHAnsi" w:eastAsia="Times New Roman" w:hAnsiTheme="majorHAnsi" w:cstheme="majorHAnsi"/>
          <w:b/>
          <w:color w:val="000000" w:themeColor="text1"/>
          <w:sz w:val="24"/>
          <w:szCs w:val="24"/>
          <w:lang w:val="ru-MD"/>
        </w:rPr>
        <w:t xml:space="preserve"> хотя эти программы/подпрограммы содержатся </w:t>
      </w:r>
      <w:r w:rsidR="00A83BBC" w:rsidRPr="00A83BBC">
        <w:rPr>
          <w:rFonts w:asciiTheme="majorHAnsi" w:eastAsia="Times New Roman" w:hAnsiTheme="majorHAnsi" w:cstheme="majorHAnsi"/>
          <w:b/>
          <w:color w:val="000000" w:themeColor="text1"/>
          <w:sz w:val="24"/>
          <w:szCs w:val="24"/>
          <w:lang w:val="ru-MD"/>
        </w:rPr>
        <w:t xml:space="preserve">также и </w:t>
      </w:r>
      <w:r w:rsidR="0072459B" w:rsidRPr="00A83BBC">
        <w:rPr>
          <w:rFonts w:asciiTheme="majorHAnsi" w:eastAsia="Times New Roman" w:hAnsiTheme="majorHAnsi" w:cstheme="majorHAnsi"/>
          <w:b/>
          <w:color w:val="000000" w:themeColor="text1"/>
          <w:sz w:val="24"/>
          <w:szCs w:val="24"/>
          <w:lang w:val="ru-MD"/>
        </w:rPr>
        <w:t>в бюджете</w:t>
      </w:r>
      <w:r w:rsidR="00A83BBC" w:rsidRPr="00A83BBC">
        <w:rPr>
          <w:rFonts w:asciiTheme="majorHAnsi" w:eastAsia="Times New Roman" w:hAnsiTheme="majorHAnsi" w:cstheme="majorHAnsi"/>
          <w:b/>
          <w:color w:val="000000" w:themeColor="text1"/>
          <w:sz w:val="24"/>
          <w:szCs w:val="24"/>
          <w:lang w:val="ru-MD"/>
        </w:rPr>
        <w:t xml:space="preserve"> МЭИ</w:t>
      </w:r>
      <w:r w:rsidR="0072459B" w:rsidRPr="00A83BBC">
        <w:rPr>
          <w:rFonts w:asciiTheme="majorHAnsi" w:eastAsia="Times New Roman" w:hAnsiTheme="majorHAnsi" w:cstheme="majorHAnsi"/>
          <w:b/>
          <w:color w:val="000000" w:themeColor="text1"/>
          <w:sz w:val="24"/>
          <w:szCs w:val="24"/>
          <w:lang w:val="ru-MD"/>
        </w:rPr>
        <w:t xml:space="preserve">, финансирование/распределение финансовых ресурсов осуществлялось </w:t>
      </w:r>
      <w:r w:rsidR="00A83BBC" w:rsidRPr="00A83BBC">
        <w:rPr>
          <w:rFonts w:asciiTheme="majorHAnsi" w:eastAsia="Times New Roman" w:hAnsiTheme="majorHAnsi" w:cstheme="majorHAnsi"/>
          <w:b/>
          <w:color w:val="000000" w:themeColor="text1"/>
          <w:sz w:val="24"/>
          <w:szCs w:val="24"/>
          <w:lang w:val="ru-MD"/>
        </w:rPr>
        <w:t xml:space="preserve">МФ </w:t>
      </w:r>
      <w:r w:rsidR="0072459B" w:rsidRPr="00A83BBC">
        <w:rPr>
          <w:rFonts w:asciiTheme="majorHAnsi" w:eastAsia="Times New Roman" w:hAnsiTheme="majorHAnsi" w:cstheme="majorHAnsi"/>
          <w:b/>
          <w:color w:val="000000" w:themeColor="text1"/>
          <w:sz w:val="24"/>
          <w:szCs w:val="24"/>
          <w:lang w:val="ru-MD"/>
        </w:rPr>
        <w:t>непосредственно бенефициарам</w:t>
      </w:r>
      <w:r w:rsidR="001A7BCE" w:rsidRPr="00A83BBC">
        <w:rPr>
          <w:rFonts w:asciiTheme="majorHAnsi" w:eastAsia="Times New Roman" w:hAnsiTheme="majorHAnsi" w:cstheme="majorHAnsi"/>
          <w:b/>
          <w:sz w:val="24"/>
          <w:szCs w:val="24"/>
          <w:lang w:val="ru-MD"/>
        </w:rPr>
        <w:t>.</w:t>
      </w:r>
    </w:p>
    <w:p w:rsidR="00041A2F" w:rsidRPr="009B254C" w:rsidRDefault="00733853" w:rsidP="00994197">
      <w:pPr>
        <w:tabs>
          <w:tab w:val="left" w:pos="142"/>
          <w:tab w:val="left" w:pos="993"/>
        </w:tabs>
        <w:spacing w:after="0" w:line="276" w:lineRule="auto"/>
        <w:contextualSpacing/>
        <w:rPr>
          <w:rFonts w:asciiTheme="majorHAnsi" w:hAnsiTheme="majorHAnsi" w:cstheme="majorHAnsi"/>
          <w:sz w:val="24"/>
          <w:szCs w:val="24"/>
          <w:lang w:val="ru-MD"/>
        </w:rPr>
      </w:pPr>
      <w:r w:rsidRPr="00F55BA6">
        <w:rPr>
          <w:rFonts w:asciiTheme="majorHAnsi" w:hAnsiTheme="majorHAnsi" w:cstheme="majorHAnsi"/>
          <w:b/>
          <w:sz w:val="24"/>
          <w:szCs w:val="24"/>
          <w:lang w:val="ro-RO"/>
        </w:rPr>
        <w:t>3.2.1</w:t>
      </w:r>
      <w:r w:rsidRPr="00F55BA6">
        <w:rPr>
          <w:rFonts w:asciiTheme="majorHAnsi" w:hAnsiTheme="majorHAnsi" w:cstheme="majorHAnsi"/>
          <w:sz w:val="24"/>
          <w:szCs w:val="24"/>
          <w:lang w:val="ro-RO"/>
        </w:rPr>
        <w:t xml:space="preserve"> </w:t>
      </w:r>
      <w:r w:rsidR="00D570AD" w:rsidRPr="00596029">
        <w:rPr>
          <w:rFonts w:asciiTheme="majorHAnsi" w:hAnsiTheme="majorHAnsi" w:cstheme="majorHAnsi"/>
          <w:sz w:val="24"/>
          <w:szCs w:val="24"/>
          <w:lang w:val="ru-MD"/>
        </w:rPr>
        <w:t xml:space="preserve">Так, согласно </w:t>
      </w:r>
      <w:r w:rsidR="00CF0CF1" w:rsidRPr="00596029">
        <w:rPr>
          <w:rFonts w:asciiTheme="majorHAnsi" w:hAnsiTheme="majorHAnsi" w:cstheme="majorHAnsi"/>
          <w:sz w:val="24"/>
          <w:szCs w:val="24"/>
          <w:lang w:val="ru-MD"/>
        </w:rPr>
        <w:t>Закону о ГБ</w:t>
      </w:r>
      <w:r w:rsidR="00D570AD" w:rsidRPr="00596029">
        <w:rPr>
          <w:rFonts w:asciiTheme="majorHAnsi" w:hAnsiTheme="majorHAnsi" w:cstheme="majorHAnsi"/>
          <w:sz w:val="24"/>
          <w:szCs w:val="24"/>
          <w:lang w:val="ru-MD"/>
        </w:rPr>
        <w:t xml:space="preserve"> на 2020 год, для поддержки малых и средних предприятий изначально были утверждены </w:t>
      </w:r>
      <w:r w:rsidR="00CF0CF1" w:rsidRPr="00596029">
        <w:rPr>
          <w:rFonts w:asciiTheme="majorHAnsi" w:hAnsiTheme="majorHAnsi" w:cstheme="majorHAnsi"/>
          <w:sz w:val="24"/>
          <w:szCs w:val="24"/>
          <w:lang w:val="ru-MD"/>
        </w:rPr>
        <w:t>ассигнования</w:t>
      </w:r>
      <w:r w:rsidR="00D570AD" w:rsidRPr="00596029">
        <w:rPr>
          <w:rFonts w:asciiTheme="majorHAnsi" w:hAnsiTheme="majorHAnsi" w:cstheme="majorHAnsi"/>
          <w:sz w:val="24"/>
          <w:szCs w:val="24"/>
          <w:lang w:val="ru-MD"/>
        </w:rPr>
        <w:t xml:space="preserve"> в размере 82,8 млн. ле</w:t>
      </w:r>
      <w:r w:rsidR="00CF0CF1" w:rsidRPr="00596029">
        <w:rPr>
          <w:rFonts w:asciiTheme="majorHAnsi" w:hAnsiTheme="majorHAnsi" w:cstheme="majorHAnsi"/>
          <w:sz w:val="24"/>
          <w:szCs w:val="24"/>
          <w:lang w:val="ru-MD"/>
        </w:rPr>
        <w:t>ев</w:t>
      </w:r>
      <w:r w:rsidR="00307CF6" w:rsidRPr="00596029">
        <w:rPr>
          <w:rFonts w:asciiTheme="majorHAnsi" w:hAnsiTheme="majorHAnsi" w:cstheme="majorHAnsi"/>
          <w:sz w:val="24"/>
          <w:szCs w:val="24"/>
          <w:lang w:val="ru-MD"/>
        </w:rPr>
        <w:t>,</w:t>
      </w:r>
      <w:r w:rsidR="00D570AD" w:rsidRPr="00596029">
        <w:rPr>
          <w:rFonts w:asciiTheme="majorHAnsi" w:hAnsiTheme="majorHAnsi" w:cstheme="majorHAnsi"/>
          <w:sz w:val="24"/>
          <w:szCs w:val="24"/>
          <w:lang w:val="ru-MD"/>
        </w:rPr>
        <w:t xml:space="preserve"> </w:t>
      </w:r>
      <w:r w:rsidR="00307CF6" w:rsidRPr="00596029">
        <w:rPr>
          <w:rFonts w:asciiTheme="majorHAnsi" w:hAnsiTheme="majorHAnsi" w:cstheme="majorHAnsi"/>
          <w:sz w:val="24"/>
          <w:szCs w:val="24"/>
          <w:lang w:val="ru-MD"/>
        </w:rPr>
        <w:t>которые сократились путем уточнения</w:t>
      </w:r>
      <w:r w:rsidR="00D570AD" w:rsidRPr="00596029">
        <w:rPr>
          <w:rFonts w:asciiTheme="majorHAnsi" w:hAnsiTheme="majorHAnsi" w:cstheme="majorHAnsi"/>
          <w:sz w:val="24"/>
          <w:szCs w:val="24"/>
          <w:lang w:val="ru-MD"/>
        </w:rPr>
        <w:t xml:space="preserve"> до 42,9 млн. леев, </w:t>
      </w:r>
      <w:r w:rsidR="00307CF6" w:rsidRPr="00596029">
        <w:rPr>
          <w:rFonts w:asciiTheme="majorHAnsi" w:hAnsiTheme="majorHAnsi" w:cstheme="majorHAnsi"/>
          <w:sz w:val="24"/>
          <w:szCs w:val="24"/>
          <w:lang w:val="ru-MD"/>
        </w:rPr>
        <w:t xml:space="preserve">и были </w:t>
      </w:r>
      <w:r w:rsidR="00D570AD" w:rsidRPr="00596029">
        <w:rPr>
          <w:rFonts w:asciiTheme="majorHAnsi" w:hAnsiTheme="majorHAnsi" w:cstheme="majorHAnsi"/>
          <w:sz w:val="24"/>
          <w:szCs w:val="24"/>
          <w:lang w:val="ru-MD"/>
        </w:rPr>
        <w:t>исполнен</w:t>
      </w:r>
      <w:r w:rsidR="00596029">
        <w:rPr>
          <w:rFonts w:asciiTheme="majorHAnsi" w:hAnsiTheme="majorHAnsi" w:cstheme="majorHAnsi"/>
          <w:sz w:val="24"/>
          <w:szCs w:val="24"/>
          <w:lang w:val="ru-MD"/>
        </w:rPr>
        <w:t>ы</w:t>
      </w:r>
      <w:r w:rsidR="00307CF6" w:rsidRPr="00596029">
        <w:rPr>
          <w:rFonts w:asciiTheme="majorHAnsi" w:hAnsiTheme="majorHAnsi" w:cstheme="majorHAnsi"/>
          <w:sz w:val="24"/>
          <w:szCs w:val="24"/>
          <w:lang w:val="ru-MD"/>
        </w:rPr>
        <w:t xml:space="preserve"> в размере</w:t>
      </w:r>
      <w:r w:rsidR="00D570AD" w:rsidRPr="00596029">
        <w:rPr>
          <w:rFonts w:asciiTheme="majorHAnsi" w:hAnsiTheme="majorHAnsi" w:cstheme="majorHAnsi"/>
          <w:sz w:val="24"/>
          <w:szCs w:val="24"/>
          <w:lang w:val="ru-MD"/>
        </w:rPr>
        <w:t xml:space="preserve"> 21,2 млн. леев, или </w:t>
      </w:r>
      <w:r w:rsidR="00307CF6" w:rsidRPr="00596029">
        <w:rPr>
          <w:rFonts w:asciiTheme="majorHAnsi" w:hAnsiTheme="majorHAnsi" w:cstheme="majorHAnsi"/>
          <w:sz w:val="24"/>
          <w:szCs w:val="24"/>
          <w:lang w:val="ru-MD"/>
        </w:rPr>
        <w:t xml:space="preserve">на уровне </w:t>
      </w:r>
      <w:r w:rsidR="00D570AD" w:rsidRPr="00596029">
        <w:rPr>
          <w:rFonts w:asciiTheme="majorHAnsi" w:hAnsiTheme="majorHAnsi" w:cstheme="majorHAnsi"/>
          <w:sz w:val="24"/>
          <w:szCs w:val="24"/>
          <w:lang w:val="ru-MD"/>
        </w:rPr>
        <w:t xml:space="preserve">49,4%. Согласно </w:t>
      </w:r>
      <w:r w:rsidR="00307CF6" w:rsidRPr="00596029">
        <w:rPr>
          <w:rFonts w:asciiTheme="majorHAnsi" w:hAnsiTheme="majorHAnsi" w:cstheme="majorHAnsi"/>
          <w:sz w:val="24"/>
          <w:szCs w:val="24"/>
          <w:lang w:val="ru-MD"/>
        </w:rPr>
        <w:t>объяснениям</w:t>
      </w:r>
      <w:r w:rsidR="00D570AD" w:rsidRPr="00596029">
        <w:rPr>
          <w:rFonts w:asciiTheme="majorHAnsi" w:hAnsiTheme="majorHAnsi" w:cstheme="majorHAnsi"/>
          <w:sz w:val="24"/>
          <w:szCs w:val="24"/>
          <w:lang w:val="ru-MD"/>
        </w:rPr>
        <w:t xml:space="preserve"> МФ, неисполнение </w:t>
      </w:r>
      <w:r w:rsidR="00307CF6" w:rsidRPr="00596029">
        <w:rPr>
          <w:rFonts w:asciiTheme="majorHAnsi" w:hAnsiTheme="majorHAnsi" w:cstheme="majorHAnsi"/>
          <w:sz w:val="24"/>
          <w:szCs w:val="24"/>
          <w:lang w:val="ru-MD"/>
        </w:rPr>
        <w:t>ассигнований</w:t>
      </w:r>
      <w:r w:rsidR="00D570AD" w:rsidRPr="00596029">
        <w:rPr>
          <w:rFonts w:asciiTheme="majorHAnsi" w:hAnsiTheme="majorHAnsi" w:cstheme="majorHAnsi"/>
          <w:sz w:val="24"/>
          <w:szCs w:val="24"/>
          <w:lang w:val="ru-MD"/>
        </w:rPr>
        <w:t xml:space="preserve"> было обусловлено тем, что не были поданы заявки на выплату субсиди</w:t>
      </w:r>
      <w:r w:rsidR="00307CF6" w:rsidRPr="00596029">
        <w:rPr>
          <w:rFonts w:asciiTheme="majorHAnsi" w:hAnsiTheme="majorHAnsi" w:cstheme="majorHAnsi"/>
          <w:sz w:val="24"/>
          <w:szCs w:val="24"/>
          <w:lang w:val="ru-MD"/>
        </w:rPr>
        <w:t>й</w:t>
      </w:r>
      <w:r w:rsidR="00D570AD" w:rsidRPr="00596029">
        <w:rPr>
          <w:rFonts w:asciiTheme="majorHAnsi" w:hAnsiTheme="majorHAnsi" w:cstheme="majorHAnsi"/>
          <w:sz w:val="24"/>
          <w:szCs w:val="24"/>
          <w:lang w:val="ru-MD"/>
        </w:rPr>
        <w:t xml:space="preserve">. В этом контексте аудит </w:t>
      </w:r>
      <w:r w:rsidR="00307CF6" w:rsidRPr="00596029">
        <w:rPr>
          <w:rFonts w:asciiTheme="majorHAnsi" w:hAnsiTheme="majorHAnsi" w:cstheme="majorHAnsi"/>
          <w:sz w:val="24"/>
          <w:szCs w:val="24"/>
          <w:lang w:val="ru-MD"/>
        </w:rPr>
        <w:t>отмечает</w:t>
      </w:r>
      <w:r w:rsidR="00D570AD" w:rsidRPr="00596029">
        <w:rPr>
          <w:rFonts w:asciiTheme="majorHAnsi" w:hAnsiTheme="majorHAnsi" w:cstheme="majorHAnsi"/>
          <w:sz w:val="24"/>
          <w:szCs w:val="24"/>
          <w:lang w:val="ru-MD"/>
        </w:rPr>
        <w:t xml:space="preserve">, что, согласно </w:t>
      </w:r>
      <w:r w:rsidR="00307CF6" w:rsidRPr="00596029">
        <w:rPr>
          <w:rFonts w:asciiTheme="majorHAnsi" w:hAnsiTheme="majorHAnsi" w:cstheme="majorHAnsi"/>
          <w:sz w:val="24"/>
          <w:szCs w:val="24"/>
          <w:lang w:val="ru-MD"/>
        </w:rPr>
        <w:t>ПП №</w:t>
      </w:r>
      <w:r w:rsidR="00D570AD" w:rsidRPr="00596029">
        <w:rPr>
          <w:rFonts w:asciiTheme="majorHAnsi" w:hAnsiTheme="majorHAnsi" w:cstheme="majorHAnsi"/>
          <w:sz w:val="24"/>
          <w:szCs w:val="24"/>
          <w:lang w:val="ru-MD"/>
        </w:rPr>
        <w:t>1145 от 20.12.2017</w:t>
      </w:r>
      <w:r w:rsidR="00307CF6" w:rsidRPr="00596029">
        <w:rPr>
          <w:rStyle w:val="FootnoteReference"/>
          <w:rFonts w:asciiTheme="majorHAnsi" w:hAnsiTheme="majorHAnsi" w:cstheme="majorHAnsi"/>
          <w:sz w:val="24"/>
          <w:szCs w:val="24"/>
          <w:lang w:val="ru-MD"/>
        </w:rPr>
        <w:footnoteReference w:id="5"/>
      </w:r>
      <w:r w:rsidR="00D570AD" w:rsidRPr="00596029">
        <w:rPr>
          <w:rFonts w:asciiTheme="majorHAnsi" w:hAnsiTheme="majorHAnsi" w:cstheme="majorHAnsi"/>
          <w:sz w:val="24"/>
          <w:szCs w:val="24"/>
          <w:lang w:val="ru-MD"/>
        </w:rPr>
        <w:t xml:space="preserve">, </w:t>
      </w:r>
      <w:r w:rsidR="00307CF6" w:rsidRPr="00596029">
        <w:rPr>
          <w:rFonts w:asciiTheme="majorHAnsi" w:hAnsiTheme="majorHAnsi" w:cstheme="majorHAnsi"/>
          <w:sz w:val="24"/>
          <w:szCs w:val="24"/>
          <w:lang w:val="ru-MD"/>
        </w:rPr>
        <w:t xml:space="preserve">МФ </w:t>
      </w:r>
      <w:r w:rsidR="00D570AD" w:rsidRPr="00596029">
        <w:rPr>
          <w:rFonts w:asciiTheme="majorHAnsi" w:hAnsiTheme="majorHAnsi" w:cstheme="majorHAnsi"/>
          <w:sz w:val="24"/>
          <w:szCs w:val="24"/>
          <w:lang w:val="ru-MD"/>
        </w:rPr>
        <w:t>29.12.2020</w:t>
      </w:r>
      <w:r w:rsidR="00307CF6" w:rsidRPr="00596029">
        <w:rPr>
          <w:rFonts w:asciiTheme="majorHAnsi" w:hAnsiTheme="majorHAnsi" w:cstheme="majorHAnsi"/>
          <w:sz w:val="24"/>
          <w:szCs w:val="24"/>
          <w:lang w:val="ru-MD"/>
        </w:rPr>
        <w:t xml:space="preserve"> перечислило </w:t>
      </w:r>
      <w:r w:rsidR="00D570AD" w:rsidRPr="00596029">
        <w:rPr>
          <w:rFonts w:asciiTheme="majorHAnsi" w:hAnsiTheme="majorHAnsi" w:cstheme="majorHAnsi"/>
          <w:sz w:val="24"/>
          <w:szCs w:val="24"/>
          <w:lang w:val="ru-MD"/>
        </w:rPr>
        <w:t>21,2 млн. ле</w:t>
      </w:r>
      <w:r w:rsidR="00307CF6" w:rsidRPr="00596029">
        <w:rPr>
          <w:rFonts w:asciiTheme="majorHAnsi" w:hAnsiTheme="majorHAnsi" w:cstheme="majorHAnsi"/>
          <w:sz w:val="24"/>
          <w:szCs w:val="24"/>
          <w:lang w:val="ru-MD"/>
        </w:rPr>
        <w:t>ев</w:t>
      </w:r>
      <w:r w:rsidR="00D570AD" w:rsidRPr="00596029">
        <w:rPr>
          <w:rFonts w:asciiTheme="majorHAnsi" w:hAnsiTheme="majorHAnsi" w:cstheme="majorHAnsi"/>
          <w:sz w:val="24"/>
          <w:szCs w:val="24"/>
          <w:lang w:val="ru-MD"/>
        </w:rPr>
        <w:t xml:space="preserve"> предприяти</w:t>
      </w:r>
      <w:r w:rsidR="00596029">
        <w:rPr>
          <w:rFonts w:asciiTheme="majorHAnsi" w:hAnsiTheme="majorHAnsi" w:cstheme="majorHAnsi"/>
          <w:sz w:val="24"/>
          <w:szCs w:val="24"/>
          <w:lang w:val="ru-MD"/>
        </w:rPr>
        <w:t>ю</w:t>
      </w:r>
      <w:r w:rsidR="00D570AD" w:rsidRPr="00596029">
        <w:rPr>
          <w:rFonts w:asciiTheme="majorHAnsi" w:hAnsiTheme="majorHAnsi" w:cstheme="majorHAnsi"/>
          <w:sz w:val="24"/>
          <w:szCs w:val="24"/>
          <w:lang w:val="ru-MD"/>
        </w:rPr>
        <w:t xml:space="preserve"> </w:t>
      </w:r>
      <w:r w:rsidR="00307CF6" w:rsidRPr="00596029">
        <w:rPr>
          <w:rFonts w:asciiTheme="majorHAnsi" w:hAnsiTheme="majorHAnsi" w:cstheme="majorHAnsi"/>
          <w:sz w:val="24"/>
          <w:szCs w:val="24"/>
          <w:lang w:val="ru-MD"/>
        </w:rPr>
        <w:t>ЭО</w:t>
      </w:r>
      <w:r w:rsidR="00307CF6" w:rsidRPr="00596029">
        <w:rPr>
          <w:rFonts w:asciiTheme="majorHAnsi" w:eastAsia="Times New Roman" w:hAnsiTheme="majorHAnsi" w:cstheme="majorHAnsi"/>
          <w:sz w:val="24"/>
          <w:szCs w:val="24"/>
          <w:lang w:val="ru-MD"/>
        </w:rPr>
        <w:t xml:space="preserve"> „BORDNETZE” ООО</w:t>
      </w:r>
      <w:r w:rsidR="00307CF6" w:rsidRPr="00596029">
        <w:rPr>
          <w:rStyle w:val="FootnoteReference"/>
          <w:rFonts w:asciiTheme="majorHAnsi" w:hAnsiTheme="majorHAnsi" w:cstheme="majorHAnsi"/>
          <w:sz w:val="24"/>
          <w:szCs w:val="24"/>
          <w:lang w:val="ru-MD"/>
        </w:rPr>
        <w:footnoteReference w:id="6"/>
      </w:r>
      <w:r w:rsidR="00D570AD" w:rsidRPr="00596029">
        <w:rPr>
          <w:rFonts w:asciiTheme="majorHAnsi" w:hAnsiTheme="majorHAnsi" w:cstheme="majorHAnsi"/>
          <w:sz w:val="24"/>
          <w:szCs w:val="24"/>
          <w:lang w:val="ru-MD"/>
        </w:rPr>
        <w:t>, для субсидирования создания рабочих мест</w:t>
      </w:r>
      <w:r w:rsidR="00596029">
        <w:rPr>
          <w:rFonts w:asciiTheme="majorHAnsi" w:hAnsiTheme="majorHAnsi" w:cstheme="majorHAnsi"/>
          <w:sz w:val="24"/>
          <w:szCs w:val="24"/>
          <w:lang w:val="ru-MD"/>
        </w:rPr>
        <w:t xml:space="preserve"> </w:t>
      </w:r>
      <w:r w:rsidR="00596029" w:rsidRPr="00596029">
        <w:rPr>
          <w:rFonts w:asciiTheme="majorHAnsi" w:hAnsiTheme="majorHAnsi" w:cstheme="majorHAnsi"/>
          <w:sz w:val="24"/>
          <w:szCs w:val="24"/>
          <w:lang w:val="ru-RU"/>
        </w:rPr>
        <w:t>для некоторых категорий лиц-граждан Республики Молдова, в целях возрождения национальной экономики, в том числе регионального развития, и приведения его в соответствие с условиями рынка труда</w:t>
      </w:r>
      <w:r w:rsidR="003B4CB0" w:rsidRPr="00F55BA6">
        <w:rPr>
          <w:rStyle w:val="FootnoteReference"/>
          <w:rFonts w:asciiTheme="majorHAnsi" w:eastAsia="Times New Roman" w:hAnsiTheme="majorHAnsi" w:cstheme="majorHAnsi"/>
          <w:sz w:val="24"/>
          <w:szCs w:val="24"/>
          <w:lang w:val="ro-RO"/>
        </w:rPr>
        <w:footnoteReference w:id="7"/>
      </w:r>
      <w:r w:rsidR="00B162F7" w:rsidRPr="00F55BA6">
        <w:rPr>
          <w:rFonts w:asciiTheme="majorHAnsi" w:eastAsia="Times New Roman" w:hAnsiTheme="majorHAnsi" w:cstheme="majorHAnsi"/>
          <w:sz w:val="24"/>
          <w:szCs w:val="24"/>
          <w:lang w:val="ro-RO"/>
        </w:rPr>
        <w:t xml:space="preserve">. </w:t>
      </w:r>
      <w:r w:rsidR="00D570AD" w:rsidRPr="009B254C">
        <w:rPr>
          <w:rFonts w:asciiTheme="majorHAnsi" w:eastAsia="Times New Roman" w:hAnsiTheme="majorHAnsi" w:cstheme="majorHAnsi"/>
          <w:sz w:val="24"/>
          <w:szCs w:val="24"/>
          <w:lang w:val="ru-MD"/>
        </w:rPr>
        <w:t xml:space="preserve">Согласно договорным </w:t>
      </w:r>
      <w:r w:rsidR="009B254C" w:rsidRPr="009B254C">
        <w:rPr>
          <w:rFonts w:asciiTheme="majorHAnsi" w:eastAsia="Times New Roman" w:hAnsiTheme="majorHAnsi" w:cstheme="majorHAnsi"/>
          <w:sz w:val="24"/>
          <w:szCs w:val="24"/>
          <w:lang w:val="ru-MD"/>
        </w:rPr>
        <w:t>услов</w:t>
      </w:r>
      <w:r w:rsidR="00D570AD" w:rsidRPr="009B254C">
        <w:rPr>
          <w:rFonts w:asciiTheme="majorHAnsi" w:eastAsia="Times New Roman" w:hAnsiTheme="majorHAnsi" w:cstheme="majorHAnsi"/>
          <w:sz w:val="24"/>
          <w:szCs w:val="24"/>
          <w:lang w:val="ru-MD"/>
        </w:rPr>
        <w:t xml:space="preserve">иям, предприятие </w:t>
      </w:r>
      <w:r w:rsidR="009B254C" w:rsidRPr="009B254C">
        <w:rPr>
          <w:rFonts w:asciiTheme="majorHAnsi" w:eastAsia="Times New Roman" w:hAnsiTheme="majorHAnsi" w:cstheme="majorHAnsi"/>
          <w:sz w:val="24"/>
          <w:szCs w:val="24"/>
          <w:lang w:val="ru-MD"/>
        </w:rPr>
        <w:t>берет на себя обязательство сохранять численность работников, в том числе из категории лиц-субъектов субсидии, в течение не менее 3 лет от последней транши выплаты субсидии</w:t>
      </w:r>
      <w:r w:rsidR="00D570AD" w:rsidRPr="009B254C">
        <w:rPr>
          <w:rFonts w:asciiTheme="majorHAnsi" w:eastAsia="Times New Roman" w:hAnsiTheme="majorHAnsi" w:cstheme="majorHAnsi"/>
          <w:sz w:val="24"/>
          <w:szCs w:val="24"/>
          <w:lang w:val="ru-MD"/>
        </w:rPr>
        <w:t xml:space="preserve">. Соблюдение условий </w:t>
      </w:r>
      <w:r w:rsidR="009B254C" w:rsidRPr="009B254C">
        <w:rPr>
          <w:rFonts w:asciiTheme="majorHAnsi" w:eastAsia="Times New Roman" w:hAnsiTheme="majorHAnsi" w:cstheme="majorHAnsi"/>
          <w:sz w:val="24"/>
          <w:szCs w:val="24"/>
          <w:lang w:val="ru-MD"/>
        </w:rPr>
        <w:t>приемлемости</w:t>
      </w:r>
      <w:r w:rsidR="00D570AD" w:rsidRPr="009B254C">
        <w:rPr>
          <w:rFonts w:asciiTheme="majorHAnsi" w:eastAsia="Times New Roman" w:hAnsiTheme="majorHAnsi" w:cstheme="majorHAnsi"/>
          <w:sz w:val="24"/>
          <w:szCs w:val="24"/>
          <w:lang w:val="ru-MD"/>
        </w:rPr>
        <w:t xml:space="preserve"> и критериев оценки </w:t>
      </w:r>
      <w:r w:rsidR="009B254C" w:rsidRPr="009B254C">
        <w:rPr>
          <w:rFonts w:asciiTheme="majorHAnsi" w:eastAsia="Times New Roman" w:hAnsiTheme="majorHAnsi" w:cstheme="majorHAnsi"/>
          <w:sz w:val="24"/>
          <w:szCs w:val="24"/>
          <w:lang w:val="ru-MD"/>
        </w:rPr>
        <w:t>з</w:t>
      </w:r>
      <w:r w:rsidR="00D570AD" w:rsidRPr="009B254C">
        <w:rPr>
          <w:rFonts w:asciiTheme="majorHAnsi" w:eastAsia="Times New Roman" w:hAnsiTheme="majorHAnsi" w:cstheme="majorHAnsi"/>
          <w:sz w:val="24"/>
          <w:szCs w:val="24"/>
          <w:lang w:val="ru-MD"/>
        </w:rPr>
        <w:t>а 2019 год было подтверждено ГНС</w:t>
      </w:r>
      <w:r w:rsidR="00596029" w:rsidRPr="009B254C">
        <w:rPr>
          <w:rStyle w:val="FootnoteReference"/>
          <w:rFonts w:asciiTheme="majorHAnsi" w:hAnsiTheme="majorHAnsi" w:cstheme="majorHAnsi"/>
          <w:sz w:val="24"/>
          <w:szCs w:val="24"/>
          <w:lang w:val="ru-MD"/>
        </w:rPr>
        <w:footnoteReference w:id="8"/>
      </w:r>
      <w:r w:rsidR="00596029" w:rsidRPr="009B254C">
        <w:rPr>
          <w:rFonts w:asciiTheme="majorHAnsi" w:eastAsia="Times New Roman" w:hAnsiTheme="majorHAnsi" w:cstheme="majorHAnsi"/>
          <w:sz w:val="24"/>
          <w:szCs w:val="24"/>
          <w:lang w:val="ru-MD"/>
        </w:rPr>
        <w:t>. Отмеча</w:t>
      </w:r>
      <w:r w:rsidR="00D570AD" w:rsidRPr="009B254C">
        <w:rPr>
          <w:rFonts w:asciiTheme="majorHAnsi" w:eastAsia="Times New Roman" w:hAnsiTheme="majorHAnsi" w:cstheme="majorHAnsi"/>
          <w:sz w:val="24"/>
          <w:szCs w:val="24"/>
          <w:lang w:val="ru-MD"/>
        </w:rPr>
        <w:t xml:space="preserve">ется, что </w:t>
      </w:r>
      <w:r w:rsidR="00307CF6" w:rsidRPr="009B254C">
        <w:rPr>
          <w:rFonts w:asciiTheme="majorHAnsi" w:eastAsia="Times New Roman" w:hAnsiTheme="majorHAnsi" w:cstheme="majorHAnsi"/>
          <w:sz w:val="24"/>
          <w:szCs w:val="24"/>
          <w:lang w:val="ru-MD"/>
        </w:rPr>
        <w:t>ПП №</w:t>
      </w:r>
      <w:r w:rsidR="00D570AD" w:rsidRPr="009B254C">
        <w:rPr>
          <w:rFonts w:asciiTheme="majorHAnsi" w:eastAsia="Times New Roman" w:hAnsiTheme="majorHAnsi" w:cstheme="majorHAnsi"/>
          <w:sz w:val="24"/>
          <w:szCs w:val="24"/>
          <w:lang w:val="ru-MD"/>
        </w:rPr>
        <w:t>940 от 22.12.2020</w:t>
      </w:r>
      <w:r w:rsidR="00596029" w:rsidRPr="009B254C">
        <w:rPr>
          <w:rStyle w:val="FootnoteReference"/>
          <w:rFonts w:asciiTheme="majorHAnsi" w:hAnsiTheme="majorHAnsi" w:cstheme="majorHAnsi"/>
          <w:sz w:val="24"/>
          <w:szCs w:val="24"/>
          <w:lang w:val="ru-MD"/>
        </w:rPr>
        <w:footnoteReference w:id="9"/>
      </w:r>
      <w:r w:rsidR="00596029" w:rsidRPr="009B254C">
        <w:rPr>
          <w:rFonts w:asciiTheme="majorHAnsi" w:eastAsia="Times New Roman" w:hAnsiTheme="majorHAnsi" w:cstheme="majorHAnsi"/>
          <w:sz w:val="24"/>
          <w:szCs w:val="24"/>
          <w:lang w:val="ru-MD"/>
        </w:rPr>
        <w:t xml:space="preserve"> </w:t>
      </w:r>
      <w:r w:rsidR="009B254C" w:rsidRPr="009B254C">
        <w:rPr>
          <w:rFonts w:asciiTheme="majorHAnsi" w:eastAsia="Times New Roman" w:hAnsiTheme="majorHAnsi" w:cstheme="majorHAnsi"/>
          <w:sz w:val="24"/>
          <w:szCs w:val="24"/>
          <w:lang w:val="ru-MD"/>
        </w:rPr>
        <w:t xml:space="preserve">было признано утратившим силу </w:t>
      </w:r>
      <w:r w:rsidR="00307CF6" w:rsidRPr="009B254C">
        <w:rPr>
          <w:rFonts w:asciiTheme="majorHAnsi" w:eastAsia="Times New Roman" w:hAnsiTheme="majorHAnsi" w:cstheme="majorHAnsi"/>
          <w:sz w:val="24"/>
          <w:szCs w:val="24"/>
          <w:lang w:val="ru-MD"/>
        </w:rPr>
        <w:t>ПП №</w:t>
      </w:r>
      <w:r w:rsidR="00D570AD" w:rsidRPr="009B254C">
        <w:rPr>
          <w:rFonts w:asciiTheme="majorHAnsi" w:eastAsia="Times New Roman" w:hAnsiTheme="majorHAnsi" w:cstheme="majorHAnsi"/>
          <w:sz w:val="24"/>
          <w:szCs w:val="24"/>
          <w:lang w:val="ru-MD"/>
        </w:rPr>
        <w:t>1145/2017 „Об утверждении Положения о субсидировании создания рабочих мест”</w:t>
      </w:r>
      <w:r w:rsidR="00596029" w:rsidRPr="009B254C">
        <w:rPr>
          <w:rFonts w:asciiTheme="majorHAnsi" w:eastAsia="Times New Roman" w:hAnsiTheme="majorHAnsi" w:cstheme="majorHAnsi"/>
          <w:sz w:val="24"/>
          <w:szCs w:val="24"/>
          <w:lang w:val="ru-MD"/>
        </w:rPr>
        <w:t xml:space="preserve">. </w:t>
      </w:r>
      <w:r w:rsidR="009B254C" w:rsidRPr="009B254C">
        <w:rPr>
          <w:rFonts w:asciiTheme="majorHAnsi" w:eastAsia="Times New Roman" w:hAnsiTheme="majorHAnsi" w:cstheme="majorHAnsi"/>
          <w:sz w:val="24"/>
          <w:szCs w:val="24"/>
          <w:lang w:val="ru-MD"/>
        </w:rPr>
        <w:t>Кроме того,</w:t>
      </w:r>
      <w:r w:rsidR="00D570AD" w:rsidRPr="009B254C">
        <w:rPr>
          <w:rFonts w:asciiTheme="majorHAnsi" w:eastAsia="Times New Roman" w:hAnsiTheme="majorHAnsi" w:cstheme="majorHAnsi"/>
          <w:sz w:val="24"/>
          <w:szCs w:val="24"/>
          <w:lang w:val="ru-MD"/>
        </w:rPr>
        <w:t xml:space="preserve"> аудит отмечает, что в 2020 году </w:t>
      </w:r>
      <w:r w:rsidR="00596029" w:rsidRPr="009B254C">
        <w:rPr>
          <w:rFonts w:asciiTheme="majorHAnsi" w:eastAsia="Times New Roman" w:hAnsiTheme="majorHAnsi" w:cstheme="majorHAnsi"/>
          <w:sz w:val="24"/>
          <w:szCs w:val="24"/>
          <w:lang w:val="ru-MD"/>
        </w:rPr>
        <w:t>ЭО „BORDNETZE” ООО</w:t>
      </w:r>
      <w:r w:rsidR="00D570AD" w:rsidRPr="009B254C">
        <w:rPr>
          <w:rFonts w:asciiTheme="majorHAnsi" w:eastAsia="Times New Roman" w:hAnsiTheme="majorHAnsi" w:cstheme="majorHAnsi"/>
          <w:sz w:val="24"/>
          <w:szCs w:val="24"/>
          <w:lang w:val="ru-MD"/>
        </w:rPr>
        <w:t xml:space="preserve"> установил</w:t>
      </w:r>
      <w:r w:rsidR="00596029" w:rsidRPr="009B254C">
        <w:rPr>
          <w:rFonts w:asciiTheme="majorHAnsi" w:eastAsia="Times New Roman" w:hAnsiTheme="majorHAnsi" w:cstheme="majorHAnsi"/>
          <w:sz w:val="24"/>
          <w:szCs w:val="24"/>
          <w:lang w:val="ru-MD"/>
        </w:rPr>
        <w:t>о</w:t>
      </w:r>
      <w:r w:rsidR="00D570AD" w:rsidRPr="009B254C">
        <w:rPr>
          <w:rFonts w:asciiTheme="majorHAnsi" w:eastAsia="Times New Roman" w:hAnsiTheme="majorHAnsi" w:cstheme="majorHAnsi"/>
          <w:sz w:val="24"/>
          <w:szCs w:val="24"/>
          <w:lang w:val="ru-MD"/>
        </w:rPr>
        <w:t xml:space="preserve"> техническ</w:t>
      </w:r>
      <w:r w:rsidR="00BF3E66">
        <w:rPr>
          <w:rFonts w:asciiTheme="majorHAnsi" w:eastAsia="Times New Roman" w:hAnsiTheme="majorHAnsi" w:cstheme="majorHAnsi"/>
          <w:sz w:val="24"/>
          <w:szCs w:val="24"/>
          <w:lang w:val="ru-MD"/>
        </w:rPr>
        <w:t>ий</w:t>
      </w:r>
      <w:r w:rsidR="00D570AD" w:rsidRPr="009B254C">
        <w:rPr>
          <w:rFonts w:asciiTheme="majorHAnsi" w:eastAsia="Times New Roman" w:hAnsiTheme="majorHAnsi" w:cstheme="majorHAnsi"/>
          <w:sz w:val="24"/>
          <w:szCs w:val="24"/>
          <w:lang w:val="ru-MD"/>
        </w:rPr>
        <w:t xml:space="preserve"> </w:t>
      </w:r>
      <w:r w:rsidR="00BF3E66">
        <w:rPr>
          <w:rFonts w:asciiTheme="majorHAnsi" w:eastAsia="Times New Roman" w:hAnsiTheme="majorHAnsi" w:cstheme="majorHAnsi"/>
          <w:sz w:val="24"/>
          <w:szCs w:val="24"/>
          <w:lang w:val="ru-MD"/>
        </w:rPr>
        <w:t>простой</w:t>
      </w:r>
      <w:r w:rsidR="00596029" w:rsidRPr="009B254C">
        <w:rPr>
          <w:rFonts w:asciiTheme="majorHAnsi" w:eastAsia="Times New Roman" w:hAnsiTheme="majorHAnsi" w:cstheme="majorHAnsi"/>
          <w:sz w:val="24"/>
          <w:szCs w:val="24"/>
          <w:lang w:val="ru-MD"/>
        </w:rPr>
        <w:t xml:space="preserve"> </w:t>
      </w:r>
      <w:r w:rsidR="00D570AD" w:rsidRPr="009B254C">
        <w:rPr>
          <w:rFonts w:asciiTheme="majorHAnsi" w:eastAsia="Times New Roman" w:hAnsiTheme="majorHAnsi" w:cstheme="majorHAnsi"/>
          <w:sz w:val="24"/>
          <w:szCs w:val="24"/>
          <w:lang w:val="ru-MD"/>
        </w:rPr>
        <w:t xml:space="preserve">и/или </w:t>
      </w:r>
      <w:r w:rsidR="009B254C" w:rsidRPr="009B254C">
        <w:rPr>
          <w:rFonts w:asciiTheme="majorHAnsi" w:eastAsia="Times New Roman" w:hAnsiTheme="majorHAnsi" w:cstheme="majorHAnsi"/>
          <w:sz w:val="24"/>
          <w:szCs w:val="24"/>
          <w:lang w:val="ru-MD"/>
        </w:rPr>
        <w:t>простой</w:t>
      </w:r>
      <w:r w:rsidR="00D570AD" w:rsidRPr="009B254C">
        <w:rPr>
          <w:rFonts w:asciiTheme="majorHAnsi" w:eastAsia="Times New Roman" w:hAnsiTheme="majorHAnsi" w:cstheme="majorHAnsi"/>
          <w:sz w:val="24"/>
          <w:szCs w:val="24"/>
          <w:lang w:val="ru-MD"/>
        </w:rPr>
        <w:t xml:space="preserve">, </w:t>
      </w:r>
      <w:r w:rsidR="009B254C" w:rsidRPr="009B254C">
        <w:rPr>
          <w:rFonts w:asciiTheme="majorHAnsi" w:eastAsia="Times New Roman" w:hAnsiTheme="majorHAnsi" w:cstheme="majorHAnsi"/>
          <w:sz w:val="24"/>
          <w:szCs w:val="24"/>
          <w:lang w:val="ru-MD"/>
        </w:rPr>
        <w:t xml:space="preserve">в </w:t>
      </w:r>
      <w:r w:rsidR="00BF3E66">
        <w:rPr>
          <w:rFonts w:asciiTheme="majorHAnsi" w:eastAsia="Times New Roman" w:hAnsiTheme="majorHAnsi" w:cstheme="majorHAnsi"/>
          <w:sz w:val="24"/>
          <w:szCs w:val="24"/>
          <w:lang w:val="ru-MD"/>
        </w:rPr>
        <w:t xml:space="preserve">связи </w:t>
      </w:r>
      <w:r w:rsidR="009B254C" w:rsidRPr="009B254C">
        <w:rPr>
          <w:rFonts w:asciiTheme="majorHAnsi" w:eastAsia="Times New Roman" w:hAnsiTheme="majorHAnsi" w:cstheme="majorHAnsi"/>
          <w:sz w:val="24"/>
          <w:szCs w:val="24"/>
          <w:lang w:val="ru-MD"/>
        </w:rPr>
        <w:t>с чем оно</w:t>
      </w:r>
      <w:r w:rsidR="00D570AD" w:rsidRPr="009B254C">
        <w:rPr>
          <w:rFonts w:asciiTheme="majorHAnsi" w:eastAsia="Times New Roman" w:hAnsiTheme="majorHAnsi" w:cstheme="majorHAnsi"/>
          <w:sz w:val="24"/>
          <w:szCs w:val="24"/>
          <w:lang w:val="ru-MD"/>
        </w:rPr>
        <w:t xml:space="preserve"> стал</w:t>
      </w:r>
      <w:r w:rsidR="009B254C" w:rsidRPr="009B254C">
        <w:rPr>
          <w:rFonts w:asciiTheme="majorHAnsi" w:eastAsia="Times New Roman" w:hAnsiTheme="majorHAnsi" w:cstheme="majorHAnsi"/>
          <w:sz w:val="24"/>
          <w:szCs w:val="24"/>
          <w:lang w:val="ru-MD"/>
        </w:rPr>
        <w:t>о</w:t>
      </w:r>
      <w:r w:rsidR="00D570AD" w:rsidRPr="009B254C">
        <w:rPr>
          <w:rFonts w:asciiTheme="majorHAnsi" w:eastAsia="Times New Roman" w:hAnsiTheme="majorHAnsi" w:cstheme="majorHAnsi"/>
          <w:sz w:val="24"/>
          <w:szCs w:val="24"/>
          <w:lang w:val="ru-MD"/>
        </w:rPr>
        <w:t xml:space="preserve"> субъектом субсиди</w:t>
      </w:r>
      <w:r w:rsidR="009B254C" w:rsidRPr="009B254C">
        <w:rPr>
          <w:rFonts w:asciiTheme="majorHAnsi" w:eastAsia="Times New Roman" w:hAnsiTheme="majorHAnsi" w:cstheme="majorHAnsi"/>
          <w:sz w:val="24"/>
          <w:szCs w:val="24"/>
          <w:lang w:val="ru-MD"/>
        </w:rPr>
        <w:t>рования</w:t>
      </w:r>
      <w:r w:rsidR="00D570AD" w:rsidRPr="009B254C">
        <w:rPr>
          <w:rFonts w:asciiTheme="majorHAnsi" w:eastAsia="Times New Roman" w:hAnsiTheme="majorHAnsi" w:cstheme="majorHAnsi"/>
          <w:sz w:val="24"/>
          <w:szCs w:val="24"/>
          <w:lang w:val="ru-MD"/>
        </w:rPr>
        <w:t xml:space="preserve"> в соответствии с Приказом МФ</w:t>
      </w:r>
      <w:r w:rsidR="00307CF6" w:rsidRPr="009B254C">
        <w:rPr>
          <w:rFonts w:asciiTheme="majorHAnsi" w:eastAsia="Times New Roman" w:hAnsiTheme="majorHAnsi" w:cstheme="majorHAnsi"/>
          <w:sz w:val="24"/>
          <w:szCs w:val="24"/>
          <w:lang w:val="ru-MD"/>
        </w:rPr>
        <w:t xml:space="preserve"> </w:t>
      </w:r>
      <w:r w:rsidR="00D570AD" w:rsidRPr="009B254C">
        <w:rPr>
          <w:rFonts w:asciiTheme="majorHAnsi" w:eastAsia="Times New Roman" w:hAnsiTheme="majorHAnsi" w:cstheme="majorHAnsi"/>
          <w:sz w:val="24"/>
          <w:szCs w:val="24"/>
          <w:lang w:val="ru-MD"/>
        </w:rPr>
        <w:t xml:space="preserve">№58 </w:t>
      </w:r>
      <w:r w:rsidR="00307CF6" w:rsidRPr="009B254C">
        <w:rPr>
          <w:rFonts w:asciiTheme="majorHAnsi" w:eastAsia="Times New Roman" w:hAnsiTheme="majorHAnsi" w:cstheme="majorHAnsi"/>
          <w:sz w:val="24"/>
          <w:szCs w:val="24"/>
          <w:lang w:val="ru-MD"/>
        </w:rPr>
        <w:t>от</w:t>
      </w:r>
      <w:r w:rsidR="00D570AD" w:rsidRPr="009B254C">
        <w:rPr>
          <w:rFonts w:asciiTheme="majorHAnsi" w:eastAsia="Times New Roman" w:hAnsiTheme="majorHAnsi" w:cstheme="majorHAnsi"/>
          <w:sz w:val="24"/>
          <w:szCs w:val="24"/>
          <w:lang w:val="ru-MD"/>
        </w:rPr>
        <w:t xml:space="preserve"> 29.04.2020</w:t>
      </w:r>
      <w:r w:rsidR="009B254C" w:rsidRPr="009B254C">
        <w:rPr>
          <w:rFonts w:asciiTheme="majorHAnsi" w:eastAsia="Times New Roman" w:hAnsiTheme="majorHAnsi" w:cstheme="majorHAnsi"/>
          <w:sz w:val="24"/>
          <w:szCs w:val="24"/>
          <w:vertAlign w:val="superscript"/>
          <w:lang w:val="ru-MD"/>
        </w:rPr>
        <w:footnoteReference w:id="10"/>
      </w:r>
      <w:r w:rsidR="00D570AD" w:rsidRPr="009B254C">
        <w:rPr>
          <w:rFonts w:asciiTheme="majorHAnsi" w:eastAsia="Times New Roman" w:hAnsiTheme="majorHAnsi" w:cstheme="majorHAnsi"/>
          <w:sz w:val="24"/>
          <w:szCs w:val="24"/>
          <w:lang w:val="ru-MD"/>
        </w:rPr>
        <w:t xml:space="preserve">, воспользовавшись дополнительными бюджетными средствами на сумму 7,8 млн. леев на основании 5 </w:t>
      </w:r>
      <w:r w:rsidR="009B254C" w:rsidRPr="009B254C">
        <w:rPr>
          <w:rFonts w:asciiTheme="majorHAnsi" w:eastAsia="Times New Roman" w:hAnsiTheme="majorHAnsi" w:cstheme="majorHAnsi"/>
          <w:sz w:val="24"/>
          <w:szCs w:val="24"/>
          <w:lang w:val="ru-MD"/>
        </w:rPr>
        <w:t>Р</w:t>
      </w:r>
      <w:r w:rsidR="00D570AD" w:rsidRPr="009B254C">
        <w:rPr>
          <w:rFonts w:asciiTheme="majorHAnsi" w:eastAsia="Times New Roman" w:hAnsiTheme="majorHAnsi" w:cstheme="majorHAnsi"/>
          <w:sz w:val="24"/>
          <w:szCs w:val="24"/>
          <w:lang w:val="ru-MD"/>
        </w:rPr>
        <w:t>ешений, вынесенных ГНС</w:t>
      </w:r>
      <w:r w:rsidR="00041A2F" w:rsidRPr="009B254C">
        <w:rPr>
          <w:rFonts w:asciiTheme="majorHAnsi" w:eastAsia="Times New Roman" w:hAnsiTheme="majorHAnsi" w:cstheme="majorHAnsi"/>
          <w:sz w:val="24"/>
          <w:szCs w:val="24"/>
          <w:lang w:val="ru-MD"/>
        </w:rPr>
        <w:t>.</w:t>
      </w:r>
      <w:r w:rsidR="00F05EE8" w:rsidRPr="009B254C">
        <w:rPr>
          <w:rFonts w:asciiTheme="majorHAnsi" w:eastAsia="Times New Roman" w:hAnsiTheme="majorHAnsi" w:cstheme="majorHAnsi"/>
          <w:sz w:val="24"/>
          <w:szCs w:val="24"/>
          <w:lang w:val="ru-MD"/>
        </w:rPr>
        <w:t xml:space="preserve"> </w:t>
      </w:r>
    </w:p>
    <w:p w:rsidR="005572C8" w:rsidRPr="00BA5F4D" w:rsidRDefault="00733853" w:rsidP="005572C8">
      <w:pPr>
        <w:pStyle w:val="ListParagraph"/>
        <w:tabs>
          <w:tab w:val="left" w:pos="426"/>
          <w:tab w:val="left" w:pos="851"/>
        </w:tabs>
        <w:spacing w:after="0" w:line="276" w:lineRule="auto"/>
        <w:ind w:left="0"/>
        <w:rPr>
          <w:rFonts w:asciiTheme="majorHAnsi" w:eastAsia="Times New Roman" w:hAnsiTheme="majorHAnsi" w:cstheme="majorHAnsi"/>
          <w:color w:val="000000" w:themeColor="text1"/>
          <w:sz w:val="24"/>
          <w:szCs w:val="24"/>
          <w:lang w:val="ru-MD"/>
        </w:rPr>
      </w:pPr>
      <w:r w:rsidRPr="00BA5F4D">
        <w:rPr>
          <w:rFonts w:asciiTheme="majorHAnsi" w:hAnsiTheme="majorHAnsi" w:cstheme="majorHAnsi"/>
          <w:b/>
          <w:sz w:val="24"/>
          <w:szCs w:val="24"/>
          <w:lang w:val="ru-MD"/>
        </w:rPr>
        <w:t>3.2.2</w:t>
      </w:r>
      <w:r w:rsidRPr="00BA5F4D">
        <w:rPr>
          <w:rFonts w:asciiTheme="majorHAnsi" w:hAnsiTheme="majorHAnsi" w:cstheme="majorHAnsi"/>
          <w:sz w:val="24"/>
          <w:szCs w:val="24"/>
          <w:lang w:val="ru-MD"/>
        </w:rPr>
        <w:t xml:space="preserve"> </w:t>
      </w:r>
      <w:r w:rsidR="00D570AD" w:rsidRPr="00BA5F4D">
        <w:rPr>
          <w:rFonts w:asciiTheme="majorHAnsi" w:hAnsiTheme="majorHAnsi" w:cstheme="majorHAnsi"/>
          <w:sz w:val="24"/>
          <w:szCs w:val="24"/>
          <w:lang w:val="ru-MD"/>
        </w:rPr>
        <w:t xml:space="preserve">Согласно </w:t>
      </w:r>
      <w:r w:rsidR="00CF0CF1" w:rsidRPr="00BA5F4D">
        <w:rPr>
          <w:rFonts w:asciiTheme="majorHAnsi" w:hAnsiTheme="majorHAnsi" w:cstheme="majorHAnsi"/>
          <w:sz w:val="24"/>
          <w:szCs w:val="24"/>
          <w:lang w:val="ru-MD"/>
        </w:rPr>
        <w:t>Закону о ГБ</w:t>
      </w:r>
      <w:r w:rsidR="00D570AD" w:rsidRPr="00BA5F4D">
        <w:rPr>
          <w:rFonts w:asciiTheme="majorHAnsi" w:hAnsiTheme="majorHAnsi" w:cstheme="majorHAnsi"/>
          <w:sz w:val="24"/>
          <w:szCs w:val="24"/>
          <w:lang w:val="ru-MD"/>
        </w:rPr>
        <w:t xml:space="preserve"> на 2020 год, на развитие/инфраструктуру дорог были утверждены ассигнования в размере 1 021,9 млн. ле</w:t>
      </w:r>
      <w:r w:rsidR="009B254C" w:rsidRPr="00BA5F4D">
        <w:rPr>
          <w:rFonts w:asciiTheme="majorHAnsi" w:hAnsiTheme="majorHAnsi" w:cstheme="majorHAnsi"/>
          <w:sz w:val="24"/>
          <w:szCs w:val="24"/>
          <w:lang w:val="ru-MD"/>
        </w:rPr>
        <w:t>ев</w:t>
      </w:r>
      <w:r w:rsidR="00D570AD" w:rsidRPr="00BA5F4D">
        <w:rPr>
          <w:rFonts w:asciiTheme="majorHAnsi" w:hAnsiTheme="majorHAnsi" w:cstheme="majorHAnsi"/>
          <w:sz w:val="24"/>
          <w:szCs w:val="24"/>
          <w:lang w:val="ru-MD"/>
        </w:rPr>
        <w:t xml:space="preserve">, </w:t>
      </w:r>
      <w:r w:rsidR="009B254C" w:rsidRPr="00BA5F4D">
        <w:rPr>
          <w:rFonts w:asciiTheme="majorHAnsi" w:hAnsiTheme="majorHAnsi" w:cstheme="majorHAnsi"/>
          <w:sz w:val="24"/>
          <w:szCs w:val="24"/>
          <w:lang w:val="ru-MD"/>
        </w:rPr>
        <w:t xml:space="preserve">которые были </w:t>
      </w:r>
      <w:r w:rsidR="00D570AD" w:rsidRPr="00BA5F4D">
        <w:rPr>
          <w:rFonts w:asciiTheme="majorHAnsi" w:hAnsiTheme="majorHAnsi" w:cstheme="majorHAnsi"/>
          <w:sz w:val="24"/>
          <w:szCs w:val="24"/>
          <w:lang w:val="ru-MD"/>
        </w:rPr>
        <w:t>исполнен</w:t>
      </w:r>
      <w:r w:rsidR="009B254C" w:rsidRPr="00BA5F4D">
        <w:rPr>
          <w:rFonts w:asciiTheme="majorHAnsi" w:hAnsiTheme="majorHAnsi" w:cstheme="majorHAnsi"/>
          <w:sz w:val="24"/>
          <w:szCs w:val="24"/>
          <w:lang w:val="ru-MD"/>
        </w:rPr>
        <w:t>ы в размере</w:t>
      </w:r>
      <w:r w:rsidR="00D570AD" w:rsidRPr="00BA5F4D">
        <w:rPr>
          <w:rFonts w:asciiTheme="majorHAnsi" w:hAnsiTheme="majorHAnsi" w:cstheme="majorHAnsi"/>
          <w:sz w:val="24"/>
          <w:szCs w:val="24"/>
          <w:lang w:val="ru-MD"/>
        </w:rPr>
        <w:t xml:space="preserve"> 988,7 млн. леев, или </w:t>
      </w:r>
      <w:r w:rsidR="009B254C" w:rsidRPr="00BA5F4D">
        <w:rPr>
          <w:rFonts w:asciiTheme="majorHAnsi" w:hAnsiTheme="majorHAnsi" w:cstheme="majorHAnsi"/>
          <w:sz w:val="24"/>
          <w:szCs w:val="24"/>
          <w:lang w:val="ru-MD"/>
        </w:rPr>
        <w:t xml:space="preserve">на уровне </w:t>
      </w:r>
      <w:r w:rsidR="00D570AD" w:rsidRPr="00BA5F4D">
        <w:rPr>
          <w:rFonts w:asciiTheme="majorHAnsi" w:hAnsiTheme="majorHAnsi" w:cstheme="majorHAnsi"/>
          <w:sz w:val="24"/>
          <w:szCs w:val="24"/>
          <w:lang w:val="ru-MD"/>
        </w:rPr>
        <w:t xml:space="preserve">96,7%, из которых: </w:t>
      </w:r>
      <w:r w:rsidR="009B254C" w:rsidRPr="00BA5F4D">
        <w:rPr>
          <w:rFonts w:asciiTheme="majorHAnsi" w:hAnsiTheme="majorHAnsi" w:cstheme="majorHAnsi"/>
          <w:sz w:val="24"/>
          <w:szCs w:val="24"/>
          <w:lang w:val="ru-MD"/>
        </w:rPr>
        <w:t>трансферты</w:t>
      </w:r>
      <w:r w:rsidR="00D570AD" w:rsidRPr="00BA5F4D">
        <w:rPr>
          <w:rFonts w:asciiTheme="majorHAnsi" w:hAnsiTheme="majorHAnsi" w:cstheme="majorHAnsi"/>
          <w:sz w:val="24"/>
          <w:szCs w:val="24"/>
          <w:lang w:val="ru-MD"/>
        </w:rPr>
        <w:t xml:space="preserve"> специального назначения местным бюджетам I уровня-279,2 млн. ле</w:t>
      </w:r>
      <w:r w:rsidR="007B1E32" w:rsidRPr="00BA5F4D">
        <w:rPr>
          <w:rFonts w:asciiTheme="majorHAnsi" w:hAnsiTheme="majorHAnsi" w:cstheme="majorHAnsi"/>
          <w:sz w:val="24"/>
          <w:szCs w:val="24"/>
          <w:lang w:val="ru-MD"/>
        </w:rPr>
        <w:t>ев</w:t>
      </w:r>
      <w:r w:rsidR="00D570AD" w:rsidRPr="00BA5F4D">
        <w:rPr>
          <w:rFonts w:asciiTheme="majorHAnsi" w:hAnsiTheme="majorHAnsi" w:cstheme="majorHAnsi"/>
          <w:sz w:val="24"/>
          <w:szCs w:val="24"/>
          <w:lang w:val="ru-MD"/>
        </w:rPr>
        <w:t xml:space="preserve">, и </w:t>
      </w:r>
      <w:r w:rsidR="007B1E32" w:rsidRPr="00BA5F4D">
        <w:rPr>
          <w:rFonts w:asciiTheme="majorHAnsi" w:hAnsiTheme="majorHAnsi" w:cstheme="majorHAnsi"/>
          <w:sz w:val="24"/>
          <w:szCs w:val="24"/>
          <w:lang w:val="ru-MD"/>
        </w:rPr>
        <w:t xml:space="preserve">II </w:t>
      </w:r>
      <w:r w:rsidR="00D570AD" w:rsidRPr="00BA5F4D">
        <w:rPr>
          <w:rFonts w:asciiTheme="majorHAnsi" w:hAnsiTheme="majorHAnsi" w:cstheme="majorHAnsi"/>
          <w:sz w:val="24"/>
          <w:szCs w:val="24"/>
          <w:lang w:val="ru-MD"/>
        </w:rPr>
        <w:t>уров</w:t>
      </w:r>
      <w:r w:rsidR="007B1E32" w:rsidRPr="00BA5F4D">
        <w:rPr>
          <w:rFonts w:asciiTheme="majorHAnsi" w:hAnsiTheme="majorHAnsi" w:cstheme="majorHAnsi"/>
          <w:sz w:val="24"/>
          <w:szCs w:val="24"/>
          <w:lang w:val="ru-MD"/>
        </w:rPr>
        <w:t>ня</w:t>
      </w:r>
      <w:r w:rsidR="00D570AD" w:rsidRPr="00BA5F4D">
        <w:rPr>
          <w:rFonts w:asciiTheme="majorHAnsi" w:hAnsiTheme="majorHAnsi" w:cstheme="majorHAnsi"/>
          <w:sz w:val="24"/>
          <w:szCs w:val="24"/>
          <w:lang w:val="ru-MD"/>
        </w:rPr>
        <w:t xml:space="preserve"> -709,5 млн. </w:t>
      </w:r>
      <w:r w:rsidR="007B1E32" w:rsidRPr="00BA5F4D">
        <w:rPr>
          <w:rFonts w:asciiTheme="majorHAnsi" w:hAnsiTheme="majorHAnsi" w:cstheme="majorHAnsi"/>
          <w:sz w:val="24"/>
          <w:szCs w:val="24"/>
          <w:lang w:val="ru-MD"/>
        </w:rPr>
        <w:t>леев</w:t>
      </w:r>
      <w:r w:rsidR="00D570AD" w:rsidRPr="00BA5F4D">
        <w:rPr>
          <w:rFonts w:asciiTheme="majorHAnsi" w:hAnsiTheme="majorHAnsi" w:cstheme="majorHAnsi"/>
          <w:sz w:val="24"/>
          <w:szCs w:val="24"/>
          <w:lang w:val="ru-MD"/>
        </w:rPr>
        <w:t xml:space="preserve">. </w:t>
      </w:r>
      <w:r w:rsidR="007B1E32" w:rsidRPr="00BA5F4D">
        <w:rPr>
          <w:rFonts w:asciiTheme="majorHAnsi" w:hAnsiTheme="majorHAnsi" w:cstheme="majorHAnsi"/>
          <w:sz w:val="24"/>
          <w:szCs w:val="24"/>
          <w:lang w:val="ru-MD"/>
        </w:rPr>
        <w:t>Одновременно</w:t>
      </w:r>
      <w:r w:rsidR="00D570AD" w:rsidRPr="00BA5F4D">
        <w:rPr>
          <w:rFonts w:asciiTheme="majorHAnsi" w:hAnsiTheme="majorHAnsi" w:cstheme="majorHAnsi"/>
          <w:sz w:val="24"/>
          <w:szCs w:val="24"/>
          <w:lang w:val="ru-MD"/>
        </w:rPr>
        <w:t xml:space="preserve">, для </w:t>
      </w:r>
      <w:r w:rsidR="007B1E32" w:rsidRPr="00BA5F4D">
        <w:rPr>
          <w:rFonts w:asciiTheme="majorHAnsi" w:hAnsiTheme="majorHAnsi" w:cstheme="majorHAnsi"/>
          <w:sz w:val="24"/>
          <w:szCs w:val="24"/>
          <w:lang w:val="ru-MD"/>
        </w:rPr>
        <w:t>П</w:t>
      </w:r>
      <w:r w:rsidR="00D570AD" w:rsidRPr="00BA5F4D">
        <w:rPr>
          <w:rFonts w:asciiTheme="majorHAnsi" w:hAnsiTheme="majorHAnsi" w:cstheme="majorHAnsi"/>
          <w:sz w:val="24"/>
          <w:szCs w:val="24"/>
          <w:lang w:val="ru-MD"/>
        </w:rPr>
        <w:t xml:space="preserve">рограммы „Развитие </w:t>
      </w:r>
      <w:r w:rsidR="00D570AD" w:rsidRPr="00BA5F4D">
        <w:rPr>
          <w:rFonts w:asciiTheme="majorHAnsi" w:hAnsiTheme="majorHAnsi" w:cstheme="majorHAnsi"/>
          <w:sz w:val="24"/>
          <w:szCs w:val="24"/>
          <w:lang w:val="ru-MD"/>
        </w:rPr>
        <w:lastRenderedPageBreak/>
        <w:t xml:space="preserve">дорог” </w:t>
      </w:r>
      <w:r w:rsidR="007B1E32" w:rsidRPr="00BA5F4D">
        <w:rPr>
          <w:rFonts w:asciiTheme="majorHAnsi" w:hAnsiTheme="majorHAnsi" w:cstheme="majorHAnsi"/>
          <w:sz w:val="24"/>
          <w:szCs w:val="24"/>
          <w:lang w:val="ru-MD"/>
        </w:rPr>
        <w:t>были уточнены</w:t>
      </w:r>
      <w:r w:rsidR="00D570AD" w:rsidRPr="00BA5F4D">
        <w:rPr>
          <w:rFonts w:asciiTheme="majorHAnsi" w:hAnsiTheme="majorHAnsi" w:cstheme="majorHAnsi"/>
          <w:sz w:val="24"/>
          <w:szCs w:val="24"/>
          <w:lang w:val="ru-MD"/>
        </w:rPr>
        <w:t xml:space="preserve"> ассигнования </w:t>
      </w:r>
      <w:r w:rsidR="007B1E32" w:rsidRPr="00BA5F4D">
        <w:rPr>
          <w:rFonts w:asciiTheme="majorHAnsi" w:hAnsiTheme="majorHAnsi" w:cstheme="majorHAnsi"/>
          <w:sz w:val="24"/>
          <w:szCs w:val="24"/>
          <w:lang w:val="ru-MD"/>
        </w:rPr>
        <w:t>МЭИ</w:t>
      </w:r>
      <w:r w:rsidR="00D570AD" w:rsidRPr="00BA5F4D">
        <w:rPr>
          <w:rFonts w:asciiTheme="majorHAnsi" w:hAnsiTheme="majorHAnsi" w:cstheme="majorHAnsi"/>
          <w:sz w:val="24"/>
          <w:szCs w:val="24"/>
          <w:lang w:val="ru-MD"/>
        </w:rPr>
        <w:t xml:space="preserve"> в размере 4 207,5 млн. ле</w:t>
      </w:r>
      <w:r w:rsidR="007B1E32" w:rsidRPr="00BA5F4D">
        <w:rPr>
          <w:rFonts w:asciiTheme="majorHAnsi" w:hAnsiTheme="majorHAnsi" w:cstheme="majorHAnsi"/>
          <w:sz w:val="24"/>
          <w:szCs w:val="24"/>
          <w:lang w:val="ru-MD"/>
        </w:rPr>
        <w:t>ев,</w:t>
      </w:r>
      <w:r w:rsidR="00D570AD" w:rsidRPr="00BA5F4D">
        <w:rPr>
          <w:rFonts w:asciiTheme="majorHAnsi" w:hAnsiTheme="majorHAnsi" w:cstheme="majorHAnsi"/>
          <w:sz w:val="24"/>
          <w:szCs w:val="24"/>
          <w:lang w:val="ru-MD"/>
        </w:rPr>
        <w:t xml:space="preserve"> и </w:t>
      </w:r>
      <w:r w:rsidR="007B1E32" w:rsidRPr="00BA5F4D">
        <w:rPr>
          <w:rFonts w:asciiTheme="majorHAnsi" w:hAnsiTheme="majorHAnsi" w:cstheme="majorHAnsi"/>
          <w:sz w:val="24"/>
          <w:szCs w:val="24"/>
          <w:lang w:val="ru-MD"/>
        </w:rPr>
        <w:t xml:space="preserve">МСХРРОС </w:t>
      </w:r>
      <w:r w:rsidR="00D570AD" w:rsidRPr="00BA5F4D">
        <w:rPr>
          <w:rFonts w:asciiTheme="majorHAnsi" w:hAnsiTheme="majorHAnsi" w:cstheme="majorHAnsi"/>
          <w:sz w:val="24"/>
          <w:szCs w:val="24"/>
          <w:lang w:val="ru-MD"/>
        </w:rPr>
        <w:t>-</w:t>
      </w:r>
      <w:r w:rsidR="007B1E32" w:rsidRPr="00BA5F4D">
        <w:rPr>
          <w:rFonts w:asciiTheme="majorHAnsi" w:hAnsiTheme="majorHAnsi" w:cstheme="majorHAnsi"/>
          <w:sz w:val="24"/>
          <w:szCs w:val="24"/>
          <w:lang w:val="ru-MD"/>
        </w:rPr>
        <w:t xml:space="preserve"> </w:t>
      </w:r>
      <w:r w:rsidR="00D570AD" w:rsidRPr="00BA5F4D">
        <w:rPr>
          <w:rFonts w:asciiTheme="majorHAnsi" w:hAnsiTheme="majorHAnsi" w:cstheme="majorHAnsi"/>
          <w:sz w:val="24"/>
          <w:szCs w:val="24"/>
          <w:lang w:val="ru-MD"/>
        </w:rPr>
        <w:t>61,4 млн. ле</w:t>
      </w:r>
      <w:r w:rsidR="007B1E32" w:rsidRPr="00BA5F4D">
        <w:rPr>
          <w:rFonts w:asciiTheme="majorHAnsi" w:hAnsiTheme="majorHAnsi" w:cstheme="majorHAnsi"/>
          <w:sz w:val="24"/>
          <w:szCs w:val="24"/>
          <w:lang w:val="ru-MD"/>
        </w:rPr>
        <w:t>ев</w:t>
      </w:r>
      <w:r w:rsidR="00671934" w:rsidRPr="00BA5F4D">
        <w:rPr>
          <w:rFonts w:asciiTheme="majorHAnsi" w:eastAsia="Times New Roman" w:hAnsiTheme="majorHAnsi" w:cstheme="majorHAnsi"/>
          <w:color w:val="000000" w:themeColor="text1"/>
          <w:sz w:val="24"/>
          <w:szCs w:val="24"/>
          <w:lang w:val="ru-MD"/>
        </w:rPr>
        <w:t>.</w:t>
      </w:r>
    </w:p>
    <w:p w:rsidR="00167508" w:rsidRPr="00BA5F4D" w:rsidRDefault="002D6EC2" w:rsidP="00D570AD">
      <w:pPr>
        <w:pStyle w:val="ListParagraph"/>
        <w:numPr>
          <w:ilvl w:val="1"/>
          <w:numId w:val="29"/>
        </w:numPr>
        <w:tabs>
          <w:tab w:val="left" w:pos="0"/>
          <w:tab w:val="left" w:pos="142"/>
        </w:tabs>
        <w:spacing w:after="0" w:line="276" w:lineRule="auto"/>
        <w:ind w:left="0" w:firstLine="0"/>
        <w:rPr>
          <w:rFonts w:asciiTheme="majorHAnsi" w:eastAsia="Times New Roman" w:hAnsiTheme="majorHAnsi" w:cstheme="majorHAnsi"/>
          <w:sz w:val="24"/>
          <w:szCs w:val="24"/>
          <w:lang w:val="ru-MD"/>
        </w:rPr>
      </w:pPr>
      <w:r w:rsidRPr="007B1E32">
        <w:rPr>
          <w:rFonts w:asciiTheme="majorHAnsi" w:eastAsia="Times New Roman" w:hAnsiTheme="majorHAnsi" w:cstheme="majorHAnsi"/>
          <w:b/>
          <w:color w:val="000000" w:themeColor="text1"/>
          <w:sz w:val="24"/>
          <w:szCs w:val="24"/>
          <w:lang w:val="ru-MD"/>
        </w:rPr>
        <w:t>Обращаем внимание на то,</w:t>
      </w:r>
      <w:r w:rsidR="00D570AD" w:rsidRPr="007B1E32">
        <w:rPr>
          <w:rFonts w:asciiTheme="majorHAnsi" w:eastAsia="Times New Roman" w:hAnsiTheme="majorHAnsi" w:cstheme="majorHAnsi"/>
          <w:b/>
          <w:color w:val="000000" w:themeColor="text1"/>
          <w:sz w:val="24"/>
          <w:szCs w:val="24"/>
          <w:lang w:val="ru-MD"/>
        </w:rPr>
        <w:t xml:space="preserve"> что в разделе „Общие действия” </w:t>
      </w:r>
      <w:r w:rsidR="007B1E32" w:rsidRPr="007B1E32">
        <w:rPr>
          <w:rFonts w:asciiTheme="majorHAnsi" w:eastAsia="Times New Roman" w:hAnsiTheme="majorHAnsi" w:cstheme="majorHAnsi"/>
          <w:b/>
          <w:color w:val="000000" w:themeColor="text1"/>
          <w:sz w:val="24"/>
          <w:szCs w:val="24"/>
          <w:lang w:val="ru-MD"/>
        </w:rPr>
        <w:t>включена</w:t>
      </w:r>
      <w:r w:rsidR="00D570AD" w:rsidRPr="007B1E32">
        <w:rPr>
          <w:rFonts w:asciiTheme="majorHAnsi" w:eastAsia="Times New Roman" w:hAnsiTheme="majorHAnsi" w:cstheme="majorHAnsi"/>
          <w:b/>
          <w:color w:val="000000" w:themeColor="text1"/>
          <w:sz w:val="24"/>
          <w:szCs w:val="24"/>
          <w:lang w:val="ru-MD"/>
        </w:rPr>
        <w:t xml:space="preserve"> подпрограмма „</w:t>
      </w:r>
      <w:r w:rsidR="007B1E32" w:rsidRPr="007B1E32">
        <w:rPr>
          <w:rFonts w:asciiTheme="majorHAnsi" w:eastAsia="Times New Roman" w:hAnsiTheme="majorHAnsi" w:cstheme="majorHAnsi"/>
          <w:b/>
          <w:color w:val="000000" w:themeColor="text1"/>
          <w:sz w:val="24"/>
          <w:szCs w:val="24"/>
          <w:lang w:val="ru-MD"/>
        </w:rPr>
        <w:t>Д</w:t>
      </w:r>
      <w:r w:rsidR="00D570AD" w:rsidRPr="007B1E32">
        <w:rPr>
          <w:rFonts w:asciiTheme="majorHAnsi" w:eastAsia="Times New Roman" w:hAnsiTheme="majorHAnsi" w:cstheme="majorHAnsi"/>
          <w:b/>
          <w:color w:val="000000" w:themeColor="text1"/>
          <w:sz w:val="24"/>
          <w:szCs w:val="24"/>
          <w:lang w:val="ru-MD"/>
        </w:rPr>
        <w:t>ействия общего характера” (0808), на которую изначально были утверждены ассигнования на сумму 29,0 млн. ле</w:t>
      </w:r>
      <w:r w:rsidR="007B1E32" w:rsidRPr="007B1E32">
        <w:rPr>
          <w:rFonts w:asciiTheme="majorHAnsi" w:eastAsia="Times New Roman" w:hAnsiTheme="majorHAnsi" w:cstheme="majorHAnsi"/>
          <w:b/>
          <w:color w:val="000000" w:themeColor="text1"/>
          <w:sz w:val="24"/>
          <w:szCs w:val="24"/>
          <w:lang w:val="ru-MD"/>
        </w:rPr>
        <w:t>ев,</w:t>
      </w:r>
      <w:r w:rsidR="00D570AD" w:rsidRPr="007B1E32">
        <w:rPr>
          <w:rFonts w:asciiTheme="majorHAnsi" w:eastAsia="Times New Roman" w:hAnsiTheme="majorHAnsi" w:cstheme="majorHAnsi"/>
          <w:b/>
          <w:color w:val="000000" w:themeColor="text1"/>
          <w:sz w:val="24"/>
          <w:szCs w:val="24"/>
          <w:lang w:val="ru-MD"/>
        </w:rPr>
        <w:t xml:space="preserve"> без </w:t>
      </w:r>
      <w:r w:rsidR="007B1E32" w:rsidRPr="007B1E32">
        <w:rPr>
          <w:rFonts w:asciiTheme="majorHAnsi" w:eastAsia="Times New Roman" w:hAnsiTheme="majorHAnsi" w:cstheme="majorHAnsi"/>
          <w:b/>
          <w:color w:val="000000" w:themeColor="text1"/>
          <w:sz w:val="24"/>
          <w:szCs w:val="24"/>
          <w:lang w:val="ru-MD"/>
        </w:rPr>
        <w:t xml:space="preserve">их </w:t>
      </w:r>
      <w:r w:rsidR="00D570AD" w:rsidRPr="007B1E32">
        <w:rPr>
          <w:rFonts w:asciiTheme="majorHAnsi" w:eastAsia="Times New Roman" w:hAnsiTheme="majorHAnsi" w:cstheme="majorHAnsi"/>
          <w:b/>
          <w:color w:val="000000" w:themeColor="text1"/>
          <w:sz w:val="24"/>
          <w:szCs w:val="24"/>
          <w:lang w:val="ru-MD"/>
        </w:rPr>
        <w:t>разграничения по другим подпрограммам и де</w:t>
      </w:r>
      <w:r w:rsidR="007B1E32" w:rsidRPr="007B1E32">
        <w:rPr>
          <w:rFonts w:asciiTheme="majorHAnsi" w:eastAsia="Times New Roman" w:hAnsiTheme="majorHAnsi" w:cstheme="majorHAnsi"/>
          <w:b/>
          <w:color w:val="000000" w:themeColor="text1"/>
          <w:sz w:val="24"/>
          <w:szCs w:val="24"/>
          <w:lang w:val="ru-MD"/>
        </w:rPr>
        <w:t>йствиям</w:t>
      </w:r>
      <w:r w:rsidR="002C3C33" w:rsidRPr="00F77762">
        <w:rPr>
          <w:rFonts w:asciiTheme="majorHAnsi" w:eastAsia="Times New Roman" w:hAnsiTheme="majorHAnsi" w:cstheme="majorHAnsi"/>
          <w:b/>
          <w:sz w:val="24"/>
          <w:szCs w:val="24"/>
          <w:lang w:val="ro-RO"/>
        </w:rPr>
        <w:t>.</w:t>
      </w:r>
      <w:r w:rsidR="002C3C33" w:rsidRPr="00F77762">
        <w:rPr>
          <w:rFonts w:asciiTheme="majorHAnsi" w:eastAsia="Times New Roman" w:hAnsiTheme="majorHAnsi" w:cstheme="majorHAnsi"/>
          <w:sz w:val="24"/>
          <w:szCs w:val="24"/>
          <w:lang w:val="ro-RO"/>
        </w:rPr>
        <w:t xml:space="preserve"> </w:t>
      </w:r>
      <w:r w:rsidR="00BA5F4D" w:rsidRPr="00BA5F4D">
        <w:rPr>
          <w:rFonts w:asciiTheme="majorHAnsi" w:eastAsia="Times New Roman" w:hAnsiTheme="majorHAnsi" w:cstheme="majorHAnsi"/>
          <w:sz w:val="24"/>
          <w:szCs w:val="24"/>
          <w:lang w:val="ru-MD"/>
        </w:rPr>
        <w:t>О</w:t>
      </w:r>
      <w:r w:rsidR="00D570AD" w:rsidRPr="00BA5F4D">
        <w:rPr>
          <w:rFonts w:asciiTheme="majorHAnsi" w:eastAsia="Times New Roman" w:hAnsiTheme="majorHAnsi" w:cstheme="majorHAnsi"/>
          <w:sz w:val="24"/>
          <w:szCs w:val="24"/>
          <w:lang w:val="ru-MD"/>
        </w:rPr>
        <w:t>тме</w:t>
      </w:r>
      <w:r w:rsidR="00BA5F4D" w:rsidRPr="00BA5F4D">
        <w:rPr>
          <w:rFonts w:asciiTheme="majorHAnsi" w:eastAsia="Times New Roman" w:hAnsiTheme="majorHAnsi" w:cstheme="majorHAnsi"/>
          <w:sz w:val="24"/>
          <w:szCs w:val="24"/>
          <w:lang w:val="ru-MD"/>
        </w:rPr>
        <w:t>чается</w:t>
      </w:r>
      <w:r w:rsidR="00D570AD" w:rsidRPr="00BA5F4D">
        <w:rPr>
          <w:rFonts w:asciiTheme="majorHAnsi" w:eastAsia="Times New Roman" w:hAnsiTheme="majorHAnsi" w:cstheme="majorHAnsi"/>
          <w:sz w:val="24"/>
          <w:szCs w:val="24"/>
          <w:lang w:val="ru-MD"/>
        </w:rPr>
        <w:t>, что в</w:t>
      </w:r>
      <w:r w:rsidR="007B1E32" w:rsidRPr="00BA5F4D">
        <w:rPr>
          <w:rFonts w:asciiTheme="majorHAnsi" w:eastAsia="Times New Roman" w:hAnsiTheme="majorHAnsi" w:cstheme="majorHAnsi"/>
          <w:sz w:val="24"/>
          <w:szCs w:val="24"/>
          <w:lang w:val="ru-MD"/>
        </w:rPr>
        <w:t xml:space="preserve"> </w:t>
      </w:r>
      <w:r w:rsidR="00BA5F4D" w:rsidRPr="00BA5F4D">
        <w:rPr>
          <w:rFonts w:asciiTheme="majorHAnsi" w:eastAsia="Times New Roman" w:hAnsiTheme="majorHAnsi" w:cstheme="majorHAnsi"/>
          <w:sz w:val="24"/>
          <w:szCs w:val="24"/>
          <w:lang w:val="ru-MD"/>
        </w:rPr>
        <w:t>впоследствии, при</w:t>
      </w:r>
      <w:r w:rsidR="007B1E32" w:rsidRPr="00BA5F4D">
        <w:rPr>
          <w:rFonts w:asciiTheme="majorHAnsi" w:eastAsia="Times New Roman" w:hAnsiTheme="majorHAnsi" w:cstheme="majorHAnsi"/>
          <w:sz w:val="24"/>
          <w:szCs w:val="24"/>
          <w:lang w:val="ru-MD"/>
        </w:rPr>
        <w:t xml:space="preserve"> уточнени</w:t>
      </w:r>
      <w:r w:rsidR="00BA5F4D" w:rsidRPr="00BA5F4D">
        <w:rPr>
          <w:rFonts w:asciiTheme="majorHAnsi" w:eastAsia="Times New Roman" w:hAnsiTheme="majorHAnsi" w:cstheme="majorHAnsi"/>
          <w:sz w:val="24"/>
          <w:szCs w:val="24"/>
          <w:lang w:val="ru-MD"/>
        </w:rPr>
        <w:t>и</w:t>
      </w:r>
      <w:r w:rsidR="00D570AD" w:rsidRPr="00BA5F4D">
        <w:rPr>
          <w:rFonts w:asciiTheme="majorHAnsi" w:eastAsia="Times New Roman" w:hAnsiTheme="majorHAnsi" w:cstheme="majorHAnsi"/>
          <w:sz w:val="24"/>
          <w:szCs w:val="24"/>
          <w:lang w:val="ru-MD"/>
        </w:rPr>
        <w:t xml:space="preserve"> бюджета, хотя эти ассигнования были увеличены примерно в 19,8 раза, или на 545,9 млн. </w:t>
      </w:r>
      <w:r w:rsidR="007B1E32" w:rsidRPr="00BA5F4D">
        <w:rPr>
          <w:rFonts w:asciiTheme="majorHAnsi" w:eastAsia="Times New Roman" w:hAnsiTheme="majorHAnsi" w:cstheme="majorHAnsi"/>
          <w:sz w:val="24"/>
          <w:szCs w:val="24"/>
          <w:lang w:val="ru-MD"/>
        </w:rPr>
        <w:t>леев</w:t>
      </w:r>
      <w:r w:rsidR="00BA5F4D" w:rsidRPr="00BA5F4D">
        <w:rPr>
          <w:rFonts w:asciiTheme="majorHAnsi" w:eastAsia="Times New Roman" w:hAnsiTheme="majorHAnsi" w:cstheme="majorHAnsi"/>
          <w:sz w:val="24"/>
          <w:szCs w:val="24"/>
          <w:lang w:val="ru-MD"/>
        </w:rPr>
        <w:t xml:space="preserve"> (574,9 млн. леев)</w:t>
      </w:r>
      <w:r w:rsidR="007B1E32" w:rsidRPr="00BA5F4D">
        <w:rPr>
          <w:rFonts w:asciiTheme="majorHAnsi" w:eastAsia="Times New Roman" w:hAnsiTheme="majorHAnsi" w:cstheme="majorHAnsi"/>
          <w:sz w:val="24"/>
          <w:szCs w:val="24"/>
          <w:lang w:val="ru-MD"/>
        </w:rPr>
        <w:t>,</w:t>
      </w:r>
      <w:r w:rsidR="00D570AD" w:rsidRPr="00BA5F4D">
        <w:rPr>
          <w:rFonts w:asciiTheme="majorHAnsi" w:eastAsia="Times New Roman" w:hAnsiTheme="majorHAnsi" w:cstheme="majorHAnsi"/>
          <w:sz w:val="24"/>
          <w:szCs w:val="24"/>
          <w:lang w:val="ru-MD"/>
        </w:rPr>
        <w:t xml:space="preserve"> они были </w:t>
      </w:r>
      <w:r w:rsidR="007B1E32" w:rsidRPr="00BA5F4D">
        <w:rPr>
          <w:rFonts w:asciiTheme="majorHAnsi" w:eastAsia="Times New Roman" w:hAnsiTheme="majorHAnsi" w:cstheme="majorHAnsi"/>
          <w:sz w:val="24"/>
          <w:szCs w:val="24"/>
          <w:lang w:val="ru-MD"/>
        </w:rPr>
        <w:t>ис</w:t>
      </w:r>
      <w:r w:rsidR="00D570AD" w:rsidRPr="00BA5F4D">
        <w:rPr>
          <w:rFonts w:asciiTheme="majorHAnsi" w:eastAsia="Times New Roman" w:hAnsiTheme="majorHAnsi" w:cstheme="majorHAnsi"/>
          <w:sz w:val="24"/>
          <w:szCs w:val="24"/>
          <w:lang w:val="ru-MD"/>
        </w:rPr>
        <w:t>полнены на уровне 25,2%, или на сумму 144,7 млн. леев. Аудит</w:t>
      </w:r>
      <w:r w:rsidR="00BA5F4D" w:rsidRPr="00BA5F4D">
        <w:rPr>
          <w:rFonts w:asciiTheme="majorHAnsi" w:eastAsia="Times New Roman" w:hAnsiTheme="majorHAnsi" w:cstheme="majorHAnsi"/>
          <w:sz w:val="24"/>
          <w:szCs w:val="24"/>
          <w:lang w:val="ru-MD"/>
        </w:rPr>
        <w:t xml:space="preserve">орский </w:t>
      </w:r>
      <w:r w:rsidR="00D570AD" w:rsidRPr="00BA5F4D">
        <w:rPr>
          <w:rFonts w:asciiTheme="majorHAnsi" w:eastAsia="Times New Roman" w:hAnsiTheme="majorHAnsi" w:cstheme="majorHAnsi"/>
          <w:sz w:val="24"/>
          <w:szCs w:val="24"/>
          <w:lang w:val="ru-MD"/>
        </w:rPr>
        <w:t>а</w:t>
      </w:r>
      <w:r w:rsidR="00BA5F4D" w:rsidRPr="00BA5F4D">
        <w:rPr>
          <w:rFonts w:asciiTheme="majorHAnsi" w:eastAsia="Times New Roman" w:hAnsiTheme="majorHAnsi" w:cstheme="majorHAnsi"/>
          <w:sz w:val="24"/>
          <w:szCs w:val="24"/>
          <w:lang w:val="ru-MD"/>
        </w:rPr>
        <w:t>нализ</w:t>
      </w:r>
      <w:r w:rsidR="00D570AD" w:rsidRPr="00BA5F4D">
        <w:rPr>
          <w:rFonts w:asciiTheme="majorHAnsi" w:eastAsia="Times New Roman" w:hAnsiTheme="majorHAnsi" w:cstheme="majorHAnsi"/>
          <w:sz w:val="24"/>
          <w:szCs w:val="24"/>
          <w:lang w:val="ru-MD"/>
        </w:rPr>
        <w:t xml:space="preserve"> показ</w:t>
      </w:r>
      <w:r w:rsidR="00BA5F4D" w:rsidRPr="00BA5F4D">
        <w:rPr>
          <w:rFonts w:asciiTheme="majorHAnsi" w:eastAsia="Times New Roman" w:hAnsiTheme="majorHAnsi" w:cstheme="majorHAnsi"/>
          <w:sz w:val="24"/>
          <w:szCs w:val="24"/>
          <w:lang w:val="ru-MD"/>
        </w:rPr>
        <w:t>ал</w:t>
      </w:r>
      <w:r w:rsidR="00D570AD" w:rsidRPr="00BA5F4D">
        <w:rPr>
          <w:rFonts w:asciiTheme="majorHAnsi" w:eastAsia="Times New Roman" w:hAnsiTheme="majorHAnsi" w:cstheme="majorHAnsi"/>
          <w:sz w:val="24"/>
          <w:szCs w:val="24"/>
          <w:lang w:val="ru-MD"/>
        </w:rPr>
        <w:t xml:space="preserve">, что </w:t>
      </w:r>
      <w:r w:rsidR="00BA5F4D" w:rsidRPr="00BA5F4D">
        <w:rPr>
          <w:rFonts w:asciiTheme="majorHAnsi" w:eastAsia="Times New Roman" w:hAnsiTheme="majorHAnsi" w:cstheme="majorHAnsi"/>
          <w:sz w:val="24"/>
          <w:szCs w:val="24"/>
          <w:lang w:val="ru-MD"/>
        </w:rPr>
        <w:t>указанны</w:t>
      </w:r>
      <w:r w:rsidR="00D570AD" w:rsidRPr="00BA5F4D">
        <w:rPr>
          <w:rFonts w:asciiTheme="majorHAnsi" w:eastAsia="Times New Roman" w:hAnsiTheme="majorHAnsi" w:cstheme="majorHAnsi"/>
          <w:sz w:val="24"/>
          <w:szCs w:val="24"/>
          <w:lang w:val="ru-MD"/>
        </w:rPr>
        <w:t xml:space="preserve">й показатель отражается МФ </w:t>
      </w:r>
      <w:r w:rsidR="00BA5F4D" w:rsidRPr="00BA5F4D">
        <w:rPr>
          <w:rFonts w:asciiTheme="majorHAnsi" w:eastAsia="Times New Roman" w:hAnsiTheme="majorHAnsi" w:cstheme="majorHAnsi"/>
          <w:sz w:val="24"/>
          <w:szCs w:val="24"/>
          <w:lang w:val="ru-MD"/>
        </w:rPr>
        <w:t>в</w:t>
      </w:r>
      <w:r w:rsidR="00D570AD" w:rsidRPr="00BA5F4D">
        <w:rPr>
          <w:rFonts w:asciiTheme="majorHAnsi" w:eastAsia="Times New Roman" w:hAnsiTheme="majorHAnsi" w:cstheme="majorHAnsi"/>
          <w:sz w:val="24"/>
          <w:szCs w:val="24"/>
          <w:lang w:val="ru-MD"/>
        </w:rPr>
        <w:t xml:space="preserve"> сумм</w:t>
      </w:r>
      <w:r w:rsidR="00BA5F4D" w:rsidRPr="00BA5F4D">
        <w:rPr>
          <w:rFonts w:asciiTheme="majorHAnsi" w:eastAsia="Times New Roman" w:hAnsiTheme="majorHAnsi" w:cstheme="majorHAnsi"/>
          <w:sz w:val="24"/>
          <w:szCs w:val="24"/>
          <w:lang w:val="ru-MD"/>
        </w:rPr>
        <w:t>е</w:t>
      </w:r>
      <w:r w:rsidR="00D570AD" w:rsidRPr="00BA5F4D">
        <w:rPr>
          <w:rFonts w:asciiTheme="majorHAnsi" w:eastAsia="Times New Roman" w:hAnsiTheme="majorHAnsi" w:cstheme="majorHAnsi"/>
          <w:sz w:val="24"/>
          <w:szCs w:val="24"/>
          <w:lang w:val="ru-MD"/>
        </w:rPr>
        <w:t xml:space="preserve"> 414,1 млн. леев, или с разницей </w:t>
      </w:r>
      <w:r w:rsidR="00BA5F4D" w:rsidRPr="00BA5F4D">
        <w:rPr>
          <w:rFonts w:asciiTheme="majorHAnsi" w:eastAsia="Times New Roman" w:hAnsiTheme="majorHAnsi" w:cstheme="majorHAnsi"/>
          <w:sz w:val="24"/>
          <w:szCs w:val="24"/>
          <w:lang w:val="ru-MD"/>
        </w:rPr>
        <w:t>по отношению к</w:t>
      </w:r>
      <w:r w:rsidR="00D570AD" w:rsidRPr="00BA5F4D">
        <w:rPr>
          <w:rFonts w:asciiTheme="majorHAnsi" w:eastAsia="Times New Roman" w:hAnsiTheme="majorHAnsi" w:cstheme="majorHAnsi"/>
          <w:sz w:val="24"/>
          <w:szCs w:val="24"/>
          <w:lang w:val="ru-MD"/>
        </w:rPr>
        <w:t xml:space="preserve"> </w:t>
      </w:r>
      <w:r w:rsidR="00BA5F4D" w:rsidRPr="00BA5F4D">
        <w:rPr>
          <w:rFonts w:asciiTheme="majorHAnsi" w:eastAsia="Times New Roman" w:hAnsiTheme="majorHAnsi" w:cstheme="majorHAnsi"/>
          <w:sz w:val="24"/>
          <w:szCs w:val="24"/>
          <w:lang w:val="ru-MD"/>
        </w:rPr>
        <w:t xml:space="preserve">закону о </w:t>
      </w:r>
      <w:r w:rsidR="00D570AD" w:rsidRPr="00BA5F4D">
        <w:rPr>
          <w:rFonts w:asciiTheme="majorHAnsi" w:eastAsia="Times New Roman" w:hAnsiTheme="majorHAnsi" w:cstheme="majorHAnsi"/>
          <w:sz w:val="24"/>
          <w:szCs w:val="24"/>
          <w:lang w:val="ru-MD"/>
        </w:rPr>
        <w:t>годовом бюджет</w:t>
      </w:r>
      <w:r w:rsidR="00BA5F4D" w:rsidRPr="00BA5F4D">
        <w:rPr>
          <w:rFonts w:asciiTheme="majorHAnsi" w:eastAsia="Times New Roman" w:hAnsiTheme="majorHAnsi" w:cstheme="majorHAnsi"/>
          <w:sz w:val="24"/>
          <w:szCs w:val="24"/>
          <w:lang w:val="ru-MD"/>
        </w:rPr>
        <w:t>е</w:t>
      </w:r>
      <w:r w:rsidR="00D570AD" w:rsidRPr="00BA5F4D">
        <w:rPr>
          <w:rFonts w:asciiTheme="majorHAnsi" w:eastAsia="Times New Roman" w:hAnsiTheme="majorHAnsi" w:cstheme="majorHAnsi"/>
          <w:sz w:val="24"/>
          <w:szCs w:val="24"/>
          <w:lang w:val="ru-MD"/>
        </w:rPr>
        <w:t xml:space="preserve"> в 160,8 млн. леев. Так, </w:t>
      </w:r>
      <w:r w:rsidR="00BA5F4D" w:rsidRPr="00BA5F4D">
        <w:rPr>
          <w:rFonts w:asciiTheme="majorHAnsi" w:eastAsia="Times New Roman" w:hAnsiTheme="majorHAnsi" w:cstheme="majorHAnsi"/>
          <w:sz w:val="24"/>
          <w:szCs w:val="24"/>
          <w:lang w:val="ru-MD"/>
        </w:rPr>
        <w:t>по данному</w:t>
      </w:r>
      <w:r w:rsidR="00D570AD" w:rsidRPr="00BA5F4D">
        <w:rPr>
          <w:rFonts w:asciiTheme="majorHAnsi" w:eastAsia="Times New Roman" w:hAnsiTheme="majorHAnsi" w:cstheme="majorHAnsi"/>
          <w:sz w:val="24"/>
          <w:szCs w:val="24"/>
          <w:lang w:val="ru-MD"/>
        </w:rPr>
        <w:t xml:space="preserve"> раздел</w:t>
      </w:r>
      <w:r w:rsidR="00BA5F4D" w:rsidRPr="00BA5F4D">
        <w:rPr>
          <w:rFonts w:asciiTheme="majorHAnsi" w:eastAsia="Times New Roman" w:hAnsiTheme="majorHAnsi" w:cstheme="majorHAnsi"/>
          <w:sz w:val="24"/>
          <w:szCs w:val="24"/>
          <w:lang w:val="ru-MD"/>
        </w:rPr>
        <w:t xml:space="preserve">у приводим примеры </w:t>
      </w:r>
      <w:r w:rsidR="00D570AD" w:rsidRPr="00BA5F4D">
        <w:rPr>
          <w:rFonts w:asciiTheme="majorHAnsi" w:eastAsia="Times New Roman" w:hAnsiTheme="majorHAnsi" w:cstheme="majorHAnsi"/>
          <w:sz w:val="24"/>
          <w:szCs w:val="24"/>
          <w:lang w:val="ru-MD"/>
        </w:rPr>
        <w:t>некоторы</w:t>
      </w:r>
      <w:r w:rsidR="00BA5F4D" w:rsidRPr="00BA5F4D">
        <w:rPr>
          <w:rFonts w:asciiTheme="majorHAnsi" w:eastAsia="Times New Roman" w:hAnsiTheme="majorHAnsi" w:cstheme="majorHAnsi"/>
          <w:sz w:val="24"/>
          <w:szCs w:val="24"/>
          <w:lang w:val="ru-MD"/>
        </w:rPr>
        <w:t>х</w:t>
      </w:r>
      <w:r w:rsidR="00D570AD" w:rsidRPr="00BA5F4D">
        <w:rPr>
          <w:rFonts w:asciiTheme="majorHAnsi" w:eastAsia="Times New Roman" w:hAnsiTheme="majorHAnsi" w:cstheme="majorHAnsi"/>
          <w:sz w:val="24"/>
          <w:szCs w:val="24"/>
          <w:lang w:val="ru-MD"/>
        </w:rPr>
        <w:t xml:space="preserve"> </w:t>
      </w:r>
      <w:r w:rsidR="00BA5F4D" w:rsidRPr="00BA5F4D">
        <w:rPr>
          <w:rFonts w:asciiTheme="majorHAnsi" w:eastAsia="Times New Roman" w:hAnsiTheme="majorHAnsi" w:cstheme="majorHAnsi"/>
          <w:sz w:val="24"/>
          <w:szCs w:val="24"/>
          <w:lang w:val="ru-MD"/>
        </w:rPr>
        <w:t>типов</w:t>
      </w:r>
      <w:r w:rsidR="00D570AD" w:rsidRPr="00BA5F4D">
        <w:rPr>
          <w:rFonts w:asciiTheme="majorHAnsi" w:eastAsia="Times New Roman" w:hAnsiTheme="majorHAnsi" w:cstheme="majorHAnsi"/>
          <w:sz w:val="24"/>
          <w:szCs w:val="24"/>
          <w:lang w:val="ru-MD"/>
        </w:rPr>
        <w:t xml:space="preserve"> расходов, </w:t>
      </w:r>
      <w:r w:rsidR="00BA5F4D" w:rsidRPr="00BA5F4D">
        <w:rPr>
          <w:rFonts w:asciiTheme="majorHAnsi" w:eastAsia="Times New Roman" w:hAnsiTheme="majorHAnsi" w:cstheme="majorHAnsi"/>
          <w:sz w:val="24"/>
          <w:szCs w:val="24"/>
          <w:lang w:val="ru-MD"/>
        </w:rPr>
        <w:t>таких, как</w:t>
      </w:r>
      <w:r w:rsidR="002278EE" w:rsidRPr="00BA5F4D">
        <w:rPr>
          <w:rFonts w:asciiTheme="majorHAnsi" w:eastAsia="Times New Roman" w:hAnsiTheme="majorHAnsi" w:cstheme="majorHAnsi"/>
          <w:sz w:val="24"/>
          <w:szCs w:val="24"/>
          <w:lang w:val="ru-MD"/>
        </w:rPr>
        <w:t>:</w:t>
      </w:r>
    </w:p>
    <w:p w:rsidR="002E57B2" w:rsidRPr="00BA5F4D" w:rsidRDefault="00D570AD" w:rsidP="00D570AD">
      <w:pPr>
        <w:pStyle w:val="ListParagraph"/>
        <w:numPr>
          <w:ilvl w:val="0"/>
          <w:numId w:val="5"/>
        </w:numPr>
        <w:tabs>
          <w:tab w:val="left" w:pos="284"/>
          <w:tab w:val="left" w:pos="993"/>
        </w:tabs>
        <w:spacing w:after="0" w:line="276" w:lineRule="auto"/>
        <w:ind w:left="0" w:firstLine="0"/>
        <w:rPr>
          <w:rFonts w:asciiTheme="majorHAnsi" w:eastAsia="Times New Roman" w:hAnsiTheme="majorHAnsi" w:cstheme="majorHAnsi"/>
          <w:sz w:val="24"/>
          <w:szCs w:val="24"/>
          <w:lang w:val="ru-MD"/>
        </w:rPr>
      </w:pPr>
      <w:r w:rsidRPr="00BA5F4D">
        <w:rPr>
          <w:rFonts w:asciiTheme="majorHAnsi" w:eastAsia="Times New Roman" w:hAnsiTheme="majorHAnsi" w:cstheme="majorHAnsi"/>
          <w:i/>
          <w:sz w:val="24"/>
          <w:szCs w:val="24"/>
          <w:lang w:val="ru-MD"/>
        </w:rPr>
        <w:t>на централизованн</w:t>
      </w:r>
      <w:r w:rsidR="00BA5F4D" w:rsidRPr="00BA5F4D">
        <w:rPr>
          <w:rFonts w:asciiTheme="majorHAnsi" w:eastAsia="Times New Roman" w:hAnsiTheme="majorHAnsi" w:cstheme="majorHAnsi"/>
          <w:i/>
          <w:sz w:val="24"/>
          <w:szCs w:val="24"/>
          <w:lang w:val="ru-MD"/>
        </w:rPr>
        <w:t>ые</w:t>
      </w:r>
      <w:r w:rsidRPr="00BA5F4D">
        <w:rPr>
          <w:rFonts w:asciiTheme="majorHAnsi" w:eastAsia="Times New Roman" w:hAnsiTheme="majorHAnsi" w:cstheme="majorHAnsi"/>
          <w:i/>
          <w:sz w:val="24"/>
          <w:szCs w:val="24"/>
          <w:lang w:val="ru-MD"/>
        </w:rPr>
        <w:t xml:space="preserve"> де</w:t>
      </w:r>
      <w:r w:rsidR="00BA5F4D" w:rsidRPr="00BA5F4D">
        <w:rPr>
          <w:rFonts w:asciiTheme="majorHAnsi" w:eastAsia="Times New Roman" w:hAnsiTheme="majorHAnsi" w:cstheme="majorHAnsi"/>
          <w:i/>
          <w:sz w:val="24"/>
          <w:szCs w:val="24"/>
          <w:lang w:val="ru-MD"/>
        </w:rPr>
        <w:t>йствия</w:t>
      </w:r>
      <w:r w:rsidRPr="00BA5F4D">
        <w:rPr>
          <w:rFonts w:asciiTheme="majorHAnsi" w:eastAsia="Times New Roman" w:hAnsiTheme="majorHAnsi" w:cstheme="majorHAnsi"/>
          <w:i/>
          <w:sz w:val="24"/>
          <w:szCs w:val="24"/>
          <w:lang w:val="ru-MD"/>
        </w:rPr>
        <w:t xml:space="preserve"> </w:t>
      </w:r>
      <w:r w:rsidRPr="00BA5F4D">
        <w:rPr>
          <w:rFonts w:asciiTheme="majorHAnsi" w:eastAsia="Times New Roman" w:hAnsiTheme="majorHAnsi" w:cstheme="majorHAnsi"/>
          <w:sz w:val="24"/>
          <w:szCs w:val="24"/>
          <w:lang w:val="ru-MD"/>
        </w:rPr>
        <w:t xml:space="preserve">отражен остаток неиспользованных ассигнований </w:t>
      </w:r>
      <w:r w:rsidR="00BA5F4D" w:rsidRPr="00BA5F4D">
        <w:rPr>
          <w:rFonts w:asciiTheme="majorHAnsi" w:eastAsia="Times New Roman" w:hAnsiTheme="majorHAnsi" w:cstheme="majorHAnsi"/>
          <w:sz w:val="24"/>
          <w:szCs w:val="24"/>
          <w:lang w:val="ru-MD"/>
        </w:rPr>
        <w:t>по</w:t>
      </w:r>
      <w:r w:rsidRPr="00BA5F4D">
        <w:rPr>
          <w:rFonts w:asciiTheme="majorHAnsi" w:eastAsia="Times New Roman" w:hAnsiTheme="majorHAnsi" w:cstheme="majorHAnsi"/>
          <w:sz w:val="24"/>
          <w:szCs w:val="24"/>
          <w:lang w:val="ru-MD"/>
        </w:rPr>
        <w:t xml:space="preserve"> экономическом</w:t>
      </w:r>
      <w:r w:rsidR="00BA5F4D" w:rsidRPr="00BA5F4D">
        <w:rPr>
          <w:rFonts w:asciiTheme="majorHAnsi" w:eastAsia="Times New Roman" w:hAnsiTheme="majorHAnsi" w:cstheme="majorHAnsi"/>
          <w:sz w:val="24"/>
          <w:szCs w:val="24"/>
          <w:lang w:val="ru-MD"/>
        </w:rPr>
        <w:t>у</w:t>
      </w:r>
      <w:r w:rsidRPr="00BA5F4D">
        <w:rPr>
          <w:rFonts w:asciiTheme="majorHAnsi" w:eastAsia="Times New Roman" w:hAnsiTheme="majorHAnsi" w:cstheme="majorHAnsi"/>
          <w:sz w:val="24"/>
          <w:szCs w:val="24"/>
          <w:lang w:val="ru-MD"/>
        </w:rPr>
        <w:t xml:space="preserve"> код</w:t>
      </w:r>
      <w:r w:rsidR="00BA5F4D" w:rsidRPr="00BA5F4D">
        <w:rPr>
          <w:rFonts w:asciiTheme="majorHAnsi" w:eastAsia="Times New Roman" w:hAnsiTheme="majorHAnsi" w:cstheme="majorHAnsi"/>
          <w:sz w:val="24"/>
          <w:szCs w:val="24"/>
          <w:lang w:val="ru-MD"/>
        </w:rPr>
        <w:t>у</w:t>
      </w:r>
      <w:r w:rsidRPr="00BA5F4D">
        <w:rPr>
          <w:rFonts w:asciiTheme="majorHAnsi" w:eastAsia="Times New Roman" w:hAnsiTheme="majorHAnsi" w:cstheme="majorHAnsi"/>
          <w:sz w:val="24"/>
          <w:szCs w:val="24"/>
          <w:lang w:val="ru-MD"/>
        </w:rPr>
        <w:t xml:space="preserve"> 21 </w:t>
      </w:r>
      <w:r w:rsidR="00BA5F4D" w:rsidRPr="00BA5F4D">
        <w:rPr>
          <w:rFonts w:asciiTheme="majorHAnsi" w:eastAsia="Times New Roman" w:hAnsiTheme="majorHAnsi" w:cstheme="majorHAnsi"/>
          <w:sz w:val="24"/>
          <w:szCs w:val="24"/>
          <w:lang w:val="ru-MD"/>
        </w:rPr>
        <w:t>„</w:t>
      </w:r>
      <w:r w:rsidRPr="00BA5F4D">
        <w:rPr>
          <w:rFonts w:asciiTheme="majorHAnsi" w:eastAsia="Times New Roman" w:hAnsiTheme="majorHAnsi" w:cstheme="majorHAnsi"/>
          <w:sz w:val="24"/>
          <w:szCs w:val="24"/>
          <w:lang w:val="ru-MD"/>
        </w:rPr>
        <w:t>расходы на персонал</w:t>
      </w:r>
      <w:r w:rsidR="00BA5F4D" w:rsidRPr="00BA5F4D">
        <w:rPr>
          <w:rFonts w:asciiTheme="majorHAnsi" w:eastAsia="Times New Roman" w:hAnsiTheme="majorHAnsi" w:cstheme="majorHAnsi"/>
          <w:sz w:val="24"/>
          <w:szCs w:val="24"/>
          <w:lang w:val="ru-MD"/>
        </w:rPr>
        <w:t>”</w:t>
      </w:r>
      <w:r w:rsidRPr="00BA5F4D">
        <w:rPr>
          <w:rFonts w:asciiTheme="majorHAnsi" w:eastAsia="Times New Roman" w:hAnsiTheme="majorHAnsi" w:cstheme="majorHAnsi"/>
          <w:sz w:val="24"/>
          <w:szCs w:val="24"/>
          <w:lang w:val="ru-MD"/>
        </w:rPr>
        <w:t xml:space="preserve"> </w:t>
      </w:r>
      <w:r w:rsidR="00BA5F4D" w:rsidRPr="00BA5F4D">
        <w:rPr>
          <w:rFonts w:asciiTheme="majorHAnsi" w:eastAsia="Times New Roman" w:hAnsiTheme="majorHAnsi" w:cstheme="majorHAnsi"/>
          <w:sz w:val="24"/>
          <w:szCs w:val="24"/>
          <w:lang w:val="ru-MD"/>
        </w:rPr>
        <w:t>в</w:t>
      </w:r>
      <w:r w:rsidRPr="00BA5F4D">
        <w:rPr>
          <w:rFonts w:asciiTheme="majorHAnsi" w:eastAsia="Times New Roman" w:hAnsiTheme="majorHAnsi" w:cstheme="majorHAnsi"/>
          <w:sz w:val="24"/>
          <w:szCs w:val="24"/>
          <w:lang w:val="ru-MD"/>
        </w:rPr>
        <w:t xml:space="preserve"> сумм</w:t>
      </w:r>
      <w:r w:rsidR="00BA5F4D" w:rsidRPr="00BA5F4D">
        <w:rPr>
          <w:rFonts w:asciiTheme="majorHAnsi" w:eastAsia="Times New Roman" w:hAnsiTheme="majorHAnsi" w:cstheme="majorHAnsi"/>
          <w:sz w:val="24"/>
          <w:szCs w:val="24"/>
          <w:lang w:val="ru-MD"/>
        </w:rPr>
        <w:t>е</w:t>
      </w:r>
      <w:r w:rsidRPr="00BA5F4D">
        <w:rPr>
          <w:rFonts w:asciiTheme="majorHAnsi" w:eastAsia="Times New Roman" w:hAnsiTheme="majorHAnsi" w:cstheme="majorHAnsi"/>
          <w:sz w:val="24"/>
          <w:szCs w:val="24"/>
          <w:lang w:val="ru-MD"/>
        </w:rPr>
        <w:t xml:space="preserve"> 214,2 млн. ле</w:t>
      </w:r>
      <w:r w:rsidR="00BA5F4D" w:rsidRPr="00BA5F4D">
        <w:rPr>
          <w:rFonts w:asciiTheme="majorHAnsi" w:eastAsia="Times New Roman" w:hAnsiTheme="majorHAnsi" w:cstheme="majorHAnsi"/>
          <w:sz w:val="24"/>
          <w:szCs w:val="24"/>
          <w:lang w:val="ru-MD"/>
        </w:rPr>
        <w:t>ев</w:t>
      </w:r>
      <w:r w:rsidRPr="00BA5F4D">
        <w:rPr>
          <w:rFonts w:asciiTheme="majorHAnsi" w:eastAsia="Times New Roman" w:hAnsiTheme="majorHAnsi" w:cstheme="majorHAnsi"/>
          <w:i/>
          <w:sz w:val="24"/>
          <w:szCs w:val="24"/>
          <w:lang w:val="ru-MD"/>
        </w:rPr>
        <w:t xml:space="preserve"> (см. </w:t>
      </w:r>
      <w:r w:rsidR="00BA5F4D" w:rsidRPr="00BA5F4D">
        <w:rPr>
          <w:rFonts w:asciiTheme="majorHAnsi" w:eastAsia="Times New Roman" w:hAnsiTheme="majorHAnsi" w:cstheme="majorHAnsi"/>
          <w:i/>
          <w:sz w:val="24"/>
          <w:szCs w:val="24"/>
          <w:lang w:val="ru-MD"/>
        </w:rPr>
        <w:t>констатацию в</w:t>
      </w:r>
      <w:r w:rsidRPr="00BA5F4D">
        <w:rPr>
          <w:rFonts w:asciiTheme="majorHAnsi" w:eastAsia="Times New Roman" w:hAnsiTheme="majorHAnsi" w:cstheme="majorHAnsi"/>
          <w:i/>
          <w:sz w:val="24"/>
          <w:szCs w:val="24"/>
          <w:lang w:val="ru-MD"/>
        </w:rPr>
        <w:t xml:space="preserve"> </w:t>
      </w:r>
      <w:r w:rsidR="00BA5F4D" w:rsidRPr="00BA5F4D">
        <w:rPr>
          <w:rFonts w:asciiTheme="majorHAnsi" w:eastAsia="Times New Roman" w:hAnsiTheme="majorHAnsi" w:cstheme="majorHAnsi"/>
          <w:i/>
          <w:sz w:val="24"/>
          <w:szCs w:val="24"/>
          <w:lang w:val="ru-MD"/>
        </w:rPr>
        <w:t>п</w:t>
      </w:r>
      <w:r w:rsidRPr="00BA5F4D">
        <w:rPr>
          <w:rFonts w:asciiTheme="majorHAnsi" w:eastAsia="Times New Roman" w:hAnsiTheme="majorHAnsi" w:cstheme="majorHAnsi"/>
          <w:i/>
          <w:sz w:val="24"/>
          <w:szCs w:val="24"/>
          <w:lang w:val="ru-MD"/>
        </w:rPr>
        <w:t xml:space="preserve">.6.7 </w:t>
      </w:r>
      <w:r w:rsidR="00BA5F4D" w:rsidRPr="00BA5F4D">
        <w:rPr>
          <w:rFonts w:asciiTheme="majorHAnsi" w:eastAsia="Times New Roman" w:hAnsiTheme="majorHAnsi" w:cstheme="majorHAnsi"/>
          <w:i/>
          <w:sz w:val="24"/>
          <w:szCs w:val="24"/>
          <w:lang w:val="ru-MD"/>
        </w:rPr>
        <w:t>О</w:t>
      </w:r>
      <w:r w:rsidRPr="00BA5F4D">
        <w:rPr>
          <w:rFonts w:asciiTheme="majorHAnsi" w:eastAsia="Times New Roman" w:hAnsiTheme="majorHAnsi" w:cstheme="majorHAnsi"/>
          <w:i/>
          <w:sz w:val="24"/>
          <w:szCs w:val="24"/>
          <w:lang w:val="ru-MD"/>
        </w:rPr>
        <w:t>тчета аудита)</w:t>
      </w:r>
      <w:r w:rsidR="001564EC" w:rsidRPr="00BA5F4D">
        <w:rPr>
          <w:rFonts w:asciiTheme="majorHAnsi" w:eastAsia="Times New Roman" w:hAnsiTheme="majorHAnsi" w:cstheme="majorHAnsi"/>
          <w:i/>
          <w:sz w:val="24"/>
          <w:szCs w:val="24"/>
          <w:lang w:val="ru-MD"/>
        </w:rPr>
        <w:t>;</w:t>
      </w:r>
      <w:r w:rsidR="00A2544E" w:rsidRPr="00BA5F4D">
        <w:rPr>
          <w:rFonts w:asciiTheme="majorHAnsi" w:eastAsia="Times New Roman" w:hAnsiTheme="majorHAnsi" w:cstheme="majorHAnsi"/>
          <w:sz w:val="24"/>
          <w:szCs w:val="24"/>
          <w:lang w:val="ru-MD"/>
        </w:rPr>
        <w:t xml:space="preserve"> </w:t>
      </w:r>
    </w:p>
    <w:p w:rsidR="003C2CD8" w:rsidRPr="00F55BA6" w:rsidRDefault="00BA5F4D" w:rsidP="00D570AD">
      <w:pPr>
        <w:pStyle w:val="ListParagraph"/>
        <w:numPr>
          <w:ilvl w:val="0"/>
          <w:numId w:val="5"/>
        </w:numPr>
        <w:tabs>
          <w:tab w:val="left" w:pos="284"/>
          <w:tab w:val="left" w:pos="993"/>
        </w:tabs>
        <w:spacing w:after="0" w:line="276" w:lineRule="auto"/>
        <w:ind w:left="0" w:firstLine="0"/>
        <w:rPr>
          <w:rFonts w:asciiTheme="majorHAnsi" w:eastAsia="Times New Roman" w:hAnsiTheme="majorHAnsi" w:cstheme="majorHAnsi"/>
          <w:sz w:val="24"/>
          <w:szCs w:val="24"/>
          <w:lang w:val="ro-RO"/>
        </w:rPr>
      </w:pPr>
      <w:r w:rsidRPr="00BF3E66">
        <w:rPr>
          <w:rFonts w:asciiTheme="majorHAnsi" w:eastAsia="Times New Roman" w:hAnsiTheme="majorHAnsi" w:cstheme="majorHAnsi"/>
          <w:i/>
          <w:sz w:val="24"/>
          <w:szCs w:val="24"/>
          <w:lang w:val="ru-MD"/>
        </w:rPr>
        <w:t>н</w:t>
      </w:r>
      <w:r w:rsidR="00D570AD" w:rsidRPr="00BF3E66">
        <w:rPr>
          <w:rFonts w:asciiTheme="majorHAnsi" w:eastAsia="Times New Roman" w:hAnsiTheme="majorHAnsi" w:cstheme="majorHAnsi"/>
          <w:i/>
          <w:sz w:val="24"/>
          <w:szCs w:val="24"/>
          <w:lang w:val="ru-MD"/>
        </w:rPr>
        <w:t>а возмещени</w:t>
      </w:r>
      <w:r w:rsidR="00227D1D" w:rsidRPr="00BF3E66">
        <w:rPr>
          <w:rFonts w:asciiTheme="majorHAnsi" w:eastAsia="Times New Roman" w:hAnsiTheme="majorHAnsi" w:cstheme="majorHAnsi"/>
          <w:i/>
          <w:sz w:val="24"/>
          <w:szCs w:val="24"/>
          <w:lang w:val="ru-MD"/>
        </w:rPr>
        <w:t>е</w:t>
      </w:r>
      <w:r w:rsidR="00D570AD" w:rsidRPr="00BF3E66">
        <w:rPr>
          <w:rFonts w:asciiTheme="majorHAnsi" w:eastAsia="Times New Roman" w:hAnsiTheme="majorHAnsi" w:cstheme="majorHAnsi"/>
          <w:i/>
          <w:sz w:val="24"/>
          <w:szCs w:val="24"/>
          <w:lang w:val="ru-MD"/>
        </w:rPr>
        <w:t xml:space="preserve"> </w:t>
      </w:r>
      <w:r w:rsidR="00227D1D" w:rsidRPr="00BF3E66">
        <w:rPr>
          <w:rFonts w:asciiTheme="majorHAnsi" w:eastAsia="Times New Roman" w:hAnsiTheme="majorHAnsi" w:cstheme="majorHAnsi"/>
          <w:i/>
          <w:sz w:val="24"/>
          <w:szCs w:val="24"/>
          <w:lang w:val="ru-MD"/>
        </w:rPr>
        <w:t>у</w:t>
      </w:r>
      <w:r w:rsidR="00BF3E66" w:rsidRPr="00BF3E66">
        <w:rPr>
          <w:rFonts w:asciiTheme="majorHAnsi" w:eastAsia="Times New Roman" w:hAnsiTheme="majorHAnsi" w:cstheme="majorHAnsi"/>
          <w:i/>
          <w:sz w:val="24"/>
          <w:szCs w:val="24"/>
          <w:lang w:val="ru-MD"/>
        </w:rPr>
        <w:t>щерба гражданам</w:t>
      </w:r>
      <w:r w:rsidR="00227D1D" w:rsidRPr="00BF3E66">
        <w:rPr>
          <w:rFonts w:asciiTheme="majorHAnsi" w:eastAsia="Times New Roman" w:hAnsiTheme="majorHAnsi" w:cstheme="majorHAnsi"/>
          <w:sz w:val="24"/>
          <w:szCs w:val="24"/>
          <w:lang w:val="ru-MD"/>
        </w:rPr>
        <w:t xml:space="preserve"> </w:t>
      </w:r>
      <w:r w:rsidRPr="00BF3E66">
        <w:rPr>
          <w:rFonts w:asciiTheme="majorHAnsi" w:eastAsia="Times New Roman" w:hAnsiTheme="majorHAnsi" w:cstheme="majorHAnsi"/>
          <w:sz w:val="24"/>
          <w:szCs w:val="24"/>
          <w:lang w:val="ru-MD"/>
        </w:rPr>
        <w:t>из</w:t>
      </w:r>
      <w:r w:rsidR="00D570AD" w:rsidRPr="00BF3E66">
        <w:rPr>
          <w:rFonts w:asciiTheme="majorHAnsi" w:eastAsia="Times New Roman" w:hAnsiTheme="majorHAnsi" w:cstheme="majorHAnsi"/>
          <w:sz w:val="24"/>
          <w:szCs w:val="24"/>
          <w:lang w:val="ru-MD"/>
        </w:rPr>
        <w:t>начально было утверждено 19,0 млн. ле</w:t>
      </w:r>
      <w:r w:rsidRPr="00BF3E66">
        <w:rPr>
          <w:rFonts w:asciiTheme="majorHAnsi" w:eastAsia="Times New Roman" w:hAnsiTheme="majorHAnsi" w:cstheme="majorHAnsi"/>
          <w:sz w:val="24"/>
          <w:szCs w:val="24"/>
          <w:lang w:val="ru-MD"/>
        </w:rPr>
        <w:t>ев</w:t>
      </w:r>
      <w:r w:rsidR="00D570AD" w:rsidRPr="00BF3E66">
        <w:rPr>
          <w:rFonts w:asciiTheme="majorHAnsi" w:eastAsia="Times New Roman" w:hAnsiTheme="majorHAnsi" w:cstheme="majorHAnsi"/>
          <w:sz w:val="24"/>
          <w:szCs w:val="24"/>
          <w:lang w:val="ru-MD"/>
        </w:rPr>
        <w:t>, уточненны</w:t>
      </w:r>
      <w:r w:rsidRPr="00BF3E66">
        <w:rPr>
          <w:rFonts w:asciiTheme="majorHAnsi" w:eastAsia="Times New Roman" w:hAnsiTheme="majorHAnsi" w:cstheme="majorHAnsi"/>
          <w:sz w:val="24"/>
          <w:szCs w:val="24"/>
          <w:lang w:val="ru-MD"/>
        </w:rPr>
        <w:t>е</w:t>
      </w:r>
      <w:r w:rsidR="00D570AD" w:rsidRPr="00BF3E66">
        <w:rPr>
          <w:rFonts w:asciiTheme="majorHAnsi" w:eastAsia="Times New Roman" w:hAnsiTheme="majorHAnsi" w:cstheme="majorHAnsi"/>
          <w:sz w:val="24"/>
          <w:szCs w:val="24"/>
          <w:lang w:val="ru-MD"/>
        </w:rPr>
        <w:t xml:space="preserve"> </w:t>
      </w:r>
      <w:r w:rsidRPr="00BF3E66">
        <w:rPr>
          <w:rFonts w:asciiTheme="majorHAnsi" w:eastAsia="Times New Roman" w:hAnsiTheme="majorHAnsi" w:cstheme="majorHAnsi"/>
          <w:sz w:val="24"/>
          <w:szCs w:val="24"/>
          <w:lang w:val="ru-MD"/>
        </w:rPr>
        <w:t xml:space="preserve">в размере </w:t>
      </w:r>
      <w:r w:rsidR="00D570AD" w:rsidRPr="00BF3E66">
        <w:rPr>
          <w:rFonts w:asciiTheme="majorHAnsi" w:eastAsia="Times New Roman" w:hAnsiTheme="majorHAnsi" w:cstheme="majorHAnsi"/>
          <w:sz w:val="24"/>
          <w:szCs w:val="24"/>
          <w:lang w:val="ru-MD"/>
        </w:rPr>
        <w:t xml:space="preserve">89,9 млн. леев, из которых </w:t>
      </w:r>
      <w:r w:rsidRPr="00BF3E66">
        <w:rPr>
          <w:rFonts w:asciiTheme="majorHAnsi" w:eastAsia="Times New Roman" w:hAnsiTheme="majorHAnsi" w:cstheme="majorHAnsi"/>
          <w:sz w:val="24"/>
          <w:szCs w:val="24"/>
          <w:lang w:val="ru-MD"/>
        </w:rPr>
        <w:t xml:space="preserve">было </w:t>
      </w:r>
      <w:r w:rsidR="00D570AD" w:rsidRPr="00BF3E66">
        <w:rPr>
          <w:rFonts w:asciiTheme="majorHAnsi" w:eastAsia="Times New Roman" w:hAnsiTheme="majorHAnsi" w:cstheme="majorHAnsi"/>
          <w:sz w:val="24"/>
          <w:szCs w:val="24"/>
          <w:lang w:val="ru-MD"/>
        </w:rPr>
        <w:t>исполн</w:t>
      </w:r>
      <w:r w:rsidRPr="00BF3E66">
        <w:rPr>
          <w:rFonts w:asciiTheme="majorHAnsi" w:eastAsia="Times New Roman" w:hAnsiTheme="majorHAnsi" w:cstheme="majorHAnsi"/>
          <w:sz w:val="24"/>
          <w:szCs w:val="24"/>
          <w:lang w:val="ru-MD"/>
        </w:rPr>
        <w:t>ено</w:t>
      </w:r>
      <w:r w:rsidR="00D570AD" w:rsidRPr="00BF3E66">
        <w:rPr>
          <w:rFonts w:asciiTheme="majorHAnsi" w:eastAsia="Times New Roman" w:hAnsiTheme="majorHAnsi" w:cstheme="majorHAnsi"/>
          <w:sz w:val="24"/>
          <w:szCs w:val="24"/>
          <w:lang w:val="ru-MD"/>
        </w:rPr>
        <w:t xml:space="preserve"> 51,5 млн. леев, или </w:t>
      </w:r>
      <w:r w:rsidR="00227D1D" w:rsidRPr="00BF3E66">
        <w:rPr>
          <w:rFonts w:asciiTheme="majorHAnsi" w:eastAsia="Times New Roman" w:hAnsiTheme="majorHAnsi" w:cstheme="majorHAnsi"/>
          <w:sz w:val="24"/>
          <w:szCs w:val="24"/>
          <w:lang w:val="ru-MD"/>
        </w:rPr>
        <w:t xml:space="preserve">на уровне </w:t>
      </w:r>
      <w:r w:rsidR="00D570AD" w:rsidRPr="00BF3E66">
        <w:rPr>
          <w:rFonts w:asciiTheme="majorHAnsi" w:eastAsia="Times New Roman" w:hAnsiTheme="majorHAnsi" w:cstheme="majorHAnsi"/>
          <w:sz w:val="24"/>
          <w:szCs w:val="24"/>
          <w:lang w:val="ru-MD"/>
        </w:rPr>
        <w:t xml:space="preserve">57,3%. В то же время, </w:t>
      </w:r>
      <w:r w:rsidR="00227D1D" w:rsidRPr="00BF3E66">
        <w:rPr>
          <w:rFonts w:asciiTheme="majorHAnsi" w:eastAsia="Times New Roman" w:hAnsiTheme="majorHAnsi" w:cstheme="majorHAnsi"/>
          <w:sz w:val="24"/>
          <w:szCs w:val="24"/>
          <w:lang w:val="ru-MD"/>
        </w:rPr>
        <w:t>по</w:t>
      </w:r>
      <w:r w:rsidR="00D570AD" w:rsidRPr="00BF3E66">
        <w:rPr>
          <w:rFonts w:asciiTheme="majorHAnsi" w:eastAsia="Times New Roman" w:hAnsiTheme="majorHAnsi" w:cstheme="majorHAnsi"/>
          <w:sz w:val="24"/>
          <w:szCs w:val="24"/>
          <w:lang w:val="ru-MD"/>
        </w:rPr>
        <w:t xml:space="preserve"> экономическом</w:t>
      </w:r>
      <w:r w:rsidR="00227D1D" w:rsidRPr="00BF3E66">
        <w:rPr>
          <w:rFonts w:asciiTheme="majorHAnsi" w:eastAsia="Times New Roman" w:hAnsiTheme="majorHAnsi" w:cstheme="majorHAnsi"/>
          <w:sz w:val="24"/>
          <w:szCs w:val="24"/>
          <w:lang w:val="ru-MD"/>
        </w:rPr>
        <w:t>у</w:t>
      </w:r>
      <w:r w:rsidR="00D570AD" w:rsidRPr="00BF3E66">
        <w:rPr>
          <w:rFonts w:asciiTheme="majorHAnsi" w:eastAsia="Times New Roman" w:hAnsiTheme="majorHAnsi" w:cstheme="majorHAnsi"/>
          <w:sz w:val="24"/>
          <w:szCs w:val="24"/>
          <w:lang w:val="ru-MD"/>
        </w:rPr>
        <w:t xml:space="preserve"> код</w:t>
      </w:r>
      <w:r w:rsidR="00227D1D" w:rsidRPr="00BF3E66">
        <w:rPr>
          <w:rFonts w:asciiTheme="majorHAnsi" w:eastAsia="Times New Roman" w:hAnsiTheme="majorHAnsi" w:cstheme="majorHAnsi"/>
          <w:sz w:val="24"/>
          <w:szCs w:val="24"/>
          <w:lang w:val="ru-MD"/>
        </w:rPr>
        <w:t>у</w:t>
      </w:r>
      <w:r w:rsidR="00D570AD" w:rsidRPr="00BF3E66">
        <w:rPr>
          <w:rFonts w:asciiTheme="majorHAnsi" w:eastAsia="Times New Roman" w:hAnsiTheme="majorHAnsi" w:cstheme="majorHAnsi"/>
          <w:sz w:val="24"/>
          <w:szCs w:val="24"/>
          <w:lang w:val="ru-MD"/>
        </w:rPr>
        <w:t xml:space="preserve"> 28136 </w:t>
      </w:r>
      <w:r w:rsidR="00227D1D" w:rsidRPr="00BF3E66">
        <w:rPr>
          <w:rFonts w:asciiTheme="majorHAnsi" w:eastAsia="Times New Roman" w:hAnsiTheme="majorHAnsi" w:cstheme="majorHAnsi"/>
          <w:sz w:val="24"/>
          <w:szCs w:val="24"/>
          <w:lang w:val="ru-MD"/>
        </w:rPr>
        <w:t>„П</w:t>
      </w:r>
      <w:r w:rsidR="00D570AD" w:rsidRPr="00BF3E66">
        <w:rPr>
          <w:rFonts w:asciiTheme="majorHAnsi" w:eastAsia="Times New Roman" w:hAnsiTheme="majorHAnsi" w:cstheme="majorHAnsi"/>
          <w:sz w:val="24"/>
          <w:szCs w:val="24"/>
          <w:lang w:val="ru-MD"/>
        </w:rPr>
        <w:t>латежи по исполнительным документам</w:t>
      </w:r>
      <w:r w:rsidR="00227D1D" w:rsidRPr="00BF3E66">
        <w:rPr>
          <w:rFonts w:asciiTheme="majorHAnsi" w:eastAsia="Times New Roman" w:hAnsiTheme="majorHAnsi" w:cstheme="majorHAnsi"/>
          <w:sz w:val="24"/>
          <w:szCs w:val="24"/>
          <w:lang w:val="ru-MD"/>
        </w:rPr>
        <w:t>”</w:t>
      </w:r>
      <w:r w:rsidR="00D570AD" w:rsidRPr="00BF3E66">
        <w:rPr>
          <w:rFonts w:asciiTheme="majorHAnsi" w:eastAsia="Times New Roman" w:hAnsiTheme="majorHAnsi" w:cstheme="majorHAnsi"/>
          <w:sz w:val="24"/>
          <w:szCs w:val="24"/>
          <w:lang w:val="ru-MD"/>
        </w:rPr>
        <w:t xml:space="preserve"> были утверждены ассигнования на сумму 97,0 млн. </w:t>
      </w:r>
      <w:r w:rsidR="00227D1D" w:rsidRPr="00BF3E66">
        <w:rPr>
          <w:rFonts w:asciiTheme="majorHAnsi" w:eastAsia="Times New Roman" w:hAnsiTheme="majorHAnsi" w:cstheme="majorHAnsi"/>
          <w:sz w:val="24"/>
          <w:szCs w:val="24"/>
          <w:lang w:val="ru-MD"/>
        </w:rPr>
        <w:t xml:space="preserve">леев, с отражением в отчетности </w:t>
      </w:r>
      <w:r w:rsidR="00D570AD" w:rsidRPr="00BF3E66">
        <w:rPr>
          <w:rFonts w:asciiTheme="majorHAnsi" w:eastAsia="Times New Roman" w:hAnsiTheme="majorHAnsi" w:cstheme="majorHAnsi"/>
          <w:sz w:val="24"/>
          <w:szCs w:val="24"/>
          <w:lang w:val="ru-MD"/>
        </w:rPr>
        <w:t>исполнени</w:t>
      </w:r>
      <w:r w:rsidR="00227D1D" w:rsidRPr="00BF3E66">
        <w:rPr>
          <w:rFonts w:asciiTheme="majorHAnsi" w:eastAsia="Times New Roman" w:hAnsiTheme="majorHAnsi" w:cstheme="majorHAnsi"/>
          <w:sz w:val="24"/>
          <w:szCs w:val="24"/>
          <w:lang w:val="ru-MD"/>
        </w:rPr>
        <w:t>я</w:t>
      </w:r>
      <w:r w:rsidR="00D570AD" w:rsidRPr="00BF3E66">
        <w:rPr>
          <w:rFonts w:asciiTheme="majorHAnsi" w:eastAsia="Times New Roman" w:hAnsiTheme="majorHAnsi" w:cstheme="majorHAnsi"/>
          <w:sz w:val="24"/>
          <w:szCs w:val="24"/>
          <w:lang w:val="ru-MD"/>
        </w:rPr>
        <w:t xml:space="preserve"> 58,2 млн. леев, или </w:t>
      </w:r>
      <w:r w:rsidR="00227D1D" w:rsidRPr="00BF3E66">
        <w:rPr>
          <w:rFonts w:asciiTheme="majorHAnsi" w:eastAsia="Times New Roman" w:hAnsiTheme="majorHAnsi" w:cstheme="majorHAnsi"/>
          <w:sz w:val="24"/>
          <w:szCs w:val="24"/>
          <w:lang w:val="ru-MD"/>
        </w:rPr>
        <w:t xml:space="preserve">на уровне </w:t>
      </w:r>
      <w:r w:rsidR="00D570AD" w:rsidRPr="00BF3E66">
        <w:rPr>
          <w:rFonts w:asciiTheme="majorHAnsi" w:eastAsia="Times New Roman" w:hAnsiTheme="majorHAnsi" w:cstheme="majorHAnsi"/>
          <w:sz w:val="24"/>
          <w:szCs w:val="24"/>
          <w:lang w:val="ru-MD"/>
        </w:rPr>
        <w:t>60,0%, из которых 51,5 млн. леев пр</w:t>
      </w:r>
      <w:r w:rsidR="00227D1D" w:rsidRPr="00BF3E66">
        <w:rPr>
          <w:rFonts w:asciiTheme="majorHAnsi" w:eastAsia="Times New Roman" w:hAnsiTheme="majorHAnsi" w:cstheme="majorHAnsi"/>
          <w:sz w:val="24"/>
          <w:szCs w:val="24"/>
          <w:lang w:val="ru-MD"/>
        </w:rPr>
        <w:t>едставляют ассигнования, исполненные</w:t>
      </w:r>
      <w:r w:rsidR="00D570AD" w:rsidRPr="00BF3E66">
        <w:rPr>
          <w:rFonts w:asciiTheme="majorHAnsi" w:eastAsia="Times New Roman" w:hAnsiTheme="majorHAnsi" w:cstheme="majorHAnsi"/>
          <w:sz w:val="24"/>
          <w:szCs w:val="24"/>
          <w:lang w:val="ru-MD"/>
        </w:rPr>
        <w:t xml:space="preserve"> МФ, а 6,7 млн. леев</w:t>
      </w:r>
      <w:r w:rsidR="00227D1D" w:rsidRPr="00BF3E66">
        <w:rPr>
          <w:rFonts w:asciiTheme="majorHAnsi" w:eastAsia="Times New Roman" w:hAnsiTheme="majorHAnsi" w:cstheme="majorHAnsi"/>
          <w:sz w:val="24"/>
          <w:szCs w:val="24"/>
          <w:lang w:val="ru-MD"/>
        </w:rPr>
        <w:t xml:space="preserve"> – </w:t>
      </w:r>
      <w:r w:rsidR="00D570AD" w:rsidRPr="00BF3E66">
        <w:rPr>
          <w:rFonts w:asciiTheme="majorHAnsi" w:eastAsia="Times New Roman" w:hAnsiTheme="majorHAnsi" w:cstheme="majorHAnsi"/>
          <w:sz w:val="24"/>
          <w:szCs w:val="24"/>
          <w:lang w:val="ru-MD"/>
        </w:rPr>
        <w:t>исполнител</w:t>
      </w:r>
      <w:r w:rsidR="00227D1D" w:rsidRPr="00BF3E66">
        <w:rPr>
          <w:rFonts w:asciiTheme="majorHAnsi" w:eastAsia="Times New Roman" w:hAnsiTheme="majorHAnsi" w:cstheme="majorHAnsi"/>
          <w:sz w:val="24"/>
          <w:szCs w:val="24"/>
          <w:lang w:val="ru-MD"/>
        </w:rPr>
        <w:t>ями</w:t>
      </w:r>
      <w:r w:rsidR="00D570AD" w:rsidRPr="00BF3E66">
        <w:rPr>
          <w:rFonts w:asciiTheme="majorHAnsi" w:eastAsia="Times New Roman" w:hAnsiTheme="majorHAnsi" w:cstheme="majorHAnsi"/>
          <w:sz w:val="24"/>
          <w:szCs w:val="24"/>
          <w:lang w:val="ru-MD"/>
        </w:rPr>
        <w:t xml:space="preserve"> бюджета. Аудит </w:t>
      </w:r>
      <w:r w:rsidR="00227D1D" w:rsidRPr="00BF3E66">
        <w:rPr>
          <w:rFonts w:asciiTheme="majorHAnsi" w:eastAsia="Times New Roman" w:hAnsiTheme="majorHAnsi" w:cstheme="majorHAnsi"/>
          <w:sz w:val="24"/>
          <w:szCs w:val="24"/>
          <w:lang w:val="ru-MD"/>
        </w:rPr>
        <w:t>указыв</w:t>
      </w:r>
      <w:r w:rsidR="00D570AD" w:rsidRPr="00BF3E66">
        <w:rPr>
          <w:rFonts w:asciiTheme="majorHAnsi" w:eastAsia="Times New Roman" w:hAnsiTheme="majorHAnsi" w:cstheme="majorHAnsi"/>
          <w:sz w:val="24"/>
          <w:szCs w:val="24"/>
          <w:lang w:val="ru-MD"/>
        </w:rPr>
        <w:t xml:space="preserve">ает </w:t>
      </w:r>
      <w:r w:rsidR="00227D1D" w:rsidRPr="00BF3E66">
        <w:rPr>
          <w:rFonts w:asciiTheme="majorHAnsi" w:eastAsia="Times New Roman" w:hAnsiTheme="majorHAnsi" w:cstheme="majorHAnsi"/>
          <w:sz w:val="24"/>
          <w:szCs w:val="24"/>
          <w:lang w:val="ru-MD"/>
        </w:rPr>
        <w:t xml:space="preserve">на наличие </w:t>
      </w:r>
      <w:r w:rsidR="00D570AD" w:rsidRPr="00BF3E66">
        <w:rPr>
          <w:rFonts w:asciiTheme="majorHAnsi" w:eastAsia="Times New Roman" w:hAnsiTheme="majorHAnsi" w:cstheme="majorHAnsi"/>
          <w:sz w:val="24"/>
          <w:szCs w:val="24"/>
          <w:lang w:val="ru-MD"/>
        </w:rPr>
        <w:t>резерв</w:t>
      </w:r>
      <w:r w:rsidR="00227D1D" w:rsidRPr="00BF3E66">
        <w:rPr>
          <w:rFonts w:asciiTheme="majorHAnsi" w:eastAsia="Times New Roman" w:hAnsiTheme="majorHAnsi" w:cstheme="majorHAnsi"/>
          <w:sz w:val="24"/>
          <w:szCs w:val="24"/>
          <w:lang w:val="ru-MD"/>
        </w:rPr>
        <w:t>ов</w:t>
      </w:r>
      <w:r w:rsidR="00D570AD" w:rsidRPr="00BF3E66">
        <w:rPr>
          <w:rFonts w:asciiTheme="majorHAnsi" w:eastAsia="Times New Roman" w:hAnsiTheme="majorHAnsi" w:cstheme="majorHAnsi"/>
          <w:sz w:val="24"/>
          <w:szCs w:val="24"/>
          <w:lang w:val="ru-MD"/>
        </w:rPr>
        <w:t xml:space="preserve"> при планировании ассигнований в аспекте </w:t>
      </w:r>
      <w:r w:rsidR="00227D1D" w:rsidRPr="00BF3E66">
        <w:rPr>
          <w:rFonts w:asciiTheme="majorHAnsi" w:eastAsia="Times New Roman" w:hAnsiTheme="majorHAnsi" w:cstheme="majorHAnsi"/>
          <w:sz w:val="24"/>
          <w:szCs w:val="24"/>
          <w:lang w:val="ru-MD"/>
        </w:rPr>
        <w:t>тип</w:t>
      </w:r>
      <w:r w:rsidR="00D570AD" w:rsidRPr="00BF3E66">
        <w:rPr>
          <w:rFonts w:asciiTheme="majorHAnsi" w:eastAsia="Times New Roman" w:hAnsiTheme="majorHAnsi" w:cstheme="majorHAnsi"/>
          <w:sz w:val="24"/>
          <w:szCs w:val="24"/>
          <w:lang w:val="ru-MD"/>
        </w:rPr>
        <w:t>ов расходов</w:t>
      </w:r>
      <w:r w:rsidR="001564EC" w:rsidRPr="00F55BA6">
        <w:rPr>
          <w:rFonts w:asciiTheme="majorHAnsi" w:eastAsia="Times New Roman" w:hAnsiTheme="majorHAnsi" w:cstheme="majorHAnsi"/>
          <w:sz w:val="24"/>
          <w:szCs w:val="24"/>
          <w:lang w:val="ro-RO"/>
        </w:rPr>
        <w:t>;</w:t>
      </w:r>
    </w:p>
    <w:p w:rsidR="007C08E7" w:rsidRPr="00BF3E66" w:rsidRDefault="00D570AD" w:rsidP="00D570AD">
      <w:pPr>
        <w:pStyle w:val="ListParagraph"/>
        <w:numPr>
          <w:ilvl w:val="0"/>
          <w:numId w:val="5"/>
        </w:numPr>
        <w:tabs>
          <w:tab w:val="left" w:pos="284"/>
          <w:tab w:val="left" w:pos="993"/>
        </w:tabs>
        <w:spacing w:after="0" w:line="276" w:lineRule="auto"/>
        <w:ind w:left="0" w:firstLine="0"/>
        <w:rPr>
          <w:rFonts w:asciiTheme="majorHAnsi" w:eastAsia="Times New Roman" w:hAnsiTheme="majorHAnsi" w:cstheme="majorHAnsi"/>
          <w:sz w:val="24"/>
          <w:szCs w:val="24"/>
          <w:lang w:val="ru-MD"/>
        </w:rPr>
      </w:pPr>
      <w:r w:rsidRPr="00BF3E66">
        <w:rPr>
          <w:rFonts w:asciiTheme="majorHAnsi" w:eastAsia="Times New Roman" w:hAnsiTheme="majorHAnsi" w:cstheme="majorHAnsi"/>
          <w:i/>
          <w:sz w:val="24"/>
          <w:szCs w:val="24"/>
          <w:lang w:val="ru-MD"/>
        </w:rPr>
        <w:t xml:space="preserve">для программы </w:t>
      </w:r>
      <w:r w:rsidR="00BF3E66" w:rsidRPr="00BF3E66">
        <w:rPr>
          <w:rFonts w:asciiTheme="majorHAnsi" w:eastAsia="Times New Roman" w:hAnsiTheme="majorHAnsi" w:cstheme="majorHAnsi"/>
          <w:i/>
          <w:sz w:val="24"/>
          <w:szCs w:val="24"/>
          <w:lang w:val="ru-MD"/>
        </w:rPr>
        <w:t>„</w:t>
      </w:r>
      <w:r w:rsidRPr="00BF3E66">
        <w:rPr>
          <w:rFonts w:asciiTheme="majorHAnsi" w:eastAsia="Times New Roman" w:hAnsiTheme="majorHAnsi" w:cstheme="majorHAnsi"/>
          <w:i/>
          <w:sz w:val="24"/>
          <w:szCs w:val="24"/>
          <w:lang w:val="ru-MD"/>
        </w:rPr>
        <w:t>Диаспора преуспевает</w:t>
      </w:r>
      <w:r w:rsidR="00BF3E66" w:rsidRPr="00BF3E66">
        <w:rPr>
          <w:rFonts w:asciiTheme="majorHAnsi" w:eastAsia="Times New Roman" w:hAnsiTheme="majorHAnsi" w:cstheme="majorHAnsi"/>
          <w:i/>
          <w:sz w:val="24"/>
          <w:szCs w:val="24"/>
          <w:lang w:val="ru-MD"/>
        </w:rPr>
        <w:t xml:space="preserve"> дома</w:t>
      </w:r>
      <w:r w:rsidRPr="00BF3E66">
        <w:rPr>
          <w:rFonts w:asciiTheme="majorHAnsi" w:eastAsia="Times New Roman" w:hAnsiTheme="majorHAnsi" w:cstheme="majorHAnsi"/>
          <w:i/>
          <w:sz w:val="24"/>
          <w:szCs w:val="24"/>
          <w:lang w:val="ru-MD"/>
        </w:rPr>
        <w:t xml:space="preserve"> </w:t>
      </w:r>
      <w:r w:rsidR="00BF3E66" w:rsidRPr="00BF3E66">
        <w:rPr>
          <w:rFonts w:asciiTheme="majorHAnsi" w:eastAsia="Times New Roman" w:hAnsiTheme="majorHAnsi" w:cstheme="majorHAnsi"/>
          <w:i/>
          <w:sz w:val="24"/>
          <w:szCs w:val="24"/>
          <w:lang w:val="ru-MD"/>
        </w:rPr>
        <w:t>DAR</w:t>
      </w:r>
      <w:r w:rsidRPr="00BF3E66">
        <w:rPr>
          <w:rFonts w:asciiTheme="majorHAnsi" w:eastAsia="Times New Roman" w:hAnsiTheme="majorHAnsi" w:cstheme="majorHAnsi"/>
          <w:i/>
          <w:sz w:val="24"/>
          <w:szCs w:val="24"/>
          <w:lang w:val="ru-MD"/>
        </w:rPr>
        <w:t xml:space="preserve"> 1 + 3</w:t>
      </w:r>
      <w:r w:rsidR="00BF3E66" w:rsidRPr="00BF3E66">
        <w:rPr>
          <w:rFonts w:asciiTheme="majorHAnsi" w:eastAsia="Times New Roman" w:hAnsiTheme="majorHAnsi" w:cstheme="majorHAnsi"/>
          <w:i/>
          <w:sz w:val="24"/>
          <w:szCs w:val="24"/>
          <w:lang w:val="ru-MD"/>
        </w:rPr>
        <w:t xml:space="preserve">” </w:t>
      </w:r>
      <w:r w:rsidRPr="00BF3E66">
        <w:rPr>
          <w:rFonts w:asciiTheme="majorHAnsi" w:eastAsia="Times New Roman" w:hAnsiTheme="majorHAnsi" w:cstheme="majorHAnsi"/>
          <w:sz w:val="24"/>
          <w:szCs w:val="24"/>
          <w:lang w:val="ru-MD"/>
        </w:rPr>
        <w:t xml:space="preserve">в годовом законе </w:t>
      </w:r>
      <w:r w:rsidR="00BF3E66" w:rsidRPr="00BF3E66">
        <w:rPr>
          <w:rFonts w:asciiTheme="majorHAnsi" w:eastAsia="Times New Roman" w:hAnsiTheme="majorHAnsi" w:cstheme="majorHAnsi"/>
          <w:sz w:val="24"/>
          <w:szCs w:val="24"/>
          <w:lang w:val="ru-MD"/>
        </w:rPr>
        <w:t xml:space="preserve">о бюджете </w:t>
      </w:r>
      <w:r w:rsidRPr="00BF3E66">
        <w:rPr>
          <w:rFonts w:asciiTheme="majorHAnsi" w:eastAsia="Times New Roman" w:hAnsiTheme="majorHAnsi" w:cstheme="majorHAnsi"/>
          <w:sz w:val="24"/>
          <w:szCs w:val="24"/>
          <w:lang w:val="ru-MD"/>
        </w:rPr>
        <w:t xml:space="preserve">были утверждены средства на сумму 10,0 млн. леев, из которых было исполнено 9,8 млн. леев, капитальные </w:t>
      </w:r>
      <w:r w:rsidR="009B254C" w:rsidRPr="00BF3E66">
        <w:rPr>
          <w:rFonts w:asciiTheme="majorHAnsi" w:eastAsia="Times New Roman" w:hAnsiTheme="majorHAnsi" w:cstheme="majorHAnsi"/>
          <w:sz w:val="24"/>
          <w:szCs w:val="24"/>
          <w:lang w:val="ru-MD"/>
        </w:rPr>
        <w:t>трансферты</w:t>
      </w:r>
      <w:r w:rsidRPr="00BF3E66">
        <w:rPr>
          <w:rFonts w:asciiTheme="majorHAnsi" w:eastAsia="Times New Roman" w:hAnsiTheme="majorHAnsi" w:cstheme="majorHAnsi"/>
          <w:sz w:val="24"/>
          <w:szCs w:val="24"/>
          <w:lang w:val="ru-MD"/>
        </w:rPr>
        <w:t xml:space="preserve">, предоставленные местным бюджетам </w:t>
      </w:r>
      <w:r w:rsidR="00BF3E66" w:rsidRPr="00BF3E66">
        <w:rPr>
          <w:rFonts w:asciiTheme="majorHAnsi" w:eastAsia="Times New Roman" w:hAnsiTheme="majorHAnsi" w:cstheme="majorHAnsi"/>
          <w:sz w:val="24"/>
          <w:szCs w:val="24"/>
          <w:lang w:val="ru-MD"/>
        </w:rPr>
        <w:t>II</w:t>
      </w:r>
      <w:r w:rsidRPr="00BF3E66">
        <w:rPr>
          <w:rFonts w:asciiTheme="majorHAnsi" w:eastAsia="Times New Roman" w:hAnsiTheme="majorHAnsi" w:cstheme="majorHAnsi"/>
          <w:sz w:val="24"/>
          <w:szCs w:val="24"/>
          <w:lang w:val="ru-MD"/>
        </w:rPr>
        <w:t xml:space="preserve"> уровня (код 291120) - 0,2 млн. леев</w:t>
      </w:r>
      <w:r w:rsidR="00BF3E66" w:rsidRPr="00BF3E66">
        <w:rPr>
          <w:rFonts w:asciiTheme="majorHAnsi" w:eastAsia="Times New Roman" w:hAnsiTheme="majorHAnsi" w:cstheme="majorHAnsi"/>
          <w:sz w:val="24"/>
          <w:szCs w:val="24"/>
          <w:lang w:val="ru-MD"/>
        </w:rPr>
        <w:t>,</w:t>
      </w:r>
      <w:r w:rsidRPr="00BF3E66">
        <w:rPr>
          <w:rFonts w:asciiTheme="majorHAnsi" w:eastAsia="Times New Roman" w:hAnsiTheme="majorHAnsi" w:cstheme="majorHAnsi"/>
          <w:sz w:val="24"/>
          <w:szCs w:val="24"/>
          <w:lang w:val="ru-MD"/>
        </w:rPr>
        <w:t xml:space="preserve"> и капитальные </w:t>
      </w:r>
      <w:r w:rsidR="009B254C" w:rsidRPr="00BF3E66">
        <w:rPr>
          <w:rFonts w:asciiTheme="majorHAnsi" w:eastAsia="Times New Roman" w:hAnsiTheme="majorHAnsi" w:cstheme="majorHAnsi"/>
          <w:sz w:val="24"/>
          <w:szCs w:val="24"/>
          <w:lang w:val="ru-MD"/>
        </w:rPr>
        <w:t>трансферты</w:t>
      </w:r>
      <w:r w:rsidRPr="00BF3E66">
        <w:rPr>
          <w:rFonts w:asciiTheme="majorHAnsi" w:eastAsia="Times New Roman" w:hAnsiTheme="majorHAnsi" w:cstheme="majorHAnsi"/>
          <w:sz w:val="24"/>
          <w:szCs w:val="24"/>
          <w:lang w:val="ru-MD"/>
        </w:rPr>
        <w:t>, предоставленные местным бюджетам I уровня (код 291220) - 9,55 млн. ле</w:t>
      </w:r>
      <w:r w:rsidR="00BF3E66" w:rsidRPr="00BF3E66">
        <w:rPr>
          <w:rFonts w:asciiTheme="majorHAnsi" w:eastAsia="Times New Roman" w:hAnsiTheme="majorHAnsi" w:cstheme="majorHAnsi"/>
          <w:sz w:val="24"/>
          <w:szCs w:val="24"/>
          <w:lang w:val="ru-MD"/>
        </w:rPr>
        <w:t>ев</w:t>
      </w:r>
      <w:r w:rsidR="000104B0" w:rsidRPr="00BF3E66">
        <w:rPr>
          <w:rFonts w:asciiTheme="majorHAnsi" w:eastAsia="Times New Roman" w:hAnsiTheme="majorHAnsi" w:cstheme="majorHAnsi"/>
          <w:sz w:val="24"/>
          <w:szCs w:val="24"/>
          <w:lang w:val="ru-MD"/>
        </w:rPr>
        <w:t>;</w:t>
      </w:r>
      <w:r w:rsidR="00DC3F80" w:rsidRPr="00BF3E66">
        <w:rPr>
          <w:rFonts w:asciiTheme="majorHAnsi" w:eastAsia="Times New Roman" w:hAnsiTheme="majorHAnsi" w:cstheme="majorHAnsi"/>
          <w:sz w:val="24"/>
          <w:szCs w:val="24"/>
          <w:lang w:val="ru-MD"/>
        </w:rPr>
        <w:t xml:space="preserve"> </w:t>
      </w:r>
    </w:p>
    <w:p w:rsidR="002A6525" w:rsidRPr="00E15128" w:rsidRDefault="00AF01D1" w:rsidP="0032683B">
      <w:pPr>
        <w:pStyle w:val="ListParagraph"/>
        <w:tabs>
          <w:tab w:val="left" w:pos="284"/>
          <w:tab w:val="left" w:pos="360"/>
        </w:tabs>
        <w:spacing w:after="0" w:line="276" w:lineRule="auto"/>
        <w:ind w:left="0"/>
        <w:rPr>
          <w:rFonts w:asciiTheme="majorHAnsi" w:eastAsia="Times New Roman" w:hAnsiTheme="majorHAnsi" w:cstheme="majorHAnsi"/>
          <w:sz w:val="24"/>
          <w:szCs w:val="24"/>
          <w:lang w:val="ru-MD"/>
        </w:rPr>
      </w:pPr>
      <w:r w:rsidRPr="00F55BA6">
        <w:rPr>
          <w:rFonts w:asciiTheme="majorHAnsi" w:hAnsiTheme="majorHAnsi" w:cstheme="majorHAnsi"/>
          <w:sz w:val="24"/>
          <w:szCs w:val="24"/>
          <w:lang w:val="ro-RO"/>
        </w:rPr>
        <w:t xml:space="preserve">- </w:t>
      </w:r>
      <w:r w:rsidR="00E15128" w:rsidRPr="00E15128">
        <w:rPr>
          <w:rFonts w:asciiTheme="majorHAnsi" w:hAnsiTheme="majorHAnsi" w:cstheme="majorHAnsi"/>
          <w:i/>
          <w:sz w:val="24"/>
          <w:szCs w:val="24"/>
          <w:lang w:val="ru-MD"/>
        </w:rPr>
        <w:t>на</w:t>
      </w:r>
      <w:r w:rsidR="00D570AD" w:rsidRPr="00E15128">
        <w:rPr>
          <w:rFonts w:asciiTheme="majorHAnsi" w:hAnsiTheme="majorHAnsi" w:cstheme="majorHAnsi"/>
          <w:i/>
          <w:sz w:val="24"/>
          <w:szCs w:val="24"/>
          <w:lang w:val="ru-MD"/>
        </w:rPr>
        <w:t xml:space="preserve"> субсидировани</w:t>
      </w:r>
      <w:r w:rsidR="00E15128" w:rsidRPr="00E15128">
        <w:rPr>
          <w:rFonts w:asciiTheme="majorHAnsi" w:hAnsiTheme="majorHAnsi" w:cstheme="majorHAnsi"/>
          <w:i/>
          <w:sz w:val="24"/>
          <w:szCs w:val="24"/>
          <w:lang w:val="ru-MD"/>
        </w:rPr>
        <w:t>е</w:t>
      </w:r>
      <w:r w:rsidR="00D570AD" w:rsidRPr="00E15128">
        <w:rPr>
          <w:rFonts w:asciiTheme="majorHAnsi" w:hAnsiTheme="majorHAnsi" w:cstheme="majorHAnsi"/>
          <w:i/>
          <w:sz w:val="24"/>
          <w:szCs w:val="24"/>
          <w:lang w:val="ru-MD"/>
        </w:rPr>
        <w:t xml:space="preserve"> предприятий и </w:t>
      </w:r>
      <w:r w:rsidR="00E15128" w:rsidRPr="00E15128">
        <w:rPr>
          <w:rFonts w:asciiTheme="majorHAnsi" w:hAnsiTheme="majorHAnsi" w:cstheme="majorHAnsi"/>
          <w:i/>
          <w:sz w:val="24"/>
          <w:szCs w:val="24"/>
          <w:lang w:val="ru-MD"/>
        </w:rPr>
        <w:t xml:space="preserve">некоммерческих </w:t>
      </w:r>
      <w:r w:rsidR="00D570AD" w:rsidRPr="00E15128">
        <w:rPr>
          <w:rFonts w:asciiTheme="majorHAnsi" w:hAnsiTheme="majorHAnsi" w:cstheme="majorHAnsi"/>
          <w:i/>
          <w:sz w:val="24"/>
          <w:szCs w:val="24"/>
          <w:lang w:val="ru-MD"/>
        </w:rPr>
        <w:t>организаций</w:t>
      </w:r>
      <w:r w:rsidR="00D570AD" w:rsidRPr="00E15128">
        <w:rPr>
          <w:rFonts w:asciiTheme="majorHAnsi" w:hAnsiTheme="majorHAnsi" w:cstheme="majorHAnsi"/>
          <w:sz w:val="24"/>
          <w:szCs w:val="24"/>
          <w:lang w:val="ru-MD"/>
        </w:rPr>
        <w:t xml:space="preserve">, </w:t>
      </w:r>
      <w:r w:rsidR="00E15128" w:rsidRPr="00E15128">
        <w:rPr>
          <w:rFonts w:asciiTheme="majorHAnsi" w:hAnsiTheme="majorHAnsi" w:cstheme="majorHAnsi"/>
          <w:sz w:val="24"/>
          <w:szCs w:val="24"/>
          <w:lang w:val="ru-MD"/>
        </w:rPr>
        <w:t xml:space="preserve">которые установили технический простой и/или простой </w:t>
      </w:r>
      <w:r w:rsidR="00D570AD" w:rsidRPr="00E15128">
        <w:rPr>
          <w:rFonts w:asciiTheme="majorHAnsi" w:hAnsiTheme="majorHAnsi" w:cstheme="majorHAnsi"/>
          <w:sz w:val="24"/>
          <w:szCs w:val="24"/>
          <w:lang w:val="ru-MD"/>
        </w:rPr>
        <w:t>в период чрезвычайного положения и субсидировани</w:t>
      </w:r>
      <w:r w:rsidR="00E15128" w:rsidRPr="00E15128">
        <w:rPr>
          <w:rFonts w:asciiTheme="majorHAnsi" w:hAnsiTheme="majorHAnsi" w:cstheme="majorHAnsi"/>
          <w:sz w:val="24"/>
          <w:szCs w:val="24"/>
          <w:lang w:val="ru-MD"/>
        </w:rPr>
        <w:t>е</w:t>
      </w:r>
      <w:r w:rsidR="00D570AD" w:rsidRPr="00E15128">
        <w:rPr>
          <w:rFonts w:asciiTheme="majorHAnsi" w:hAnsiTheme="majorHAnsi" w:cstheme="majorHAnsi"/>
          <w:sz w:val="24"/>
          <w:szCs w:val="24"/>
          <w:lang w:val="ru-MD"/>
        </w:rPr>
        <w:t xml:space="preserve"> суммы взносов обязательного государственного социального страхования </w:t>
      </w:r>
      <w:r w:rsidR="00E15128" w:rsidRPr="00E15128">
        <w:rPr>
          <w:rFonts w:asciiTheme="majorHAnsi" w:hAnsiTheme="majorHAnsi" w:cstheme="majorHAnsi"/>
          <w:sz w:val="24"/>
          <w:szCs w:val="24"/>
          <w:lang w:val="ru-MD"/>
        </w:rPr>
        <w:t>в</w:t>
      </w:r>
      <w:r w:rsidR="00D570AD" w:rsidRPr="00E15128">
        <w:rPr>
          <w:rFonts w:asciiTheme="majorHAnsi" w:hAnsiTheme="majorHAnsi" w:cstheme="majorHAnsi"/>
          <w:sz w:val="24"/>
          <w:szCs w:val="24"/>
          <w:lang w:val="ru-MD"/>
        </w:rPr>
        <w:t xml:space="preserve"> фиксированн</w:t>
      </w:r>
      <w:r w:rsidR="00E15128" w:rsidRPr="00E15128">
        <w:rPr>
          <w:rFonts w:asciiTheme="majorHAnsi" w:hAnsiTheme="majorHAnsi" w:cstheme="majorHAnsi"/>
          <w:sz w:val="24"/>
          <w:szCs w:val="24"/>
          <w:lang w:val="ru-MD"/>
        </w:rPr>
        <w:t>ой</w:t>
      </w:r>
      <w:r w:rsidR="00D570AD" w:rsidRPr="00E15128">
        <w:rPr>
          <w:rFonts w:asciiTheme="majorHAnsi" w:hAnsiTheme="majorHAnsi" w:cstheme="majorHAnsi"/>
          <w:sz w:val="24"/>
          <w:szCs w:val="24"/>
          <w:lang w:val="ru-MD"/>
        </w:rPr>
        <w:t xml:space="preserve"> сумм</w:t>
      </w:r>
      <w:r w:rsidR="00E15128" w:rsidRPr="00E15128">
        <w:rPr>
          <w:rFonts w:asciiTheme="majorHAnsi" w:hAnsiTheme="majorHAnsi" w:cstheme="majorHAnsi"/>
          <w:sz w:val="24"/>
          <w:szCs w:val="24"/>
          <w:lang w:val="ru-MD"/>
        </w:rPr>
        <w:t>е</w:t>
      </w:r>
      <w:r w:rsidR="00E15128" w:rsidRPr="00E15128">
        <w:rPr>
          <w:rStyle w:val="FootnoteReference"/>
          <w:rFonts w:asciiTheme="majorHAnsi" w:eastAsia="Times New Roman" w:hAnsiTheme="majorHAnsi" w:cstheme="majorHAnsi"/>
          <w:sz w:val="24"/>
          <w:szCs w:val="24"/>
          <w:lang w:val="ru-MD"/>
        </w:rPr>
        <w:footnoteReference w:id="11"/>
      </w:r>
      <w:r w:rsidR="00D570AD" w:rsidRPr="00E15128">
        <w:rPr>
          <w:rFonts w:asciiTheme="majorHAnsi" w:hAnsiTheme="majorHAnsi" w:cstheme="majorHAnsi"/>
          <w:sz w:val="24"/>
          <w:szCs w:val="24"/>
          <w:lang w:val="ru-MD"/>
        </w:rPr>
        <w:t xml:space="preserve">, были утверждены </w:t>
      </w:r>
      <w:r w:rsidR="00CF0CF1" w:rsidRPr="00E15128">
        <w:rPr>
          <w:rFonts w:asciiTheme="majorHAnsi" w:hAnsiTheme="majorHAnsi" w:cstheme="majorHAnsi"/>
          <w:sz w:val="24"/>
          <w:szCs w:val="24"/>
          <w:lang w:val="ru-MD"/>
        </w:rPr>
        <w:t>ассигнования</w:t>
      </w:r>
      <w:r w:rsidR="00D570AD" w:rsidRPr="00E15128">
        <w:rPr>
          <w:rFonts w:asciiTheme="majorHAnsi" w:hAnsiTheme="majorHAnsi" w:cstheme="majorHAnsi"/>
          <w:sz w:val="24"/>
          <w:szCs w:val="24"/>
          <w:lang w:val="ru-MD"/>
        </w:rPr>
        <w:t xml:space="preserve"> в размере 100,0 млн. ле</w:t>
      </w:r>
      <w:r w:rsidR="00E15128" w:rsidRPr="00E15128">
        <w:rPr>
          <w:rFonts w:asciiTheme="majorHAnsi" w:hAnsiTheme="majorHAnsi" w:cstheme="majorHAnsi"/>
          <w:sz w:val="24"/>
          <w:szCs w:val="24"/>
          <w:lang w:val="ru-MD"/>
        </w:rPr>
        <w:t>ев</w:t>
      </w:r>
      <w:r w:rsidR="00D570AD" w:rsidRPr="00E15128">
        <w:rPr>
          <w:rFonts w:asciiTheme="majorHAnsi" w:hAnsiTheme="majorHAnsi" w:cstheme="majorHAnsi"/>
          <w:sz w:val="24"/>
          <w:szCs w:val="24"/>
          <w:lang w:val="ru-MD"/>
        </w:rPr>
        <w:t>, исполненны</w:t>
      </w:r>
      <w:r w:rsidR="00E15128" w:rsidRPr="00E15128">
        <w:rPr>
          <w:rFonts w:asciiTheme="majorHAnsi" w:hAnsiTheme="majorHAnsi" w:cstheme="majorHAnsi"/>
          <w:sz w:val="24"/>
          <w:szCs w:val="24"/>
          <w:lang w:val="ru-MD"/>
        </w:rPr>
        <w:t>е в сумме</w:t>
      </w:r>
      <w:r w:rsidR="00D570AD" w:rsidRPr="00E15128">
        <w:rPr>
          <w:rFonts w:asciiTheme="majorHAnsi" w:hAnsiTheme="majorHAnsi" w:cstheme="majorHAnsi"/>
          <w:sz w:val="24"/>
          <w:szCs w:val="24"/>
          <w:lang w:val="ru-MD"/>
        </w:rPr>
        <w:t xml:space="preserve"> 83,4 млн. </w:t>
      </w:r>
      <w:r w:rsidR="00E15128" w:rsidRPr="00E15128">
        <w:rPr>
          <w:rFonts w:asciiTheme="majorHAnsi" w:hAnsiTheme="majorHAnsi" w:cstheme="majorHAnsi"/>
          <w:sz w:val="24"/>
          <w:szCs w:val="24"/>
          <w:lang w:val="ru-MD"/>
        </w:rPr>
        <w:t>леев</w:t>
      </w:r>
      <w:r w:rsidR="00D570AD" w:rsidRPr="00E15128">
        <w:rPr>
          <w:rFonts w:asciiTheme="majorHAnsi" w:hAnsiTheme="majorHAnsi" w:cstheme="majorHAnsi"/>
          <w:sz w:val="24"/>
          <w:szCs w:val="24"/>
          <w:lang w:val="ru-MD"/>
        </w:rPr>
        <w:t>. Выплата сумм</w:t>
      </w:r>
      <w:r w:rsidR="00E15128" w:rsidRPr="00E15128">
        <w:rPr>
          <w:rFonts w:asciiTheme="majorHAnsi" w:hAnsiTheme="majorHAnsi" w:cstheme="majorHAnsi"/>
          <w:sz w:val="24"/>
          <w:szCs w:val="24"/>
          <w:lang w:val="ru-MD"/>
        </w:rPr>
        <w:t xml:space="preserve"> </w:t>
      </w:r>
      <w:proofErr w:type="gramStart"/>
      <w:r w:rsidR="00E15128" w:rsidRPr="00E15128">
        <w:rPr>
          <w:rFonts w:asciiTheme="majorHAnsi" w:hAnsiTheme="majorHAnsi" w:cstheme="majorHAnsi"/>
          <w:sz w:val="24"/>
          <w:szCs w:val="24"/>
          <w:lang w:val="ru-MD"/>
        </w:rPr>
        <w:t>по</w:t>
      </w:r>
      <w:r w:rsidR="00D570AD" w:rsidRPr="00E15128">
        <w:rPr>
          <w:rFonts w:asciiTheme="majorHAnsi" w:hAnsiTheme="majorHAnsi" w:cstheme="majorHAnsi"/>
          <w:sz w:val="24"/>
          <w:szCs w:val="24"/>
          <w:lang w:val="ru-MD"/>
        </w:rPr>
        <w:t xml:space="preserve"> этим видами субсидий</w:t>
      </w:r>
      <w:proofErr w:type="gramEnd"/>
      <w:r w:rsidR="00D570AD" w:rsidRPr="00E15128">
        <w:rPr>
          <w:rFonts w:asciiTheme="majorHAnsi" w:hAnsiTheme="majorHAnsi" w:cstheme="majorHAnsi"/>
          <w:sz w:val="24"/>
          <w:szCs w:val="24"/>
          <w:lang w:val="ru-MD"/>
        </w:rPr>
        <w:t xml:space="preserve"> была произведена на основании заявлений, поданных в ГНС субъектами-заявителями</w:t>
      </w:r>
      <w:r w:rsidR="003B2F28" w:rsidRPr="00E15128">
        <w:rPr>
          <w:rFonts w:asciiTheme="majorHAnsi" w:eastAsia="Times New Roman" w:hAnsiTheme="majorHAnsi" w:cstheme="majorHAnsi"/>
          <w:sz w:val="24"/>
          <w:szCs w:val="24"/>
          <w:lang w:val="ru-MD"/>
        </w:rPr>
        <w:t>.</w:t>
      </w:r>
      <w:r w:rsidR="00AA141E" w:rsidRPr="00E15128">
        <w:rPr>
          <w:rFonts w:asciiTheme="majorHAnsi" w:eastAsia="Times New Roman" w:hAnsiTheme="majorHAnsi" w:cstheme="majorHAnsi"/>
          <w:sz w:val="24"/>
          <w:szCs w:val="24"/>
          <w:lang w:val="ru-MD"/>
        </w:rPr>
        <w:t xml:space="preserve"> </w:t>
      </w:r>
    </w:p>
    <w:p w:rsidR="006E7D3A" w:rsidRPr="007D0CDD" w:rsidRDefault="00320C45" w:rsidP="006E7D3A">
      <w:pPr>
        <w:pStyle w:val="ListParagraph"/>
        <w:tabs>
          <w:tab w:val="left" w:pos="284"/>
          <w:tab w:val="left" w:pos="360"/>
        </w:tabs>
        <w:spacing w:after="0" w:line="276" w:lineRule="auto"/>
        <w:ind w:left="0"/>
        <w:rPr>
          <w:rFonts w:asciiTheme="majorHAnsi" w:hAnsiTheme="majorHAnsi" w:cstheme="majorHAnsi"/>
          <w:sz w:val="24"/>
          <w:szCs w:val="24"/>
          <w:lang w:val="ru-MD"/>
        </w:rPr>
      </w:pPr>
      <w:r w:rsidRPr="007D0CDD">
        <w:rPr>
          <w:rFonts w:asciiTheme="majorHAnsi" w:eastAsia="Times New Roman" w:hAnsiTheme="majorHAnsi" w:cstheme="majorHAnsi"/>
          <w:sz w:val="24"/>
          <w:szCs w:val="24"/>
          <w:lang w:val="ru-MD"/>
        </w:rPr>
        <w:lastRenderedPageBreak/>
        <w:t xml:space="preserve">Так, </w:t>
      </w:r>
      <w:r w:rsidRPr="007D0CDD">
        <w:rPr>
          <w:rFonts w:asciiTheme="majorHAnsi" w:eastAsia="Times New Roman" w:hAnsiTheme="majorHAnsi" w:cstheme="majorHAnsi"/>
          <w:b/>
          <w:sz w:val="24"/>
          <w:szCs w:val="24"/>
          <w:lang w:val="ru-MD"/>
        </w:rPr>
        <w:t>(i)</w:t>
      </w:r>
      <w:r w:rsidRPr="007D0CDD">
        <w:rPr>
          <w:rFonts w:asciiTheme="majorHAnsi" w:eastAsia="Times New Roman" w:hAnsiTheme="majorHAnsi" w:cstheme="majorHAnsi"/>
          <w:sz w:val="24"/>
          <w:szCs w:val="24"/>
          <w:lang w:val="ru-MD"/>
        </w:rPr>
        <w:t xml:space="preserve"> в соответствии с </w:t>
      </w:r>
      <w:r w:rsidR="00184DB9" w:rsidRPr="007D0CDD">
        <w:rPr>
          <w:rFonts w:asciiTheme="majorHAnsi" w:eastAsia="Times New Roman" w:hAnsiTheme="majorHAnsi" w:cstheme="majorHAnsi"/>
          <w:sz w:val="24"/>
          <w:szCs w:val="24"/>
          <w:lang w:val="ru-MD"/>
        </w:rPr>
        <w:t>П</w:t>
      </w:r>
      <w:r w:rsidRPr="007D0CDD">
        <w:rPr>
          <w:rFonts w:asciiTheme="majorHAnsi" w:eastAsia="Times New Roman" w:hAnsiTheme="majorHAnsi" w:cstheme="majorHAnsi"/>
          <w:sz w:val="24"/>
          <w:szCs w:val="24"/>
          <w:lang w:val="ru-MD"/>
        </w:rPr>
        <w:t xml:space="preserve">риказом </w:t>
      </w:r>
      <w:r w:rsidR="00184DB9" w:rsidRPr="007D0CDD">
        <w:rPr>
          <w:rFonts w:asciiTheme="majorHAnsi" w:eastAsia="Times New Roman" w:hAnsiTheme="majorHAnsi" w:cstheme="majorHAnsi"/>
          <w:sz w:val="24"/>
          <w:szCs w:val="24"/>
          <w:lang w:val="ru-MD"/>
        </w:rPr>
        <w:t>МФ №</w:t>
      </w:r>
      <w:r w:rsidRPr="007D0CDD">
        <w:rPr>
          <w:rFonts w:asciiTheme="majorHAnsi" w:eastAsia="Times New Roman" w:hAnsiTheme="majorHAnsi" w:cstheme="majorHAnsi"/>
          <w:sz w:val="24"/>
          <w:szCs w:val="24"/>
          <w:lang w:val="ru-MD"/>
        </w:rPr>
        <w:t>66 от 20.05.2020</w:t>
      </w:r>
      <w:r w:rsidR="00184DB9" w:rsidRPr="007D0CDD">
        <w:rPr>
          <w:rFonts w:asciiTheme="majorHAnsi" w:eastAsia="Times New Roman" w:hAnsiTheme="majorHAnsi" w:cstheme="majorHAnsi"/>
          <w:sz w:val="24"/>
          <w:szCs w:val="24"/>
          <w:vertAlign w:val="superscript"/>
          <w:lang w:val="ru-MD"/>
        </w:rPr>
        <w:footnoteReference w:id="12"/>
      </w:r>
      <w:r w:rsidRPr="007D0CDD">
        <w:rPr>
          <w:rFonts w:asciiTheme="majorHAnsi" w:eastAsia="Times New Roman" w:hAnsiTheme="majorHAnsi" w:cstheme="majorHAnsi"/>
          <w:sz w:val="24"/>
          <w:szCs w:val="24"/>
          <w:lang w:val="ru-MD"/>
        </w:rPr>
        <w:t xml:space="preserve">, нефинансовым частным предприятиям (код ECO 252100) были </w:t>
      </w:r>
      <w:r w:rsidR="00184DB9" w:rsidRPr="007D0CDD">
        <w:rPr>
          <w:rFonts w:asciiTheme="majorHAnsi" w:eastAsia="Times New Roman" w:hAnsiTheme="majorHAnsi" w:cstheme="majorHAnsi"/>
          <w:sz w:val="24"/>
          <w:szCs w:val="24"/>
          <w:lang w:val="ru-MD"/>
        </w:rPr>
        <w:t>субсидированы процентные ставки, выплаченные до декабря 2020 года включительно, по банковским кредитам по договорам заключенным в период с 1 мая 2020 года по 31 декабря 2020 года, вне зависимости от срока их истечения</w:t>
      </w:r>
      <w:r w:rsidRPr="007D0CDD">
        <w:rPr>
          <w:rFonts w:asciiTheme="majorHAnsi" w:eastAsia="Times New Roman" w:hAnsiTheme="majorHAnsi" w:cstheme="majorHAnsi"/>
          <w:sz w:val="24"/>
          <w:szCs w:val="24"/>
          <w:lang w:val="ru-MD"/>
        </w:rPr>
        <w:t xml:space="preserve">. Первоначально для этих целей не были утверждены финансовые средства, они были </w:t>
      </w:r>
      <w:r w:rsidR="007D0CDD" w:rsidRPr="007D0CDD">
        <w:rPr>
          <w:rFonts w:asciiTheme="majorHAnsi" w:eastAsia="Times New Roman" w:hAnsiTheme="majorHAnsi" w:cstheme="majorHAnsi"/>
          <w:sz w:val="24"/>
          <w:szCs w:val="24"/>
          <w:lang w:val="ru-MD"/>
        </w:rPr>
        <w:t>предусмотр</w:t>
      </w:r>
      <w:r w:rsidRPr="007D0CDD">
        <w:rPr>
          <w:rFonts w:asciiTheme="majorHAnsi" w:eastAsia="Times New Roman" w:hAnsiTheme="majorHAnsi" w:cstheme="majorHAnsi"/>
          <w:sz w:val="24"/>
          <w:szCs w:val="24"/>
          <w:lang w:val="ru-MD"/>
        </w:rPr>
        <w:t>ены п</w:t>
      </w:r>
      <w:r w:rsidR="007D0CDD" w:rsidRPr="007D0CDD">
        <w:rPr>
          <w:rFonts w:asciiTheme="majorHAnsi" w:eastAsia="Times New Roman" w:hAnsiTheme="majorHAnsi" w:cstheme="majorHAnsi"/>
          <w:sz w:val="24"/>
          <w:szCs w:val="24"/>
          <w:lang w:val="ru-MD"/>
        </w:rPr>
        <w:t>утем</w:t>
      </w:r>
      <w:r w:rsidRPr="007D0CDD">
        <w:rPr>
          <w:rFonts w:asciiTheme="majorHAnsi" w:eastAsia="Times New Roman" w:hAnsiTheme="majorHAnsi" w:cstheme="majorHAnsi"/>
          <w:sz w:val="24"/>
          <w:szCs w:val="24"/>
          <w:lang w:val="ru-MD"/>
        </w:rPr>
        <w:t xml:space="preserve"> </w:t>
      </w:r>
      <w:r w:rsidR="00184DB9" w:rsidRPr="007D0CDD">
        <w:rPr>
          <w:rFonts w:asciiTheme="majorHAnsi" w:eastAsia="Times New Roman" w:hAnsiTheme="majorHAnsi" w:cstheme="majorHAnsi"/>
          <w:sz w:val="24"/>
          <w:szCs w:val="24"/>
          <w:lang w:val="ru-MD"/>
        </w:rPr>
        <w:t>уточн</w:t>
      </w:r>
      <w:r w:rsidRPr="007D0CDD">
        <w:rPr>
          <w:rFonts w:asciiTheme="majorHAnsi" w:eastAsia="Times New Roman" w:hAnsiTheme="majorHAnsi" w:cstheme="majorHAnsi"/>
          <w:sz w:val="24"/>
          <w:szCs w:val="24"/>
          <w:lang w:val="ru-MD"/>
        </w:rPr>
        <w:t>ени</w:t>
      </w:r>
      <w:r w:rsidR="007D0CDD" w:rsidRPr="007D0CDD">
        <w:rPr>
          <w:rFonts w:asciiTheme="majorHAnsi" w:eastAsia="Times New Roman" w:hAnsiTheme="majorHAnsi" w:cstheme="majorHAnsi"/>
          <w:sz w:val="24"/>
          <w:szCs w:val="24"/>
          <w:lang w:val="ru-MD"/>
        </w:rPr>
        <w:t>я</w:t>
      </w:r>
      <w:r w:rsidRPr="007D0CDD">
        <w:rPr>
          <w:rFonts w:asciiTheme="majorHAnsi" w:eastAsia="Times New Roman" w:hAnsiTheme="majorHAnsi" w:cstheme="majorHAnsi"/>
          <w:sz w:val="24"/>
          <w:szCs w:val="24"/>
          <w:lang w:val="ru-MD"/>
        </w:rPr>
        <w:t xml:space="preserve"> в сумме 27,0 млн. леев, из которых было исполнено 23,6 млн. леев, или 87,4%. Согласно информации, представленной ГНС, субъекты подали 1 557 заяв</w:t>
      </w:r>
      <w:r w:rsidR="007D0CDD" w:rsidRPr="007D0CDD">
        <w:rPr>
          <w:rFonts w:asciiTheme="majorHAnsi" w:eastAsia="Times New Roman" w:hAnsiTheme="majorHAnsi" w:cstheme="majorHAnsi"/>
          <w:sz w:val="24"/>
          <w:szCs w:val="24"/>
          <w:lang w:val="ru-MD"/>
        </w:rPr>
        <w:t>лений</w:t>
      </w:r>
      <w:r w:rsidRPr="007D0CDD">
        <w:rPr>
          <w:rFonts w:asciiTheme="majorHAnsi" w:eastAsia="Times New Roman" w:hAnsiTheme="majorHAnsi" w:cstheme="majorHAnsi"/>
          <w:sz w:val="24"/>
          <w:szCs w:val="24"/>
          <w:lang w:val="ru-MD"/>
        </w:rPr>
        <w:t xml:space="preserve"> на субсиди</w:t>
      </w:r>
      <w:r w:rsidR="007D0CDD" w:rsidRPr="007D0CDD">
        <w:rPr>
          <w:rFonts w:asciiTheme="majorHAnsi" w:eastAsia="Times New Roman" w:hAnsiTheme="majorHAnsi" w:cstheme="majorHAnsi"/>
          <w:sz w:val="24"/>
          <w:szCs w:val="24"/>
          <w:lang w:val="ru-MD"/>
        </w:rPr>
        <w:t>рование на сумму</w:t>
      </w:r>
      <w:r w:rsidRPr="007D0CDD">
        <w:rPr>
          <w:rFonts w:asciiTheme="majorHAnsi" w:eastAsia="Times New Roman" w:hAnsiTheme="majorHAnsi" w:cstheme="majorHAnsi"/>
          <w:sz w:val="24"/>
          <w:szCs w:val="24"/>
          <w:lang w:val="ru-MD"/>
        </w:rPr>
        <w:t xml:space="preserve"> в размере 40,8 млн. </w:t>
      </w:r>
      <w:r w:rsidR="007D0CDD" w:rsidRPr="007D0CDD">
        <w:rPr>
          <w:rFonts w:asciiTheme="majorHAnsi" w:eastAsia="Times New Roman" w:hAnsiTheme="majorHAnsi" w:cstheme="majorHAnsi"/>
          <w:sz w:val="24"/>
          <w:szCs w:val="24"/>
          <w:lang w:val="ru-MD"/>
        </w:rPr>
        <w:t>леев</w:t>
      </w:r>
      <w:r w:rsidRPr="007D0CDD">
        <w:rPr>
          <w:rFonts w:asciiTheme="majorHAnsi" w:eastAsia="Times New Roman" w:hAnsiTheme="majorHAnsi" w:cstheme="majorHAnsi"/>
          <w:sz w:val="24"/>
          <w:szCs w:val="24"/>
          <w:lang w:val="ru-MD"/>
        </w:rPr>
        <w:t xml:space="preserve">. В результате рассмотрения </w:t>
      </w:r>
      <w:r w:rsidR="007D0CDD" w:rsidRPr="007D0CDD">
        <w:rPr>
          <w:rFonts w:asciiTheme="majorHAnsi" w:eastAsia="Times New Roman" w:hAnsiTheme="majorHAnsi" w:cstheme="majorHAnsi"/>
          <w:sz w:val="24"/>
          <w:szCs w:val="24"/>
          <w:lang w:val="ru-MD"/>
        </w:rPr>
        <w:t>одобренн</w:t>
      </w:r>
      <w:r w:rsidRPr="007D0CDD">
        <w:rPr>
          <w:rFonts w:asciiTheme="majorHAnsi" w:eastAsia="Times New Roman" w:hAnsiTheme="majorHAnsi" w:cstheme="majorHAnsi"/>
          <w:sz w:val="24"/>
          <w:szCs w:val="24"/>
          <w:lang w:val="ru-MD"/>
        </w:rPr>
        <w:t>ых ГНС</w:t>
      </w:r>
      <w:r w:rsidR="007D0CDD" w:rsidRPr="007D0CDD">
        <w:rPr>
          <w:rFonts w:asciiTheme="majorHAnsi" w:eastAsia="Times New Roman" w:hAnsiTheme="majorHAnsi" w:cstheme="majorHAnsi"/>
          <w:sz w:val="24"/>
          <w:szCs w:val="24"/>
          <w:lang w:val="ru-MD"/>
        </w:rPr>
        <w:t xml:space="preserve"> заявлений</w:t>
      </w:r>
      <w:r w:rsidRPr="007D0CDD">
        <w:rPr>
          <w:rFonts w:asciiTheme="majorHAnsi" w:eastAsia="Times New Roman" w:hAnsiTheme="majorHAnsi" w:cstheme="majorHAnsi"/>
          <w:sz w:val="24"/>
          <w:szCs w:val="24"/>
          <w:lang w:val="ru-MD"/>
        </w:rPr>
        <w:t>, в 2020 году было принято 1 112 решений о предоставлении субсидий, связанных с уплаченн</w:t>
      </w:r>
      <w:r w:rsidR="007D0CDD" w:rsidRPr="007D0CDD">
        <w:rPr>
          <w:rFonts w:asciiTheme="majorHAnsi" w:eastAsia="Times New Roman" w:hAnsiTheme="majorHAnsi" w:cstheme="majorHAnsi"/>
          <w:sz w:val="24"/>
          <w:szCs w:val="24"/>
          <w:lang w:val="ru-MD"/>
        </w:rPr>
        <w:t>ой</w:t>
      </w:r>
      <w:r w:rsidRPr="007D0CDD">
        <w:rPr>
          <w:rFonts w:asciiTheme="majorHAnsi" w:eastAsia="Times New Roman" w:hAnsiTheme="majorHAnsi" w:cstheme="majorHAnsi"/>
          <w:sz w:val="24"/>
          <w:szCs w:val="24"/>
          <w:lang w:val="ru-MD"/>
        </w:rPr>
        <w:t xml:space="preserve"> процентн</w:t>
      </w:r>
      <w:r w:rsidR="007D0CDD" w:rsidRPr="007D0CDD">
        <w:rPr>
          <w:rFonts w:asciiTheme="majorHAnsi" w:eastAsia="Times New Roman" w:hAnsiTheme="majorHAnsi" w:cstheme="majorHAnsi"/>
          <w:sz w:val="24"/>
          <w:szCs w:val="24"/>
          <w:lang w:val="ru-MD"/>
        </w:rPr>
        <w:t>ой</w:t>
      </w:r>
      <w:r w:rsidRPr="007D0CDD">
        <w:rPr>
          <w:rFonts w:asciiTheme="majorHAnsi" w:eastAsia="Times New Roman" w:hAnsiTheme="majorHAnsi" w:cstheme="majorHAnsi"/>
          <w:sz w:val="24"/>
          <w:szCs w:val="24"/>
          <w:lang w:val="ru-MD"/>
        </w:rPr>
        <w:t xml:space="preserve"> ставк</w:t>
      </w:r>
      <w:r w:rsidR="007D0CDD" w:rsidRPr="007D0CDD">
        <w:rPr>
          <w:rFonts w:asciiTheme="majorHAnsi" w:eastAsia="Times New Roman" w:hAnsiTheme="majorHAnsi" w:cstheme="majorHAnsi"/>
          <w:sz w:val="24"/>
          <w:szCs w:val="24"/>
          <w:lang w:val="ru-MD"/>
        </w:rPr>
        <w:t>ой</w:t>
      </w:r>
      <w:r w:rsidRPr="007D0CDD">
        <w:rPr>
          <w:rFonts w:asciiTheme="majorHAnsi" w:eastAsia="Times New Roman" w:hAnsiTheme="majorHAnsi" w:cstheme="majorHAnsi"/>
          <w:sz w:val="24"/>
          <w:szCs w:val="24"/>
          <w:lang w:val="ru-MD"/>
        </w:rPr>
        <w:t>, в размере 24,5 млн. ле</w:t>
      </w:r>
      <w:r w:rsidR="007D0CDD" w:rsidRPr="007D0CDD">
        <w:rPr>
          <w:rFonts w:asciiTheme="majorHAnsi" w:eastAsia="Times New Roman" w:hAnsiTheme="majorHAnsi" w:cstheme="majorHAnsi"/>
          <w:sz w:val="24"/>
          <w:szCs w:val="24"/>
          <w:lang w:val="ru-MD"/>
        </w:rPr>
        <w:t>ев</w:t>
      </w:r>
      <w:r w:rsidRPr="007D0CDD">
        <w:rPr>
          <w:rFonts w:asciiTheme="majorHAnsi" w:eastAsia="Times New Roman" w:hAnsiTheme="majorHAnsi" w:cstheme="majorHAnsi"/>
          <w:sz w:val="24"/>
          <w:szCs w:val="24"/>
          <w:lang w:val="ru-MD"/>
        </w:rPr>
        <w:t xml:space="preserve"> </w:t>
      </w:r>
      <w:r w:rsidR="007D0CDD" w:rsidRPr="007D0CDD">
        <w:rPr>
          <w:rFonts w:asciiTheme="majorHAnsi" w:eastAsia="Times New Roman" w:hAnsiTheme="majorHAnsi" w:cstheme="majorHAnsi"/>
          <w:sz w:val="24"/>
          <w:szCs w:val="24"/>
          <w:lang w:val="ru-MD"/>
        </w:rPr>
        <w:t>для</w:t>
      </w:r>
      <w:r w:rsidRPr="007D0CDD">
        <w:rPr>
          <w:rFonts w:asciiTheme="majorHAnsi" w:eastAsia="Times New Roman" w:hAnsiTheme="majorHAnsi" w:cstheme="majorHAnsi"/>
          <w:sz w:val="24"/>
          <w:szCs w:val="24"/>
          <w:lang w:val="ru-MD"/>
        </w:rPr>
        <w:t xml:space="preserve"> 325 налогоплательщиков</w:t>
      </w:r>
      <w:r w:rsidR="00390C47" w:rsidRPr="007D0CDD">
        <w:rPr>
          <w:rFonts w:asciiTheme="majorHAnsi" w:hAnsiTheme="majorHAnsi" w:cstheme="majorHAnsi"/>
          <w:sz w:val="24"/>
          <w:szCs w:val="24"/>
          <w:lang w:val="ru-MD"/>
        </w:rPr>
        <w:t>;</w:t>
      </w:r>
    </w:p>
    <w:p w:rsidR="001736E4" w:rsidRPr="00B27711" w:rsidRDefault="006E7D3A" w:rsidP="006E7D3A">
      <w:pPr>
        <w:pStyle w:val="ListParagraph"/>
        <w:tabs>
          <w:tab w:val="left" w:pos="284"/>
          <w:tab w:val="left" w:pos="360"/>
        </w:tabs>
        <w:spacing w:after="0" w:line="276" w:lineRule="auto"/>
        <w:ind w:left="0"/>
        <w:rPr>
          <w:rFonts w:asciiTheme="majorHAnsi" w:hAnsiTheme="majorHAnsi" w:cstheme="majorHAnsi"/>
          <w:sz w:val="24"/>
          <w:szCs w:val="24"/>
          <w:lang w:val="ru-MD"/>
        </w:rPr>
      </w:pPr>
      <w:r w:rsidRPr="00F55BA6">
        <w:rPr>
          <w:rFonts w:asciiTheme="majorHAnsi" w:hAnsiTheme="majorHAnsi" w:cstheme="majorHAnsi"/>
          <w:b/>
          <w:sz w:val="24"/>
          <w:szCs w:val="24"/>
          <w:lang w:val="ro-RO"/>
        </w:rPr>
        <w:t>(ii)</w:t>
      </w:r>
      <w:r w:rsidRPr="00F55BA6">
        <w:rPr>
          <w:rFonts w:asciiTheme="majorHAnsi" w:hAnsiTheme="majorHAnsi" w:cstheme="majorHAnsi"/>
          <w:sz w:val="24"/>
          <w:szCs w:val="24"/>
          <w:lang w:val="ro-RO"/>
        </w:rPr>
        <w:t xml:space="preserve"> </w:t>
      </w:r>
      <w:r w:rsidR="00320C45" w:rsidRPr="00320C45">
        <w:rPr>
          <w:rFonts w:asciiTheme="majorHAnsi" w:hAnsiTheme="majorHAnsi" w:cstheme="majorHAnsi"/>
          <w:sz w:val="24"/>
          <w:szCs w:val="24"/>
          <w:lang w:val="ro-RO"/>
        </w:rPr>
        <w:t xml:space="preserve">согласно </w:t>
      </w:r>
      <w:r w:rsidR="007D0CDD">
        <w:rPr>
          <w:rFonts w:asciiTheme="majorHAnsi" w:hAnsiTheme="majorHAnsi" w:cstheme="majorHAnsi"/>
          <w:sz w:val="24"/>
          <w:szCs w:val="24"/>
          <w:lang w:val="ru-RU"/>
        </w:rPr>
        <w:t>П</w:t>
      </w:r>
      <w:r w:rsidR="00320C45" w:rsidRPr="00320C45">
        <w:rPr>
          <w:rFonts w:asciiTheme="majorHAnsi" w:hAnsiTheme="majorHAnsi" w:cstheme="majorHAnsi"/>
          <w:sz w:val="24"/>
          <w:szCs w:val="24"/>
          <w:lang w:val="ro-RO"/>
        </w:rPr>
        <w:t>риказу МФ</w:t>
      </w:r>
      <w:r w:rsidR="007D0CDD">
        <w:rPr>
          <w:rFonts w:asciiTheme="majorHAnsi" w:hAnsiTheme="majorHAnsi" w:cstheme="majorHAnsi"/>
          <w:sz w:val="24"/>
          <w:szCs w:val="24"/>
          <w:lang w:val="ru-RU"/>
        </w:rPr>
        <w:t xml:space="preserve"> </w:t>
      </w:r>
      <w:r w:rsidR="00320C45" w:rsidRPr="00320C45">
        <w:rPr>
          <w:rFonts w:asciiTheme="majorHAnsi" w:hAnsiTheme="majorHAnsi" w:cstheme="majorHAnsi"/>
          <w:sz w:val="24"/>
          <w:szCs w:val="24"/>
          <w:lang w:val="ro-RO"/>
        </w:rPr>
        <w:t>№58 из 29.04.2020</w:t>
      </w:r>
      <w:r w:rsidR="00184DB9" w:rsidRPr="00F55BA6">
        <w:rPr>
          <w:rStyle w:val="FootnoteReference"/>
          <w:rFonts w:asciiTheme="majorHAnsi" w:eastAsia="Times New Roman" w:hAnsiTheme="majorHAnsi" w:cstheme="majorHAnsi"/>
          <w:sz w:val="24"/>
          <w:szCs w:val="24"/>
          <w:lang w:val="ro-RO"/>
        </w:rPr>
        <w:footnoteReference w:id="13"/>
      </w:r>
      <w:r w:rsidR="007D0CDD">
        <w:rPr>
          <w:rFonts w:asciiTheme="majorHAnsi" w:hAnsiTheme="majorHAnsi" w:cstheme="majorHAnsi"/>
          <w:sz w:val="24"/>
          <w:szCs w:val="24"/>
          <w:lang w:val="ru-RU"/>
        </w:rPr>
        <w:t>,</w:t>
      </w:r>
      <w:r w:rsidR="00320C45" w:rsidRPr="00320C45">
        <w:rPr>
          <w:rFonts w:asciiTheme="majorHAnsi" w:hAnsiTheme="majorHAnsi" w:cstheme="majorHAnsi"/>
          <w:sz w:val="24"/>
          <w:szCs w:val="24"/>
          <w:lang w:val="ro-RO"/>
        </w:rPr>
        <w:t xml:space="preserve"> </w:t>
      </w:r>
      <w:r w:rsidR="007D0CDD" w:rsidRPr="007D0CDD">
        <w:rPr>
          <w:rFonts w:asciiTheme="majorHAnsi" w:hAnsiTheme="majorHAnsi" w:cstheme="majorHAnsi"/>
          <w:bCs/>
          <w:sz w:val="24"/>
          <w:szCs w:val="24"/>
          <w:lang w:val="ru-MD"/>
        </w:rPr>
        <w:t>предприяти</w:t>
      </w:r>
      <w:r w:rsidR="007D0CDD">
        <w:rPr>
          <w:rFonts w:asciiTheme="majorHAnsi" w:hAnsiTheme="majorHAnsi" w:cstheme="majorHAnsi"/>
          <w:bCs/>
          <w:sz w:val="24"/>
          <w:szCs w:val="24"/>
          <w:lang w:val="ru-MD"/>
        </w:rPr>
        <w:t>ям</w:t>
      </w:r>
      <w:r w:rsidR="007D0CDD" w:rsidRPr="007D0CDD">
        <w:rPr>
          <w:rFonts w:asciiTheme="majorHAnsi" w:hAnsiTheme="majorHAnsi" w:cstheme="majorHAnsi"/>
          <w:bCs/>
          <w:sz w:val="24"/>
          <w:szCs w:val="24"/>
          <w:lang w:val="ru-MD"/>
        </w:rPr>
        <w:t xml:space="preserve"> и  некоммерчески</w:t>
      </w:r>
      <w:r w:rsidR="007D0CDD">
        <w:rPr>
          <w:rFonts w:asciiTheme="majorHAnsi" w:hAnsiTheme="majorHAnsi" w:cstheme="majorHAnsi"/>
          <w:bCs/>
          <w:sz w:val="24"/>
          <w:szCs w:val="24"/>
          <w:lang w:val="ru-MD"/>
        </w:rPr>
        <w:t>м</w:t>
      </w:r>
      <w:r w:rsidR="007D0CDD" w:rsidRPr="007D0CDD">
        <w:rPr>
          <w:rFonts w:asciiTheme="majorHAnsi" w:hAnsiTheme="majorHAnsi" w:cstheme="majorHAnsi"/>
          <w:bCs/>
          <w:sz w:val="24"/>
          <w:szCs w:val="24"/>
          <w:lang w:val="ru-MD"/>
        </w:rPr>
        <w:t xml:space="preserve"> организаци</w:t>
      </w:r>
      <w:r w:rsidR="007D0CDD">
        <w:rPr>
          <w:rFonts w:asciiTheme="majorHAnsi" w:hAnsiTheme="majorHAnsi" w:cstheme="majorHAnsi"/>
          <w:bCs/>
          <w:sz w:val="24"/>
          <w:szCs w:val="24"/>
          <w:lang w:val="ru-MD"/>
        </w:rPr>
        <w:t>ям</w:t>
      </w:r>
      <w:r w:rsidR="007D0CDD" w:rsidRPr="007D0CDD">
        <w:rPr>
          <w:rFonts w:asciiTheme="majorHAnsi" w:hAnsiTheme="majorHAnsi" w:cstheme="majorHAnsi"/>
          <w:bCs/>
          <w:sz w:val="24"/>
          <w:szCs w:val="24"/>
          <w:lang w:val="ru-MD"/>
        </w:rPr>
        <w:t>  – резидент</w:t>
      </w:r>
      <w:r w:rsidR="007D0CDD">
        <w:rPr>
          <w:rFonts w:asciiTheme="majorHAnsi" w:hAnsiTheme="majorHAnsi" w:cstheme="majorHAnsi"/>
          <w:bCs/>
          <w:sz w:val="24"/>
          <w:szCs w:val="24"/>
          <w:lang w:val="ru-MD"/>
        </w:rPr>
        <w:t>ам</w:t>
      </w:r>
      <w:r w:rsidR="007D0CDD" w:rsidRPr="007D0CDD">
        <w:rPr>
          <w:rFonts w:asciiTheme="majorHAnsi" w:hAnsiTheme="majorHAnsi" w:cstheme="majorHAnsi"/>
          <w:bCs/>
          <w:sz w:val="24"/>
          <w:szCs w:val="24"/>
          <w:lang w:val="ru-MD"/>
        </w:rPr>
        <w:t xml:space="preserve"> Республики Молдова,  которые  установили технический простой и/или простой вследствие эпидемиологической ситуации (COVID-19)</w:t>
      </w:r>
      <w:r w:rsidR="00320C45" w:rsidRPr="00320C45">
        <w:rPr>
          <w:rFonts w:asciiTheme="majorHAnsi" w:hAnsiTheme="majorHAnsi" w:cstheme="majorHAnsi"/>
          <w:sz w:val="24"/>
          <w:szCs w:val="24"/>
          <w:lang w:val="ro-RO"/>
        </w:rPr>
        <w:t xml:space="preserve">, </w:t>
      </w:r>
      <w:r w:rsidR="007D0CDD" w:rsidRPr="00EB3F61">
        <w:rPr>
          <w:rFonts w:asciiTheme="majorHAnsi" w:hAnsiTheme="majorHAnsi" w:cstheme="majorHAnsi"/>
          <w:sz w:val="24"/>
          <w:szCs w:val="24"/>
          <w:lang w:val="ru-MD"/>
        </w:rPr>
        <w:t>были предоставлены</w:t>
      </w:r>
      <w:r w:rsidR="00320C45" w:rsidRPr="00EB3F61">
        <w:rPr>
          <w:rFonts w:asciiTheme="majorHAnsi" w:hAnsiTheme="majorHAnsi" w:cstheme="majorHAnsi"/>
          <w:sz w:val="24"/>
          <w:szCs w:val="24"/>
          <w:lang w:val="ru-MD"/>
        </w:rPr>
        <w:t xml:space="preserve"> субсидии</w:t>
      </w:r>
      <w:r w:rsidR="007D0CDD" w:rsidRPr="00EB3F61">
        <w:rPr>
          <w:rFonts w:asciiTheme="majorHAnsi" w:hAnsiTheme="majorHAnsi" w:cstheme="majorHAnsi"/>
          <w:sz w:val="24"/>
          <w:szCs w:val="24"/>
          <w:lang w:val="ru-MD"/>
        </w:rPr>
        <w:t>,</w:t>
      </w:r>
      <w:r w:rsidR="00320C45" w:rsidRPr="00EB3F61">
        <w:rPr>
          <w:rFonts w:asciiTheme="majorHAnsi" w:hAnsiTheme="majorHAnsi" w:cstheme="majorHAnsi"/>
          <w:sz w:val="24"/>
          <w:szCs w:val="24"/>
          <w:lang w:val="ru-MD"/>
        </w:rPr>
        <w:t xml:space="preserve"> </w:t>
      </w:r>
      <w:r w:rsidR="007D0CDD" w:rsidRPr="00EB3F61">
        <w:rPr>
          <w:rFonts w:asciiTheme="majorHAnsi" w:hAnsiTheme="majorHAnsi" w:cstheme="majorHAnsi"/>
          <w:sz w:val="24"/>
          <w:szCs w:val="24"/>
          <w:lang w:val="ru-MD"/>
        </w:rPr>
        <w:t>предусмотренные по</w:t>
      </w:r>
      <w:r w:rsidR="00320C45" w:rsidRPr="00EB3F61">
        <w:rPr>
          <w:rFonts w:asciiTheme="majorHAnsi" w:hAnsiTheme="majorHAnsi" w:cstheme="majorHAnsi"/>
          <w:sz w:val="24"/>
          <w:szCs w:val="24"/>
          <w:lang w:val="ru-MD"/>
        </w:rPr>
        <w:t xml:space="preserve"> том</w:t>
      </w:r>
      <w:r w:rsidR="007D0CDD" w:rsidRPr="00EB3F61">
        <w:rPr>
          <w:rFonts w:asciiTheme="majorHAnsi" w:hAnsiTheme="majorHAnsi" w:cstheme="majorHAnsi"/>
          <w:sz w:val="24"/>
          <w:szCs w:val="24"/>
          <w:lang w:val="ru-MD"/>
        </w:rPr>
        <w:t>у</w:t>
      </w:r>
      <w:r w:rsidR="00320C45" w:rsidRPr="00EB3F61">
        <w:rPr>
          <w:rFonts w:asciiTheme="majorHAnsi" w:hAnsiTheme="majorHAnsi" w:cstheme="majorHAnsi"/>
          <w:sz w:val="24"/>
          <w:szCs w:val="24"/>
          <w:lang w:val="ru-MD"/>
        </w:rPr>
        <w:t xml:space="preserve"> же экономическом</w:t>
      </w:r>
      <w:r w:rsidR="007D0CDD" w:rsidRPr="00EB3F61">
        <w:rPr>
          <w:rFonts w:asciiTheme="majorHAnsi" w:hAnsiTheme="majorHAnsi" w:cstheme="majorHAnsi"/>
          <w:sz w:val="24"/>
          <w:szCs w:val="24"/>
          <w:lang w:val="ru-MD"/>
        </w:rPr>
        <w:t>у</w:t>
      </w:r>
      <w:r w:rsidR="00320C45" w:rsidRPr="00EB3F61">
        <w:rPr>
          <w:rFonts w:asciiTheme="majorHAnsi" w:hAnsiTheme="majorHAnsi" w:cstheme="majorHAnsi"/>
          <w:sz w:val="24"/>
          <w:szCs w:val="24"/>
          <w:lang w:val="ru-MD"/>
        </w:rPr>
        <w:t xml:space="preserve"> код</w:t>
      </w:r>
      <w:r w:rsidR="007D0CDD" w:rsidRPr="00EB3F61">
        <w:rPr>
          <w:rFonts w:asciiTheme="majorHAnsi" w:hAnsiTheme="majorHAnsi" w:cstheme="majorHAnsi"/>
          <w:sz w:val="24"/>
          <w:szCs w:val="24"/>
          <w:lang w:val="ru-MD"/>
        </w:rPr>
        <w:t>у</w:t>
      </w:r>
      <w:r w:rsidR="00320C45" w:rsidRPr="00320C45">
        <w:rPr>
          <w:rFonts w:asciiTheme="majorHAnsi" w:hAnsiTheme="majorHAnsi" w:cstheme="majorHAnsi"/>
          <w:sz w:val="24"/>
          <w:szCs w:val="24"/>
          <w:lang w:val="ro-RO"/>
        </w:rPr>
        <w:t xml:space="preserve">. </w:t>
      </w:r>
      <w:r w:rsidR="00320C45" w:rsidRPr="00B27711">
        <w:rPr>
          <w:rFonts w:asciiTheme="majorHAnsi" w:hAnsiTheme="majorHAnsi" w:cstheme="majorHAnsi"/>
          <w:sz w:val="24"/>
          <w:szCs w:val="24"/>
          <w:lang w:val="ru-MD"/>
        </w:rPr>
        <w:t xml:space="preserve">Изначально </w:t>
      </w:r>
      <w:r w:rsidR="00EB3F61" w:rsidRPr="00B27711">
        <w:rPr>
          <w:rFonts w:asciiTheme="majorHAnsi" w:hAnsiTheme="majorHAnsi" w:cstheme="majorHAnsi"/>
          <w:sz w:val="24"/>
          <w:szCs w:val="24"/>
          <w:lang w:val="ru-MD"/>
        </w:rPr>
        <w:t xml:space="preserve">финансовые средства </w:t>
      </w:r>
      <w:r w:rsidR="00320C45" w:rsidRPr="00B27711">
        <w:rPr>
          <w:rFonts w:asciiTheme="majorHAnsi" w:hAnsiTheme="majorHAnsi" w:cstheme="majorHAnsi"/>
          <w:sz w:val="24"/>
          <w:szCs w:val="24"/>
          <w:lang w:val="ru-MD"/>
        </w:rPr>
        <w:t xml:space="preserve">не были утверждены, а при </w:t>
      </w:r>
      <w:r w:rsidR="007D0CDD" w:rsidRPr="00B27711">
        <w:rPr>
          <w:rFonts w:asciiTheme="majorHAnsi" w:hAnsiTheme="majorHAnsi" w:cstheme="majorHAnsi"/>
          <w:sz w:val="24"/>
          <w:szCs w:val="24"/>
          <w:lang w:val="ru-MD"/>
        </w:rPr>
        <w:t>уточн</w:t>
      </w:r>
      <w:r w:rsidR="00320C45" w:rsidRPr="00B27711">
        <w:rPr>
          <w:rFonts w:asciiTheme="majorHAnsi" w:hAnsiTheme="majorHAnsi" w:cstheme="majorHAnsi"/>
          <w:sz w:val="24"/>
          <w:szCs w:val="24"/>
          <w:lang w:val="ru-MD"/>
        </w:rPr>
        <w:t xml:space="preserve">ении бюджета </w:t>
      </w:r>
      <w:r w:rsidR="007D0CDD" w:rsidRPr="00B27711">
        <w:rPr>
          <w:rFonts w:asciiTheme="majorHAnsi" w:hAnsiTheme="majorHAnsi" w:cstheme="majorHAnsi"/>
          <w:sz w:val="24"/>
          <w:szCs w:val="24"/>
          <w:lang w:val="ru-MD"/>
        </w:rPr>
        <w:t>он</w:t>
      </w:r>
      <w:r w:rsidR="00EB3F61" w:rsidRPr="00B27711">
        <w:rPr>
          <w:rFonts w:asciiTheme="majorHAnsi" w:hAnsiTheme="majorHAnsi" w:cstheme="majorHAnsi"/>
          <w:sz w:val="24"/>
          <w:szCs w:val="24"/>
          <w:lang w:val="ru-MD"/>
        </w:rPr>
        <w:t>и</w:t>
      </w:r>
      <w:r w:rsidR="007D0CDD" w:rsidRPr="00B27711">
        <w:rPr>
          <w:rFonts w:asciiTheme="majorHAnsi" w:hAnsiTheme="majorHAnsi" w:cstheme="majorHAnsi"/>
          <w:sz w:val="24"/>
          <w:szCs w:val="24"/>
          <w:lang w:val="ru-MD"/>
        </w:rPr>
        <w:t xml:space="preserve"> </w:t>
      </w:r>
      <w:r w:rsidR="00320C45" w:rsidRPr="00B27711">
        <w:rPr>
          <w:rFonts w:asciiTheme="majorHAnsi" w:hAnsiTheme="majorHAnsi" w:cstheme="majorHAnsi"/>
          <w:sz w:val="24"/>
          <w:szCs w:val="24"/>
          <w:lang w:val="ru-MD"/>
        </w:rPr>
        <w:t>был</w:t>
      </w:r>
      <w:r w:rsidR="007D0CDD" w:rsidRPr="00B27711">
        <w:rPr>
          <w:rFonts w:asciiTheme="majorHAnsi" w:hAnsiTheme="majorHAnsi" w:cstheme="majorHAnsi"/>
          <w:sz w:val="24"/>
          <w:szCs w:val="24"/>
          <w:lang w:val="ru-MD"/>
        </w:rPr>
        <w:t>и уточнены в размере</w:t>
      </w:r>
      <w:r w:rsidR="00320C45" w:rsidRPr="00B27711">
        <w:rPr>
          <w:rFonts w:asciiTheme="majorHAnsi" w:hAnsiTheme="majorHAnsi" w:cstheme="majorHAnsi"/>
          <w:sz w:val="24"/>
          <w:szCs w:val="24"/>
          <w:lang w:val="ru-MD"/>
        </w:rPr>
        <w:t xml:space="preserve"> 73,0 млн. леев, из которых </w:t>
      </w:r>
      <w:r w:rsidR="007D0CDD" w:rsidRPr="00B27711">
        <w:rPr>
          <w:rFonts w:asciiTheme="majorHAnsi" w:hAnsiTheme="majorHAnsi" w:cstheme="majorHAnsi"/>
          <w:sz w:val="24"/>
          <w:szCs w:val="24"/>
          <w:lang w:val="ru-MD"/>
        </w:rPr>
        <w:t xml:space="preserve">было </w:t>
      </w:r>
      <w:r w:rsidR="00320C45" w:rsidRPr="00B27711">
        <w:rPr>
          <w:rFonts w:asciiTheme="majorHAnsi" w:hAnsiTheme="majorHAnsi" w:cstheme="majorHAnsi"/>
          <w:sz w:val="24"/>
          <w:szCs w:val="24"/>
          <w:lang w:val="ru-MD"/>
        </w:rPr>
        <w:t>исполн</w:t>
      </w:r>
      <w:r w:rsidR="007D0CDD" w:rsidRPr="00B27711">
        <w:rPr>
          <w:rFonts w:asciiTheme="majorHAnsi" w:hAnsiTheme="majorHAnsi" w:cstheme="majorHAnsi"/>
          <w:sz w:val="24"/>
          <w:szCs w:val="24"/>
          <w:lang w:val="ru-MD"/>
        </w:rPr>
        <w:t>ено</w:t>
      </w:r>
      <w:r w:rsidR="00320C45" w:rsidRPr="00B27711">
        <w:rPr>
          <w:rFonts w:asciiTheme="majorHAnsi" w:hAnsiTheme="majorHAnsi" w:cstheme="majorHAnsi"/>
          <w:sz w:val="24"/>
          <w:szCs w:val="24"/>
          <w:lang w:val="ru-MD"/>
        </w:rPr>
        <w:t xml:space="preserve"> 59,2 млн. леев, или 81,1%. Согласно информации, представленной ГНС, было подано 1 628 заявлений о предоставлении субсидий на расходы </w:t>
      </w:r>
      <w:r w:rsidR="00B27711" w:rsidRPr="00B27711">
        <w:rPr>
          <w:rFonts w:asciiTheme="majorHAnsi" w:hAnsiTheme="majorHAnsi" w:cstheme="majorHAnsi"/>
          <w:sz w:val="24"/>
          <w:szCs w:val="24"/>
          <w:lang w:val="ru-MD"/>
        </w:rPr>
        <w:t>по о</w:t>
      </w:r>
      <w:r w:rsidR="00320C45" w:rsidRPr="00B27711">
        <w:rPr>
          <w:rFonts w:asciiTheme="majorHAnsi" w:hAnsiTheme="majorHAnsi" w:cstheme="majorHAnsi"/>
          <w:sz w:val="24"/>
          <w:szCs w:val="24"/>
          <w:lang w:val="ru-MD"/>
        </w:rPr>
        <w:t>плат</w:t>
      </w:r>
      <w:r w:rsidR="00B27711" w:rsidRPr="00B27711">
        <w:rPr>
          <w:rFonts w:asciiTheme="majorHAnsi" w:hAnsiTheme="majorHAnsi" w:cstheme="majorHAnsi"/>
          <w:sz w:val="24"/>
          <w:szCs w:val="24"/>
          <w:lang w:val="ru-MD"/>
        </w:rPr>
        <w:t>е</w:t>
      </w:r>
      <w:r w:rsidR="00320C45" w:rsidRPr="00B27711">
        <w:rPr>
          <w:rFonts w:asciiTheme="majorHAnsi" w:hAnsiTheme="majorHAnsi" w:cstheme="majorHAnsi"/>
          <w:sz w:val="24"/>
          <w:szCs w:val="24"/>
          <w:lang w:val="ru-MD"/>
        </w:rPr>
        <w:t xml:space="preserve"> </w:t>
      </w:r>
      <w:r w:rsidR="00B27711" w:rsidRPr="00B27711">
        <w:rPr>
          <w:rFonts w:asciiTheme="majorHAnsi" w:hAnsiTheme="majorHAnsi" w:cstheme="majorHAnsi"/>
          <w:sz w:val="24"/>
          <w:szCs w:val="24"/>
          <w:lang w:val="ru-MD"/>
        </w:rPr>
        <w:t>труда</w:t>
      </w:r>
      <w:r w:rsidR="00320C45" w:rsidRPr="00B27711">
        <w:rPr>
          <w:rFonts w:asciiTheme="majorHAnsi" w:hAnsiTheme="majorHAnsi" w:cstheme="majorHAnsi"/>
          <w:sz w:val="24"/>
          <w:szCs w:val="24"/>
          <w:lang w:val="ru-MD"/>
        </w:rPr>
        <w:t>/</w:t>
      </w:r>
      <w:r w:rsidR="00B27711" w:rsidRPr="00B27711">
        <w:rPr>
          <w:rFonts w:asciiTheme="majorHAnsi" w:hAnsiTheme="majorHAnsi" w:cstheme="majorHAnsi"/>
          <w:sz w:val="24"/>
          <w:szCs w:val="24"/>
          <w:lang w:val="ru-MD"/>
        </w:rPr>
        <w:t>пособий</w:t>
      </w:r>
      <w:r w:rsidR="00320C45" w:rsidRPr="00B27711">
        <w:rPr>
          <w:rFonts w:asciiTheme="majorHAnsi" w:hAnsiTheme="majorHAnsi" w:cstheme="majorHAnsi"/>
          <w:sz w:val="24"/>
          <w:szCs w:val="24"/>
          <w:lang w:val="ru-MD"/>
        </w:rPr>
        <w:t xml:space="preserve"> в случае </w:t>
      </w:r>
      <w:r w:rsidR="00B27711" w:rsidRPr="00B27711">
        <w:rPr>
          <w:rFonts w:asciiTheme="majorHAnsi" w:hAnsiTheme="majorHAnsi" w:cstheme="majorHAnsi"/>
          <w:bCs/>
          <w:sz w:val="24"/>
          <w:szCs w:val="24"/>
          <w:lang w:val="ru-MD"/>
        </w:rPr>
        <w:t>установления технического простоя и/или простоя</w:t>
      </w:r>
      <w:r w:rsidR="00320C45" w:rsidRPr="00B27711">
        <w:rPr>
          <w:rFonts w:asciiTheme="majorHAnsi" w:hAnsiTheme="majorHAnsi" w:cstheme="majorHAnsi"/>
          <w:sz w:val="24"/>
          <w:szCs w:val="24"/>
          <w:lang w:val="ru-MD"/>
        </w:rPr>
        <w:t>, сумм</w:t>
      </w:r>
      <w:r w:rsidR="00B27711" w:rsidRPr="00B27711">
        <w:rPr>
          <w:rFonts w:asciiTheme="majorHAnsi" w:hAnsiTheme="majorHAnsi" w:cstheme="majorHAnsi"/>
          <w:sz w:val="24"/>
          <w:szCs w:val="24"/>
          <w:lang w:val="ru-MD"/>
        </w:rPr>
        <w:t>а</w:t>
      </w:r>
      <w:r w:rsidR="00320C45" w:rsidRPr="00B27711">
        <w:rPr>
          <w:rFonts w:asciiTheme="majorHAnsi" w:hAnsiTheme="majorHAnsi" w:cstheme="majorHAnsi"/>
          <w:sz w:val="24"/>
          <w:szCs w:val="24"/>
          <w:lang w:val="ru-MD"/>
        </w:rPr>
        <w:t xml:space="preserve"> запрашиваемых субсидий </w:t>
      </w:r>
      <w:r w:rsidR="00B27711" w:rsidRPr="00B27711">
        <w:rPr>
          <w:rFonts w:asciiTheme="majorHAnsi" w:hAnsiTheme="majorHAnsi" w:cstheme="majorHAnsi"/>
          <w:sz w:val="24"/>
          <w:szCs w:val="24"/>
          <w:lang w:val="ru-MD"/>
        </w:rPr>
        <w:t>составила</w:t>
      </w:r>
      <w:r w:rsidR="00320C45" w:rsidRPr="00B27711">
        <w:rPr>
          <w:rFonts w:asciiTheme="majorHAnsi" w:hAnsiTheme="majorHAnsi" w:cstheme="majorHAnsi"/>
          <w:sz w:val="24"/>
          <w:szCs w:val="24"/>
          <w:lang w:val="ru-MD"/>
        </w:rPr>
        <w:t xml:space="preserve"> 88,5 млн. </w:t>
      </w:r>
      <w:r w:rsidR="00B27711" w:rsidRPr="00B27711">
        <w:rPr>
          <w:rFonts w:asciiTheme="majorHAnsi" w:hAnsiTheme="majorHAnsi" w:cstheme="majorHAnsi"/>
          <w:sz w:val="24"/>
          <w:szCs w:val="24"/>
          <w:lang w:val="ru-MD"/>
        </w:rPr>
        <w:t>леев</w:t>
      </w:r>
      <w:r w:rsidR="00320C45" w:rsidRPr="00B27711">
        <w:rPr>
          <w:rFonts w:asciiTheme="majorHAnsi" w:hAnsiTheme="majorHAnsi" w:cstheme="majorHAnsi"/>
          <w:sz w:val="24"/>
          <w:szCs w:val="24"/>
          <w:lang w:val="ru-MD"/>
        </w:rPr>
        <w:t xml:space="preserve">. После рассмотрения </w:t>
      </w:r>
      <w:r w:rsidR="00B27711" w:rsidRPr="00B27711">
        <w:rPr>
          <w:rFonts w:asciiTheme="majorHAnsi" w:hAnsiTheme="majorHAnsi" w:cstheme="majorHAnsi"/>
          <w:sz w:val="24"/>
          <w:szCs w:val="24"/>
          <w:lang w:val="ru-MD"/>
        </w:rPr>
        <w:t xml:space="preserve">одобренных </w:t>
      </w:r>
      <w:r w:rsidR="00320C45" w:rsidRPr="00B27711">
        <w:rPr>
          <w:rFonts w:asciiTheme="majorHAnsi" w:hAnsiTheme="majorHAnsi" w:cstheme="majorHAnsi"/>
          <w:sz w:val="24"/>
          <w:szCs w:val="24"/>
          <w:lang w:val="ru-MD"/>
        </w:rPr>
        <w:t>заявлений</w:t>
      </w:r>
      <w:r w:rsidR="00B27711" w:rsidRPr="00B27711">
        <w:rPr>
          <w:rFonts w:asciiTheme="majorHAnsi" w:hAnsiTheme="majorHAnsi" w:cstheme="majorHAnsi"/>
          <w:sz w:val="24"/>
          <w:szCs w:val="24"/>
          <w:lang w:val="ru-MD"/>
        </w:rPr>
        <w:t xml:space="preserve">, </w:t>
      </w:r>
      <w:r w:rsidR="00320C45" w:rsidRPr="00B27711">
        <w:rPr>
          <w:rFonts w:asciiTheme="majorHAnsi" w:hAnsiTheme="majorHAnsi" w:cstheme="majorHAnsi"/>
          <w:sz w:val="24"/>
          <w:szCs w:val="24"/>
          <w:lang w:val="ru-MD"/>
        </w:rPr>
        <w:t xml:space="preserve">ГНС приняла 1 147 решений на сумму 59,2 млн. леев </w:t>
      </w:r>
      <w:r w:rsidR="00B27711" w:rsidRPr="00B27711">
        <w:rPr>
          <w:rFonts w:asciiTheme="majorHAnsi" w:hAnsiTheme="majorHAnsi" w:cstheme="majorHAnsi"/>
          <w:sz w:val="24"/>
          <w:szCs w:val="24"/>
          <w:lang w:val="ru-MD"/>
        </w:rPr>
        <w:t>для</w:t>
      </w:r>
      <w:r w:rsidR="00320C45" w:rsidRPr="00B27711">
        <w:rPr>
          <w:rFonts w:asciiTheme="majorHAnsi" w:hAnsiTheme="majorHAnsi" w:cstheme="majorHAnsi"/>
          <w:sz w:val="24"/>
          <w:szCs w:val="24"/>
          <w:lang w:val="ru-MD"/>
        </w:rPr>
        <w:t xml:space="preserve"> 415 налогоплательщиков. В результате </w:t>
      </w:r>
      <w:r w:rsidR="00B27711" w:rsidRPr="00B27711">
        <w:rPr>
          <w:rFonts w:asciiTheme="majorHAnsi" w:hAnsiTheme="majorHAnsi" w:cstheme="majorHAnsi"/>
          <w:sz w:val="24"/>
          <w:szCs w:val="24"/>
          <w:lang w:val="ru-MD"/>
        </w:rPr>
        <w:t xml:space="preserve">проведенных </w:t>
      </w:r>
      <w:r w:rsidR="00320C45" w:rsidRPr="00B27711">
        <w:rPr>
          <w:rFonts w:asciiTheme="majorHAnsi" w:hAnsiTheme="majorHAnsi" w:cstheme="majorHAnsi"/>
          <w:sz w:val="24"/>
          <w:szCs w:val="24"/>
          <w:lang w:val="ru-MD"/>
        </w:rPr>
        <w:t>аудиторских проверок было установлено, что из 415 налогоплательщиков</w:t>
      </w:r>
      <w:r w:rsidR="00B27711" w:rsidRPr="00B27711">
        <w:rPr>
          <w:rFonts w:asciiTheme="majorHAnsi" w:hAnsiTheme="majorHAnsi" w:cstheme="majorHAnsi"/>
          <w:sz w:val="24"/>
          <w:szCs w:val="24"/>
          <w:lang w:val="ru-MD"/>
        </w:rPr>
        <w:t>,</w:t>
      </w:r>
      <w:r w:rsidR="00320C45" w:rsidRPr="00B27711">
        <w:rPr>
          <w:rFonts w:asciiTheme="majorHAnsi" w:hAnsiTheme="majorHAnsi" w:cstheme="majorHAnsi"/>
          <w:sz w:val="24"/>
          <w:szCs w:val="24"/>
          <w:lang w:val="ru-MD"/>
        </w:rPr>
        <w:t xml:space="preserve"> основная доля </w:t>
      </w:r>
      <w:r w:rsidR="00B27711" w:rsidRPr="00B27711">
        <w:rPr>
          <w:rFonts w:asciiTheme="majorHAnsi" w:hAnsiTheme="majorHAnsi" w:cstheme="majorHAnsi"/>
          <w:sz w:val="24"/>
          <w:szCs w:val="24"/>
          <w:lang w:val="ru-MD"/>
        </w:rPr>
        <w:t xml:space="preserve">в </w:t>
      </w:r>
      <w:r w:rsidR="00320C45" w:rsidRPr="00B27711">
        <w:rPr>
          <w:rFonts w:asciiTheme="majorHAnsi" w:hAnsiTheme="majorHAnsi" w:cstheme="majorHAnsi"/>
          <w:sz w:val="24"/>
          <w:szCs w:val="24"/>
          <w:lang w:val="ru-MD"/>
        </w:rPr>
        <w:t xml:space="preserve">46,4% субсидий приходится на 10 налогоплательщиков, </w:t>
      </w:r>
      <w:r w:rsidR="00B27711" w:rsidRPr="00B27711">
        <w:rPr>
          <w:rFonts w:asciiTheme="majorHAnsi" w:hAnsiTheme="majorHAnsi" w:cstheme="majorHAnsi"/>
          <w:sz w:val="24"/>
          <w:szCs w:val="24"/>
          <w:lang w:val="ru-MD"/>
        </w:rPr>
        <w:t xml:space="preserve">которые </w:t>
      </w:r>
      <w:r w:rsidR="00320C45" w:rsidRPr="00B27711">
        <w:rPr>
          <w:rFonts w:asciiTheme="majorHAnsi" w:hAnsiTheme="majorHAnsi" w:cstheme="majorHAnsi"/>
          <w:sz w:val="24"/>
          <w:szCs w:val="24"/>
          <w:lang w:val="ru-MD"/>
        </w:rPr>
        <w:t>получи</w:t>
      </w:r>
      <w:r w:rsidR="00B27711" w:rsidRPr="00B27711">
        <w:rPr>
          <w:rFonts w:asciiTheme="majorHAnsi" w:hAnsiTheme="majorHAnsi" w:cstheme="majorHAnsi"/>
          <w:sz w:val="24"/>
          <w:szCs w:val="24"/>
          <w:lang w:val="ru-MD"/>
        </w:rPr>
        <w:t>ли</w:t>
      </w:r>
      <w:r w:rsidR="00320C45" w:rsidRPr="00B27711">
        <w:rPr>
          <w:rFonts w:asciiTheme="majorHAnsi" w:hAnsiTheme="majorHAnsi" w:cstheme="majorHAnsi"/>
          <w:sz w:val="24"/>
          <w:szCs w:val="24"/>
          <w:lang w:val="ru-MD"/>
        </w:rPr>
        <w:t xml:space="preserve"> субсидии </w:t>
      </w:r>
      <w:r w:rsidR="00B27711" w:rsidRPr="00B27711">
        <w:rPr>
          <w:rFonts w:asciiTheme="majorHAnsi" w:hAnsiTheme="majorHAnsi" w:cstheme="majorHAnsi"/>
          <w:sz w:val="24"/>
          <w:szCs w:val="24"/>
          <w:lang w:val="ru-MD"/>
        </w:rPr>
        <w:t xml:space="preserve">в размерах </w:t>
      </w:r>
      <w:r w:rsidR="00320C45" w:rsidRPr="00B27711">
        <w:rPr>
          <w:rFonts w:asciiTheme="majorHAnsi" w:hAnsiTheme="majorHAnsi" w:cstheme="majorHAnsi"/>
          <w:sz w:val="24"/>
          <w:szCs w:val="24"/>
          <w:lang w:val="ru-MD"/>
        </w:rPr>
        <w:t xml:space="preserve">более 1,0 млн. </w:t>
      </w:r>
      <w:r w:rsidR="00B27711" w:rsidRPr="00B27711">
        <w:rPr>
          <w:rFonts w:asciiTheme="majorHAnsi" w:hAnsiTheme="majorHAnsi" w:cstheme="majorHAnsi"/>
          <w:sz w:val="24"/>
          <w:szCs w:val="24"/>
          <w:lang w:val="ru-MD"/>
        </w:rPr>
        <w:t xml:space="preserve">леев, которые в целом </w:t>
      </w:r>
      <w:r w:rsidR="00320C45" w:rsidRPr="00B27711">
        <w:rPr>
          <w:rFonts w:asciiTheme="majorHAnsi" w:hAnsiTheme="majorHAnsi" w:cstheme="majorHAnsi"/>
          <w:sz w:val="24"/>
          <w:szCs w:val="24"/>
          <w:lang w:val="ru-MD"/>
        </w:rPr>
        <w:t xml:space="preserve">составили около 27,5 млн. леев. </w:t>
      </w:r>
      <w:r w:rsidR="00320C45" w:rsidRPr="00B27711">
        <w:rPr>
          <w:rFonts w:asciiTheme="majorHAnsi" w:hAnsiTheme="majorHAnsi" w:cstheme="majorHAnsi"/>
          <w:i/>
          <w:sz w:val="24"/>
          <w:szCs w:val="24"/>
          <w:lang w:val="ru-MD"/>
        </w:rPr>
        <w:t xml:space="preserve">Информация представлена в </w:t>
      </w:r>
      <w:r w:rsidR="00B27711" w:rsidRPr="00B27711">
        <w:rPr>
          <w:rFonts w:asciiTheme="majorHAnsi" w:hAnsiTheme="majorHAnsi" w:cstheme="majorHAnsi"/>
          <w:i/>
          <w:sz w:val="24"/>
          <w:szCs w:val="24"/>
          <w:lang w:val="ru-MD"/>
        </w:rPr>
        <w:t>П</w:t>
      </w:r>
      <w:r w:rsidR="00320C45" w:rsidRPr="00B27711">
        <w:rPr>
          <w:rFonts w:asciiTheme="majorHAnsi" w:hAnsiTheme="majorHAnsi" w:cstheme="majorHAnsi"/>
          <w:i/>
          <w:sz w:val="24"/>
          <w:szCs w:val="24"/>
          <w:lang w:val="ru-MD"/>
        </w:rPr>
        <w:t xml:space="preserve">риложении </w:t>
      </w:r>
      <w:r w:rsidR="00B27711" w:rsidRPr="00B27711">
        <w:rPr>
          <w:rFonts w:asciiTheme="majorHAnsi" w:hAnsiTheme="majorHAnsi" w:cstheme="majorHAnsi"/>
          <w:i/>
          <w:sz w:val="24"/>
          <w:szCs w:val="24"/>
          <w:lang w:val="ru-MD"/>
        </w:rPr>
        <w:t>№</w:t>
      </w:r>
      <w:r w:rsidR="00320C45" w:rsidRPr="00B27711">
        <w:rPr>
          <w:rFonts w:asciiTheme="majorHAnsi" w:hAnsiTheme="majorHAnsi" w:cstheme="majorHAnsi"/>
          <w:i/>
          <w:sz w:val="24"/>
          <w:szCs w:val="24"/>
          <w:lang w:val="ru-MD"/>
        </w:rPr>
        <w:t xml:space="preserve">2 </w:t>
      </w:r>
      <w:r w:rsidR="00B27711" w:rsidRPr="00B27711">
        <w:rPr>
          <w:rFonts w:asciiTheme="majorHAnsi" w:hAnsiTheme="majorHAnsi" w:cstheme="majorHAnsi"/>
          <w:i/>
          <w:sz w:val="24"/>
          <w:szCs w:val="24"/>
          <w:lang w:val="ru-MD"/>
        </w:rPr>
        <w:t>к</w:t>
      </w:r>
      <w:r w:rsidR="00320C45" w:rsidRPr="00B27711">
        <w:rPr>
          <w:rFonts w:asciiTheme="majorHAnsi" w:hAnsiTheme="majorHAnsi" w:cstheme="majorHAnsi"/>
          <w:i/>
          <w:sz w:val="24"/>
          <w:szCs w:val="24"/>
          <w:lang w:val="ru-MD"/>
        </w:rPr>
        <w:t xml:space="preserve"> настоящем</w:t>
      </w:r>
      <w:r w:rsidR="00B27711" w:rsidRPr="00B27711">
        <w:rPr>
          <w:rFonts w:asciiTheme="majorHAnsi" w:hAnsiTheme="majorHAnsi" w:cstheme="majorHAnsi"/>
          <w:i/>
          <w:sz w:val="24"/>
          <w:szCs w:val="24"/>
          <w:lang w:val="ru-MD"/>
        </w:rPr>
        <w:t>у</w:t>
      </w:r>
      <w:r w:rsidR="00320C45" w:rsidRPr="00B27711">
        <w:rPr>
          <w:rFonts w:asciiTheme="majorHAnsi" w:hAnsiTheme="majorHAnsi" w:cstheme="majorHAnsi"/>
          <w:i/>
          <w:sz w:val="24"/>
          <w:szCs w:val="24"/>
          <w:lang w:val="ru-MD"/>
        </w:rPr>
        <w:t xml:space="preserve"> </w:t>
      </w:r>
      <w:r w:rsidR="00B27711" w:rsidRPr="00B27711">
        <w:rPr>
          <w:rFonts w:asciiTheme="majorHAnsi" w:hAnsiTheme="majorHAnsi" w:cstheme="majorHAnsi"/>
          <w:i/>
          <w:sz w:val="24"/>
          <w:szCs w:val="24"/>
          <w:lang w:val="ru-MD"/>
        </w:rPr>
        <w:t>О</w:t>
      </w:r>
      <w:r w:rsidR="00320C45" w:rsidRPr="00B27711">
        <w:rPr>
          <w:rFonts w:asciiTheme="majorHAnsi" w:hAnsiTheme="majorHAnsi" w:cstheme="majorHAnsi"/>
          <w:i/>
          <w:sz w:val="24"/>
          <w:szCs w:val="24"/>
          <w:lang w:val="ru-MD"/>
        </w:rPr>
        <w:t>тчет</w:t>
      </w:r>
      <w:r w:rsidR="00B27711" w:rsidRPr="00B27711">
        <w:rPr>
          <w:rFonts w:asciiTheme="majorHAnsi" w:hAnsiTheme="majorHAnsi" w:cstheme="majorHAnsi"/>
          <w:i/>
          <w:sz w:val="24"/>
          <w:szCs w:val="24"/>
          <w:lang w:val="ru-MD"/>
        </w:rPr>
        <w:t>у</w:t>
      </w:r>
      <w:r w:rsidR="00320C45" w:rsidRPr="00B27711">
        <w:rPr>
          <w:rFonts w:asciiTheme="majorHAnsi" w:hAnsiTheme="majorHAnsi" w:cstheme="majorHAnsi"/>
          <w:i/>
          <w:sz w:val="24"/>
          <w:szCs w:val="24"/>
          <w:lang w:val="ru-MD"/>
        </w:rPr>
        <w:t xml:space="preserve"> аудита</w:t>
      </w:r>
      <w:r w:rsidR="00070D64" w:rsidRPr="00B27711">
        <w:rPr>
          <w:rFonts w:asciiTheme="majorHAnsi" w:eastAsia="Times New Roman" w:hAnsiTheme="majorHAnsi" w:cstheme="majorHAnsi"/>
          <w:sz w:val="24"/>
          <w:szCs w:val="24"/>
          <w:lang w:val="ru-MD"/>
        </w:rPr>
        <w:t>.</w:t>
      </w:r>
    </w:p>
    <w:p w:rsidR="00985859" w:rsidRPr="00F55BA6" w:rsidRDefault="00B27711" w:rsidP="00A45A36">
      <w:pPr>
        <w:pStyle w:val="ListParagraph"/>
        <w:tabs>
          <w:tab w:val="left" w:pos="426"/>
          <w:tab w:val="left" w:pos="851"/>
          <w:tab w:val="left" w:pos="993"/>
        </w:tabs>
        <w:spacing w:after="0" w:line="276" w:lineRule="auto"/>
        <w:ind w:left="0"/>
        <w:rPr>
          <w:rFonts w:asciiTheme="majorHAnsi" w:eastAsia="Times New Roman" w:hAnsiTheme="majorHAnsi" w:cstheme="majorHAnsi"/>
          <w:color w:val="000000" w:themeColor="text1"/>
          <w:sz w:val="24"/>
          <w:szCs w:val="24"/>
          <w:lang w:val="ro-RO"/>
        </w:rPr>
      </w:pPr>
      <w:r w:rsidRPr="005C6C9C">
        <w:rPr>
          <w:rFonts w:asciiTheme="majorHAnsi" w:eastAsia="Times New Roman" w:hAnsiTheme="majorHAnsi" w:cstheme="majorHAnsi"/>
          <w:color w:val="000000" w:themeColor="text1"/>
          <w:sz w:val="24"/>
          <w:szCs w:val="24"/>
          <w:lang w:val="ru-MD"/>
        </w:rPr>
        <w:t>Аудиторские п</w:t>
      </w:r>
      <w:r w:rsidR="00320C45" w:rsidRPr="005C6C9C">
        <w:rPr>
          <w:rFonts w:asciiTheme="majorHAnsi" w:eastAsia="Times New Roman" w:hAnsiTheme="majorHAnsi" w:cstheme="majorHAnsi"/>
          <w:color w:val="000000" w:themeColor="text1"/>
          <w:sz w:val="24"/>
          <w:szCs w:val="24"/>
          <w:lang w:val="ru-MD"/>
        </w:rPr>
        <w:t xml:space="preserve">роверки </w:t>
      </w:r>
      <w:r w:rsidRPr="005C6C9C">
        <w:rPr>
          <w:rFonts w:asciiTheme="majorHAnsi" w:eastAsia="Times New Roman" w:hAnsiTheme="majorHAnsi" w:cstheme="majorHAnsi"/>
          <w:color w:val="000000" w:themeColor="text1"/>
          <w:sz w:val="24"/>
          <w:szCs w:val="24"/>
          <w:lang w:val="ru-MD"/>
        </w:rPr>
        <w:t>показали</w:t>
      </w:r>
      <w:r w:rsidR="00320C45" w:rsidRPr="005C6C9C">
        <w:rPr>
          <w:rFonts w:asciiTheme="majorHAnsi" w:eastAsia="Times New Roman" w:hAnsiTheme="majorHAnsi" w:cstheme="majorHAnsi"/>
          <w:color w:val="000000" w:themeColor="text1"/>
          <w:sz w:val="24"/>
          <w:szCs w:val="24"/>
          <w:lang w:val="ru-MD"/>
        </w:rPr>
        <w:t>, что, хотя в течение 2020 года 40 экономически</w:t>
      </w:r>
      <w:r w:rsidRPr="005C6C9C">
        <w:rPr>
          <w:rFonts w:asciiTheme="majorHAnsi" w:eastAsia="Times New Roman" w:hAnsiTheme="majorHAnsi" w:cstheme="majorHAnsi"/>
          <w:color w:val="000000" w:themeColor="text1"/>
          <w:sz w:val="24"/>
          <w:szCs w:val="24"/>
          <w:lang w:val="ru-MD"/>
        </w:rPr>
        <w:t>м</w:t>
      </w:r>
      <w:r w:rsidR="00320C45" w:rsidRPr="005C6C9C">
        <w:rPr>
          <w:rFonts w:asciiTheme="majorHAnsi" w:eastAsia="Times New Roman" w:hAnsiTheme="majorHAnsi" w:cstheme="majorHAnsi"/>
          <w:color w:val="000000" w:themeColor="text1"/>
          <w:sz w:val="24"/>
          <w:szCs w:val="24"/>
          <w:lang w:val="ru-MD"/>
        </w:rPr>
        <w:t xml:space="preserve"> агент</w:t>
      </w:r>
      <w:r w:rsidRPr="005C6C9C">
        <w:rPr>
          <w:rFonts w:asciiTheme="majorHAnsi" w:eastAsia="Times New Roman" w:hAnsiTheme="majorHAnsi" w:cstheme="majorHAnsi"/>
          <w:color w:val="000000" w:themeColor="text1"/>
          <w:sz w:val="24"/>
          <w:szCs w:val="24"/>
          <w:lang w:val="ru-MD"/>
        </w:rPr>
        <w:t>ам</w:t>
      </w:r>
      <w:r w:rsidR="00320C45" w:rsidRPr="005C6C9C">
        <w:rPr>
          <w:rFonts w:asciiTheme="majorHAnsi" w:eastAsia="Times New Roman" w:hAnsiTheme="majorHAnsi" w:cstheme="majorHAnsi"/>
          <w:color w:val="000000" w:themeColor="text1"/>
          <w:sz w:val="24"/>
          <w:szCs w:val="24"/>
          <w:lang w:val="ru-MD"/>
        </w:rPr>
        <w:t xml:space="preserve"> были пере</w:t>
      </w:r>
      <w:r w:rsidRPr="005C6C9C">
        <w:rPr>
          <w:rFonts w:asciiTheme="majorHAnsi" w:eastAsia="Times New Roman" w:hAnsiTheme="majorHAnsi" w:cstheme="majorHAnsi"/>
          <w:color w:val="000000" w:themeColor="text1"/>
          <w:sz w:val="24"/>
          <w:szCs w:val="24"/>
          <w:lang w:val="ru-MD"/>
        </w:rPr>
        <w:t>числе</w:t>
      </w:r>
      <w:r w:rsidR="00320C45" w:rsidRPr="005C6C9C">
        <w:rPr>
          <w:rFonts w:asciiTheme="majorHAnsi" w:eastAsia="Times New Roman" w:hAnsiTheme="majorHAnsi" w:cstheme="majorHAnsi"/>
          <w:color w:val="000000" w:themeColor="text1"/>
          <w:sz w:val="24"/>
          <w:szCs w:val="24"/>
          <w:lang w:val="ru-MD"/>
        </w:rPr>
        <w:t xml:space="preserve">ны субсидии на общую сумму 5,2 млн. леев на основании решений, принятых ГНС, на 31.12.2020, на основании </w:t>
      </w:r>
      <w:r w:rsidR="005C6C9C" w:rsidRPr="005C6C9C">
        <w:rPr>
          <w:rFonts w:asciiTheme="majorHAnsi" w:eastAsia="Times New Roman" w:hAnsiTheme="majorHAnsi" w:cstheme="majorHAnsi"/>
          <w:color w:val="000000" w:themeColor="text1"/>
          <w:sz w:val="24"/>
          <w:szCs w:val="24"/>
          <w:lang w:val="ru-MD"/>
        </w:rPr>
        <w:t xml:space="preserve">информации о переводах, </w:t>
      </w:r>
      <w:r w:rsidR="00320C45" w:rsidRPr="005C6C9C">
        <w:rPr>
          <w:rFonts w:asciiTheme="majorHAnsi" w:eastAsia="Times New Roman" w:hAnsiTheme="majorHAnsi" w:cstheme="majorHAnsi"/>
          <w:color w:val="000000" w:themeColor="text1"/>
          <w:sz w:val="24"/>
          <w:szCs w:val="24"/>
          <w:lang w:val="ru-MD"/>
        </w:rPr>
        <w:t>представленн</w:t>
      </w:r>
      <w:r w:rsidR="005C6C9C" w:rsidRPr="005C6C9C">
        <w:rPr>
          <w:rFonts w:asciiTheme="majorHAnsi" w:eastAsia="Times New Roman" w:hAnsiTheme="majorHAnsi" w:cstheme="majorHAnsi"/>
          <w:color w:val="000000" w:themeColor="text1"/>
          <w:sz w:val="24"/>
          <w:szCs w:val="24"/>
          <w:lang w:val="ru-MD"/>
        </w:rPr>
        <w:t>ой</w:t>
      </w:r>
      <w:r w:rsidR="00320C45" w:rsidRPr="005C6C9C">
        <w:rPr>
          <w:rFonts w:asciiTheme="majorHAnsi" w:eastAsia="Times New Roman" w:hAnsiTheme="majorHAnsi" w:cstheme="majorHAnsi"/>
          <w:color w:val="000000" w:themeColor="text1"/>
          <w:sz w:val="24"/>
          <w:szCs w:val="24"/>
          <w:lang w:val="ru-MD"/>
        </w:rPr>
        <w:t xml:space="preserve"> ГНС, МФ о</w:t>
      </w:r>
      <w:r w:rsidR="005C6C9C" w:rsidRPr="005C6C9C">
        <w:rPr>
          <w:rFonts w:asciiTheme="majorHAnsi" w:eastAsia="Times New Roman" w:hAnsiTheme="majorHAnsi" w:cstheme="majorHAnsi"/>
          <w:color w:val="000000" w:themeColor="text1"/>
          <w:sz w:val="24"/>
          <w:szCs w:val="24"/>
          <w:lang w:val="ru-MD"/>
        </w:rPr>
        <w:t>тнесло</w:t>
      </w:r>
      <w:r w:rsidR="00320C45" w:rsidRPr="005C6C9C">
        <w:rPr>
          <w:rFonts w:asciiTheme="majorHAnsi" w:eastAsia="Times New Roman" w:hAnsiTheme="majorHAnsi" w:cstheme="majorHAnsi"/>
          <w:color w:val="000000" w:themeColor="text1"/>
          <w:sz w:val="24"/>
          <w:szCs w:val="24"/>
          <w:lang w:val="ru-MD"/>
        </w:rPr>
        <w:t xml:space="preserve"> эти расход</w:t>
      </w:r>
      <w:r w:rsidR="005C6C9C" w:rsidRPr="005C6C9C">
        <w:rPr>
          <w:rFonts w:asciiTheme="majorHAnsi" w:eastAsia="Times New Roman" w:hAnsiTheme="majorHAnsi" w:cstheme="majorHAnsi"/>
          <w:color w:val="000000" w:themeColor="text1"/>
          <w:sz w:val="24"/>
          <w:szCs w:val="24"/>
          <w:lang w:val="ru-MD"/>
        </w:rPr>
        <w:t>ы</w:t>
      </w:r>
      <w:r w:rsidR="00320C45" w:rsidRPr="005C6C9C">
        <w:rPr>
          <w:rFonts w:asciiTheme="majorHAnsi" w:eastAsia="Times New Roman" w:hAnsiTheme="majorHAnsi" w:cstheme="majorHAnsi"/>
          <w:color w:val="000000" w:themeColor="text1"/>
          <w:sz w:val="24"/>
          <w:szCs w:val="24"/>
          <w:lang w:val="ru-MD"/>
        </w:rPr>
        <w:t xml:space="preserve"> на счет возмещения НДС, ситуация была мотивирована как ошибка</w:t>
      </w:r>
      <w:r w:rsidR="005C6C9C">
        <w:rPr>
          <w:rFonts w:asciiTheme="majorHAnsi" w:eastAsia="Times New Roman" w:hAnsiTheme="majorHAnsi" w:cstheme="majorHAnsi"/>
          <w:color w:val="000000" w:themeColor="text1"/>
          <w:sz w:val="24"/>
          <w:szCs w:val="24"/>
          <w:lang w:val="ru-MD"/>
        </w:rPr>
        <w:t>, допущенная</w:t>
      </w:r>
      <w:r w:rsidR="00320C45" w:rsidRPr="005C6C9C">
        <w:rPr>
          <w:rFonts w:asciiTheme="majorHAnsi" w:eastAsia="Times New Roman" w:hAnsiTheme="majorHAnsi" w:cstheme="majorHAnsi"/>
          <w:color w:val="000000" w:themeColor="text1"/>
          <w:sz w:val="24"/>
          <w:szCs w:val="24"/>
          <w:lang w:val="ru-MD"/>
        </w:rPr>
        <w:t xml:space="preserve"> при регистрации решений ГНС</w:t>
      </w:r>
      <w:r w:rsidR="00C137B0" w:rsidRPr="00F55BA6">
        <w:rPr>
          <w:rFonts w:asciiTheme="majorHAnsi" w:eastAsia="Times New Roman" w:hAnsiTheme="majorHAnsi" w:cstheme="majorHAnsi"/>
          <w:sz w:val="24"/>
          <w:szCs w:val="24"/>
          <w:lang w:val="ro-RO"/>
        </w:rPr>
        <w:t>;</w:t>
      </w:r>
      <w:r w:rsidR="00E5190D" w:rsidRPr="00F55BA6">
        <w:rPr>
          <w:rFonts w:asciiTheme="majorHAnsi" w:eastAsia="Times New Roman" w:hAnsiTheme="majorHAnsi" w:cstheme="majorHAnsi"/>
          <w:sz w:val="24"/>
          <w:szCs w:val="24"/>
          <w:lang w:val="ro-RO"/>
        </w:rPr>
        <w:t xml:space="preserve"> </w:t>
      </w:r>
    </w:p>
    <w:p w:rsidR="00320C45" w:rsidRPr="003D1568" w:rsidRDefault="005C6C9C" w:rsidP="00F06292">
      <w:pPr>
        <w:pStyle w:val="ListParagraph"/>
        <w:numPr>
          <w:ilvl w:val="0"/>
          <w:numId w:val="31"/>
        </w:numPr>
        <w:tabs>
          <w:tab w:val="left" w:pos="284"/>
          <w:tab w:val="left" w:pos="426"/>
        </w:tabs>
        <w:spacing w:after="0" w:line="276" w:lineRule="auto"/>
        <w:ind w:left="0" w:firstLine="0"/>
        <w:rPr>
          <w:rFonts w:asciiTheme="majorHAnsi" w:eastAsia="Times New Roman" w:hAnsiTheme="majorHAnsi" w:cstheme="majorHAnsi"/>
          <w:color w:val="000000"/>
          <w:sz w:val="24"/>
          <w:szCs w:val="24"/>
          <w:lang w:val="ru-MD" w:eastAsia="ro-RO" w:bidi="ro-RO"/>
        </w:rPr>
      </w:pPr>
      <w:r w:rsidRPr="003D1568">
        <w:rPr>
          <w:rFonts w:asciiTheme="majorHAnsi" w:eastAsia="Times New Roman" w:hAnsiTheme="majorHAnsi" w:cstheme="majorHAnsi"/>
          <w:color w:val="000000"/>
          <w:sz w:val="24"/>
          <w:szCs w:val="24"/>
          <w:lang w:val="ru-MD" w:eastAsia="ro-RO" w:bidi="ro-RO"/>
        </w:rPr>
        <w:t>в соответствии с П</w:t>
      </w:r>
      <w:r w:rsidR="00320C45" w:rsidRPr="003D1568">
        <w:rPr>
          <w:rFonts w:asciiTheme="majorHAnsi" w:eastAsia="Times New Roman" w:hAnsiTheme="majorHAnsi" w:cstheme="majorHAnsi"/>
          <w:color w:val="000000"/>
          <w:sz w:val="24"/>
          <w:szCs w:val="24"/>
          <w:lang w:val="ru-MD" w:eastAsia="ro-RO" w:bidi="ro-RO"/>
        </w:rPr>
        <w:t>риказ</w:t>
      </w:r>
      <w:r w:rsidRPr="003D1568">
        <w:rPr>
          <w:rFonts w:asciiTheme="majorHAnsi" w:eastAsia="Times New Roman" w:hAnsiTheme="majorHAnsi" w:cstheme="majorHAnsi"/>
          <w:color w:val="000000"/>
          <w:sz w:val="24"/>
          <w:szCs w:val="24"/>
          <w:lang w:val="ru-MD" w:eastAsia="ro-RO" w:bidi="ro-RO"/>
        </w:rPr>
        <w:t>ом</w:t>
      </w:r>
      <w:r w:rsidR="00320C45" w:rsidRPr="003D1568">
        <w:rPr>
          <w:rFonts w:asciiTheme="majorHAnsi" w:eastAsia="Times New Roman" w:hAnsiTheme="majorHAnsi" w:cstheme="majorHAnsi"/>
          <w:color w:val="000000"/>
          <w:sz w:val="24"/>
          <w:szCs w:val="24"/>
          <w:lang w:val="ru-MD" w:eastAsia="ro-RO" w:bidi="ro-RO"/>
        </w:rPr>
        <w:t xml:space="preserve"> МФ</w:t>
      </w:r>
      <w:r w:rsidRPr="003D1568">
        <w:rPr>
          <w:rFonts w:asciiTheme="majorHAnsi" w:eastAsia="Times New Roman" w:hAnsiTheme="majorHAnsi" w:cstheme="majorHAnsi"/>
          <w:color w:val="000000"/>
          <w:sz w:val="24"/>
          <w:szCs w:val="24"/>
          <w:lang w:val="ru-MD" w:eastAsia="ro-RO" w:bidi="ro-RO"/>
        </w:rPr>
        <w:t xml:space="preserve"> </w:t>
      </w:r>
      <w:r w:rsidR="00320C45" w:rsidRPr="003D1568">
        <w:rPr>
          <w:rFonts w:asciiTheme="majorHAnsi" w:eastAsia="Times New Roman" w:hAnsiTheme="majorHAnsi" w:cstheme="majorHAnsi"/>
          <w:color w:val="000000"/>
          <w:sz w:val="24"/>
          <w:szCs w:val="24"/>
          <w:lang w:val="ru-MD" w:eastAsia="ro-RO" w:bidi="ro-RO"/>
        </w:rPr>
        <w:t xml:space="preserve">№86 </w:t>
      </w:r>
      <w:r w:rsidRPr="003D1568">
        <w:rPr>
          <w:rFonts w:asciiTheme="majorHAnsi" w:eastAsia="Times New Roman" w:hAnsiTheme="majorHAnsi" w:cstheme="majorHAnsi"/>
          <w:color w:val="000000"/>
          <w:sz w:val="24"/>
          <w:szCs w:val="24"/>
          <w:lang w:val="ru-MD" w:eastAsia="ro-RO" w:bidi="ro-RO"/>
        </w:rPr>
        <w:t>от</w:t>
      </w:r>
      <w:r w:rsidR="00320C45" w:rsidRPr="003D1568">
        <w:rPr>
          <w:rFonts w:asciiTheme="majorHAnsi" w:eastAsia="Times New Roman" w:hAnsiTheme="majorHAnsi" w:cstheme="majorHAnsi"/>
          <w:color w:val="000000"/>
          <w:sz w:val="24"/>
          <w:szCs w:val="24"/>
          <w:lang w:val="ru-MD" w:eastAsia="ro-RO" w:bidi="ro-RO"/>
        </w:rPr>
        <w:t xml:space="preserve"> 13.07.2020</w:t>
      </w:r>
      <w:r w:rsidRPr="003D1568">
        <w:rPr>
          <w:rStyle w:val="FootnoteReference"/>
          <w:rFonts w:asciiTheme="majorHAnsi" w:eastAsia="Times New Roman" w:hAnsiTheme="majorHAnsi" w:cstheme="majorHAnsi"/>
          <w:color w:val="000000"/>
          <w:sz w:val="24"/>
          <w:szCs w:val="24"/>
          <w:lang w:val="ru-MD" w:eastAsia="ro-RO" w:bidi="ro-RO"/>
        </w:rPr>
        <w:footnoteReference w:id="14"/>
      </w:r>
      <w:r w:rsidRPr="003D1568">
        <w:rPr>
          <w:rFonts w:asciiTheme="majorHAnsi" w:eastAsia="Times New Roman" w:hAnsiTheme="majorHAnsi" w:cstheme="majorHAnsi"/>
          <w:color w:val="000000"/>
          <w:sz w:val="24"/>
          <w:szCs w:val="24"/>
          <w:lang w:val="ru-MD" w:eastAsia="ro-RO" w:bidi="ro-RO"/>
        </w:rPr>
        <w:t>,</w:t>
      </w:r>
      <w:r w:rsidR="00320C45" w:rsidRPr="003D1568">
        <w:rPr>
          <w:rFonts w:asciiTheme="majorHAnsi" w:eastAsia="Times New Roman" w:hAnsiTheme="majorHAnsi" w:cstheme="majorHAnsi"/>
          <w:color w:val="000000"/>
          <w:sz w:val="24"/>
          <w:szCs w:val="24"/>
          <w:lang w:val="ru-MD" w:eastAsia="ro-RO" w:bidi="ro-RO"/>
        </w:rPr>
        <w:t xml:space="preserve"> ГНС получила 311 заявлений о субсидировании суммы взносов обязательного государственного социального страхования в фиксированн</w:t>
      </w:r>
      <w:r w:rsidR="008906B8" w:rsidRPr="003D1568">
        <w:rPr>
          <w:rFonts w:asciiTheme="majorHAnsi" w:eastAsia="Times New Roman" w:hAnsiTheme="majorHAnsi" w:cstheme="majorHAnsi"/>
          <w:color w:val="000000"/>
          <w:sz w:val="24"/>
          <w:szCs w:val="24"/>
          <w:lang w:val="ru-MD" w:eastAsia="ro-RO" w:bidi="ro-RO"/>
        </w:rPr>
        <w:t>ой</w:t>
      </w:r>
      <w:r w:rsidR="00320C45" w:rsidRPr="003D1568">
        <w:rPr>
          <w:rFonts w:asciiTheme="majorHAnsi" w:eastAsia="Times New Roman" w:hAnsiTheme="majorHAnsi" w:cstheme="majorHAnsi"/>
          <w:color w:val="000000"/>
          <w:sz w:val="24"/>
          <w:szCs w:val="24"/>
          <w:lang w:val="ru-MD" w:eastAsia="ro-RO" w:bidi="ro-RO"/>
        </w:rPr>
        <w:t xml:space="preserve"> сумм</w:t>
      </w:r>
      <w:r w:rsidR="008906B8" w:rsidRPr="003D1568">
        <w:rPr>
          <w:rFonts w:asciiTheme="majorHAnsi" w:eastAsia="Times New Roman" w:hAnsiTheme="majorHAnsi" w:cstheme="majorHAnsi"/>
          <w:color w:val="000000"/>
          <w:sz w:val="24"/>
          <w:szCs w:val="24"/>
          <w:lang w:val="ru-MD" w:eastAsia="ro-RO" w:bidi="ro-RO"/>
        </w:rPr>
        <w:t>е</w:t>
      </w:r>
      <w:r w:rsidR="00320C45" w:rsidRPr="003D1568">
        <w:rPr>
          <w:rFonts w:asciiTheme="majorHAnsi" w:eastAsia="Times New Roman" w:hAnsiTheme="majorHAnsi" w:cstheme="majorHAnsi"/>
          <w:color w:val="000000"/>
          <w:sz w:val="24"/>
          <w:szCs w:val="24"/>
          <w:lang w:val="ru-MD" w:eastAsia="ro-RO" w:bidi="ro-RO"/>
        </w:rPr>
        <w:t>, из которых</w:t>
      </w:r>
      <w:r w:rsidR="008906B8" w:rsidRPr="003D1568">
        <w:rPr>
          <w:rFonts w:asciiTheme="majorHAnsi" w:eastAsia="Times New Roman" w:hAnsiTheme="majorHAnsi" w:cstheme="majorHAnsi"/>
          <w:color w:val="000000"/>
          <w:sz w:val="24"/>
          <w:szCs w:val="24"/>
          <w:lang w:val="ru-MD" w:eastAsia="ro-RO" w:bidi="ro-RO"/>
        </w:rPr>
        <w:t>,</w:t>
      </w:r>
      <w:r w:rsidR="00320C45" w:rsidRPr="003D1568">
        <w:rPr>
          <w:rFonts w:asciiTheme="majorHAnsi" w:eastAsia="Times New Roman" w:hAnsiTheme="majorHAnsi" w:cstheme="majorHAnsi"/>
          <w:color w:val="000000"/>
          <w:sz w:val="24"/>
          <w:szCs w:val="24"/>
          <w:lang w:val="ru-MD" w:eastAsia="ro-RO" w:bidi="ro-RO"/>
        </w:rPr>
        <w:t xml:space="preserve"> в результате рассмотрения были </w:t>
      </w:r>
      <w:r w:rsidR="008906B8" w:rsidRPr="003D1568">
        <w:rPr>
          <w:rFonts w:asciiTheme="majorHAnsi" w:eastAsia="Times New Roman" w:hAnsiTheme="majorHAnsi" w:cstheme="majorHAnsi"/>
          <w:color w:val="000000"/>
          <w:sz w:val="24"/>
          <w:szCs w:val="24"/>
          <w:lang w:val="ru-MD" w:eastAsia="ro-RO" w:bidi="ro-RO"/>
        </w:rPr>
        <w:t>одобрен</w:t>
      </w:r>
      <w:r w:rsidR="00320C45" w:rsidRPr="003D1568">
        <w:rPr>
          <w:rFonts w:asciiTheme="majorHAnsi" w:eastAsia="Times New Roman" w:hAnsiTheme="majorHAnsi" w:cstheme="majorHAnsi"/>
          <w:color w:val="000000"/>
          <w:sz w:val="24"/>
          <w:szCs w:val="24"/>
          <w:lang w:val="ru-MD" w:eastAsia="ro-RO" w:bidi="ro-RO"/>
        </w:rPr>
        <w:t xml:space="preserve">ы и </w:t>
      </w:r>
      <w:r w:rsidR="008906B8" w:rsidRPr="003D1568">
        <w:rPr>
          <w:rFonts w:asciiTheme="majorHAnsi" w:eastAsia="Times New Roman" w:hAnsiTheme="majorHAnsi" w:cstheme="majorHAnsi"/>
          <w:color w:val="000000"/>
          <w:sz w:val="24"/>
          <w:szCs w:val="24"/>
          <w:lang w:val="ru-MD" w:eastAsia="ro-RO" w:bidi="ro-RO"/>
        </w:rPr>
        <w:t>направлена</w:t>
      </w:r>
      <w:r w:rsidR="00320C45" w:rsidRPr="003D1568">
        <w:rPr>
          <w:rFonts w:asciiTheme="majorHAnsi" w:eastAsia="Times New Roman" w:hAnsiTheme="majorHAnsi" w:cstheme="majorHAnsi"/>
          <w:color w:val="000000"/>
          <w:sz w:val="24"/>
          <w:szCs w:val="24"/>
          <w:lang w:val="ru-MD" w:eastAsia="ro-RO" w:bidi="ro-RO"/>
        </w:rPr>
        <w:t xml:space="preserve"> в</w:t>
      </w:r>
      <w:r w:rsidR="00320C45" w:rsidRPr="00320C45">
        <w:rPr>
          <w:rFonts w:asciiTheme="majorHAnsi" w:eastAsia="Times New Roman" w:hAnsiTheme="majorHAnsi" w:cstheme="majorHAnsi"/>
          <w:color w:val="000000"/>
          <w:sz w:val="24"/>
          <w:szCs w:val="24"/>
          <w:lang w:val="ro-RO" w:eastAsia="ro-RO" w:bidi="ro-RO"/>
        </w:rPr>
        <w:t xml:space="preserve"> </w:t>
      </w:r>
      <w:r w:rsidR="00320C45" w:rsidRPr="003D1568">
        <w:rPr>
          <w:rFonts w:asciiTheme="majorHAnsi" w:eastAsia="Times New Roman" w:hAnsiTheme="majorHAnsi" w:cstheme="majorHAnsi"/>
          <w:color w:val="000000"/>
          <w:sz w:val="24"/>
          <w:szCs w:val="24"/>
          <w:lang w:val="ru-MD" w:eastAsia="ro-RO" w:bidi="ro-RO"/>
        </w:rPr>
        <w:lastRenderedPageBreak/>
        <w:t>адрес НКСС информаци</w:t>
      </w:r>
      <w:r w:rsidR="008906B8" w:rsidRPr="003D1568">
        <w:rPr>
          <w:rFonts w:asciiTheme="majorHAnsi" w:eastAsia="Times New Roman" w:hAnsiTheme="majorHAnsi" w:cstheme="majorHAnsi"/>
          <w:color w:val="000000"/>
          <w:sz w:val="24"/>
          <w:szCs w:val="24"/>
          <w:lang w:val="ru-MD" w:eastAsia="ro-RO" w:bidi="ro-RO"/>
        </w:rPr>
        <w:t>я по</w:t>
      </w:r>
      <w:r w:rsidR="00320C45" w:rsidRPr="003D1568">
        <w:rPr>
          <w:rFonts w:asciiTheme="majorHAnsi" w:eastAsia="Times New Roman" w:hAnsiTheme="majorHAnsi" w:cstheme="majorHAnsi"/>
          <w:color w:val="000000"/>
          <w:sz w:val="24"/>
          <w:szCs w:val="24"/>
          <w:lang w:val="ru-MD" w:eastAsia="ro-RO" w:bidi="ro-RO"/>
        </w:rPr>
        <w:t xml:space="preserve"> 299 потенциальны</w:t>
      </w:r>
      <w:r w:rsidR="008906B8" w:rsidRPr="003D1568">
        <w:rPr>
          <w:rFonts w:asciiTheme="majorHAnsi" w:eastAsia="Times New Roman" w:hAnsiTheme="majorHAnsi" w:cstheme="majorHAnsi"/>
          <w:color w:val="000000"/>
          <w:sz w:val="24"/>
          <w:szCs w:val="24"/>
          <w:lang w:val="ru-MD" w:eastAsia="ro-RO" w:bidi="ro-RO"/>
        </w:rPr>
        <w:t>м</w:t>
      </w:r>
      <w:r w:rsidR="00320C45" w:rsidRPr="003D1568">
        <w:rPr>
          <w:rFonts w:asciiTheme="majorHAnsi" w:eastAsia="Times New Roman" w:hAnsiTheme="majorHAnsi" w:cstheme="majorHAnsi"/>
          <w:color w:val="000000"/>
          <w:sz w:val="24"/>
          <w:szCs w:val="24"/>
          <w:lang w:val="ru-MD" w:eastAsia="ro-RO" w:bidi="ro-RO"/>
        </w:rPr>
        <w:t xml:space="preserve"> бенефициар</w:t>
      </w:r>
      <w:r w:rsidR="008906B8" w:rsidRPr="003D1568">
        <w:rPr>
          <w:rFonts w:asciiTheme="majorHAnsi" w:eastAsia="Times New Roman" w:hAnsiTheme="majorHAnsi" w:cstheme="majorHAnsi"/>
          <w:color w:val="000000"/>
          <w:sz w:val="24"/>
          <w:szCs w:val="24"/>
          <w:lang w:val="ru-MD" w:eastAsia="ro-RO" w:bidi="ro-RO"/>
        </w:rPr>
        <w:t>ам</w:t>
      </w:r>
      <w:r w:rsidR="00320C45" w:rsidRPr="003D1568">
        <w:rPr>
          <w:rFonts w:asciiTheme="majorHAnsi" w:eastAsia="Times New Roman" w:hAnsiTheme="majorHAnsi" w:cstheme="majorHAnsi"/>
          <w:color w:val="000000"/>
          <w:sz w:val="24"/>
          <w:szCs w:val="24"/>
          <w:lang w:val="ru-MD" w:eastAsia="ro-RO" w:bidi="ro-RO"/>
        </w:rPr>
        <w:t xml:space="preserve">, для </w:t>
      </w:r>
      <w:r w:rsidR="008906B8" w:rsidRPr="003D1568">
        <w:rPr>
          <w:rFonts w:asciiTheme="majorHAnsi" w:eastAsia="Times New Roman" w:hAnsiTheme="majorHAnsi" w:cstheme="majorHAnsi"/>
          <w:color w:val="000000"/>
          <w:sz w:val="24"/>
          <w:szCs w:val="24"/>
          <w:lang w:val="ru-MD" w:eastAsia="ro-RO" w:bidi="ro-RO"/>
        </w:rPr>
        <w:t>назнач</w:t>
      </w:r>
      <w:r w:rsidR="00320C45" w:rsidRPr="003D1568">
        <w:rPr>
          <w:rFonts w:asciiTheme="majorHAnsi" w:eastAsia="Times New Roman" w:hAnsiTheme="majorHAnsi" w:cstheme="majorHAnsi"/>
          <w:color w:val="000000"/>
          <w:sz w:val="24"/>
          <w:szCs w:val="24"/>
          <w:lang w:val="ru-MD" w:eastAsia="ro-RO" w:bidi="ro-RO"/>
        </w:rPr>
        <w:t>ения субсидирования, а 12 налогоплательщик</w:t>
      </w:r>
      <w:r w:rsidR="008906B8" w:rsidRPr="003D1568">
        <w:rPr>
          <w:rFonts w:asciiTheme="majorHAnsi" w:eastAsia="Times New Roman" w:hAnsiTheme="majorHAnsi" w:cstheme="majorHAnsi"/>
          <w:color w:val="000000"/>
          <w:sz w:val="24"/>
          <w:szCs w:val="24"/>
          <w:lang w:val="ru-MD" w:eastAsia="ro-RO" w:bidi="ro-RO"/>
        </w:rPr>
        <w:t>ам</w:t>
      </w:r>
      <w:r w:rsidR="00320C45" w:rsidRPr="003D1568">
        <w:rPr>
          <w:rFonts w:asciiTheme="majorHAnsi" w:eastAsia="Times New Roman" w:hAnsiTheme="majorHAnsi" w:cstheme="majorHAnsi"/>
          <w:color w:val="000000"/>
          <w:sz w:val="24"/>
          <w:szCs w:val="24"/>
          <w:lang w:val="ru-MD" w:eastAsia="ro-RO" w:bidi="ro-RO"/>
        </w:rPr>
        <w:t xml:space="preserve"> были </w:t>
      </w:r>
      <w:r w:rsidR="008906B8" w:rsidRPr="003D1568">
        <w:rPr>
          <w:rFonts w:asciiTheme="majorHAnsi" w:eastAsia="Times New Roman" w:hAnsiTheme="majorHAnsi" w:cstheme="majorHAnsi"/>
          <w:color w:val="000000"/>
          <w:sz w:val="24"/>
          <w:szCs w:val="24"/>
          <w:lang w:val="ru-MD" w:eastAsia="ro-RO" w:bidi="ro-RO"/>
        </w:rPr>
        <w:t>направле</w:t>
      </w:r>
      <w:r w:rsidR="00320C45" w:rsidRPr="003D1568">
        <w:rPr>
          <w:rFonts w:asciiTheme="majorHAnsi" w:eastAsia="Times New Roman" w:hAnsiTheme="majorHAnsi" w:cstheme="majorHAnsi"/>
          <w:color w:val="000000"/>
          <w:sz w:val="24"/>
          <w:szCs w:val="24"/>
          <w:lang w:val="ru-MD" w:eastAsia="ro-RO" w:bidi="ro-RO"/>
        </w:rPr>
        <w:t>ны уведомления о невозможности субсидирования. В результате рассмотрения полученной информации</w:t>
      </w:r>
      <w:r w:rsidR="003D1568" w:rsidRPr="003D1568">
        <w:rPr>
          <w:rFonts w:asciiTheme="majorHAnsi" w:eastAsia="Times New Roman" w:hAnsiTheme="majorHAnsi" w:cstheme="majorHAnsi"/>
          <w:color w:val="000000"/>
          <w:sz w:val="24"/>
          <w:szCs w:val="24"/>
          <w:lang w:val="ru-MD" w:eastAsia="ro-RO" w:bidi="ro-RO"/>
        </w:rPr>
        <w:t>,</w:t>
      </w:r>
      <w:r w:rsidR="00320C45" w:rsidRPr="003D1568">
        <w:rPr>
          <w:rFonts w:asciiTheme="majorHAnsi" w:eastAsia="Times New Roman" w:hAnsiTheme="majorHAnsi" w:cstheme="majorHAnsi"/>
          <w:color w:val="000000"/>
          <w:sz w:val="24"/>
          <w:szCs w:val="24"/>
          <w:lang w:val="ru-MD" w:eastAsia="ro-RO" w:bidi="ro-RO"/>
        </w:rPr>
        <w:t xml:space="preserve"> НКСС </w:t>
      </w:r>
      <w:r w:rsidR="003D1568" w:rsidRPr="003D1568">
        <w:rPr>
          <w:rFonts w:asciiTheme="majorHAnsi" w:eastAsia="Times New Roman" w:hAnsiTheme="majorHAnsi" w:cstheme="majorHAnsi"/>
          <w:color w:val="000000"/>
          <w:sz w:val="24"/>
          <w:szCs w:val="24"/>
          <w:lang w:val="ru-MD" w:eastAsia="ro-RO" w:bidi="ro-RO"/>
        </w:rPr>
        <w:t>утверд</w:t>
      </w:r>
      <w:r w:rsidR="00320C45" w:rsidRPr="003D1568">
        <w:rPr>
          <w:rFonts w:asciiTheme="majorHAnsi" w:eastAsia="Times New Roman" w:hAnsiTheme="majorHAnsi" w:cstheme="majorHAnsi"/>
          <w:color w:val="000000"/>
          <w:sz w:val="24"/>
          <w:szCs w:val="24"/>
          <w:lang w:val="ru-MD" w:eastAsia="ro-RO" w:bidi="ro-RO"/>
        </w:rPr>
        <w:t xml:space="preserve">ила субсидирование суммы взносов обязательного государственного социального страхования </w:t>
      </w:r>
      <w:r w:rsidR="003D1568" w:rsidRPr="003D1568">
        <w:rPr>
          <w:rFonts w:asciiTheme="majorHAnsi" w:eastAsia="Times New Roman" w:hAnsiTheme="majorHAnsi" w:cstheme="majorHAnsi"/>
          <w:color w:val="000000"/>
          <w:sz w:val="24"/>
          <w:szCs w:val="24"/>
          <w:lang w:val="ru-MD" w:eastAsia="ro-RO" w:bidi="ro-RO"/>
        </w:rPr>
        <w:t>в</w:t>
      </w:r>
      <w:r w:rsidR="00320C45" w:rsidRPr="003D1568">
        <w:rPr>
          <w:rFonts w:asciiTheme="majorHAnsi" w:eastAsia="Times New Roman" w:hAnsiTheme="majorHAnsi" w:cstheme="majorHAnsi"/>
          <w:color w:val="000000"/>
          <w:sz w:val="24"/>
          <w:szCs w:val="24"/>
          <w:lang w:val="ru-MD" w:eastAsia="ro-RO" w:bidi="ro-RO"/>
        </w:rPr>
        <w:t xml:space="preserve"> фиксированн</w:t>
      </w:r>
      <w:r w:rsidR="003D1568" w:rsidRPr="003D1568">
        <w:rPr>
          <w:rFonts w:asciiTheme="majorHAnsi" w:eastAsia="Times New Roman" w:hAnsiTheme="majorHAnsi" w:cstheme="majorHAnsi"/>
          <w:color w:val="000000"/>
          <w:sz w:val="24"/>
          <w:szCs w:val="24"/>
          <w:lang w:val="ru-MD" w:eastAsia="ro-RO" w:bidi="ro-RO"/>
        </w:rPr>
        <w:t>ой</w:t>
      </w:r>
      <w:r w:rsidR="00320C45" w:rsidRPr="003D1568">
        <w:rPr>
          <w:rFonts w:asciiTheme="majorHAnsi" w:eastAsia="Times New Roman" w:hAnsiTheme="majorHAnsi" w:cstheme="majorHAnsi"/>
          <w:color w:val="000000"/>
          <w:sz w:val="24"/>
          <w:szCs w:val="24"/>
          <w:lang w:val="ru-MD" w:eastAsia="ro-RO" w:bidi="ro-RO"/>
        </w:rPr>
        <w:t xml:space="preserve"> сумм</w:t>
      </w:r>
      <w:r w:rsidR="003D1568" w:rsidRPr="003D1568">
        <w:rPr>
          <w:rFonts w:asciiTheme="majorHAnsi" w:eastAsia="Times New Roman" w:hAnsiTheme="majorHAnsi" w:cstheme="majorHAnsi"/>
          <w:color w:val="000000"/>
          <w:sz w:val="24"/>
          <w:szCs w:val="24"/>
          <w:lang w:val="ru-MD" w:eastAsia="ro-RO" w:bidi="ro-RO"/>
        </w:rPr>
        <w:t>е</w:t>
      </w:r>
      <w:r w:rsidR="00320C45" w:rsidRPr="003D1568">
        <w:rPr>
          <w:rFonts w:asciiTheme="majorHAnsi" w:eastAsia="Times New Roman" w:hAnsiTheme="majorHAnsi" w:cstheme="majorHAnsi"/>
          <w:color w:val="000000"/>
          <w:sz w:val="24"/>
          <w:szCs w:val="24"/>
          <w:lang w:val="ru-MD" w:eastAsia="ro-RO" w:bidi="ro-RO"/>
        </w:rPr>
        <w:t>, котор</w:t>
      </w:r>
      <w:r w:rsidR="003D1568" w:rsidRPr="003D1568">
        <w:rPr>
          <w:rFonts w:asciiTheme="majorHAnsi" w:eastAsia="Times New Roman" w:hAnsiTheme="majorHAnsi" w:cstheme="majorHAnsi"/>
          <w:color w:val="000000"/>
          <w:sz w:val="24"/>
          <w:szCs w:val="24"/>
          <w:lang w:val="ru-MD" w:eastAsia="ro-RO" w:bidi="ro-RO"/>
        </w:rPr>
        <w:t>ое</w:t>
      </w:r>
      <w:r w:rsidR="00320C45" w:rsidRPr="003D1568">
        <w:rPr>
          <w:rFonts w:asciiTheme="majorHAnsi" w:eastAsia="Times New Roman" w:hAnsiTheme="majorHAnsi" w:cstheme="majorHAnsi"/>
          <w:color w:val="000000"/>
          <w:sz w:val="24"/>
          <w:szCs w:val="24"/>
          <w:lang w:val="ru-MD" w:eastAsia="ro-RO" w:bidi="ro-RO"/>
        </w:rPr>
        <w:t xml:space="preserve"> </w:t>
      </w:r>
      <w:r w:rsidR="003D1568" w:rsidRPr="003D1568">
        <w:rPr>
          <w:rFonts w:asciiTheme="majorHAnsi" w:eastAsia="Times New Roman" w:hAnsiTheme="majorHAnsi" w:cstheme="majorHAnsi"/>
          <w:color w:val="000000"/>
          <w:sz w:val="24"/>
          <w:szCs w:val="24"/>
          <w:lang w:val="ru-MD" w:eastAsia="ro-RO" w:bidi="ro-RO"/>
        </w:rPr>
        <w:t>для</w:t>
      </w:r>
      <w:r w:rsidR="00320C45" w:rsidRPr="003D1568">
        <w:rPr>
          <w:rFonts w:asciiTheme="majorHAnsi" w:eastAsia="Times New Roman" w:hAnsiTheme="majorHAnsi" w:cstheme="majorHAnsi"/>
          <w:color w:val="000000"/>
          <w:sz w:val="24"/>
          <w:szCs w:val="24"/>
          <w:lang w:val="ru-MD" w:eastAsia="ro-RO" w:bidi="ro-RO"/>
        </w:rPr>
        <w:t xml:space="preserve"> 291 </w:t>
      </w:r>
      <w:r w:rsidR="003D1568" w:rsidRPr="003D1568">
        <w:rPr>
          <w:rFonts w:asciiTheme="majorHAnsi" w:eastAsia="Times New Roman" w:hAnsiTheme="majorHAnsi" w:cstheme="majorHAnsi"/>
          <w:color w:val="000000"/>
          <w:sz w:val="24"/>
          <w:szCs w:val="24"/>
          <w:lang w:val="ru-MD" w:eastAsia="ro-RO" w:bidi="ro-RO"/>
        </w:rPr>
        <w:t>получателя</w:t>
      </w:r>
      <w:r w:rsidR="00320C45" w:rsidRPr="003D1568">
        <w:rPr>
          <w:rFonts w:asciiTheme="majorHAnsi" w:eastAsia="Times New Roman" w:hAnsiTheme="majorHAnsi" w:cstheme="majorHAnsi"/>
          <w:color w:val="000000"/>
          <w:sz w:val="24"/>
          <w:szCs w:val="24"/>
          <w:lang w:val="ru-MD" w:eastAsia="ro-RO" w:bidi="ro-RO"/>
        </w:rPr>
        <w:t xml:space="preserve"> </w:t>
      </w:r>
      <w:r w:rsidR="003D1568" w:rsidRPr="003D1568">
        <w:rPr>
          <w:rFonts w:asciiTheme="majorHAnsi" w:eastAsia="Times New Roman" w:hAnsiTheme="majorHAnsi" w:cstheme="majorHAnsi"/>
          <w:color w:val="000000"/>
          <w:sz w:val="24"/>
          <w:szCs w:val="24"/>
          <w:lang w:val="ru-MD" w:eastAsia="ro-RO" w:bidi="ro-RO"/>
        </w:rPr>
        <w:t xml:space="preserve">было исполнено </w:t>
      </w:r>
      <w:r w:rsidR="00320C45" w:rsidRPr="003D1568">
        <w:rPr>
          <w:rFonts w:asciiTheme="majorHAnsi" w:eastAsia="Times New Roman" w:hAnsiTheme="majorHAnsi" w:cstheme="majorHAnsi"/>
          <w:color w:val="000000"/>
          <w:sz w:val="24"/>
          <w:szCs w:val="24"/>
          <w:lang w:val="ru-MD" w:eastAsia="ro-RO" w:bidi="ro-RO"/>
        </w:rPr>
        <w:t xml:space="preserve">на общую сумму 529,9 тыс. леев, </w:t>
      </w:r>
      <w:r w:rsidR="003D1568" w:rsidRPr="003D1568">
        <w:rPr>
          <w:rFonts w:asciiTheme="majorHAnsi" w:eastAsia="Times New Roman" w:hAnsiTheme="majorHAnsi" w:cstheme="majorHAnsi"/>
          <w:color w:val="000000"/>
          <w:sz w:val="24"/>
          <w:szCs w:val="24"/>
          <w:lang w:val="ru-MD" w:eastAsia="ro-RO" w:bidi="ro-RO"/>
        </w:rPr>
        <w:t xml:space="preserve">впоследствии эта </w:t>
      </w:r>
      <w:r w:rsidR="00320C45" w:rsidRPr="003D1568">
        <w:rPr>
          <w:rFonts w:asciiTheme="majorHAnsi" w:eastAsia="Times New Roman" w:hAnsiTheme="majorHAnsi" w:cstheme="majorHAnsi"/>
          <w:color w:val="000000"/>
          <w:sz w:val="24"/>
          <w:szCs w:val="24"/>
          <w:lang w:val="ru-MD" w:eastAsia="ro-RO" w:bidi="ro-RO"/>
        </w:rPr>
        <w:t>сумма</w:t>
      </w:r>
      <w:r w:rsidR="003D1568" w:rsidRPr="003D1568">
        <w:rPr>
          <w:rFonts w:asciiTheme="majorHAnsi" w:eastAsia="Times New Roman" w:hAnsiTheme="majorHAnsi" w:cstheme="majorHAnsi"/>
          <w:color w:val="000000"/>
          <w:sz w:val="24"/>
          <w:szCs w:val="24"/>
          <w:lang w:val="ru-MD" w:eastAsia="ro-RO" w:bidi="ro-RO"/>
        </w:rPr>
        <w:t xml:space="preserve"> была</w:t>
      </w:r>
      <w:r w:rsidR="00320C45" w:rsidRPr="003D1568">
        <w:rPr>
          <w:rFonts w:asciiTheme="majorHAnsi" w:eastAsia="Times New Roman" w:hAnsiTheme="majorHAnsi" w:cstheme="majorHAnsi"/>
          <w:color w:val="000000"/>
          <w:sz w:val="24"/>
          <w:szCs w:val="24"/>
          <w:lang w:val="ru-MD" w:eastAsia="ro-RO" w:bidi="ro-RO"/>
        </w:rPr>
        <w:t xml:space="preserve"> переведен</w:t>
      </w:r>
      <w:r w:rsidR="003D1568" w:rsidRPr="003D1568">
        <w:rPr>
          <w:rFonts w:asciiTheme="majorHAnsi" w:eastAsia="Times New Roman" w:hAnsiTheme="majorHAnsi" w:cstheme="majorHAnsi"/>
          <w:color w:val="000000"/>
          <w:sz w:val="24"/>
          <w:szCs w:val="24"/>
          <w:lang w:val="ru-MD" w:eastAsia="ro-RO" w:bidi="ro-RO"/>
        </w:rPr>
        <w:t>а</w:t>
      </w:r>
      <w:r w:rsidR="00320C45" w:rsidRPr="003D1568">
        <w:rPr>
          <w:rFonts w:asciiTheme="majorHAnsi" w:eastAsia="Times New Roman" w:hAnsiTheme="majorHAnsi" w:cstheme="majorHAnsi"/>
          <w:color w:val="000000"/>
          <w:sz w:val="24"/>
          <w:szCs w:val="24"/>
          <w:lang w:val="ru-MD" w:eastAsia="ro-RO" w:bidi="ro-RO"/>
        </w:rPr>
        <w:t xml:space="preserve"> на банковские счета или снята наличными (315,45 тыс. леев) </w:t>
      </w:r>
      <w:r w:rsidR="003D1568" w:rsidRPr="003D1568">
        <w:rPr>
          <w:rFonts w:asciiTheme="majorHAnsi" w:eastAsia="Times New Roman" w:hAnsiTheme="majorHAnsi" w:cstheme="majorHAnsi"/>
          <w:color w:val="000000"/>
          <w:sz w:val="24"/>
          <w:szCs w:val="24"/>
          <w:lang w:val="ru-MD" w:eastAsia="ro-RO" w:bidi="ro-RO"/>
        </w:rPr>
        <w:t>получателя</w:t>
      </w:r>
      <w:r w:rsidR="00320C45" w:rsidRPr="003D1568">
        <w:rPr>
          <w:rFonts w:asciiTheme="majorHAnsi" w:eastAsia="Times New Roman" w:hAnsiTheme="majorHAnsi" w:cstheme="majorHAnsi"/>
          <w:color w:val="000000"/>
          <w:sz w:val="24"/>
          <w:szCs w:val="24"/>
          <w:lang w:val="ru-MD" w:eastAsia="ro-RO" w:bidi="ro-RO"/>
        </w:rPr>
        <w:t>ми.</w:t>
      </w:r>
    </w:p>
    <w:p w:rsidR="00717CAB" w:rsidRPr="003D1568" w:rsidRDefault="003D1568" w:rsidP="003D1568">
      <w:pPr>
        <w:pStyle w:val="ListParagraph"/>
        <w:tabs>
          <w:tab w:val="left" w:pos="284"/>
          <w:tab w:val="left" w:pos="426"/>
        </w:tabs>
        <w:spacing w:after="0" w:line="276" w:lineRule="auto"/>
        <w:ind w:left="0"/>
        <w:rPr>
          <w:rFonts w:asciiTheme="majorHAnsi" w:eastAsia="Times New Roman" w:hAnsiTheme="majorHAnsi" w:cstheme="majorHAnsi"/>
          <w:sz w:val="24"/>
          <w:szCs w:val="24"/>
          <w:lang w:val="ru-MD"/>
        </w:rPr>
      </w:pPr>
      <w:r w:rsidRPr="003D1568">
        <w:rPr>
          <w:rFonts w:asciiTheme="majorHAnsi" w:eastAsia="Times New Roman" w:hAnsiTheme="majorHAnsi" w:cstheme="majorHAnsi"/>
          <w:color w:val="000000"/>
          <w:sz w:val="24"/>
          <w:szCs w:val="24"/>
          <w:lang w:val="ru-MD" w:eastAsia="ro-RO" w:bidi="ro-RO"/>
        </w:rPr>
        <w:t xml:space="preserve">Эти аспекты </w:t>
      </w:r>
      <w:r w:rsidR="00320C45" w:rsidRPr="003D1568">
        <w:rPr>
          <w:rFonts w:asciiTheme="majorHAnsi" w:eastAsia="Times New Roman" w:hAnsiTheme="majorHAnsi" w:cstheme="majorHAnsi"/>
          <w:color w:val="000000"/>
          <w:sz w:val="24"/>
          <w:szCs w:val="24"/>
          <w:lang w:val="ru-MD" w:eastAsia="ro-RO" w:bidi="ro-RO"/>
        </w:rPr>
        <w:t>не измен</w:t>
      </w:r>
      <w:r w:rsidRPr="003D1568">
        <w:rPr>
          <w:rFonts w:asciiTheme="majorHAnsi" w:eastAsia="Times New Roman" w:hAnsiTheme="majorHAnsi" w:cstheme="majorHAnsi"/>
          <w:color w:val="000000"/>
          <w:sz w:val="24"/>
          <w:szCs w:val="24"/>
          <w:lang w:val="ru-MD" w:eastAsia="ro-RO" w:bidi="ro-RO"/>
        </w:rPr>
        <w:t>или наше мнение</w:t>
      </w:r>
      <w:r w:rsidR="00717CAB" w:rsidRPr="003D1568">
        <w:rPr>
          <w:rFonts w:asciiTheme="majorHAnsi" w:hAnsiTheme="majorHAnsi" w:cstheme="majorHAnsi"/>
          <w:sz w:val="24"/>
          <w:szCs w:val="24"/>
          <w:lang w:val="ru-MD"/>
        </w:rPr>
        <w:t>.</w:t>
      </w:r>
    </w:p>
    <w:p w:rsidR="00F7775C" w:rsidRPr="00F55BA6" w:rsidRDefault="00F7775C" w:rsidP="00F90423">
      <w:pPr>
        <w:pStyle w:val="ListParagraph"/>
        <w:tabs>
          <w:tab w:val="left" w:pos="426"/>
        </w:tabs>
        <w:spacing w:after="0" w:line="276" w:lineRule="auto"/>
        <w:ind w:left="0"/>
        <w:jc w:val="left"/>
        <w:rPr>
          <w:rFonts w:asciiTheme="majorHAnsi" w:eastAsia="Times New Roman" w:hAnsiTheme="majorHAnsi" w:cstheme="majorHAnsi"/>
          <w:b/>
          <w:color w:val="000000" w:themeColor="text1"/>
          <w:szCs w:val="28"/>
          <w:lang w:val="ro-RO"/>
        </w:rPr>
      </w:pPr>
    </w:p>
    <w:p w:rsidR="00F90423" w:rsidRPr="00F55BA6" w:rsidRDefault="006D5370" w:rsidP="00F90423">
      <w:pPr>
        <w:numPr>
          <w:ilvl w:val="0"/>
          <w:numId w:val="1"/>
        </w:numPr>
        <w:tabs>
          <w:tab w:val="left" w:pos="142"/>
          <w:tab w:val="left" w:pos="426"/>
        </w:tabs>
        <w:spacing w:after="0" w:line="276" w:lineRule="auto"/>
        <w:ind w:left="0" w:firstLine="0"/>
        <w:contextualSpacing/>
        <w:jc w:val="left"/>
        <w:outlineLvl w:val="0"/>
        <w:rPr>
          <w:rFonts w:asciiTheme="majorHAnsi" w:eastAsia="Times New Roman" w:hAnsiTheme="majorHAnsi" w:cs="Times New Roman"/>
          <w:b/>
          <w:bCs/>
          <w:szCs w:val="28"/>
          <w:lang w:val="ro-RO"/>
        </w:rPr>
      </w:pPr>
      <w:r w:rsidRPr="00777DAF">
        <w:rPr>
          <w:rFonts w:ascii="Calibri Light" w:hAnsi="Calibri Light" w:cs="Calibri Light"/>
          <w:b/>
          <w:szCs w:val="28"/>
          <w:lang w:val="ru-RU"/>
        </w:rPr>
        <w:t>КЛЮЧЕВЫЕ АСПЕКТЫ АУДИТА</w:t>
      </w:r>
      <w:r w:rsidRPr="00F55BA6">
        <w:rPr>
          <w:rFonts w:asciiTheme="majorHAnsi" w:eastAsia="Times New Roman" w:hAnsiTheme="majorHAnsi" w:cstheme="majorHAnsi"/>
          <w:b/>
          <w:color w:val="000000" w:themeColor="text1"/>
          <w:szCs w:val="28"/>
          <w:lang w:val="ro-RO"/>
        </w:rPr>
        <w:t xml:space="preserve"> </w:t>
      </w:r>
    </w:p>
    <w:p w:rsidR="002B53CA" w:rsidRPr="00F55BA6" w:rsidRDefault="006D5370" w:rsidP="00F7775C">
      <w:pPr>
        <w:tabs>
          <w:tab w:val="left" w:pos="720"/>
        </w:tabs>
        <w:spacing w:after="0" w:line="276" w:lineRule="auto"/>
        <w:ind w:right="49"/>
        <w:rPr>
          <w:rFonts w:asciiTheme="majorHAnsi" w:eastAsia="Calibri" w:hAnsiTheme="majorHAnsi" w:cstheme="majorHAnsi"/>
          <w:sz w:val="24"/>
          <w:szCs w:val="24"/>
          <w:lang w:val="ro-RO" w:eastAsia="zh-CN"/>
        </w:rPr>
      </w:pPr>
      <w:r w:rsidRPr="00EF6CE2">
        <w:rPr>
          <w:rFonts w:asciiTheme="majorHAnsi" w:eastAsia="Times New Roman" w:hAnsiTheme="majorHAnsi" w:cstheme="majorHAnsi"/>
          <w:color w:val="000000" w:themeColor="text1"/>
          <w:sz w:val="24"/>
          <w:szCs w:val="24"/>
          <w:lang w:val="ru-MD"/>
        </w:rPr>
        <w:t xml:space="preserve">Ключевыми аспектами аудита являются те аспекты, которые, по нашему профессиональному суждению, имели наибольшее значение для финансового аудита </w:t>
      </w:r>
      <w:r w:rsidRPr="00EF6CE2">
        <w:rPr>
          <w:rFonts w:asciiTheme="majorHAnsi" w:eastAsia="Times New Roman" w:hAnsiTheme="majorHAnsi" w:cstheme="majorHAnsi"/>
          <w:bCs/>
          <w:color w:val="000000" w:themeColor="text1"/>
          <w:sz w:val="24"/>
          <w:szCs w:val="24"/>
          <w:lang w:val="ru-MD"/>
        </w:rPr>
        <w:t xml:space="preserve">Отчета об исполнении государственного бюджета </w:t>
      </w:r>
      <w:r>
        <w:rPr>
          <w:rFonts w:asciiTheme="majorHAnsi" w:eastAsia="Times New Roman" w:hAnsiTheme="majorHAnsi" w:cstheme="majorHAnsi"/>
          <w:bCs/>
          <w:color w:val="000000" w:themeColor="text1"/>
          <w:sz w:val="24"/>
          <w:szCs w:val="24"/>
          <w:lang w:val="ru-MD"/>
        </w:rPr>
        <w:t>за отчетный год, завершившийся 31 декабря</w:t>
      </w:r>
      <w:r w:rsidRPr="00EF6CE2">
        <w:rPr>
          <w:rFonts w:asciiTheme="majorHAnsi" w:eastAsia="Times New Roman" w:hAnsiTheme="majorHAnsi" w:cstheme="majorHAnsi"/>
          <w:bCs/>
          <w:color w:val="000000" w:themeColor="text1"/>
          <w:sz w:val="24"/>
          <w:szCs w:val="24"/>
          <w:lang w:val="ru-MD"/>
        </w:rPr>
        <w:t xml:space="preserve"> 2020 год</w:t>
      </w:r>
      <w:r>
        <w:rPr>
          <w:rFonts w:asciiTheme="majorHAnsi" w:eastAsia="Times New Roman" w:hAnsiTheme="majorHAnsi" w:cstheme="majorHAnsi"/>
          <w:bCs/>
          <w:color w:val="000000" w:themeColor="text1"/>
          <w:sz w:val="24"/>
          <w:szCs w:val="24"/>
          <w:lang w:val="ru-MD"/>
        </w:rPr>
        <w:t>а</w:t>
      </w:r>
      <w:r w:rsidRPr="00EF6CE2">
        <w:rPr>
          <w:rFonts w:asciiTheme="majorHAnsi" w:eastAsia="Times New Roman" w:hAnsiTheme="majorHAnsi" w:cstheme="majorHAnsi"/>
          <w:color w:val="000000" w:themeColor="text1"/>
          <w:sz w:val="24"/>
          <w:szCs w:val="24"/>
          <w:lang w:val="ru-MD"/>
        </w:rPr>
        <w:t xml:space="preserve">. Эти аспекты были рассмотрены в контексте аудита </w:t>
      </w:r>
      <w:r>
        <w:rPr>
          <w:rFonts w:asciiTheme="majorHAnsi" w:eastAsia="Times New Roman" w:hAnsiTheme="majorHAnsi" w:cstheme="majorHAnsi"/>
          <w:color w:val="000000" w:themeColor="text1"/>
          <w:sz w:val="24"/>
          <w:szCs w:val="24"/>
          <w:lang w:val="ru-MD"/>
        </w:rPr>
        <w:t>Отчета</w:t>
      </w:r>
      <w:r w:rsidRPr="00EF6CE2">
        <w:rPr>
          <w:rFonts w:asciiTheme="majorHAnsi" w:eastAsia="Times New Roman" w:hAnsiTheme="majorHAnsi" w:cstheme="majorHAnsi"/>
          <w:color w:val="000000" w:themeColor="text1"/>
          <w:sz w:val="24"/>
          <w:szCs w:val="24"/>
          <w:lang w:val="ru-MD"/>
        </w:rPr>
        <w:t xml:space="preserve"> в целом, и формирования нашего мнения по не</w:t>
      </w:r>
      <w:r>
        <w:rPr>
          <w:rFonts w:asciiTheme="majorHAnsi" w:eastAsia="Times New Roman" w:hAnsiTheme="majorHAnsi" w:cstheme="majorHAnsi"/>
          <w:color w:val="000000" w:themeColor="text1"/>
          <w:sz w:val="24"/>
          <w:szCs w:val="24"/>
          <w:lang w:val="ru-MD"/>
        </w:rPr>
        <w:t>му</w:t>
      </w:r>
      <w:r w:rsidRPr="00EF6CE2">
        <w:rPr>
          <w:rFonts w:asciiTheme="majorHAnsi" w:eastAsia="Times New Roman" w:hAnsiTheme="majorHAnsi" w:cstheme="majorHAnsi"/>
          <w:color w:val="000000" w:themeColor="text1"/>
          <w:sz w:val="24"/>
          <w:szCs w:val="24"/>
          <w:lang w:val="ru-MD"/>
        </w:rPr>
        <w:t>, и мы не предлагаем отдельного мнения по этим аспек</w:t>
      </w:r>
      <w:r>
        <w:rPr>
          <w:rFonts w:asciiTheme="majorHAnsi" w:eastAsia="Times New Roman" w:hAnsiTheme="majorHAnsi" w:cstheme="majorHAnsi"/>
          <w:color w:val="000000" w:themeColor="text1"/>
          <w:sz w:val="24"/>
          <w:szCs w:val="24"/>
          <w:lang w:val="ru-MD"/>
        </w:rPr>
        <w:t>там</w:t>
      </w:r>
      <w:r w:rsidR="00F7775C" w:rsidRPr="00E4517B">
        <w:rPr>
          <w:rFonts w:asciiTheme="majorHAnsi" w:eastAsia="Calibri" w:hAnsiTheme="majorHAnsi" w:cstheme="majorHAnsi"/>
          <w:sz w:val="24"/>
          <w:szCs w:val="24"/>
          <w:lang w:val="ro-RO"/>
        </w:rPr>
        <w:t xml:space="preserve">. </w:t>
      </w:r>
    </w:p>
    <w:p w:rsidR="00E40DCE" w:rsidRPr="00E4517B" w:rsidRDefault="00E40DCE" w:rsidP="00473C3C">
      <w:pPr>
        <w:spacing w:after="0"/>
        <w:rPr>
          <w:rFonts w:asciiTheme="majorHAnsi" w:hAnsiTheme="majorHAnsi" w:cstheme="majorHAnsi"/>
          <w:sz w:val="24"/>
          <w:szCs w:val="24"/>
          <w:lang w:val="ro-RO"/>
        </w:rPr>
      </w:pPr>
    </w:p>
    <w:p w:rsidR="00F90423" w:rsidRPr="006D5370" w:rsidRDefault="00B412E8" w:rsidP="00F90423">
      <w:pPr>
        <w:numPr>
          <w:ilvl w:val="0"/>
          <w:numId w:val="1"/>
        </w:numPr>
        <w:tabs>
          <w:tab w:val="left" w:pos="142"/>
          <w:tab w:val="left" w:pos="426"/>
        </w:tabs>
        <w:spacing w:after="0" w:line="276" w:lineRule="auto"/>
        <w:ind w:left="0" w:firstLine="0"/>
        <w:contextualSpacing/>
        <w:jc w:val="left"/>
        <w:outlineLvl w:val="0"/>
        <w:rPr>
          <w:rFonts w:asciiTheme="majorHAnsi" w:eastAsia="Times New Roman" w:hAnsiTheme="majorHAnsi" w:cs="Times New Roman"/>
          <w:b/>
          <w:bCs/>
          <w:szCs w:val="28"/>
          <w:lang w:val="ro-RO"/>
        </w:rPr>
      </w:pPr>
      <w:r w:rsidRPr="00B412E8">
        <w:rPr>
          <w:rFonts w:asciiTheme="majorHAnsi" w:eastAsia="Times New Roman" w:hAnsiTheme="majorHAnsi" w:cstheme="majorHAnsi"/>
          <w:b/>
          <w:color w:val="000000" w:themeColor="text1"/>
          <w:szCs w:val="28"/>
          <w:lang w:val="ru-MD"/>
        </w:rPr>
        <w:t>ДРУГАЯ ИНФОРМАЦИЯ</w:t>
      </w:r>
      <w:r w:rsidRPr="00B412E8">
        <w:rPr>
          <w:rFonts w:asciiTheme="majorHAnsi" w:eastAsia="Times New Roman" w:hAnsiTheme="majorHAnsi" w:cstheme="majorHAnsi"/>
          <w:b/>
          <w:color w:val="000000" w:themeColor="text1"/>
          <w:szCs w:val="28"/>
          <w:lang w:val="ro-RO"/>
        </w:rPr>
        <w:t xml:space="preserve"> </w:t>
      </w:r>
    </w:p>
    <w:p w:rsidR="00C77062" w:rsidRPr="00F55BA6" w:rsidRDefault="00C77062" w:rsidP="00611734">
      <w:pPr>
        <w:tabs>
          <w:tab w:val="left" w:pos="142"/>
          <w:tab w:val="left" w:pos="426"/>
        </w:tabs>
        <w:spacing w:after="0" w:line="276" w:lineRule="auto"/>
        <w:contextualSpacing/>
        <w:outlineLvl w:val="0"/>
        <w:rPr>
          <w:rFonts w:asciiTheme="majorHAnsi" w:eastAsia="Times New Roman" w:hAnsiTheme="majorHAnsi" w:cs="Times New Roman"/>
          <w:b/>
          <w:bCs/>
          <w:szCs w:val="28"/>
          <w:lang w:val="ro-RO"/>
        </w:rPr>
      </w:pPr>
      <w:r w:rsidRPr="00E4517B">
        <w:rPr>
          <w:rFonts w:asciiTheme="majorHAnsi" w:hAnsiTheme="majorHAnsi" w:cstheme="majorHAnsi"/>
          <w:b/>
          <w:sz w:val="24"/>
          <w:szCs w:val="24"/>
          <w:lang w:val="ro-RO"/>
        </w:rPr>
        <w:t xml:space="preserve">5.1 </w:t>
      </w:r>
      <w:r w:rsidR="006D2C88" w:rsidRPr="006D2C88">
        <w:rPr>
          <w:rFonts w:asciiTheme="majorHAnsi" w:hAnsiTheme="majorHAnsi" w:cstheme="majorHAnsi"/>
          <w:b/>
          <w:sz w:val="24"/>
          <w:szCs w:val="24"/>
          <w:lang w:val="ru-MD"/>
        </w:rPr>
        <w:t>МФ</w:t>
      </w:r>
      <w:r w:rsidR="00F06292" w:rsidRPr="006D2C88">
        <w:rPr>
          <w:rFonts w:asciiTheme="majorHAnsi" w:hAnsiTheme="majorHAnsi" w:cstheme="majorHAnsi"/>
          <w:b/>
          <w:sz w:val="24"/>
          <w:szCs w:val="24"/>
          <w:lang w:val="ru-MD"/>
        </w:rPr>
        <w:t xml:space="preserve"> </w:t>
      </w:r>
      <w:r w:rsidR="006D2C88" w:rsidRPr="006D2C88">
        <w:rPr>
          <w:rFonts w:asciiTheme="majorHAnsi" w:hAnsiTheme="majorHAnsi" w:cstheme="majorHAnsi"/>
          <w:b/>
          <w:sz w:val="24"/>
          <w:szCs w:val="24"/>
          <w:lang w:val="ru-MD"/>
        </w:rPr>
        <w:t>отраж</w:t>
      </w:r>
      <w:r w:rsidR="00F06292" w:rsidRPr="006D2C88">
        <w:rPr>
          <w:rFonts w:asciiTheme="majorHAnsi" w:hAnsiTheme="majorHAnsi" w:cstheme="majorHAnsi"/>
          <w:b/>
          <w:sz w:val="24"/>
          <w:szCs w:val="24"/>
          <w:lang w:val="ru-MD"/>
        </w:rPr>
        <w:t>ает сумму задолженностей п</w:t>
      </w:r>
      <w:r w:rsidR="006D2C88" w:rsidRPr="006D2C88">
        <w:rPr>
          <w:rFonts w:asciiTheme="majorHAnsi" w:hAnsiTheme="majorHAnsi" w:cstheme="majorHAnsi"/>
          <w:b/>
          <w:sz w:val="24"/>
          <w:szCs w:val="24"/>
          <w:lang w:val="ru-MD"/>
        </w:rPr>
        <w:t>еред ГБ</w:t>
      </w:r>
      <w:r w:rsidR="00F06292" w:rsidRPr="006D2C88">
        <w:rPr>
          <w:rFonts w:asciiTheme="majorHAnsi" w:hAnsiTheme="majorHAnsi" w:cstheme="majorHAnsi"/>
          <w:b/>
          <w:sz w:val="24"/>
          <w:szCs w:val="24"/>
          <w:lang w:val="ru-MD"/>
        </w:rPr>
        <w:t xml:space="preserve"> только </w:t>
      </w:r>
      <w:r w:rsidR="006D2C88" w:rsidRPr="006D2C88">
        <w:rPr>
          <w:rFonts w:asciiTheme="majorHAnsi" w:hAnsiTheme="majorHAnsi" w:cstheme="majorHAnsi"/>
          <w:b/>
          <w:sz w:val="24"/>
          <w:szCs w:val="24"/>
          <w:lang w:val="ru-MD"/>
        </w:rPr>
        <w:t>по</w:t>
      </w:r>
      <w:r w:rsidR="00F06292" w:rsidRPr="006D2C88">
        <w:rPr>
          <w:rFonts w:asciiTheme="majorHAnsi" w:hAnsiTheme="majorHAnsi" w:cstheme="majorHAnsi"/>
          <w:b/>
          <w:sz w:val="24"/>
          <w:szCs w:val="24"/>
          <w:lang w:val="ru-MD"/>
        </w:rPr>
        <w:t xml:space="preserve"> платежам, </w:t>
      </w:r>
      <w:r w:rsidR="006D2C88" w:rsidRPr="006D2C88">
        <w:rPr>
          <w:rFonts w:asciiTheme="majorHAnsi" w:hAnsiTheme="majorHAnsi" w:cstheme="majorHAnsi"/>
          <w:b/>
          <w:sz w:val="24"/>
          <w:szCs w:val="24"/>
          <w:lang w:val="ru-MD"/>
        </w:rPr>
        <w:t>администрируемым ГНС и ТС</w:t>
      </w:r>
      <w:r w:rsidR="00F06292" w:rsidRPr="006D2C88">
        <w:rPr>
          <w:rFonts w:asciiTheme="majorHAnsi" w:hAnsiTheme="majorHAnsi" w:cstheme="majorHAnsi"/>
          <w:b/>
          <w:sz w:val="24"/>
          <w:szCs w:val="24"/>
          <w:lang w:val="ru-MD"/>
        </w:rPr>
        <w:t xml:space="preserve">, </w:t>
      </w:r>
      <w:r w:rsidR="006D2C88" w:rsidRPr="006D2C88">
        <w:rPr>
          <w:rFonts w:asciiTheme="majorHAnsi" w:hAnsiTheme="majorHAnsi" w:cstheme="majorHAnsi"/>
          <w:b/>
          <w:sz w:val="24"/>
          <w:szCs w:val="24"/>
          <w:lang w:val="ru-MD"/>
        </w:rPr>
        <w:t xml:space="preserve">и эти </w:t>
      </w:r>
      <w:r w:rsidR="00F06292" w:rsidRPr="006D2C88">
        <w:rPr>
          <w:rFonts w:asciiTheme="majorHAnsi" w:hAnsiTheme="majorHAnsi" w:cstheme="majorHAnsi"/>
          <w:b/>
          <w:sz w:val="24"/>
          <w:szCs w:val="24"/>
          <w:lang w:val="ru-MD"/>
        </w:rPr>
        <w:t>суммы</w:t>
      </w:r>
      <w:r w:rsidR="006D2C88" w:rsidRPr="006D2C88">
        <w:rPr>
          <w:rFonts w:asciiTheme="majorHAnsi" w:hAnsiTheme="majorHAnsi" w:cstheme="majorHAnsi"/>
          <w:b/>
          <w:sz w:val="24"/>
          <w:szCs w:val="24"/>
          <w:lang w:val="ru-MD"/>
        </w:rPr>
        <w:t xml:space="preserve"> растут</w:t>
      </w:r>
      <w:r w:rsidR="005E446A">
        <w:rPr>
          <w:rFonts w:asciiTheme="majorHAnsi" w:eastAsia="Times New Roman" w:hAnsiTheme="majorHAnsi" w:cstheme="majorHAnsi"/>
          <w:b/>
          <w:sz w:val="24"/>
          <w:szCs w:val="24"/>
          <w:lang w:val="ro-RO"/>
        </w:rPr>
        <w:t>.</w:t>
      </w:r>
    </w:p>
    <w:p w:rsidR="004E5FA3" w:rsidRPr="00F55BA6" w:rsidRDefault="006D2C88" w:rsidP="004E5FA3">
      <w:pPr>
        <w:spacing w:after="0" w:line="276" w:lineRule="auto"/>
        <w:rPr>
          <w:rFonts w:asciiTheme="majorHAnsi" w:eastAsia="Times New Roman" w:hAnsiTheme="majorHAnsi" w:cstheme="majorHAnsi"/>
          <w:sz w:val="24"/>
          <w:szCs w:val="24"/>
          <w:lang w:val="ro-RO"/>
        </w:rPr>
      </w:pPr>
      <w:r w:rsidRPr="009017B5">
        <w:rPr>
          <w:rFonts w:asciiTheme="majorHAnsi" w:eastAsia="Times New Roman" w:hAnsiTheme="majorHAnsi" w:cstheme="majorHAnsi"/>
          <w:sz w:val="24"/>
          <w:szCs w:val="24"/>
          <w:lang w:val="ru-MD"/>
        </w:rPr>
        <w:t xml:space="preserve">Аудит </w:t>
      </w:r>
      <w:r w:rsidR="009017B5" w:rsidRPr="009017B5">
        <w:rPr>
          <w:rFonts w:asciiTheme="majorHAnsi" w:eastAsia="Times New Roman" w:hAnsiTheme="majorHAnsi" w:cstheme="majorHAnsi"/>
          <w:sz w:val="24"/>
          <w:szCs w:val="24"/>
          <w:lang w:val="ru-MD"/>
        </w:rPr>
        <w:t>отмеч</w:t>
      </w:r>
      <w:r w:rsidRPr="009017B5">
        <w:rPr>
          <w:rFonts w:asciiTheme="majorHAnsi" w:eastAsia="Times New Roman" w:hAnsiTheme="majorHAnsi" w:cstheme="majorHAnsi"/>
          <w:sz w:val="24"/>
          <w:szCs w:val="24"/>
          <w:lang w:val="ru-MD"/>
        </w:rPr>
        <w:t xml:space="preserve">ает, что в 2020 году только 2 </w:t>
      </w:r>
      <w:r w:rsidR="00FC1E5F">
        <w:rPr>
          <w:rFonts w:asciiTheme="majorHAnsi" w:eastAsia="Times New Roman" w:hAnsiTheme="majorHAnsi" w:cstheme="majorHAnsi"/>
          <w:sz w:val="24"/>
          <w:szCs w:val="24"/>
          <w:lang w:val="ru-MD"/>
        </w:rPr>
        <w:t>администратора</w:t>
      </w:r>
      <w:r w:rsidRPr="009017B5">
        <w:rPr>
          <w:rFonts w:asciiTheme="majorHAnsi" w:eastAsia="Times New Roman" w:hAnsiTheme="majorHAnsi" w:cstheme="majorHAnsi"/>
          <w:sz w:val="24"/>
          <w:szCs w:val="24"/>
          <w:lang w:val="ru-MD"/>
        </w:rPr>
        <w:t xml:space="preserve"> доход</w:t>
      </w:r>
      <w:r w:rsidR="009017B5" w:rsidRPr="009017B5">
        <w:rPr>
          <w:rFonts w:asciiTheme="majorHAnsi" w:eastAsia="Times New Roman" w:hAnsiTheme="majorHAnsi" w:cstheme="majorHAnsi"/>
          <w:sz w:val="24"/>
          <w:szCs w:val="24"/>
          <w:lang w:val="ru-MD"/>
        </w:rPr>
        <w:t>ов</w:t>
      </w:r>
      <w:r w:rsidRPr="009017B5">
        <w:rPr>
          <w:rFonts w:asciiTheme="majorHAnsi" w:eastAsia="Times New Roman" w:hAnsiTheme="majorHAnsi" w:cstheme="majorHAnsi"/>
          <w:sz w:val="24"/>
          <w:szCs w:val="24"/>
          <w:lang w:val="ru-MD"/>
        </w:rPr>
        <w:t xml:space="preserve"> (</w:t>
      </w:r>
      <w:r w:rsidR="009017B5" w:rsidRPr="009017B5">
        <w:rPr>
          <w:rFonts w:asciiTheme="majorHAnsi" w:eastAsia="Times New Roman" w:hAnsiTheme="majorHAnsi" w:cstheme="majorHAnsi"/>
          <w:sz w:val="24"/>
          <w:szCs w:val="24"/>
          <w:lang w:val="ru-MD"/>
        </w:rPr>
        <w:t>ГНС</w:t>
      </w:r>
      <w:r w:rsidRPr="009017B5">
        <w:rPr>
          <w:rFonts w:asciiTheme="majorHAnsi" w:eastAsia="Times New Roman" w:hAnsiTheme="majorHAnsi" w:cstheme="majorHAnsi"/>
          <w:sz w:val="24"/>
          <w:szCs w:val="24"/>
          <w:lang w:val="ru-MD"/>
        </w:rPr>
        <w:t xml:space="preserve"> и </w:t>
      </w:r>
      <w:r w:rsidR="009017B5" w:rsidRPr="009017B5">
        <w:rPr>
          <w:rFonts w:asciiTheme="majorHAnsi" w:eastAsia="Times New Roman" w:hAnsiTheme="majorHAnsi" w:cstheme="majorHAnsi"/>
          <w:sz w:val="24"/>
          <w:szCs w:val="24"/>
          <w:lang w:val="ru-MD"/>
        </w:rPr>
        <w:t>ТС</w:t>
      </w:r>
      <w:r w:rsidRPr="009017B5">
        <w:rPr>
          <w:rFonts w:asciiTheme="majorHAnsi" w:eastAsia="Times New Roman" w:hAnsiTheme="majorHAnsi" w:cstheme="majorHAnsi"/>
          <w:sz w:val="24"/>
          <w:szCs w:val="24"/>
          <w:lang w:val="ru-MD"/>
        </w:rPr>
        <w:t xml:space="preserve">) представили </w:t>
      </w:r>
      <w:r w:rsidR="009017B5" w:rsidRPr="009017B5">
        <w:rPr>
          <w:rFonts w:asciiTheme="majorHAnsi" w:eastAsia="Times New Roman" w:hAnsiTheme="majorHAnsi" w:cstheme="majorHAnsi"/>
          <w:sz w:val="24"/>
          <w:szCs w:val="24"/>
          <w:lang w:val="ru-MD"/>
        </w:rPr>
        <w:t>МФ</w:t>
      </w:r>
      <w:r w:rsidRPr="009017B5">
        <w:rPr>
          <w:rFonts w:asciiTheme="majorHAnsi" w:eastAsia="Times New Roman" w:hAnsiTheme="majorHAnsi" w:cstheme="majorHAnsi"/>
          <w:sz w:val="24"/>
          <w:szCs w:val="24"/>
          <w:lang w:val="ru-MD"/>
        </w:rPr>
        <w:t xml:space="preserve"> отчеты о задолженност</w:t>
      </w:r>
      <w:r w:rsidR="00FC1E5F">
        <w:rPr>
          <w:rFonts w:asciiTheme="majorHAnsi" w:eastAsia="Times New Roman" w:hAnsiTheme="majorHAnsi" w:cstheme="majorHAnsi"/>
          <w:sz w:val="24"/>
          <w:szCs w:val="24"/>
          <w:lang w:val="ru-MD"/>
        </w:rPr>
        <w:t>ях перед</w:t>
      </w:r>
      <w:r w:rsidRPr="009017B5">
        <w:rPr>
          <w:rFonts w:asciiTheme="majorHAnsi" w:eastAsia="Times New Roman" w:hAnsiTheme="majorHAnsi" w:cstheme="majorHAnsi"/>
          <w:sz w:val="24"/>
          <w:szCs w:val="24"/>
          <w:lang w:val="ru-MD"/>
        </w:rPr>
        <w:t xml:space="preserve"> </w:t>
      </w:r>
      <w:r w:rsidR="009017B5" w:rsidRPr="009017B5">
        <w:rPr>
          <w:rFonts w:asciiTheme="majorHAnsi" w:eastAsia="Times New Roman" w:hAnsiTheme="majorHAnsi" w:cstheme="majorHAnsi"/>
          <w:sz w:val="24"/>
          <w:szCs w:val="24"/>
          <w:lang w:val="ru-MD"/>
        </w:rPr>
        <w:t>ГБ</w:t>
      </w:r>
      <w:r w:rsidRPr="009017B5">
        <w:rPr>
          <w:rFonts w:asciiTheme="majorHAnsi" w:eastAsia="Times New Roman" w:hAnsiTheme="majorHAnsi" w:cstheme="majorHAnsi"/>
          <w:sz w:val="24"/>
          <w:szCs w:val="24"/>
          <w:lang w:val="ru-MD"/>
        </w:rPr>
        <w:t xml:space="preserve">, хотя нормативная база не предусматривала обязательность их представления. Так, </w:t>
      </w:r>
      <w:r w:rsidR="00FC1E5F">
        <w:rPr>
          <w:rFonts w:asciiTheme="majorHAnsi" w:eastAsia="Times New Roman" w:hAnsiTheme="majorHAnsi" w:cstheme="majorHAnsi"/>
          <w:sz w:val="24"/>
          <w:szCs w:val="24"/>
          <w:lang w:val="ru-MD"/>
        </w:rPr>
        <w:t>П</w:t>
      </w:r>
      <w:r w:rsidRPr="009017B5">
        <w:rPr>
          <w:rFonts w:asciiTheme="majorHAnsi" w:eastAsia="Times New Roman" w:hAnsiTheme="majorHAnsi" w:cstheme="majorHAnsi"/>
          <w:sz w:val="24"/>
          <w:szCs w:val="24"/>
          <w:lang w:val="ru-MD"/>
        </w:rPr>
        <w:t>риказ</w:t>
      </w:r>
      <w:r w:rsidR="00FC1E5F">
        <w:rPr>
          <w:rFonts w:asciiTheme="majorHAnsi" w:eastAsia="Times New Roman" w:hAnsiTheme="majorHAnsi" w:cstheme="majorHAnsi"/>
          <w:sz w:val="24"/>
          <w:szCs w:val="24"/>
          <w:lang w:val="ru-MD"/>
        </w:rPr>
        <w:t>ом</w:t>
      </w:r>
      <w:r w:rsidRPr="009017B5">
        <w:rPr>
          <w:rFonts w:asciiTheme="majorHAnsi" w:eastAsia="Times New Roman" w:hAnsiTheme="majorHAnsi" w:cstheme="majorHAnsi"/>
          <w:sz w:val="24"/>
          <w:szCs w:val="24"/>
          <w:lang w:val="ru-MD"/>
        </w:rPr>
        <w:t xml:space="preserve"> МФ</w:t>
      </w:r>
      <w:r w:rsidR="009017B5" w:rsidRPr="009017B5">
        <w:rPr>
          <w:rFonts w:asciiTheme="majorHAnsi" w:eastAsia="Times New Roman" w:hAnsiTheme="majorHAnsi" w:cstheme="majorHAnsi"/>
          <w:sz w:val="24"/>
          <w:szCs w:val="24"/>
          <w:lang w:val="ru-MD"/>
        </w:rPr>
        <w:t xml:space="preserve"> </w:t>
      </w:r>
      <w:r w:rsidRPr="009017B5">
        <w:rPr>
          <w:rFonts w:asciiTheme="majorHAnsi" w:eastAsia="Times New Roman" w:hAnsiTheme="majorHAnsi" w:cstheme="majorHAnsi"/>
          <w:sz w:val="24"/>
          <w:szCs w:val="24"/>
          <w:lang w:val="ru-MD"/>
        </w:rPr>
        <w:t xml:space="preserve">№8 </w:t>
      </w:r>
      <w:r w:rsidR="009017B5" w:rsidRPr="009017B5">
        <w:rPr>
          <w:rFonts w:asciiTheme="majorHAnsi" w:eastAsia="Times New Roman" w:hAnsiTheme="majorHAnsi" w:cstheme="majorHAnsi"/>
          <w:sz w:val="24"/>
          <w:szCs w:val="24"/>
          <w:lang w:val="ru-MD"/>
        </w:rPr>
        <w:t>от</w:t>
      </w:r>
      <w:r w:rsidRPr="009017B5">
        <w:rPr>
          <w:rFonts w:asciiTheme="majorHAnsi" w:eastAsia="Times New Roman" w:hAnsiTheme="majorHAnsi" w:cstheme="majorHAnsi"/>
          <w:sz w:val="24"/>
          <w:szCs w:val="24"/>
          <w:lang w:val="ru-MD"/>
        </w:rPr>
        <w:t xml:space="preserve"> 15.01.2020</w:t>
      </w:r>
      <w:r w:rsidR="00FC1E5F" w:rsidRPr="00F55BA6">
        <w:rPr>
          <w:rFonts w:asciiTheme="majorHAnsi" w:eastAsia="Times New Roman" w:hAnsiTheme="majorHAnsi" w:cstheme="majorHAnsi"/>
          <w:sz w:val="24"/>
          <w:szCs w:val="24"/>
          <w:vertAlign w:val="superscript"/>
          <w:lang w:val="ro-RO"/>
        </w:rPr>
        <w:footnoteReference w:id="15"/>
      </w:r>
      <w:r w:rsidRPr="009017B5">
        <w:rPr>
          <w:rFonts w:asciiTheme="majorHAnsi" w:eastAsia="Times New Roman" w:hAnsiTheme="majorHAnsi" w:cstheme="majorHAnsi"/>
          <w:sz w:val="24"/>
          <w:szCs w:val="24"/>
          <w:lang w:val="ru-MD"/>
        </w:rPr>
        <w:t xml:space="preserve"> </w:t>
      </w:r>
      <w:r w:rsidR="009017B5" w:rsidRPr="009017B5">
        <w:rPr>
          <w:rFonts w:asciiTheme="majorHAnsi" w:eastAsia="Times New Roman" w:hAnsiTheme="majorHAnsi" w:cstheme="majorHAnsi"/>
          <w:sz w:val="24"/>
          <w:szCs w:val="24"/>
          <w:lang w:val="ru-MD"/>
        </w:rPr>
        <w:t>МФ</w:t>
      </w:r>
      <w:r w:rsidRPr="009017B5">
        <w:rPr>
          <w:rFonts w:asciiTheme="majorHAnsi" w:eastAsia="Times New Roman" w:hAnsiTheme="majorHAnsi" w:cstheme="majorHAnsi"/>
          <w:sz w:val="24"/>
          <w:szCs w:val="24"/>
          <w:lang w:val="ru-MD"/>
        </w:rPr>
        <w:t xml:space="preserve"> исключил</w:t>
      </w:r>
      <w:r w:rsidR="009017B5" w:rsidRPr="009017B5">
        <w:rPr>
          <w:rFonts w:asciiTheme="majorHAnsi" w:eastAsia="Times New Roman" w:hAnsiTheme="majorHAnsi" w:cstheme="majorHAnsi"/>
          <w:sz w:val="24"/>
          <w:szCs w:val="24"/>
          <w:lang w:val="ru-MD"/>
        </w:rPr>
        <w:t>о</w:t>
      </w:r>
      <w:r w:rsidRPr="009017B5">
        <w:rPr>
          <w:rFonts w:asciiTheme="majorHAnsi" w:eastAsia="Times New Roman" w:hAnsiTheme="majorHAnsi" w:cstheme="majorHAnsi"/>
          <w:sz w:val="24"/>
          <w:szCs w:val="24"/>
          <w:lang w:val="ru-MD"/>
        </w:rPr>
        <w:t xml:space="preserve"> </w:t>
      </w:r>
      <w:r w:rsidR="009017B5" w:rsidRPr="009017B5">
        <w:rPr>
          <w:rFonts w:asciiTheme="majorHAnsi" w:eastAsia="Times New Roman" w:hAnsiTheme="majorHAnsi" w:cstheme="majorHAnsi"/>
          <w:sz w:val="24"/>
          <w:szCs w:val="24"/>
          <w:lang w:val="ru-MD"/>
        </w:rPr>
        <w:t>п</w:t>
      </w:r>
      <w:r w:rsidRPr="009017B5">
        <w:rPr>
          <w:rFonts w:asciiTheme="majorHAnsi" w:eastAsia="Times New Roman" w:hAnsiTheme="majorHAnsi" w:cstheme="majorHAnsi"/>
          <w:sz w:val="24"/>
          <w:szCs w:val="24"/>
          <w:lang w:val="ru-MD"/>
        </w:rPr>
        <w:t xml:space="preserve">.3.9.4 </w:t>
      </w:r>
      <w:r w:rsidR="009017B5" w:rsidRPr="009017B5">
        <w:rPr>
          <w:rFonts w:asciiTheme="majorHAnsi" w:eastAsia="Times New Roman" w:hAnsiTheme="majorHAnsi" w:cstheme="majorHAnsi"/>
          <w:sz w:val="24"/>
          <w:szCs w:val="24"/>
          <w:lang w:val="ru-MD"/>
        </w:rPr>
        <w:t>П</w:t>
      </w:r>
      <w:r w:rsidRPr="009017B5">
        <w:rPr>
          <w:rFonts w:asciiTheme="majorHAnsi" w:eastAsia="Times New Roman" w:hAnsiTheme="majorHAnsi" w:cstheme="majorHAnsi"/>
          <w:sz w:val="24"/>
          <w:szCs w:val="24"/>
          <w:lang w:val="ru-MD"/>
        </w:rPr>
        <w:t>риказа МФ</w:t>
      </w:r>
      <w:r w:rsidR="009017B5" w:rsidRPr="009017B5">
        <w:rPr>
          <w:rFonts w:asciiTheme="majorHAnsi" w:eastAsia="Times New Roman" w:hAnsiTheme="majorHAnsi" w:cstheme="majorHAnsi"/>
          <w:sz w:val="24"/>
          <w:szCs w:val="24"/>
          <w:lang w:val="ru-MD"/>
        </w:rPr>
        <w:t xml:space="preserve"> </w:t>
      </w:r>
      <w:r w:rsidRPr="009017B5">
        <w:rPr>
          <w:rFonts w:asciiTheme="majorHAnsi" w:eastAsia="Times New Roman" w:hAnsiTheme="majorHAnsi" w:cstheme="majorHAnsi"/>
          <w:sz w:val="24"/>
          <w:szCs w:val="24"/>
          <w:lang w:val="ru-MD"/>
        </w:rPr>
        <w:t>№215 от 28.12.2015 о представлени</w:t>
      </w:r>
      <w:r w:rsidR="00FC1E5F">
        <w:rPr>
          <w:rFonts w:asciiTheme="majorHAnsi" w:eastAsia="Times New Roman" w:hAnsiTheme="majorHAnsi" w:cstheme="majorHAnsi"/>
          <w:sz w:val="24"/>
          <w:szCs w:val="24"/>
          <w:lang w:val="ru-MD"/>
        </w:rPr>
        <w:t>и</w:t>
      </w:r>
      <w:r w:rsidRPr="009017B5">
        <w:rPr>
          <w:rFonts w:asciiTheme="majorHAnsi" w:eastAsia="Times New Roman" w:hAnsiTheme="majorHAnsi" w:cstheme="majorHAnsi"/>
          <w:sz w:val="24"/>
          <w:szCs w:val="24"/>
          <w:lang w:val="ru-MD"/>
        </w:rPr>
        <w:t xml:space="preserve"> администраторами доходов отчетов о задолженностях по платежам, </w:t>
      </w:r>
      <w:r w:rsidR="00FC1E5F">
        <w:rPr>
          <w:rFonts w:asciiTheme="majorHAnsi" w:eastAsia="Times New Roman" w:hAnsiTheme="majorHAnsi" w:cstheme="majorHAnsi"/>
          <w:sz w:val="24"/>
          <w:szCs w:val="24"/>
          <w:lang w:val="ru-MD"/>
        </w:rPr>
        <w:t>находящимся в их ведении</w:t>
      </w:r>
      <w:r w:rsidRPr="009017B5">
        <w:rPr>
          <w:rFonts w:asciiTheme="majorHAnsi" w:eastAsia="Times New Roman" w:hAnsiTheme="majorHAnsi" w:cstheme="majorHAnsi"/>
          <w:sz w:val="24"/>
          <w:szCs w:val="24"/>
          <w:lang w:val="ru-MD"/>
        </w:rPr>
        <w:t xml:space="preserve">, </w:t>
      </w:r>
      <w:r w:rsidR="00390CE1">
        <w:rPr>
          <w:rFonts w:asciiTheme="majorHAnsi" w:eastAsia="Times New Roman" w:hAnsiTheme="majorHAnsi" w:cstheme="majorHAnsi"/>
          <w:sz w:val="24"/>
          <w:szCs w:val="24"/>
          <w:lang w:val="ru-MD"/>
        </w:rPr>
        <w:t>тем самым снижая</w:t>
      </w:r>
      <w:r w:rsidRPr="009017B5">
        <w:rPr>
          <w:rFonts w:asciiTheme="majorHAnsi" w:eastAsia="Times New Roman" w:hAnsiTheme="majorHAnsi" w:cstheme="majorHAnsi"/>
          <w:sz w:val="24"/>
          <w:szCs w:val="24"/>
          <w:lang w:val="ru-MD"/>
        </w:rPr>
        <w:t xml:space="preserve"> их ответственность за </w:t>
      </w:r>
      <w:r w:rsidR="00390CE1">
        <w:rPr>
          <w:rFonts w:asciiTheme="majorHAnsi" w:eastAsia="Times New Roman" w:hAnsiTheme="majorHAnsi" w:cstheme="majorHAnsi"/>
          <w:sz w:val="24"/>
          <w:szCs w:val="24"/>
          <w:lang w:val="ru-MD"/>
        </w:rPr>
        <w:t>взыска</w:t>
      </w:r>
      <w:r w:rsidRPr="009017B5">
        <w:rPr>
          <w:rFonts w:asciiTheme="majorHAnsi" w:eastAsia="Times New Roman" w:hAnsiTheme="majorHAnsi" w:cstheme="majorHAnsi"/>
          <w:sz w:val="24"/>
          <w:szCs w:val="24"/>
          <w:lang w:val="ru-MD"/>
        </w:rPr>
        <w:t xml:space="preserve">ние бюджетных задолженностей. В 2021 году </w:t>
      </w:r>
      <w:r w:rsidR="00390CE1" w:rsidRPr="009017B5">
        <w:rPr>
          <w:rFonts w:asciiTheme="majorHAnsi" w:eastAsia="Times New Roman" w:hAnsiTheme="majorHAnsi" w:cstheme="majorHAnsi"/>
          <w:sz w:val="24"/>
          <w:szCs w:val="24"/>
          <w:lang w:val="ru-MD"/>
        </w:rPr>
        <w:t xml:space="preserve">МФ </w:t>
      </w:r>
      <w:r w:rsidRPr="009017B5">
        <w:rPr>
          <w:rFonts w:asciiTheme="majorHAnsi" w:eastAsia="Times New Roman" w:hAnsiTheme="majorHAnsi" w:cstheme="majorHAnsi"/>
          <w:sz w:val="24"/>
          <w:szCs w:val="24"/>
          <w:lang w:val="ru-MD"/>
        </w:rPr>
        <w:t xml:space="preserve">были утверждены </w:t>
      </w:r>
      <w:r w:rsidR="00390CE1">
        <w:rPr>
          <w:rFonts w:asciiTheme="majorHAnsi" w:eastAsia="Times New Roman" w:hAnsiTheme="majorHAnsi" w:cstheme="majorHAnsi"/>
          <w:sz w:val="24"/>
          <w:szCs w:val="24"/>
          <w:lang w:val="ru-MD"/>
        </w:rPr>
        <w:t>нормативные положения, устанавливающие</w:t>
      </w:r>
      <w:r w:rsidRPr="009017B5">
        <w:rPr>
          <w:rFonts w:asciiTheme="majorHAnsi" w:eastAsia="Times New Roman" w:hAnsiTheme="majorHAnsi" w:cstheme="majorHAnsi"/>
          <w:sz w:val="24"/>
          <w:szCs w:val="24"/>
          <w:lang w:val="ru-MD"/>
        </w:rPr>
        <w:t xml:space="preserve"> обязательност</w:t>
      </w:r>
      <w:r w:rsidR="00390CE1">
        <w:rPr>
          <w:rFonts w:asciiTheme="majorHAnsi" w:eastAsia="Times New Roman" w:hAnsiTheme="majorHAnsi" w:cstheme="majorHAnsi"/>
          <w:sz w:val="24"/>
          <w:szCs w:val="24"/>
          <w:lang w:val="ru-MD"/>
        </w:rPr>
        <w:t>ь</w:t>
      </w:r>
      <w:r w:rsidRPr="009017B5">
        <w:rPr>
          <w:rFonts w:asciiTheme="majorHAnsi" w:eastAsia="Times New Roman" w:hAnsiTheme="majorHAnsi" w:cstheme="majorHAnsi"/>
          <w:sz w:val="24"/>
          <w:szCs w:val="24"/>
          <w:lang w:val="ru-MD"/>
        </w:rPr>
        <w:t>, поряд</w:t>
      </w:r>
      <w:r w:rsidR="00390CE1">
        <w:rPr>
          <w:rFonts w:asciiTheme="majorHAnsi" w:eastAsia="Times New Roman" w:hAnsiTheme="majorHAnsi" w:cstheme="majorHAnsi"/>
          <w:sz w:val="24"/>
          <w:szCs w:val="24"/>
          <w:lang w:val="ru-MD"/>
        </w:rPr>
        <w:t>о</w:t>
      </w:r>
      <w:r w:rsidRPr="009017B5">
        <w:rPr>
          <w:rFonts w:asciiTheme="majorHAnsi" w:eastAsia="Times New Roman" w:hAnsiTheme="majorHAnsi" w:cstheme="majorHAnsi"/>
          <w:sz w:val="24"/>
          <w:szCs w:val="24"/>
          <w:lang w:val="ru-MD"/>
        </w:rPr>
        <w:t>к и периодичност</w:t>
      </w:r>
      <w:r w:rsidR="00390CE1">
        <w:rPr>
          <w:rFonts w:asciiTheme="majorHAnsi" w:eastAsia="Times New Roman" w:hAnsiTheme="majorHAnsi" w:cstheme="majorHAnsi"/>
          <w:sz w:val="24"/>
          <w:szCs w:val="24"/>
          <w:lang w:val="ru-MD"/>
        </w:rPr>
        <w:t>ь</w:t>
      </w:r>
      <w:r w:rsidRPr="009017B5">
        <w:rPr>
          <w:rFonts w:asciiTheme="majorHAnsi" w:eastAsia="Times New Roman" w:hAnsiTheme="majorHAnsi" w:cstheme="majorHAnsi"/>
          <w:sz w:val="24"/>
          <w:szCs w:val="24"/>
          <w:lang w:val="ru-MD"/>
        </w:rPr>
        <w:t xml:space="preserve"> </w:t>
      </w:r>
      <w:r w:rsidR="00390CE1">
        <w:rPr>
          <w:rFonts w:asciiTheme="majorHAnsi" w:eastAsia="Times New Roman" w:hAnsiTheme="majorHAnsi" w:cstheme="majorHAnsi"/>
          <w:sz w:val="24"/>
          <w:szCs w:val="24"/>
          <w:lang w:val="ru-MD"/>
        </w:rPr>
        <w:t xml:space="preserve">представления </w:t>
      </w:r>
      <w:r w:rsidRPr="009017B5">
        <w:rPr>
          <w:rFonts w:asciiTheme="majorHAnsi" w:eastAsia="Times New Roman" w:hAnsiTheme="majorHAnsi" w:cstheme="majorHAnsi"/>
          <w:sz w:val="24"/>
          <w:szCs w:val="24"/>
          <w:lang w:val="ru-MD"/>
        </w:rPr>
        <w:t>отчет</w:t>
      </w:r>
      <w:r w:rsidR="00390CE1">
        <w:rPr>
          <w:rFonts w:asciiTheme="majorHAnsi" w:eastAsia="Times New Roman" w:hAnsiTheme="majorHAnsi" w:cstheme="majorHAnsi"/>
          <w:sz w:val="24"/>
          <w:szCs w:val="24"/>
          <w:lang w:val="ru-MD"/>
        </w:rPr>
        <w:t xml:space="preserve">ов </w:t>
      </w:r>
      <w:proofErr w:type="gramStart"/>
      <w:r w:rsidR="00390CE1">
        <w:rPr>
          <w:rFonts w:asciiTheme="majorHAnsi" w:eastAsia="Times New Roman" w:hAnsiTheme="majorHAnsi" w:cstheme="majorHAnsi"/>
          <w:sz w:val="24"/>
          <w:szCs w:val="24"/>
          <w:lang w:val="ru-MD"/>
        </w:rPr>
        <w:t xml:space="preserve">о </w:t>
      </w:r>
      <w:r w:rsidRPr="009017B5">
        <w:rPr>
          <w:rFonts w:asciiTheme="majorHAnsi" w:eastAsia="Times New Roman" w:hAnsiTheme="majorHAnsi" w:cstheme="majorHAnsi"/>
          <w:sz w:val="24"/>
          <w:szCs w:val="24"/>
          <w:lang w:val="ru-MD"/>
        </w:rPr>
        <w:t xml:space="preserve"> задолженност</w:t>
      </w:r>
      <w:r w:rsidR="00390CE1">
        <w:rPr>
          <w:rFonts w:asciiTheme="majorHAnsi" w:eastAsia="Times New Roman" w:hAnsiTheme="majorHAnsi" w:cstheme="majorHAnsi"/>
          <w:sz w:val="24"/>
          <w:szCs w:val="24"/>
          <w:lang w:val="ru-MD"/>
        </w:rPr>
        <w:t>ях</w:t>
      </w:r>
      <w:proofErr w:type="gramEnd"/>
      <w:r w:rsidR="00390CE1">
        <w:rPr>
          <w:rFonts w:asciiTheme="majorHAnsi" w:eastAsia="Times New Roman" w:hAnsiTheme="majorHAnsi" w:cstheme="majorHAnsi"/>
          <w:sz w:val="24"/>
          <w:szCs w:val="24"/>
          <w:lang w:val="ru-MD"/>
        </w:rPr>
        <w:t xml:space="preserve"> в</w:t>
      </w:r>
      <w:r w:rsidRPr="009017B5">
        <w:rPr>
          <w:rFonts w:asciiTheme="majorHAnsi" w:eastAsia="Times New Roman" w:hAnsiTheme="majorHAnsi" w:cstheme="majorHAnsi"/>
          <w:sz w:val="24"/>
          <w:szCs w:val="24"/>
          <w:lang w:val="ru-MD"/>
        </w:rPr>
        <w:t xml:space="preserve"> МФ. </w:t>
      </w:r>
    </w:p>
    <w:p w:rsidR="004E5FA3" w:rsidRPr="00F55BA6" w:rsidRDefault="006D2C88" w:rsidP="004E5FA3">
      <w:pPr>
        <w:spacing w:after="0" w:line="276" w:lineRule="auto"/>
        <w:rPr>
          <w:rFonts w:asciiTheme="majorHAnsi" w:hAnsiTheme="majorHAnsi" w:cstheme="majorHAnsi"/>
          <w:color w:val="000000"/>
          <w:spacing w:val="2"/>
          <w:sz w:val="24"/>
          <w:szCs w:val="24"/>
          <w:lang w:val="ro-RO"/>
        </w:rPr>
      </w:pPr>
      <w:r w:rsidRPr="00565AE7">
        <w:rPr>
          <w:rFonts w:asciiTheme="majorHAnsi" w:hAnsiTheme="majorHAnsi" w:cstheme="majorHAnsi"/>
          <w:color w:val="000000"/>
          <w:spacing w:val="1"/>
          <w:sz w:val="24"/>
          <w:szCs w:val="24"/>
          <w:lang w:val="ru-MD"/>
        </w:rPr>
        <w:t xml:space="preserve">Таким образом, </w:t>
      </w:r>
      <w:r w:rsidR="00390CE1" w:rsidRPr="00565AE7">
        <w:rPr>
          <w:rFonts w:asciiTheme="majorHAnsi" w:hAnsiTheme="majorHAnsi" w:cstheme="majorHAnsi"/>
          <w:color w:val="000000"/>
          <w:spacing w:val="1"/>
          <w:sz w:val="24"/>
          <w:szCs w:val="24"/>
          <w:lang w:val="ru-MD"/>
        </w:rPr>
        <w:t>согласно</w:t>
      </w:r>
      <w:r w:rsidRPr="00565AE7">
        <w:rPr>
          <w:rFonts w:asciiTheme="majorHAnsi" w:hAnsiTheme="majorHAnsi" w:cstheme="majorHAnsi"/>
          <w:color w:val="000000"/>
          <w:spacing w:val="1"/>
          <w:sz w:val="24"/>
          <w:szCs w:val="24"/>
          <w:lang w:val="ru-MD"/>
        </w:rPr>
        <w:t xml:space="preserve"> данным</w:t>
      </w:r>
      <w:r w:rsidR="00390CE1" w:rsidRPr="00565AE7">
        <w:rPr>
          <w:rFonts w:asciiTheme="majorHAnsi" w:hAnsiTheme="majorHAnsi" w:cstheme="majorHAnsi"/>
          <w:color w:val="000000"/>
          <w:spacing w:val="1"/>
          <w:sz w:val="24"/>
          <w:szCs w:val="24"/>
          <w:lang w:val="ru-MD"/>
        </w:rPr>
        <w:t xml:space="preserve">, отраженным </w:t>
      </w:r>
      <w:r w:rsidRPr="00565AE7">
        <w:rPr>
          <w:rFonts w:asciiTheme="majorHAnsi" w:hAnsiTheme="majorHAnsi" w:cstheme="majorHAnsi"/>
          <w:color w:val="000000"/>
          <w:spacing w:val="1"/>
          <w:sz w:val="24"/>
          <w:szCs w:val="24"/>
          <w:lang w:val="ru-MD"/>
        </w:rPr>
        <w:t xml:space="preserve">МФ, задолженность по </w:t>
      </w:r>
      <w:r w:rsidR="00390CE1" w:rsidRPr="00565AE7">
        <w:rPr>
          <w:rFonts w:asciiTheme="majorHAnsi" w:hAnsiTheme="majorHAnsi" w:cstheme="majorHAnsi"/>
          <w:color w:val="000000"/>
          <w:spacing w:val="1"/>
          <w:sz w:val="24"/>
          <w:szCs w:val="24"/>
          <w:lang w:val="ru-MD"/>
        </w:rPr>
        <w:t>погашению обязательств</w:t>
      </w:r>
      <w:r w:rsidRPr="00565AE7">
        <w:rPr>
          <w:rFonts w:asciiTheme="majorHAnsi" w:hAnsiTheme="majorHAnsi" w:cstheme="majorHAnsi"/>
          <w:color w:val="000000"/>
          <w:spacing w:val="1"/>
          <w:sz w:val="24"/>
          <w:szCs w:val="24"/>
          <w:lang w:val="ru-MD"/>
        </w:rPr>
        <w:t xml:space="preserve"> налогоплательщиков перед </w:t>
      </w:r>
      <w:r w:rsidR="00390CE1" w:rsidRPr="00565AE7">
        <w:rPr>
          <w:rFonts w:asciiTheme="majorHAnsi" w:hAnsiTheme="majorHAnsi" w:cstheme="majorHAnsi"/>
          <w:color w:val="000000"/>
          <w:spacing w:val="1"/>
          <w:sz w:val="24"/>
          <w:szCs w:val="24"/>
          <w:lang w:val="ru-MD"/>
        </w:rPr>
        <w:t>ГБ</w:t>
      </w:r>
      <w:r w:rsidRPr="00565AE7">
        <w:rPr>
          <w:rFonts w:asciiTheme="majorHAnsi" w:hAnsiTheme="majorHAnsi" w:cstheme="majorHAnsi"/>
          <w:color w:val="000000"/>
          <w:spacing w:val="1"/>
          <w:sz w:val="24"/>
          <w:szCs w:val="24"/>
          <w:lang w:val="ru-MD"/>
        </w:rPr>
        <w:t xml:space="preserve"> составила 1 385,4 млн. леев (основные </w:t>
      </w:r>
      <w:r w:rsidR="00390CE1" w:rsidRPr="00565AE7">
        <w:rPr>
          <w:rFonts w:asciiTheme="majorHAnsi" w:hAnsiTheme="majorHAnsi" w:cstheme="majorHAnsi"/>
          <w:color w:val="000000"/>
          <w:spacing w:val="1"/>
          <w:sz w:val="24"/>
          <w:szCs w:val="24"/>
          <w:lang w:val="ru-MD"/>
        </w:rPr>
        <w:t>платежи</w:t>
      </w:r>
      <w:r w:rsidRPr="00565AE7">
        <w:rPr>
          <w:rFonts w:asciiTheme="majorHAnsi" w:hAnsiTheme="majorHAnsi" w:cstheme="majorHAnsi"/>
          <w:color w:val="000000"/>
          <w:spacing w:val="1"/>
          <w:sz w:val="24"/>
          <w:szCs w:val="24"/>
          <w:lang w:val="ru-MD"/>
        </w:rPr>
        <w:t xml:space="preserve">, </w:t>
      </w:r>
      <w:r w:rsidR="00390CE1" w:rsidRPr="00565AE7">
        <w:rPr>
          <w:rFonts w:asciiTheme="majorHAnsi" w:hAnsiTheme="majorHAnsi" w:cstheme="majorHAnsi"/>
          <w:color w:val="000000"/>
          <w:spacing w:val="1"/>
          <w:sz w:val="24"/>
          <w:szCs w:val="24"/>
          <w:lang w:val="ru-MD"/>
        </w:rPr>
        <w:t xml:space="preserve">пени за </w:t>
      </w:r>
      <w:r w:rsidRPr="00565AE7">
        <w:rPr>
          <w:rFonts w:asciiTheme="majorHAnsi" w:hAnsiTheme="majorHAnsi" w:cstheme="majorHAnsi"/>
          <w:color w:val="000000"/>
          <w:spacing w:val="1"/>
          <w:sz w:val="24"/>
          <w:szCs w:val="24"/>
          <w:lang w:val="ru-MD"/>
        </w:rPr>
        <w:t>просроч</w:t>
      </w:r>
      <w:r w:rsidR="00390CE1" w:rsidRPr="00565AE7">
        <w:rPr>
          <w:rFonts w:asciiTheme="majorHAnsi" w:hAnsiTheme="majorHAnsi" w:cstheme="majorHAnsi"/>
          <w:color w:val="000000"/>
          <w:spacing w:val="1"/>
          <w:sz w:val="24"/>
          <w:szCs w:val="24"/>
          <w:lang w:val="ru-MD"/>
        </w:rPr>
        <w:t>ку</w:t>
      </w:r>
      <w:r w:rsidRPr="00565AE7">
        <w:rPr>
          <w:rFonts w:asciiTheme="majorHAnsi" w:hAnsiTheme="majorHAnsi" w:cstheme="majorHAnsi"/>
          <w:color w:val="000000"/>
          <w:spacing w:val="1"/>
          <w:sz w:val="24"/>
          <w:szCs w:val="24"/>
          <w:lang w:val="ru-MD"/>
        </w:rPr>
        <w:t>, штрафы, за исключением налоговых обязательств</w:t>
      </w:r>
      <w:r w:rsidR="0013230B" w:rsidRPr="00565AE7">
        <w:rPr>
          <w:rFonts w:asciiTheme="majorHAnsi" w:hAnsiTheme="majorHAnsi" w:cstheme="majorHAnsi"/>
          <w:color w:val="000000"/>
          <w:spacing w:val="1"/>
          <w:sz w:val="24"/>
          <w:szCs w:val="24"/>
          <w:lang w:val="ru-MD"/>
        </w:rPr>
        <w:t xml:space="preserve">, находящихся на </w:t>
      </w:r>
      <w:r w:rsidRPr="00565AE7">
        <w:rPr>
          <w:rFonts w:asciiTheme="majorHAnsi" w:hAnsiTheme="majorHAnsi" w:cstheme="majorHAnsi"/>
          <w:color w:val="000000"/>
          <w:spacing w:val="1"/>
          <w:sz w:val="24"/>
          <w:szCs w:val="24"/>
          <w:lang w:val="ru-MD"/>
        </w:rPr>
        <w:t>специально</w:t>
      </w:r>
      <w:r w:rsidR="0013230B" w:rsidRPr="00565AE7">
        <w:rPr>
          <w:rFonts w:asciiTheme="majorHAnsi" w:hAnsiTheme="majorHAnsi" w:cstheme="majorHAnsi"/>
          <w:color w:val="000000"/>
          <w:spacing w:val="1"/>
          <w:sz w:val="24"/>
          <w:szCs w:val="24"/>
          <w:lang w:val="ru-MD"/>
        </w:rPr>
        <w:t>м</w:t>
      </w:r>
      <w:r w:rsidRPr="00565AE7">
        <w:rPr>
          <w:rFonts w:asciiTheme="majorHAnsi" w:hAnsiTheme="majorHAnsi" w:cstheme="majorHAnsi"/>
          <w:color w:val="000000"/>
          <w:spacing w:val="1"/>
          <w:sz w:val="24"/>
          <w:szCs w:val="24"/>
          <w:lang w:val="ru-MD"/>
        </w:rPr>
        <w:t xml:space="preserve"> учет</w:t>
      </w:r>
      <w:r w:rsidR="0013230B" w:rsidRPr="00565AE7">
        <w:rPr>
          <w:rFonts w:asciiTheme="majorHAnsi" w:hAnsiTheme="majorHAnsi" w:cstheme="majorHAnsi"/>
          <w:color w:val="000000"/>
          <w:spacing w:val="1"/>
          <w:sz w:val="24"/>
          <w:szCs w:val="24"/>
          <w:lang w:val="ru-MD"/>
        </w:rPr>
        <w:t>е</w:t>
      </w:r>
      <w:r w:rsidRPr="00565AE7">
        <w:rPr>
          <w:rFonts w:asciiTheme="majorHAnsi" w:hAnsiTheme="majorHAnsi" w:cstheme="majorHAnsi"/>
          <w:color w:val="000000"/>
          <w:spacing w:val="1"/>
          <w:sz w:val="24"/>
          <w:szCs w:val="24"/>
          <w:lang w:val="ru-MD"/>
        </w:rPr>
        <w:t>), которые</w:t>
      </w:r>
      <w:r w:rsidR="0013230B" w:rsidRPr="00565AE7">
        <w:rPr>
          <w:rFonts w:asciiTheme="majorHAnsi" w:hAnsiTheme="majorHAnsi" w:cstheme="majorHAnsi"/>
          <w:color w:val="000000"/>
          <w:spacing w:val="1"/>
          <w:sz w:val="24"/>
          <w:szCs w:val="24"/>
          <w:lang w:val="ru-MD"/>
        </w:rPr>
        <w:t>,</w:t>
      </w:r>
      <w:r w:rsidRPr="00565AE7">
        <w:rPr>
          <w:rFonts w:asciiTheme="majorHAnsi" w:hAnsiTheme="majorHAnsi" w:cstheme="majorHAnsi"/>
          <w:color w:val="000000"/>
          <w:spacing w:val="1"/>
          <w:sz w:val="24"/>
          <w:szCs w:val="24"/>
          <w:lang w:val="ru-MD"/>
        </w:rPr>
        <w:t xml:space="preserve"> по сравнению с предыдущим годом</w:t>
      </w:r>
      <w:r w:rsidR="0013230B" w:rsidRPr="00565AE7">
        <w:rPr>
          <w:rFonts w:asciiTheme="majorHAnsi" w:hAnsiTheme="majorHAnsi" w:cstheme="majorHAnsi"/>
          <w:color w:val="000000"/>
          <w:spacing w:val="1"/>
          <w:sz w:val="24"/>
          <w:szCs w:val="24"/>
          <w:lang w:val="ru-MD"/>
        </w:rPr>
        <w:t>,</w:t>
      </w:r>
      <w:r w:rsidRPr="00565AE7">
        <w:rPr>
          <w:rFonts w:asciiTheme="majorHAnsi" w:hAnsiTheme="majorHAnsi" w:cstheme="majorHAnsi"/>
          <w:color w:val="000000"/>
          <w:spacing w:val="1"/>
          <w:sz w:val="24"/>
          <w:szCs w:val="24"/>
          <w:lang w:val="ru-MD"/>
        </w:rPr>
        <w:t xml:space="preserve"> увеличились на 126,1 млн. л</w:t>
      </w:r>
      <w:r w:rsidR="0013230B" w:rsidRPr="00565AE7">
        <w:rPr>
          <w:rFonts w:asciiTheme="majorHAnsi" w:hAnsiTheme="majorHAnsi" w:cstheme="majorHAnsi"/>
          <w:color w:val="000000"/>
          <w:spacing w:val="1"/>
          <w:sz w:val="24"/>
          <w:szCs w:val="24"/>
          <w:lang w:val="ru-MD"/>
        </w:rPr>
        <w:t>ее</w:t>
      </w:r>
      <w:r w:rsidRPr="00565AE7">
        <w:rPr>
          <w:rFonts w:asciiTheme="majorHAnsi" w:hAnsiTheme="majorHAnsi" w:cstheme="majorHAnsi"/>
          <w:color w:val="000000"/>
          <w:spacing w:val="1"/>
          <w:sz w:val="24"/>
          <w:szCs w:val="24"/>
          <w:lang w:val="ru-MD"/>
        </w:rPr>
        <w:t>в (10,0%). В структуре общих задолженностей преобладающая часть приходится на налоги и сборы, администрируемые органами ГНС, которые составляют 71,2% (986,2 млн. ле</w:t>
      </w:r>
      <w:r w:rsidR="0013230B" w:rsidRPr="00565AE7">
        <w:rPr>
          <w:rFonts w:asciiTheme="majorHAnsi" w:hAnsiTheme="majorHAnsi" w:cstheme="majorHAnsi"/>
          <w:color w:val="000000"/>
          <w:spacing w:val="1"/>
          <w:sz w:val="24"/>
          <w:szCs w:val="24"/>
          <w:lang w:val="ru-MD"/>
        </w:rPr>
        <w:t>ев</w:t>
      </w:r>
      <w:r w:rsidRPr="00565AE7">
        <w:rPr>
          <w:rFonts w:asciiTheme="majorHAnsi" w:hAnsiTheme="majorHAnsi" w:cstheme="majorHAnsi"/>
          <w:color w:val="000000"/>
          <w:spacing w:val="1"/>
          <w:sz w:val="24"/>
          <w:szCs w:val="24"/>
          <w:lang w:val="ru-MD"/>
        </w:rPr>
        <w:t>), увеличившись по сравнению с предыдущим годом на 23,0% (184,1 млн. ле</w:t>
      </w:r>
      <w:r w:rsidR="0013230B" w:rsidRPr="00565AE7">
        <w:rPr>
          <w:rFonts w:asciiTheme="majorHAnsi" w:hAnsiTheme="majorHAnsi" w:cstheme="majorHAnsi"/>
          <w:color w:val="000000"/>
          <w:spacing w:val="1"/>
          <w:sz w:val="24"/>
          <w:szCs w:val="24"/>
          <w:lang w:val="ru-MD"/>
        </w:rPr>
        <w:t>ев</w:t>
      </w:r>
      <w:r w:rsidRPr="00565AE7">
        <w:rPr>
          <w:rFonts w:asciiTheme="majorHAnsi" w:hAnsiTheme="majorHAnsi" w:cstheme="majorHAnsi"/>
          <w:color w:val="000000"/>
          <w:spacing w:val="1"/>
          <w:sz w:val="24"/>
          <w:szCs w:val="24"/>
          <w:lang w:val="ru-MD"/>
        </w:rPr>
        <w:t xml:space="preserve">). Задолженность </w:t>
      </w:r>
      <w:r w:rsidR="0013230B" w:rsidRPr="00565AE7">
        <w:rPr>
          <w:rFonts w:asciiTheme="majorHAnsi" w:hAnsiTheme="majorHAnsi" w:cstheme="majorHAnsi"/>
          <w:color w:val="000000"/>
          <w:spacing w:val="1"/>
          <w:sz w:val="24"/>
          <w:szCs w:val="24"/>
          <w:lang w:val="ru-MD"/>
        </w:rPr>
        <w:t>ТС</w:t>
      </w:r>
      <w:r w:rsidRPr="00565AE7">
        <w:rPr>
          <w:rFonts w:asciiTheme="majorHAnsi" w:hAnsiTheme="majorHAnsi" w:cstheme="majorHAnsi"/>
          <w:color w:val="000000"/>
          <w:spacing w:val="1"/>
          <w:sz w:val="24"/>
          <w:szCs w:val="24"/>
          <w:lang w:val="ru-MD"/>
        </w:rPr>
        <w:t xml:space="preserve"> в 2020 году составила 28,8% (399,2 млн.</w:t>
      </w:r>
      <w:r w:rsidR="0013230B" w:rsidRPr="00565AE7">
        <w:rPr>
          <w:rFonts w:asciiTheme="majorHAnsi" w:hAnsiTheme="majorHAnsi" w:cstheme="majorHAnsi"/>
          <w:color w:val="000000"/>
          <w:spacing w:val="1"/>
          <w:sz w:val="24"/>
          <w:szCs w:val="24"/>
          <w:lang w:val="ru-MD"/>
        </w:rPr>
        <w:t xml:space="preserve"> леев) от общего объема</w:t>
      </w:r>
      <w:r w:rsidRPr="00565AE7">
        <w:rPr>
          <w:rFonts w:asciiTheme="majorHAnsi" w:hAnsiTheme="majorHAnsi" w:cstheme="majorHAnsi"/>
          <w:color w:val="000000"/>
          <w:spacing w:val="1"/>
          <w:sz w:val="24"/>
          <w:szCs w:val="24"/>
          <w:lang w:val="ru-MD"/>
        </w:rPr>
        <w:t xml:space="preserve"> задолженностей, зарегистрировав снижение на 57,9 млн. леев, или на 12,7% по сравнению с 2019 годом</w:t>
      </w:r>
      <w:r w:rsidR="004E5FA3" w:rsidRPr="00F55BA6">
        <w:rPr>
          <w:rFonts w:asciiTheme="majorHAnsi" w:hAnsiTheme="majorHAnsi" w:cstheme="majorHAnsi"/>
          <w:color w:val="000000"/>
          <w:spacing w:val="-1"/>
          <w:sz w:val="24"/>
          <w:szCs w:val="24"/>
          <w:lang w:val="ro-RO"/>
        </w:rPr>
        <w:t>.</w:t>
      </w:r>
    </w:p>
    <w:p w:rsidR="004E5FA3" w:rsidRPr="00F55BA6" w:rsidRDefault="006D2C88" w:rsidP="004E5FA3">
      <w:pPr>
        <w:spacing w:after="0" w:line="276" w:lineRule="auto"/>
        <w:rPr>
          <w:rFonts w:asciiTheme="majorHAnsi" w:hAnsiTheme="majorHAnsi" w:cstheme="majorHAnsi"/>
          <w:color w:val="000000"/>
          <w:spacing w:val="2"/>
          <w:sz w:val="24"/>
          <w:szCs w:val="24"/>
          <w:lang w:val="ro-RO"/>
        </w:rPr>
      </w:pPr>
      <w:r w:rsidRPr="000B2564">
        <w:rPr>
          <w:rFonts w:asciiTheme="majorHAnsi" w:hAnsiTheme="majorHAnsi" w:cstheme="majorHAnsi"/>
          <w:color w:val="000000"/>
          <w:spacing w:val="2"/>
          <w:sz w:val="24"/>
          <w:szCs w:val="24"/>
          <w:lang w:val="ru-MD"/>
        </w:rPr>
        <w:lastRenderedPageBreak/>
        <w:t xml:space="preserve">В результате </w:t>
      </w:r>
      <w:r w:rsidR="00AA3209" w:rsidRPr="000B2564">
        <w:rPr>
          <w:rFonts w:asciiTheme="majorHAnsi" w:hAnsiTheme="majorHAnsi" w:cstheme="majorHAnsi"/>
          <w:color w:val="000000"/>
          <w:spacing w:val="2"/>
          <w:sz w:val="24"/>
          <w:szCs w:val="24"/>
          <w:lang w:val="ru-MD"/>
        </w:rPr>
        <w:t xml:space="preserve">аудиторской </w:t>
      </w:r>
      <w:r w:rsidRPr="000B2564">
        <w:rPr>
          <w:rFonts w:asciiTheme="majorHAnsi" w:hAnsiTheme="majorHAnsi" w:cstheme="majorHAnsi"/>
          <w:color w:val="000000"/>
          <w:spacing w:val="2"/>
          <w:sz w:val="24"/>
          <w:szCs w:val="24"/>
          <w:lang w:val="ru-MD"/>
        </w:rPr>
        <w:t>провер</w:t>
      </w:r>
      <w:r w:rsidR="00AA3209" w:rsidRPr="000B2564">
        <w:rPr>
          <w:rFonts w:asciiTheme="majorHAnsi" w:hAnsiTheme="majorHAnsi" w:cstheme="majorHAnsi"/>
          <w:color w:val="000000"/>
          <w:spacing w:val="2"/>
          <w:sz w:val="24"/>
          <w:szCs w:val="24"/>
          <w:lang w:val="ru-MD"/>
        </w:rPr>
        <w:t>ки</w:t>
      </w:r>
      <w:r w:rsidRPr="000B2564">
        <w:rPr>
          <w:rFonts w:asciiTheme="majorHAnsi" w:hAnsiTheme="majorHAnsi" w:cstheme="majorHAnsi"/>
          <w:color w:val="000000"/>
          <w:spacing w:val="2"/>
          <w:sz w:val="24"/>
          <w:szCs w:val="24"/>
          <w:lang w:val="ru-MD"/>
        </w:rPr>
        <w:t xml:space="preserve"> было установлено, что в</w:t>
      </w:r>
      <w:r w:rsidR="00AA3209" w:rsidRPr="000B2564">
        <w:rPr>
          <w:rFonts w:asciiTheme="majorHAnsi" w:hAnsiTheme="majorHAnsi" w:cstheme="majorHAnsi"/>
          <w:color w:val="000000"/>
          <w:spacing w:val="2"/>
          <w:sz w:val="24"/>
          <w:szCs w:val="24"/>
          <w:lang w:val="ru-MD"/>
        </w:rPr>
        <w:t xml:space="preserve"> „Б</w:t>
      </w:r>
      <w:r w:rsidRPr="000B2564">
        <w:rPr>
          <w:rFonts w:asciiTheme="majorHAnsi" w:hAnsiTheme="majorHAnsi" w:cstheme="majorHAnsi"/>
          <w:color w:val="000000"/>
          <w:spacing w:val="2"/>
          <w:sz w:val="24"/>
          <w:szCs w:val="24"/>
          <w:lang w:val="ru-MD"/>
        </w:rPr>
        <w:t xml:space="preserve">ухгалтерском балансе об исполнении </w:t>
      </w:r>
      <w:r w:rsidR="00AA3209" w:rsidRPr="000B2564">
        <w:rPr>
          <w:rFonts w:asciiTheme="majorHAnsi" w:hAnsiTheme="majorHAnsi" w:cstheme="majorHAnsi"/>
          <w:color w:val="000000"/>
          <w:spacing w:val="2"/>
          <w:sz w:val="24"/>
          <w:szCs w:val="24"/>
          <w:lang w:val="ru-MD"/>
        </w:rPr>
        <w:t xml:space="preserve">государственного </w:t>
      </w:r>
      <w:r w:rsidRPr="000B2564">
        <w:rPr>
          <w:rFonts w:asciiTheme="majorHAnsi" w:hAnsiTheme="majorHAnsi" w:cstheme="majorHAnsi"/>
          <w:color w:val="000000"/>
          <w:spacing w:val="2"/>
          <w:sz w:val="24"/>
          <w:szCs w:val="24"/>
          <w:lang w:val="ru-MD"/>
        </w:rPr>
        <w:t>бюджета</w:t>
      </w:r>
      <w:r w:rsidR="00AA3209" w:rsidRPr="000B2564">
        <w:rPr>
          <w:rFonts w:asciiTheme="majorHAnsi" w:hAnsiTheme="majorHAnsi" w:cstheme="majorHAnsi"/>
          <w:color w:val="000000"/>
          <w:spacing w:val="2"/>
          <w:sz w:val="24"/>
          <w:szCs w:val="24"/>
          <w:lang w:val="ru-MD"/>
        </w:rPr>
        <w:t xml:space="preserve">” </w:t>
      </w:r>
      <w:r w:rsidRPr="000B2564">
        <w:rPr>
          <w:rFonts w:asciiTheme="majorHAnsi" w:hAnsiTheme="majorHAnsi" w:cstheme="majorHAnsi"/>
          <w:color w:val="000000"/>
          <w:spacing w:val="2"/>
          <w:sz w:val="24"/>
          <w:szCs w:val="24"/>
          <w:lang w:val="ru-MD"/>
        </w:rPr>
        <w:t>(</w:t>
      </w:r>
      <w:r w:rsidR="00AA3209" w:rsidRPr="000B2564">
        <w:rPr>
          <w:rFonts w:asciiTheme="majorHAnsi" w:hAnsiTheme="majorHAnsi" w:cstheme="majorHAnsi"/>
          <w:color w:val="000000"/>
          <w:spacing w:val="2"/>
          <w:sz w:val="24"/>
          <w:szCs w:val="24"/>
          <w:lang w:val="ru-MD"/>
        </w:rPr>
        <w:t>Ф</w:t>
      </w:r>
      <w:r w:rsidRPr="000B2564">
        <w:rPr>
          <w:rFonts w:asciiTheme="majorHAnsi" w:hAnsiTheme="majorHAnsi" w:cstheme="majorHAnsi"/>
          <w:color w:val="000000"/>
          <w:spacing w:val="2"/>
          <w:sz w:val="24"/>
          <w:szCs w:val="24"/>
          <w:lang w:val="ru-MD"/>
        </w:rPr>
        <w:t xml:space="preserve">орма №13 </w:t>
      </w:r>
      <w:r w:rsidR="00AA3209" w:rsidRPr="000B2564">
        <w:rPr>
          <w:rFonts w:asciiTheme="majorHAnsi" w:hAnsiTheme="majorHAnsi" w:cstheme="majorHAnsi"/>
          <w:color w:val="000000"/>
          <w:spacing w:val="2"/>
          <w:sz w:val="24"/>
          <w:szCs w:val="24"/>
          <w:lang w:val="ru-MD"/>
        </w:rPr>
        <w:t>О</w:t>
      </w:r>
      <w:r w:rsidRPr="000B2564">
        <w:rPr>
          <w:rFonts w:asciiTheme="majorHAnsi" w:hAnsiTheme="majorHAnsi" w:cstheme="majorHAnsi"/>
          <w:color w:val="000000"/>
          <w:spacing w:val="2"/>
          <w:sz w:val="24"/>
          <w:szCs w:val="24"/>
          <w:lang w:val="ru-MD"/>
        </w:rPr>
        <w:t>тчета об исполнении гос</w:t>
      </w:r>
      <w:r w:rsidR="00AA3209" w:rsidRPr="000B2564">
        <w:rPr>
          <w:rFonts w:asciiTheme="majorHAnsi" w:hAnsiTheme="majorHAnsi" w:cstheme="majorHAnsi"/>
          <w:color w:val="000000"/>
          <w:spacing w:val="2"/>
          <w:sz w:val="24"/>
          <w:szCs w:val="24"/>
          <w:lang w:val="ru-MD"/>
        </w:rPr>
        <w:t xml:space="preserve">ударственного </w:t>
      </w:r>
      <w:r w:rsidRPr="000B2564">
        <w:rPr>
          <w:rFonts w:asciiTheme="majorHAnsi" w:hAnsiTheme="majorHAnsi" w:cstheme="majorHAnsi"/>
          <w:color w:val="000000"/>
          <w:spacing w:val="2"/>
          <w:sz w:val="24"/>
          <w:szCs w:val="24"/>
          <w:lang w:val="ru-MD"/>
        </w:rPr>
        <w:t xml:space="preserve">бюджета </w:t>
      </w:r>
      <w:r w:rsidR="00AA3209" w:rsidRPr="000B2564">
        <w:rPr>
          <w:rFonts w:asciiTheme="majorHAnsi" w:hAnsiTheme="majorHAnsi" w:cstheme="majorHAnsi"/>
          <w:color w:val="000000"/>
          <w:spacing w:val="2"/>
          <w:sz w:val="24"/>
          <w:szCs w:val="24"/>
          <w:lang w:val="ru-MD"/>
        </w:rPr>
        <w:t>за</w:t>
      </w:r>
      <w:r w:rsidRPr="000B2564">
        <w:rPr>
          <w:rFonts w:asciiTheme="majorHAnsi" w:hAnsiTheme="majorHAnsi" w:cstheme="majorHAnsi"/>
          <w:color w:val="000000"/>
          <w:spacing w:val="2"/>
          <w:sz w:val="24"/>
          <w:szCs w:val="24"/>
          <w:lang w:val="ru-MD"/>
        </w:rPr>
        <w:t xml:space="preserve"> 2020 год), МФ отразил</w:t>
      </w:r>
      <w:r w:rsidR="000B2564" w:rsidRPr="000B2564">
        <w:rPr>
          <w:rFonts w:asciiTheme="majorHAnsi" w:hAnsiTheme="majorHAnsi" w:cstheme="majorHAnsi"/>
          <w:color w:val="000000"/>
          <w:spacing w:val="2"/>
          <w:sz w:val="24"/>
          <w:szCs w:val="24"/>
          <w:lang w:val="ru-MD"/>
        </w:rPr>
        <w:t>о</w:t>
      </w:r>
      <w:r w:rsidRPr="000B2564">
        <w:rPr>
          <w:rFonts w:asciiTheme="majorHAnsi" w:hAnsiTheme="majorHAnsi" w:cstheme="majorHAnsi"/>
          <w:color w:val="000000"/>
          <w:spacing w:val="2"/>
          <w:sz w:val="24"/>
          <w:szCs w:val="24"/>
          <w:lang w:val="ru-MD"/>
        </w:rPr>
        <w:t xml:space="preserve"> задолженность на 99,0 млн. </w:t>
      </w:r>
      <w:r w:rsidR="000B2564" w:rsidRPr="000B2564">
        <w:rPr>
          <w:rFonts w:asciiTheme="majorHAnsi" w:hAnsiTheme="majorHAnsi" w:cstheme="majorHAnsi"/>
          <w:color w:val="000000"/>
          <w:spacing w:val="2"/>
          <w:sz w:val="24"/>
          <w:szCs w:val="24"/>
          <w:lang w:val="ru-MD"/>
        </w:rPr>
        <w:t xml:space="preserve">леев </w:t>
      </w:r>
      <w:r w:rsidRPr="000B2564">
        <w:rPr>
          <w:rFonts w:asciiTheme="majorHAnsi" w:hAnsiTheme="majorHAnsi" w:cstheme="majorHAnsi"/>
          <w:color w:val="000000"/>
          <w:spacing w:val="2"/>
          <w:sz w:val="24"/>
          <w:szCs w:val="24"/>
          <w:lang w:val="ru-MD"/>
        </w:rPr>
        <w:t xml:space="preserve">меньше по сравнению с данными </w:t>
      </w:r>
      <w:r w:rsidR="009017B5" w:rsidRPr="000B2564">
        <w:rPr>
          <w:rFonts w:asciiTheme="majorHAnsi" w:hAnsiTheme="majorHAnsi" w:cstheme="majorHAnsi"/>
          <w:color w:val="000000"/>
          <w:spacing w:val="2"/>
          <w:sz w:val="24"/>
          <w:szCs w:val="24"/>
          <w:lang w:val="ru-MD"/>
        </w:rPr>
        <w:t>ГНС</w:t>
      </w:r>
      <w:r w:rsidRPr="000B2564">
        <w:rPr>
          <w:rFonts w:asciiTheme="majorHAnsi" w:hAnsiTheme="majorHAnsi" w:cstheme="majorHAnsi"/>
          <w:color w:val="000000"/>
          <w:spacing w:val="2"/>
          <w:sz w:val="24"/>
          <w:szCs w:val="24"/>
          <w:lang w:val="ru-MD"/>
        </w:rPr>
        <w:t xml:space="preserve"> и </w:t>
      </w:r>
      <w:r w:rsidR="000B2564" w:rsidRPr="000B2564">
        <w:rPr>
          <w:rFonts w:asciiTheme="majorHAnsi" w:hAnsiTheme="majorHAnsi" w:cstheme="majorHAnsi"/>
          <w:color w:val="000000"/>
          <w:spacing w:val="2"/>
          <w:sz w:val="24"/>
          <w:szCs w:val="24"/>
          <w:lang w:val="ru-MD"/>
        </w:rPr>
        <w:t>ТС, представленными МФ</w:t>
      </w:r>
      <w:r w:rsidRPr="000B2564">
        <w:rPr>
          <w:rFonts w:asciiTheme="majorHAnsi" w:hAnsiTheme="majorHAnsi" w:cstheme="majorHAnsi"/>
          <w:color w:val="000000"/>
          <w:spacing w:val="2"/>
          <w:sz w:val="24"/>
          <w:szCs w:val="24"/>
          <w:lang w:val="ru-MD"/>
        </w:rPr>
        <w:t xml:space="preserve">. </w:t>
      </w:r>
      <w:r w:rsidR="000B2564" w:rsidRPr="000B2564">
        <w:rPr>
          <w:rFonts w:asciiTheme="majorHAnsi" w:hAnsiTheme="majorHAnsi" w:cstheme="majorHAnsi"/>
          <w:color w:val="000000"/>
          <w:spacing w:val="2"/>
          <w:sz w:val="24"/>
          <w:szCs w:val="24"/>
          <w:lang w:val="ru-MD"/>
        </w:rPr>
        <w:t>Кроме того</w:t>
      </w:r>
      <w:r w:rsidRPr="000B2564">
        <w:rPr>
          <w:rFonts w:asciiTheme="majorHAnsi" w:hAnsiTheme="majorHAnsi" w:cstheme="majorHAnsi"/>
          <w:color w:val="000000"/>
          <w:spacing w:val="2"/>
          <w:sz w:val="24"/>
          <w:szCs w:val="24"/>
          <w:lang w:val="ru-MD"/>
        </w:rPr>
        <w:t>, в „</w:t>
      </w:r>
      <w:r w:rsidR="000B2564" w:rsidRPr="000B2564">
        <w:rPr>
          <w:rFonts w:asciiTheme="majorHAnsi" w:hAnsiTheme="majorHAnsi" w:cstheme="majorHAnsi"/>
          <w:color w:val="000000"/>
          <w:spacing w:val="2"/>
          <w:sz w:val="24"/>
          <w:szCs w:val="24"/>
          <w:lang w:val="ru-MD"/>
        </w:rPr>
        <w:t>Пояснительной записке к</w:t>
      </w:r>
      <w:r w:rsidRPr="000B2564">
        <w:rPr>
          <w:rFonts w:asciiTheme="majorHAnsi" w:hAnsiTheme="majorHAnsi" w:cstheme="majorHAnsi"/>
          <w:color w:val="000000"/>
          <w:spacing w:val="2"/>
          <w:sz w:val="24"/>
          <w:szCs w:val="24"/>
          <w:lang w:val="ru-MD"/>
        </w:rPr>
        <w:t xml:space="preserve"> </w:t>
      </w:r>
      <w:r w:rsidR="000B2564" w:rsidRPr="000B2564">
        <w:rPr>
          <w:rFonts w:asciiTheme="majorHAnsi" w:hAnsiTheme="majorHAnsi" w:cstheme="majorHAnsi"/>
          <w:color w:val="000000"/>
          <w:spacing w:val="2"/>
          <w:sz w:val="24"/>
          <w:szCs w:val="24"/>
          <w:lang w:val="ru-MD"/>
        </w:rPr>
        <w:t>О</w:t>
      </w:r>
      <w:r w:rsidRPr="000B2564">
        <w:rPr>
          <w:rFonts w:asciiTheme="majorHAnsi" w:hAnsiTheme="majorHAnsi" w:cstheme="majorHAnsi"/>
          <w:color w:val="000000"/>
          <w:spacing w:val="2"/>
          <w:sz w:val="24"/>
          <w:szCs w:val="24"/>
          <w:lang w:val="ru-MD"/>
        </w:rPr>
        <w:t>тчет</w:t>
      </w:r>
      <w:r w:rsidR="000B2564" w:rsidRPr="000B2564">
        <w:rPr>
          <w:rFonts w:asciiTheme="majorHAnsi" w:hAnsiTheme="majorHAnsi" w:cstheme="majorHAnsi"/>
          <w:color w:val="000000"/>
          <w:spacing w:val="2"/>
          <w:sz w:val="24"/>
          <w:szCs w:val="24"/>
          <w:lang w:val="ru-MD"/>
        </w:rPr>
        <w:t>у</w:t>
      </w:r>
      <w:r w:rsidRPr="000B2564">
        <w:rPr>
          <w:rFonts w:asciiTheme="majorHAnsi" w:hAnsiTheme="majorHAnsi" w:cstheme="majorHAnsi"/>
          <w:color w:val="000000"/>
          <w:spacing w:val="2"/>
          <w:sz w:val="24"/>
          <w:szCs w:val="24"/>
          <w:lang w:val="ru-MD"/>
        </w:rPr>
        <w:t xml:space="preserve"> об исполнении </w:t>
      </w:r>
      <w:r w:rsidR="000B2564" w:rsidRPr="000B2564">
        <w:rPr>
          <w:rFonts w:asciiTheme="majorHAnsi" w:hAnsiTheme="majorHAnsi" w:cstheme="majorHAnsi"/>
          <w:color w:val="000000"/>
          <w:spacing w:val="2"/>
          <w:sz w:val="24"/>
          <w:szCs w:val="24"/>
          <w:lang w:val="ru-MD"/>
        </w:rPr>
        <w:t>ГБ</w:t>
      </w:r>
      <w:r w:rsidRPr="000B2564">
        <w:rPr>
          <w:rFonts w:asciiTheme="majorHAnsi" w:hAnsiTheme="majorHAnsi" w:cstheme="majorHAnsi"/>
          <w:color w:val="000000"/>
          <w:spacing w:val="2"/>
          <w:sz w:val="24"/>
          <w:szCs w:val="24"/>
          <w:lang w:val="ru-MD"/>
        </w:rPr>
        <w:t xml:space="preserve"> в 2020 году”</w:t>
      </w:r>
      <w:r w:rsidR="000B2564" w:rsidRPr="000B2564">
        <w:rPr>
          <w:rFonts w:asciiTheme="majorHAnsi" w:hAnsiTheme="majorHAnsi" w:cstheme="majorHAnsi"/>
          <w:color w:val="000000"/>
          <w:spacing w:val="2"/>
          <w:sz w:val="24"/>
          <w:szCs w:val="24"/>
          <w:lang w:val="ru-MD"/>
        </w:rPr>
        <w:t>,</w:t>
      </w:r>
      <w:r w:rsidRPr="000B2564">
        <w:rPr>
          <w:rFonts w:asciiTheme="majorHAnsi" w:hAnsiTheme="majorHAnsi" w:cstheme="majorHAnsi"/>
          <w:color w:val="000000"/>
          <w:spacing w:val="2"/>
          <w:sz w:val="24"/>
          <w:szCs w:val="24"/>
          <w:lang w:val="ru-MD"/>
        </w:rPr>
        <w:t xml:space="preserve"> первоначальный остаток задолженностей был отражен на 8,9 млн. леев </w:t>
      </w:r>
      <w:r w:rsidR="000B2564" w:rsidRPr="000B2564">
        <w:rPr>
          <w:rFonts w:asciiTheme="majorHAnsi" w:hAnsiTheme="majorHAnsi" w:cstheme="majorHAnsi"/>
          <w:color w:val="000000"/>
          <w:spacing w:val="2"/>
          <w:sz w:val="24"/>
          <w:szCs w:val="24"/>
          <w:lang w:val="ru-MD"/>
        </w:rPr>
        <w:t xml:space="preserve">меньше по сравнению с </w:t>
      </w:r>
      <w:r w:rsidRPr="000B2564">
        <w:rPr>
          <w:rFonts w:asciiTheme="majorHAnsi" w:hAnsiTheme="majorHAnsi" w:cstheme="majorHAnsi"/>
          <w:color w:val="000000"/>
          <w:spacing w:val="2"/>
          <w:sz w:val="24"/>
          <w:szCs w:val="24"/>
          <w:lang w:val="ru-MD"/>
        </w:rPr>
        <w:t>остатк</w:t>
      </w:r>
      <w:r w:rsidR="000B2564" w:rsidRPr="000B2564">
        <w:rPr>
          <w:rFonts w:asciiTheme="majorHAnsi" w:hAnsiTheme="majorHAnsi" w:cstheme="majorHAnsi"/>
          <w:color w:val="000000"/>
          <w:spacing w:val="2"/>
          <w:sz w:val="24"/>
          <w:szCs w:val="24"/>
          <w:lang w:val="ru-MD"/>
        </w:rPr>
        <w:t>ом</w:t>
      </w:r>
      <w:r w:rsidRPr="000B2564">
        <w:rPr>
          <w:rFonts w:asciiTheme="majorHAnsi" w:hAnsiTheme="majorHAnsi" w:cstheme="majorHAnsi"/>
          <w:color w:val="000000"/>
          <w:spacing w:val="2"/>
          <w:sz w:val="24"/>
          <w:szCs w:val="24"/>
          <w:lang w:val="ru-MD"/>
        </w:rPr>
        <w:t xml:space="preserve"> задолженности, о</w:t>
      </w:r>
      <w:r w:rsidR="000B2564" w:rsidRPr="000B2564">
        <w:rPr>
          <w:rFonts w:asciiTheme="majorHAnsi" w:hAnsiTheme="majorHAnsi" w:cstheme="majorHAnsi"/>
          <w:color w:val="000000"/>
          <w:spacing w:val="2"/>
          <w:sz w:val="24"/>
          <w:szCs w:val="24"/>
          <w:lang w:val="ru-MD"/>
        </w:rPr>
        <w:t>траженным</w:t>
      </w:r>
      <w:r w:rsidRPr="000B2564">
        <w:rPr>
          <w:rFonts w:asciiTheme="majorHAnsi" w:hAnsiTheme="majorHAnsi" w:cstheme="majorHAnsi"/>
          <w:color w:val="000000"/>
          <w:spacing w:val="2"/>
          <w:sz w:val="24"/>
          <w:szCs w:val="24"/>
          <w:lang w:val="ru-MD"/>
        </w:rPr>
        <w:t xml:space="preserve"> </w:t>
      </w:r>
      <w:r w:rsidR="000B2564" w:rsidRPr="000B2564">
        <w:rPr>
          <w:rFonts w:asciiTheme="majorHAnsi" w:hAnsiTheme="majorHAnsi" w:cstheme="majorHAnsi"/>
          <w:color w:val="000000"/>
          <w:spacing w:val="2"/>
          <w:sz w:val="24"/>
          <w:szCs w:val="24"/>
          <w:lang w:val="ru-MD"/>
        </w:rPr>
        <w:t>на</w:t>
      </w:r>
      <w:r w:rsidRPr="000B2564">
        <w:rPr>
          <w:rFonts w:asciiTheme="majorHAnsi" w:hAnsiTheme="majorHAnsi" w:cstheme="majorHAnsi"/>
          <w:color w:val="000000"/>
          <w:spacing w:val="2"/>
          <w:sz w:val="24"/>
          <w:szCs w:val="24"/>
          <w:lang w:val="ru-MD"/>
        </w:rPr>
        <w:t xml:space="preserve"> кон</w:t>
      </w:r>
      <w:r w:rsidR="000B2564" w:rsidRPr="000B2564">
        <w:rPr>
          <w:rFonts w:asciiTheme="majorHAnsi" w:hAnsiTheme="majorHAnsi" w:cstheme="majorHAnsi"/>
          <w:color w:val="000000"/>
          <w:spacing w:val="2"/>
          <w:sz w:val="24"/>
          <w:szCs w:val="24"/>
          <w:lang w:val="ru-MD"/>
        </w:rPr>
        <w:t>е</w:t>
      </w:r>
      <w:r w:rsidRPr="000B2564">
        <w:rPr>
          <w:rFonts w:asciiTheme="majorHAnsi" w:hAnsiTheme="majorHAnsi" w:cstheme="majorHAnsi"/>
          <w:color w:val="000000"/>
          <w:spacing w:val="2"/>
          <w:sz w:val="24"/>
          <w:szCs w:val="24"/>
          <w:lang w:val="ru-MD"/>
        </w:rPr>
        <w:t>ц 2019 года</w:t>
      </w:r>
      <w:r w:rsidR="004E5FA3" w:rsidRPr="00F55BA6">
        <w:rPr>
          <w:rFonts w:asciiTheme="majorHAnsi" w:hAnsiTheme="majorHAnsi" w:cstheme="majorHAnsi"/>
          <w:bCs/>
          <w:iCs/>
          <w:sz w:val="24"/>
          <w:szCs w:val="24"/>
          <w:lang w:val="ro-RO"/>
        </w:rPr>
        <w:t xml:space="preserve">. </w:t>
      </w:r>
    </w:p>
    <w:p w:rsidR="004E5FA3" w:rsidRPr="000B2564" w:rsidRDefault="004E5FA3" w:rsidP="004E5FA3">
      <w:pPr>
        <w:spacing w:after="0" w:line="276" w:lineRule="auto"/>
        <w:rPr>
          <w:rFonts w:asciiTheme="majorHAnsi" w:hAnsiTheme="majorHAnsi" w:cstheme="majorHAnsi"/>
          <w:bCs/>
          <w:i/>
          <w:iCs/>
          <w:sz w:val="24"/>
          <w:szCs w:val="24"/>
          <w:lang w:val="ru-MD"/>
        </w:rPr>
      </w:pPr>
      <w:r w:rsidRPr="00F55BA6">
        <w:rPr>
          <w:rFonts w:asciiTheme="majorHAnsi" w:hAnsiTheme="majorHAnsi" w:cstheme="majorHAnsi"/>
          <w:b/>
          <w:bCs/>
          <w:i/>
          <w:iCs/>
          <w:sz w:val="24"/>
          <w:szCs w:val="24"/>
          <w:lang w:val="ro-RO"/>
        </w:rPr>
        <w:t>*</w:t>
      </w:r>
      <w:r w:rsidR="00987BF8" w:rsidRPr="00F55BA6">
        <w:rPr>
          <w:rFonts w:asciiTheme="majorHAnsi" w:hAnsiTheme="majorHAnsi" w:cstheme="majorHAnsi"/>
          <w:b/>
          <w:bCs/>
          <w:i/>
          <w:iCs/>
          <w:sz w:val="24"/>
          <w:szCs w:val="24"/>
          <w:lang w:val="ro-RO"/>
        </w:rPr>
        <w:t xml:space="preserve"> </w:t>
      </w:r>
      <w:r w:rsidR="000B2564" w:rsidRPr="000B2564">
        <w:rPr>
          <w:rFonts w:asciiTheme="majorHAnsi" w:hAnsiTheme="majorHAnsi" w:cstheme="majorHAnsi"/>
          <w:b/>
          <w:bCs/>
          <w:i/>
          <w:iCs/>
          <w:sz w:val="24"/>
          <w:szCs w:val="24"/>
          <w:lang w:val="ru-MD"/>
        </w:rPr>
        <w:t>Примечание</w:t>
      </w:r>
      <w:r w:rsidRPr="000B2564">
        <w:rPr>
          <w:rFonts w:asciiTheme="majorHAnsi" w:hAnsiTheme="majorHAnsi" w:cstheme="majorHAnsi"/>
          <w:b/>
          <w:bCs/>
          <w:i/>
          <w:iCs/>
          <w:sz w:val="24"/>
          <w:szCs w:val="24"/>
          <w:lang w:val="ru-MD"/>
        </w:rPr>
        <w:t>:</w:t>
      </w:r>
      <w:r w:rsidRPr="000B2564">
        <w:rPr>
          <w:rFonts w:asciiTheme="majorHAnsi" w:hAnsiTheme="majorHAnsi" w:cstheme="majorHAnsi"/>
          <w:bCs/>
          <w:i/>
          <w:iCs/>
          <w:sz w:val="24"/>
          <w:szCs w:val="24"/>
          <w:lang w:val="ru-MD"/>
        </w:rPr>
        <w:t xml:space="preserve"> </w:t>
      </w:r>
      <w:r w:rsidR="006D2C88" w:rsidRPr="000B2564">
        <w:rPr>
          <w:rFonts w:asciiTheme="majorHAnsi" w:hAnsiTheme="majorHAnsi" w:cstheme="majorHAnsi"/>
          <w:bCs/>
          <w:i/>
          <w:iCs/>
          <w:sz w:val="24"/>
          <w:szCs w:val="24"/>
          <w:lang w:val="ru-MD"/>
        </w:rPr>
        <w:t>В ходе аудиторской миссии МФ исправил</w:t>
      </w:r>
      <w:r w:rsidR="000B2564" w:rsidRPr="000B2564">
        <w:rPr>
          <w:rFonts w:asciiTheme="majorHAnsi" w:hAnsiTheme="majorHAnsi" w:cstheme="majorHAnsi"/>
          <w:bCs/>
          <w:i/>
          <w:iCs/>
          <w:sz w:val="24"/>
          <w:szCs w:val="24"/>
          <w:lang w:val="ru-MD"/>
        </w:rPr>
        <w:t>о</w:t>
      </w:r>
      <w:r w:rsidR="006D2C88" w:rsidRPr="000B2564">
        <w:rPr>
          <w:rFonts w:asciiTheme="majorHAnsi" w:hAnsiTheme="majorHAnsi" w:cstheme="majorHAnsi"/>
          <w:bCs/>
          <w:i/>
          <w:iCs/>
          <w:sz w:val="24"/>
          <w:szCs w:val="24"/>
          <w:lang w:val="ru-MD"/>
        </w:rPr>
        <w:t xml:space="preserve"> остаток дебиторской задолженности на 99,0 млн. ле</w:t>
      </w:r>
      <w:r w:rsidR="000B2564" w:rsidRPr="000B2564">
        <w:rPr>
          <w:rFonts w:asciiTheme="majorHAnsi" w:hAnsiTheme="majorHAnsi" w:cstheme="majorHAnsi"/>
          <w:bCs/>
          <w:i/>
          <w:iCs/>
          <w:sz w:val="24"/>
          <w:szCs w:val="24"/>
          <w:lang w:val="ru-MD"/>
        </w:rPr>
        <w:t>ев</w:t>
      </w:r>
      <w:r w:rsidR="006D2C88" w:rsidRPr="000B2564">
        <w:rPr>
          <w:rFonts w:asciiTheme="majorHAnsi" w:hAnsiTheme="majorHAnsi" w:cstheme="majorHAnsi"/>
          <w:bCs/>
          <w:i/>
          <w:iCs/>
          <w:sz w:val="24"/>
          <w:szCs w:val="24"/>
          <w:lang w:val="ru-MD"/>
        </w:rPr>
        <w:t xml:space="preserve"> и </w:t>
      </w:r>
      <w:r w:rsidR="000B2564" w:rsidRPr="000B2564">
        <w:rPr>
          <w:rFonts w:asciiTheme="majorHAnsi" w:hAnsiTheme="majorHAnsi" w:cstheme="majorHAnsi"/>
          <w:bCs/>
          <w:i/>
          <w:iCs/>
          <w:sz w:val="24"/>
          <w:szCs w:val="24"/>
          <w:lang w:val="ru-MD"/>
        </w:rPr>
        <w:t xml:space="preserve">08.06.2021 </w:t>
      </w:r>
      <w:r w:rsidR="006D2C88" w:rsidRPr="000B2564">
        <w:rPr>
          <w:rFonts w:asciiTheme="majorHAnsi" w:hAnsiTheme="majorHAnsi" w:cstheme="majorHAnsi"/>
          <w:bCs/>
          <w:i/>
          <w:iCs/>
          <w:sz w:val="24"/>
          <w:szCs w:val="24"/>
          <w:lang w:val="ru-MD"/>
        </w:rPr>
        <w:t>представил</w:t>
      </w:r>
      <w:r w:rsidR="000B2564" w:rsidRPr="000B2564">
        <w:rPr>
          <w:rFonts w:asciiTheme="majorHAnsi" w:hAnsiTheme="majorHAnsi" w:cstheme="majorHAnsi"/>
          <w:bCs/>
          <w:i/>
          <w:iCs/>
          <w:sz w:val="24"/>
          <w:szCs w:val="24"/>
          <w:lang w:val="ru-MD"/>
        </w:rPr>
        <w:t>о</w:t>
      </w:r>
      <w:r w:rsidR="006D2C88" w:rsidRPr="000B2564">
        <w:rPr>
          <w:rFonts w:asciiTheme="majorHAnsi" w:hAnsiTheme="majorHAnsi" w:cstheme="majorHAnsi"/>
          <w:bCs/>
          <w:i/>
          <w:iCs/>
          <w:sz w:val="24"/>
          <w:szCs w:val="24"/>
          <w:lang w:val="ru-MD"/>
        </w:rPr>
        <w:t xml:space="preserve"> </w:t>
      </w:r>
      <w:r w:rsidR="000B2564" w:rsidRPr="000B2564">
        <w:rPr>
          <w:rFonts w:asciiTheme="majorHAnsi" w:hAnsiTheme="majorHAnsi" w:cstheme="majorHAnsi"/>
          <w:bCs/>
          <w:i/>
          <w:iCs/>
          <w:sz w:val="24"/>
          <w:szCs w:val="24"/>
          <w:lang w:val="ru-MD"/>
        </w:rPr>
        <w:t>откорректирова</w:t>
      </w:r>
      <w:r w:rsidR="006D2C88" w:rsidRPr="000B2564">
        <w:rPr>
          <w:rFonts w:asciiTheme="majorHAnsi" w:hAnsiTheme="majorHAnsi" w:cstheme="majorHAnsi"/>
          <w:bCs/>
          <w:i/>
          <w:iCs/>
          <w:sz w:val="24"/>
          <w:szCs w:val="24"/>
          <w:lang w:val="ru-MD"/>
        </w:rPr>
        <w:t xml:space="preserve">нный </w:t>
      </w:r>
      <w:r w:rsidR="000B2564" w:rsidRPr="000B2564">
        <w:rPr>
          <w:rFonts w:asciiTheme="majorHAnsi" w:hAnsiTheme="majorHAnsi" w:cstheme="majorHAnsi"/>
          <w:bCs/>
          <w:i/>
          <w:iCs/>
          <w:sz w:val="24"/>
          <w:szCs w:val="24"/>
          <w:lang w:val="ru-MD"/>
        </w:rPr>
        <w:t>Б</w:t>
      </w:r>
      <w:r w:rsidR="006D2C88" w:rsidRPr="000B2564">
        <w:rPr>
          <w:rFonts w:asciiTheme="majorHAnsi" w:hAnsiTheme="majorHAnsi" w:cstheme="majorHAnsi"/>
          <w:bCs/>
          <w:i/>
          <w:iCs/>
          <w:sz w:val="24"/>
          <w:szCs w:val="24"/>
          <w:lang w:val="ru-MD"/>
        </w:rPr>
        <w:t xml:space="preserve">ухгалтерский баланс </w:t>
      </w:r>
      <w:r w:rsidR="000B2564">
        <w:rPr>
          <w:rFonts w:asciiTheme="majorHAnsi" w:hAnsiTheme="majorHAnsi" w:cstheme="majorHAnsi"/>
          <w:bCs/>
          <w:i/>
          <w:iCs/>
          <w:sz w:val="24"/>
          <w:szCs w:val="24"/>
          <w:lang w:val="ru-MD"/>
        </w:rPr>
        <w:t xml:space="preserve">в </w:t>
      </w:r>
      <w:r w:rsidR="006D2C88" w:rsidRPr="000B2564">
        <w:rPr>
          <w:rFonts w:asciiTheme="majorHAnsi" w:hAnsiTheme="majorHAnsi" w:cstheme="majorHAnsi"/>
          <w:bCs/>
          <w:i/>
          <w:iCs/>
          <w:sz w:val="24"/>
          <w:szCs w:val="24"/>
          <w:lang w:val="ru-MD"/>
        </w:rPr>
        <w:t>Счетн</w:t>
      </w:r>
      <w:r w:rsidR="000B2564">
        <w:rPr>
          <w:rFonts w:asciiTheme="majorHAnsi" w:hAnsiTheme="majorHAnsi" w:cstheme="majorHAnsi"/>
          <w:bCs/>
          <w:i/>
          <w:iCs/>
          <w:sz w:val="24"/>
          <w:szCs w:val="24"/>
          <w:lang w:val="ru-MD"/>
        </w:rPr>
        <w:t>ую</w:t>
      </w:r>
      <w:r w:rsidR="006D2C88" w:rsidRPr="000B2564">
        <w:rPr>
          <w:rFonts w:asciiTheme="majorHAnsi" w:hAnsiTheme="majorHAnsi" w:cstheme="majorHAnsi"/>
          <w:bCs/>
          <w:i/>
          <w:iCs/>
          <w:sz w:val="24"/>
          <w:szCs w:val="24"/>
          <w:lang w:val="ru-MD"/>
        </w:rPr>
        <w:t xml:space="preserve"> палат</w:t>
      </w:r>
      <w:r w:rsidR="000B2564">
        <w:rPr>
          <w:rFonts w:asciiTheme="majorHAnsi" w:hAnsiTheme="majorHAnsi" w:cstheme="majorHAnsi"/>
          <w:bCs/>
          <w:i/>
          <w:iCs/>
          <w:sz w:val="24"/>
          <w:szCs w:val="24"/>
          <w:lang w:val="ru-MD"/>
        </w:rPr>
        <w:t>у</w:t>
      </w:r>
      <w:r w:rsidR="006D2C88" w:rsidRPr="000B2564">
        <w:rPr>
          <w:rFonts w:asciiTheme="majorHAnsi" w:hAnsiTheme="majorHAnsi" w:cstheme="majorHAnsi"/>
          <w:bCs/>
          <w:i/>
          <w:iCs/>
          <w:sz w:val="24"/>
          <w:szCs w:val="24"/>
          <w:lang w:val="ru-MD"/>
        </w:rPr>
        <w:t xml:space="preserve"> и </w:t>
      </w:r>
      <w:r w:rsidR="000B2564" w:rsidRPr="000B2564">
        <w:rPr>
          <w:rFonts w:asciiTheme="majorHAnsi" w:hAnsiTheme="majorHAnsi" w:cstheme="majorHAnsi"/>
          <w:bCs/>
          <w:i/>
          <w:iCs/>
          <w:sz w:val="24"/>
          <w:szCs w:val="24"/>
          <w:lang w:val="ru-MD"/>
        </w:rPr>
        <w:t>П</w:t>
      </w:r>
      <w:r w:rsidR="006D2C88" w:rsidRPr="000B2564">
        <w:rPr>
          <w:rFonts w:asciiTheme="majorHAnsi" w:hAnsiTheme="majorHAnsi" w:cstheme="majorHAnsi"/>
          <w:bCs/>
          <w:i/>
          <w:iCs/>
          <w:sz w:val="24"/>
          <w:szCs w:val="24"/>
          <w:lang w:val="ru-MD"/>
        </w:rPr>
        <w:t>равительств</w:t>
      </w:r>
      <w:r w:rsidR="000B2564">
        <w:rPr>
          <w:rFonts w:asciiTheme="majorHAnsi" w:hAnsiTheme="majorHAnsi" w:cstheme="majorHAnsi"/>
          <w:bCs/>
          <w:i/>
          <w:iCs/>
          <w:sz w:val="24"/>
          <w:szCs w:val="24"/>
          <w:lang w:val="ru-MD"/>
        </w:rPr>
        <w:t>о</w:t>
      </w:r>
      <w:r w:rsidRPr="000B2564">
        <w:rPr>
          <w:rFonts w:asciiTheme="majorHAnsi" w:hAnsiTheme="majorHAnsi" w:cstheme="majorHAnsi"/>
          <w:bCs/>
          <w:i/>
          <w:iCs/>
          <w:sz w:val="24"/>
          <w:szCs w:val="24"/>
          <w:lang w:val="ru-MD"/>
        </w:rPr>
        <w:t>.</w:t>
      </w:r>
    </w:p>
    <w:p w:rsidR="006F3E45" w:rsidRPr="00E5613E" w:rsidRDefault="006D2C88" w:rsidP="006F3E45">
      <w:pPr>
        <w:tabs>
          <w:tab w:val="left" w:pos="284"/>
          <w:tab w:val="left" w:pos="426"/>
        </w:tabs>
        <w:spacing w:after="0" w:line="276" w:lineRule="auto"/>
        <w:rPr>
          <w:rFonts w:asciiTheme="majorHAnsi" w:hAnsiTheme="majorHAnsi" w:cstheme="majorHAnsi"/>
          <w:sz w:val="24"/>
          <w:szCs w:val="24"/>
          <w:lang w:val="ru-MD"/>
        </w:rPr>
      </w:pPr>
      <w:r w:rsidRPr="00E23112">
        <w:rPr>
          <w:rFonts w:asciiTheme="majorHAnsi" w:hAnsiTheme="majorHAnsi" w:cstheme="majorHAnsi"/>
          <w:sz w:val="24"/>
          <w:szCs w:val="24"/>
          <w:lang w:val="ru-MD"/>
        </w:rPr>
        <w:t xml:space="preserve">В этом же контексте </w:t>
      </w:r>
      <w:r w:rsidR="00157716" w:rsidRPr="00E23112">
        <w:rPr>
          <w:rFonts w:asciiTheme="majorHAnsi" w:hAnsiTheme="majorHAnsi" w:cstheme="majorHAnsi"/>
          <w:sz w:val="24"/>
          <w:szCs w:val="24"/>
          <w:lang w:val="ru-MD"/>
        </w:rPr>
        <w:t>отмечается</w:t>
      </w:r>
      <w:r w:rsidRPr="00E23112">
        <w:rPr>
          <w:rFonts w:asciiTheme="majorHAnsi" w:hAnsiTheme="majorHAnsi" w:cstheme="majorHAnsi"/>
          <w:sz w:val="24"/>
          <w:szCs w:val="24"/>
          <w:lang w:val="ru-MD"/>
        </w:rPr>
        <w:t xml:space="preserve"> </w:t>
      </w:r>
      <w:r w:rsidR="00157716" w:rsidRPr="00E23112">
        <w:rPr>
          <w:rFonts w:asciiTheme="majorHAnsi" w:hAnsiTheme="majorHAnsi" w:cstheme="majorHAnsi"/>
          <w:sz w:val="24"/>
          <w:szCs w:val="24"/>
          <w:lang w:val="ru-MD"/>
        </w:rPr>
        <w:t xml:space="preserve">и </w:t>
      </w:r>
      <w:r w:rsidRPr="00E23112">
        <w:rPr>
          <w:rFonts w:asciiTheme="majorHAnsi" w:hAnsiTheme="majorHAnsi" w:cstheme="majorHAnsi"/>
          <w:sz w:val="24"/>
          <w:szCs w:val="24"/>
          <w:lang w:val="ru-MD"/>
        </w:rPr>
        <w:t xml:space="preserve">проблемная ситуация, выявленная в результате внешнего </w:t>
      </w:r>
      <w:r w:rsidR="00157716" w:rsidRPr="00E23112">
        <w:rPr>
          <w:rFonts w:asciiTheme="majorHAnsi" w:hAnsiTheme="majorHAnsi" w:cstheme="majorHAnsi"/>
          <w:sz w:val="24"/>
          <w:szCs w:val="24"/>
          <w:lang w:val="ru-MD"/>
        </w:rPr>
        <w:t>п</w:t>
      </w:r>
      <w:r w:rsidRPr="00E23112">
        <w:rPr>
          <w:rFonts w:asciiTheme="majorHAnsi" w:hAnsiTheme="majorHAnsi" w:cstheme="majorHAnsi"/>
          <w:sz w:val="24"/>
          <w:szCs w:val="24"/>
          <w:lang w:val="ru-MD"/>
        </w:rPr>
        <w:t xml:space="preserve">убличного аудита </w:t>
      </w:r>
      <w:r w:rsidR="00157716" w:rsidRPr="00E23112">
        <w:rPr>
          <w:rFonts w:asciiTheme="majorHAnsi" w:hAnsiTheme="majorHAnsi" w:cstheme="majorHAnsi"/>
          <w:sz w:val="24"/>
          <w:szCs w:val="24"/>
          <w:lang w:val="ru-MD"/>
        </w:rPr>
        <w:t xml:space="preserve">в отношении </w:t>
      </w:r>
      <w:r w:rsidRPr="00E23112">
        <w:rPr>
          <w:rFonts w:asciiTheme="majorHAnsi" w:hAnsiTheme="majorHAnsi" w:cstheme="majorHAnsi"/>
          <w:sz w:val="24"/>
          <w:szCs w:val="24"/>
          <w:lang w:val="ru-MD"/>
        </w:rPr>
        <w:t>консолидированн</w:t>
      </w:r>
      <w:r w:rsidR="00157716" w:rsidRPr="00E23112">
        <w:rPr>
          <w:rFonts w:asciiTheme="majorHAnsi" w:hAnsiTheme="majorHAnsi" w:cstheme="majorHAnsi"/>
          <w:sz w:val="24"/>
          <w:szCs w:val="24"/>
          <w:lang w:val="ru-MD"/>
        </w:rPr>
        <w:t>ой</w:t>
      </w:r>
      <w:r w:rsidRPr="00E23112">
        <w:rPr>
          <w:rFonts w:asciiTheme="majorHAnsi" w:hAnsiTheme="majorHAnsi" w:cstheme="majorHAnsi"/>
          <w:sz w:val="24"/>
          <w:szCs w:val="24"/>
          <w:lang w:val="ru-MD"/>
        </w:rPr>
        <w:t xml:space="preserve"> финансов</w:t>
      </w:r>
      <w:r w:rsidR="00157716" w:rsidRPr="00E23112">
        <w:rPr>
          <w:rFonts w:asciiTheme="majorHAnsi" w:hAnsiTheme="majorHAnsi" w:cstheme="majorHAnsi"/>
          <w:sz w:val="24"/>
          <w:szCs w:val="24"/>
          <w:lang w:val="ru-MD"/>
        </w:rPr>
        <w:t>ой</w:t>
      </w:r>
      <w:r w:rsidRPr="00E23112">
        <w:rPr>
          <w:rFonts w:asciiTheme="majorHAnsi" w:hAnsiTheme="majorHAnsi" w:cstheme="majorHAnsi"/>
          <w:sz w:val="24"/>
          <w:szCs w:val="24"/>
          <w:lang w:val="ru-MD"/>
        </w:rPr>
        <w:t xml:space="preserve"> отчет</w:t>
      </w:r>
      <w:r w:rsidR="00157716" w:rsidRPr="00E23112">
        <w:rPr>
          <w:rFonts w:asciiTheme="majorHAnsi" w:hAnsiTheme="majorHAnsi" w:cstheme="majorHAnsi"/>
          <w:sz w:val="24"/>
          <w:szCs w:val="24"/>
          <w:lang w:val="ru-MD"/>
        </w:rPr>
        <w:t>ности</w:t>
      </w:r>
      <w:r w:rsidRPr="00E23112">
        <w:rPr>
          <w:rFonts w:asciiTheme="majorHAnsi" w:hAnsiTheme="majorHAnsi" w:cstheme="majorHAnsi"/>
          <w:sz w:val="24"/>
          <w:szCs w:val="24"/>
          <w:lang w:val="ru-MD"/>
        </w:rPr>
        <w:t xml:space="preserve"> МФ</w:t>
      </w:r>
      <w:r w:rsidR="00157716" w:rsidRPr="00E23112">
        <w:rPr>
          <w:rFonts w:asciiTheme="majorHAnsi" w:hAnsiTheme="majorHAnsi" w:cstheme="majorHAnsi"/>
          <w:sz w:val="24"/>
          <w:szCs w:val="24"/>
          <w:lang w:val="ru-MD"/>
        </w:rPr>
        <w:t xml:space="preserve"> по состоянию на</w:t>
      </w:r>
      <w:r w:rsidRPr="00E23112">
        <w:rPr>
          <w:rFonts w:asciiTheme="majorHAnsi" w:hAnsiTheme="majorHAnsi" w:cstheme="majorHAnsi"/>
          <w:sz w:val="24"/>
          <w:szCs w:val="24"/>
          <w:lang w:val="ru-MD"/>
        </w:rPr>
        <w:t xml:space="preserve"> 31.12.2020</w:t>
      </w:r>
      <w:r w:rsidR="00157716" w:rsidRPr="00E23112">
        <w:rPr>
          <w:rStyle w:val="FootnoteReference"/>
          <w:rFonts w:asciiTheme="majorHAnsi" w:hAnsiTheme="majorHAnsi" w:cstheme="majorHAnsi"/>
          <w:sz w:val="24"/>
          <w:szCs w:val="24"/>
          <w:lang w:val="ru-MD"/>
        </w:rPr>
        <w:footnoteReference w:id="16"/>
      </w:r>
      <w:r w:rsidRPr="00E23112">
        <w:rPr>
          <w:rFonts w:asciiTheme="majorHAnsi" w:hAnsiTheme="majorHAnsi" w:cstheme="majorHAnsi"/>
          <w:sz w:val="24"/>
          <w:szCs w:val="24"/>
          <w:lang w:val="ru-MD"/>
        </w:rPr>
        <w:t xml:space="preserve">, </w:t>
      </w:r>
      <w:r w:rsidR="00157716" w:rsidRPr="00E23112">
        <w:rPr>
          <w:rFonts w:asciiTheme="majorHAnsi" w:hAnsiTheme="majorHAnsi" w:cstheme="majorHAnsi"/>
          <w:sz w:val="24"/>
          <w:szCs w:val="24"/>
          <w:lang w:val="ru-MD"/>
        </w:rPr>
        <w:t xml:space="preserve">который </w:t>
      </w:r>
      <w:r w:rsidRPr="00E23112">
        <w:rPr>
          <w:rFonts w:asciiTheme="majorHAnsi" w:hAnsiTheme="majorHAnsi" w:cstheme="majorHAnsi"/>
          <w:sz w:val="24"/>
          <w:szCs w:val="24"/>
          <w:lang w:val="ru-MD"/>
        </w:rPr>
        <w:t>констатир</w:t>
      </w:r>
      <w:r w:rsidR="00157716" w:rsidRPr="00E23112">
        <w:rPr>
          <w:rFonts w:asciiTheme="majorHAnsi" w:hAnsiTheme="majorHAnsi" w:cstheme="majorHAnsi"/>
          <w:sz w:val="24"/>
          <w:szCs w:val="24"/>
          <w:lang w:val="ru-MD"/>
        </w:rPr>
        <w:t>овал</w:t>
      </w:r>
      <w:r w:rsidRPr="00E23112">
        <w:rPr>
          <w:rFonts w:asciiTheme="majorHAnsi" w:hAnsiTheme="majorHAnsi" w:cstheme="majorHAnsi"/>
          <w:sz w:val="24"/>
          <w:szCs w:val="24"/>
          <w:lang w:val="ru-MD"/>
        </w:rPr>
        <w:t xml:space="preserve"> недостаточное регулирование процедур учета конфискованных товаров, не принадлежащих МФ и/или </w:t>
      </w:r>
      <w:r w:rsidR="00E23112" w:rsidRPr="00E23112">
        <w:rPr>
          <w:rFonts w:asciiTheme="majorHAnsi" w:hAnsiTheme="majorHAnsi" w:cstheme="majorHAnsi"/>
          <w:sz w:val="24"/>
          <w:szCs w:val="24"/>
          <w:lang w:val="ru-MD"/>
        </w:rPr>
        <w:t xml:space="preserve">его </w:t>
      </w:r>
      <w:r w:rsidRPr="00E23112">
        <w:rPr>
          <w:rFonts w:asciiTheme="majorHAnsi" w:hAnsiTheme="majorHAnsi" w:cstheme="majorHAnsi"/>
          <w:sz w:val="24"/>
          <w:szCs w:val="24"/>
          <w:lang w:val="ru-MD"/>
        </w:rPr>
        <w:t>под</w:t>
      </w:r>
      <w:r w:rsidR="00E23112" w:rsidRPr="00E23112">
        <w:rPr>
          <w:rFonts w:asciiTheme="majorHAnsi" w:hAnsiTheme="majorHAnsi" w:cstheme="majorHAnsi"/>
          <w:sz w:val="24"/>
          <w:szCs w:val="24"/>
          <w:lang w:val="ru-MD"/>
        </w:rPr>
        <w:t>ведомств</w:t>
      </w:r>
      <w:r w:rsidRPr="00E23112">
        <w:rPr>
          <w:rFonts w:asciiTheme="majorHAnsi" w:hAnsiTheme="majorHAnsi" w:cstheme="majorHAnsi"/>
          <w:sz w:val="24"/>
          <w:szCs w:val="24"/>
          <w:lang w:val="ru-MD"/>
        </w:rPr>
        <w:t xml:space="preserve">енным учреждениям, </w:t>
      </w:r>
      <w:r w:rsidR="00E23112" w:rsidRPr="00E23112">
        <w:rPr>
          <w:rFonts w:asciiTheme="majorHAnsi" w:hAnsiTheme="majorHAnsi" w:cstheme="majorHAnsi"/>
          <w:sz w:val="24"/>
          <w:szCs w:val="24"/>
          <w:lang w:val="ru-MD"/>
        </w:rPr>
        <w:t xml:space="preserve">учитывая, что такие </w:t>
      </w:r>
      <w:r w:rsidRPr="00E23112">
        <w:rPr>
          <w:rFonts w:asciiTheme="majorHAnsi" w:hAnsiTheme="majorHAnsi" w:cstheme="majorHAnsi"/>
          <w:sz w:val="24"/>
          <w:szCs w:val="24"/>
          <w:lang w:val="ru-MD"/>
        </w:rPr>
        <w:t xml:space="preserve">обстоятельства </w:t>
      </w:r>
      <w:r w:rsidR="00E23112" w:rsidRPr="00E23112">
        <w:rPr>
          <w:rFonts w:asciiTheme="majorHAnsi" w:hAnsiTheme="majorHAnsi" w:cstheme="majorHAnsi"/>
          <w:sz w:val="24"/>
          <w:szCs w:val="24"/>
          <w:lang w:val="ru-MD"/>
        </w:rPr>
        <w:t>генериру</w:t>
      </w:r>
      <w:r w:rsidRPr="00E23112">
        <w:rPr>
          <w:rFonts w:asciiTheme="majorHAnsi" w:hAnsiTheme="majorHAnsi" w:cstheme="majorHAnsi"/>
          <w:sz w:val="24"/>
          <w:szCs w:val="24"/>
          <w:lang w:val="ru-MD"/>
        </w:rPr>
        <w:t>ют неясност</w:t>
      </w:r>
      <w:r w:rsidR="00E23112" w:rsidRPr="00E23112">
        <w:rPr>
          <w:rFonts w:asciiTheme="majorHAnsi" w:hAnsiTheme="majorHAnsi" w:cstheme="majorHAnsi"/>
          <w:sz w:val="24"/>
          <w:szCs w:val="24"/>
          <w:lang w:val="ru-MD"/>
        </w:rPr>
        <w:t>ь</w:t>
      </w:r>
      <w:r w:rsidRPr="00E23112">
        <w:rPr>
          <w:rFonts w:asciiTheme="majorHAnsi" w:hAnsiTheme="majorHAnsi" w:cstheme="majorHAnsi"/>
          <w:sz w:val="24"/>
          <w:szCs w:val="24"/>
          <w:lang w:val="ru-MD"/>
        </w:rPr>
        <w:t xml:space="preserve"> отно</w:t>
      </w:r>
      <w:r w:rsidR="00E23112" w:rsidRPr="00E23112">
        <w:rPr>
          <w:rFonts w:asciiTheme="majorHAnsi" w:hAnsiTheme="majorHAnsi" w:cstheme="majorHAnsi"/>
          <w:sz w:val="24"/>
          <w:szCs w:val="24"/>
          <w:lang w:val="ru-MD"/>
        </w:rPr>
        <w:t>сительно</w:t>
      </w:r>
      <w:r w:rsidRPr="00E23112">
        <w:rPr>
          <w:rFonts w:asciiTheme="majorHAnsi" w:hAnsiTheme="majorHAnsi" w:cstheme="majorHAnsi"/>
          <w:sz w:val="24"/>
          <w:szCs w:val="24"/>
          <w:lang w:val="ru-MD"/>
        </w:rPr>
        <w:t xml:space="preserve"> их</w:t>
      </w:r>
      <w:r w:rsidR="00E23112" w:rsidRPr="00E23112">
        <w:rPr>
          <w:rFonts w:asciiTheme="majorHAnsi" w:hAnsiTheme="majorHAnsi" w:cstheme="majorHAnsi"/>
          <w:sz w:val="24"/>
          <w:szCs w:val="24"/>
          <w:lang w:val="ru-MD"/>
        </w:rPr>
        <w:t xml:space="preserve"> учета</w:t>
      </w:r>
      <w:r w:rsidR="006F3E45" w:rsidRPr="00E4517B">
        <w:rPr>
          <w:rFonts w:asciiTheme="majorHAnsi" w:hAnsiTheme="majorHAnsi" w:cstheme="majorHAnsi"/>
          <w:sz w:val="24"/>
          <w:szCs w:val="24"/>
          <w:lang w:val="ro-RO"/>
        </w:rPr>
        <w:t xml:space="preserve">.  </w:t>
      </w:r>
      <w:r w:rsidRPr="00E5613E">
        <w:rPr>
          <w:rFonts w:asciiTheme="majorHAnsi" w:hAnsiTheme="majorHAnsi" w:cstheme="majorHAnsi"/>
          <w:sz w:val="24"/>
          <w:szCs w:val="24"/>
          <w:lang w:val="ru-MD"/>
        </w:rPr>
        <w:t xml:space="preserve">Так, </w:t>
      </w:r>
      <w:r w:rsidR="00E23112" w:rsidRPr="00E5613E">
        <w:rPr>
          <w:rFonts w:asciiTheme="majorHAnsi" w:hAnsiTheme="majorHAnsi" w:cstheme="majorHAnsi"/>
          <w:sz w:val="24"/>
          <w:szCs w:val="24"/>
          <w:lang w:val="ru-MD"/>
        </w:rPr>
        <w:t>хотя</w:t>
      </w:r>
      <w:r w:rsidRPr="00E5613E">
        <w:rPr>
          <w:rFonts w:asciiTheme="majorHAnsi" w:hAnsiTheme="majorHAnsi" w:cstheme="majorHAnsi"/>
          <w:sz w:val="24"/>
          <w:szCs w:val="24"/>
          <w:lang w:val="ru-MD"/>
        </w:rPr>
        <w:t xml:space="preserve"> ГНС ведет аналитический учет конфискованного имущества, полученного </w:t>
      </w:r>
      <w:r w:rsidR="00E23112" w:rsidRPr="00E5613E">
        <w:rPr>
          <w:rFonts w:asciiTheme="majorHAnsi" w:hAnsiTheme="majorHAnsi" w:cstheme="majorHAnsi"/>
          <w:sz w:val="24"/>
          <w:szCs w:val="24"/>
          <w:lang w:val="ru-MD"/>
        </w:rPr>
        <w:t>на продажу от ТС</w:t>
      </w:r>
      <w:r w:rsidRPr="00E5613E">
        <w:rPr>
          <w:rFonts w:asciiTheme="majorHAnsi" w:hAnsiTheme="majorHAnsi" w:cstheme="majorHAnsi"/>
          <w:sz w:val="24"/>
          <w:szCs w:val="24"/>
          <w:lang w:val="ru-MD"/>
        </w:rPr>
        <w:t xml:space="preserve"> и други</w:t>
      </w:r>
      <w:r w:rsidR="00E23112" w:rsidRPr="00E5613E">
        <w:rPr>
          <w:rFonts w:asciiTheme="majorHAnsi" w:hAnsiTheme="majorHAnsi" w:cstheme="majorHAnsi"/>
          <w:sz w:val="24"/>
          <w:szCs w:val="24"/>
          <w:lang w:val="ru-MD"/>
        </w:rPr>
        <w:t>х</w:t>
      </w:r>
      <w:r w:rsidRPr="00E5613E">
        <w:rPr>
          <w:rFonts w:asciiTheme="majorHAnsi" w:hAnsiTheme="majorHAnsi" w:cstheme="majorHAnsi"/>
          <w:sz w:val="24"/>
          <w:szCs w:val="24"/>
          <w:lang w:val="ru-MD"/>
        </w:rPr>
        <w:t xml:space="preserve"> орган</w:t>
      </w:r>
      <w:r w:rsidR="00E23112" w:rsidRPr="00E5613E">
        <w:rPr>
          <w:rFonts w:asciiTheme="majorHAnsi" w:hAnsiTheme="majorHAnsi" w:cstheme="majorHAnsi"/>
          <w:sz w:val="24"/>
          <w:szCs w:val="24"/>
          <w:lang w:val="ru-MD"/>
        </w:rPr>
        <w:t>ов</w:t>
      </w:r>
      <w:r w:rsidRPr="00E5613E">
        <w:rPr>
          <w:rFonts w:asciiTheme="majorHAnsi" w:hAnsiTheme="majorHAnsi" w:cstheme="majorHAnsi"/>
          <w:sz w:val="24"/>
          <w:szCs w:val="24"/>
          <w:lang w:val="ru-MD"/>
        </w:rPr>
        <w:t xml:space="preserve"> с правом конфискации, стоимостью 18,4 млн. леев (на 31.12.2020)</w:t>
      </w:r>
      <w:r w:rsidR="00E23112" w:rsidRPr="00E5613E">
        <w:rPr>
          <w:rFonts w:asciiTheme="majorHAnsi" w:hAnsiTheme="majorHAnsi" w:cstheme="majorHAnsi"/>
          <w:sz w:val="24"/>
          <w:szCs w:val="24"/>
          <w:lang w:val="ru-MD"/>
        </w:rPr>
        <w:t>,</w:t>
      </w:r>
      <w:r w:rsidRPr="00E5613E">
        <w:rPr>
          <w:rFonts w:asciiTheme="majorHAnsi" w:hAnsiTheme="majorHAnsi" w:cstheme="majorHAnsi"/>
          <w:sz w:val="24"/>
          <w:szCs w:val="24"/>
          <w:lang w:val="ru-MD"/>
        </w:rPr>
        <w:t xml:space="preserve"> эта сумма не отражена </w:t>
      </w:r>
      <w:r w:rsidR="00E23112" w:rsidRPr="00E5613E">
        <w:rPr>
          <w:rFonts w:asciiTheme="majorHAnsi" w:hAnsiTheme="majorHAnsi" w:cstheme="majorHAnsi"/>
          <w:sz w:val="24"/>
          <w:szCs w:val="24"/>
          <w:lang w:val="ru-MD"/>
        </w:rPr>
        <w:t>по</w:t>
      </w:r>
      <w:r w:rsidRPr="00E5613E">
        <w:rPr>
          <w:rFonts w:asciiTheme="majorHAnsi" w:hAnsiTheme="majorHAnsi" w:cstheme="majorHAnsi"/>
          <w:sz w:val="24"/>
          <w:szCs w:val="24"/>
          <w:lang w:val="ru-MD"/>
        </w:rPr>
        <w:t xml:space="preserve"> группе счетов 8222 </w:t>
      </w:r>
      <w:r w:rsidR="00E23112" w:rsidRPr="00E5613E">
        <w:rPr>
          <w:rFonts w:asciiTheme="majorHAnsi" w:hAnsiTheme="majorHAnsi" w:cstheme="majorHAnsi"/>
          <w:iCs/>
          <w:sz w:val="24"/>
          <w:szCs w:val="24"/>
          <w:lang w:val="ru-MD"/>
        </w:rPr>
        <w:t>„</w:t>
      </w:r>
      <w:r w:rsidR="00E23112" w:rsidRPr="00E5613E">
        <w:rPr>
          <w:rFonts w:asciiTheme="majorHAnsi" w:hAnsiTheme="majorHAnsi" w:cstheme="majorHAnsi"/>
          <w:sz w:val="24"/>
          <w:szCs w:val="24"/>
          <w:lang w:val="ru-MD"/>
        </w:rPr>
        <w:t>Т</w:t>
      </w:r>
      <w:r w:rsidRPr="00E5613E">
        <w:rPr>
          <w:rFonts w:asciiTheme="majorHAnsi" w:hAnsiTheme="majorHAnsi" w:cstheme="majorHAnsi"/>
          <w:sz w:val="24"/>
          <w:szCs w:val="24"/>
          <w:lang w:val="ru-MD"/>
        </w:rPr>
        <w:t>овар</w:t>
      </w:r>
      <w:r w:rsidR="00E23112" w:rsidRPr="00E5613E">
        <w:rPr>
          <w:rFonts w:asciiTheme="majorHAnsi" w:hAnsiTheme="majorHAnsi" w:cstheme="majorHAnsi"/>
          <w:sz w:val="24"/>
          <w:szCs w:val="24"/>
          <w:lang w:val="ru-MD"/>
        </w:rPr>
        <w:t>но-</w:t>
      </w:r>
      <w:r w:rsidRPr="00E5613E">
        <w:rPr>
          <w:rFonts w:asciiTheme="majorHAnsi" w:hAnsiTheme="majorHAnsi" w:cstheme="majorHAnsi"/>
          <w:sz w:val="24"/>
          <w:szCs w:val="24"/>
          <w:lang w:val="ru-MD"/>
        </w:rPr>
        <w:t>материал</w:t>
      </w:r>
      <w:r w:rsidR="00E23112" w:rsidRPr="00E5613E">
        <w:rPr>
          <w:rFonts w:asciiTheme="majorHAnsi" w:hAnsiTheme="majorHAnsi" w:cstheme="majorHAnsi"/>
          <w:sz w:val="24"/>
          <w:szCs w:val="24"/>
          <w:lang w:val="ru-MD"/>
        </w:rPr>
        <w:t>ьные ценности</w:t>
      </w:r>
      <w:r w:rsidRPr="00E5613E">
        <w:rPr>
          <w:rFonts w:asciiTheme="majorHAnsi" w:hAnsiTheme="majorHAnsi" w:cstheme="majorHAnsi"/>
          <w:sz w:val="24"/>
          <w:szCs w:val="24"/>
          <w:lang w:val="ru-MD"/>
        </w:rPr>
        <w:t>, не принадлежащи</w:t>
      </w:r>
      <w:r w:rsidR="00E23112" w:rsidRPr="00E5613E">
        <w:rPr>
          <w:rFonts w:asciiTheme="majorHAnsi" w:hAnsiTheme="majorHAnsi" w:cstheme="majorHAnsi"/>
          <w:sz w:val="24"/>
          <w:szCs w:val="24"/>
          <w:lang w:val="ru-MD"/>
        </w:rPr>
        <w:t>е</w:t>
      </w:r>
      <w:r w:rsidRPr="00E5613E">
        <w:rPr>
          <w:rFonts w:asciiTheme="majorHAnsi" w:hAnsiTheme="majorHAnsi" w:cstheme="majorHAnsi"/>
          <w:sz w:val="24"/>
          <w:szCs w:val="24"/>
          <w:lang w:val="ru-MD"/>
        </w:rPr>
        <w:t xml:space="preserve"> учреждению” </w:t>
      </w:r>
      <w:r w:rsidR="00E23112" w:rsidRPr="00E5613E">
        <w:rPr>
          <w:rFonts w:asciiTheme="majorHAnsi" w:hAnsiTheme="majorHAnsi" w:cstheme="majorHAnsi"/>
          <w:sz w:val="24"/>
          <w:szCs w:val="24"/>
          <w:lang w:val="ru-MD"/>
        </w:rPr>
        <w:t>При этом, ТС</w:t>
      </w:r>
      <w:r w:rsidRPr="00E5613E">
        <w:rPr>
          <w:rFonts w:asciiTheme="majorHAnsi" w:hAnsiTheme="majorHAnsi" w:cstheme="majorHAnsi"/>
          <w:sz w:val="24"/>
          <w:szCs w:val="24"/>
          <w:lang w:val="ru-MD"/>
        </w:rPr>
        <w:t xml:space="preserve"> регистрирует </w:t>
      </w:r>
      <w:r w:rsidR="00E23112" w:rsidRPr="00E5613E">
        <w:rPr>
          <w:rFonts w:asciiTheme="majorHAnsi" w:hAnsiTheme="majorHAnsi" w:cstheme="majorHAnsi"/>
          <w:sz w:val="24"/>
          <w:szCs w:val="24"/>
          <w:lang w:val="ru-MD"/>
        </w:rPr>
        <w:t xml:space="preserve">конфискованные </w:t>
      </w:r>
      <w:r w:rsidRPr="00E5613E">
        <w:rPr>
          <w:rFonts w:asciiTheme="majorHAnsi" w:hAnsiTheme="majorHAnsi" w:cstheme="majorHAnsi"/>
          <w:sz w:val="24"/>
          <w:szCs w:val="24"/>
          <w:lang w:val="ru-MD"/>
        </w:rPr>
        <w:t xml:space="preserve">активы </w:t>
      </w:r>
      <w:r w:rsidR="00E23112" w:rsidRPr="00E5613E">
        <w:rPr>
          <w:rFonts w:asciiTheme="majorHAnsi" w:hAnsiTheme="majorHAnsi" w:cstheme="majorHAnsi"/>
          <w:sz w:val="24"/>
          <w:szCs w:val="24"/>
          <w:lang w:val="ru-MD"/>
        </w:rPr>
        <w:t>по</w:t>
      </w:r>
      <w:r w:rsidRPr="00E5613E">
        <w:rPr>
          <w:rFonts w:asciiTheme="majorHAnsi" w:hAnsiTheme="majorHAnsi" w:cstheme="majorHAnsi"/>
          <w:sz w:val="24"/>
          <w:szCs w:val="24"/>
          <w:lang w:val="ru-MD"/>
        </w:rPr>
        <w:t xml:space="preserve"> счет</w:t>
      </w:r>
      <w:r w:rsidR="00E23112" w:rsidRPr="00E5613E">
        <w:rPr>
          <w:rFonts w:asciiTheme="majorHAnsi" w:hAnsiTheme="majorHAnsi" w:cstheme="majorHAnsi"/>
          <w:sz w:val="24"/>
          <w:szCs w:val="24"/>
          <w:lang w:val="ru-MD"/>
        </w:rPr>
        <w:t>у</w:t>
      </w:r>
      <w:r w:rsidRPr="00E5613E">
        <w:rPr>
          <w:rFonts w:asciiTheme="majorHAnsi" w:hAnsiTheme="majorHAnsi" w:cstheme="majorHAnsi"/>
          <w:sz w:val="24"/>
          <w:szCs w:val="24"/>
          <w:lang w:val="ru-MD"/>
        </w:rPr>
        <w:t xml:space="preserve"> 82221 </w:t>
      </w:r>
      <w:r w:rsidR="00E23112" w:rsidRPr="00E5613E">
        <w:rPr>
          <w:rFonts w:asciiTheme="majorHAnsi" w:hAnsiTheme="majorHAnsi" w:cstheme="majorHAnsi"/>
          <w:iCs/>
          <w:sz w:val="24"/>
          <w:szCs w:val="24"/>
          <w:lang w:val="ru-MD"/>
        </w:rPr>
        <w:t>„</w:t>
      </w:r>
      <w:r w:rsidR="00E23112" w:rsidRPr="00E5613E">
        <w:rPr>
          <w:rFonts w:asciiTheme="majorHAnsi" w:hAnsiTheme="majorHAnsi" w:cstheme="majorHAnsi"/>
          <w:sz w:val="24"/>
          <w:szCs w:val="24"/>
          <w:lang w:val="ru-MD"/>
        </w:rPr>
        <w:t>Товарно-материальные ценности, принятые на хранение”</w:t>
      </w:r>
      <w:r w:rsidRPr="00E5613E">
        <w:rPr>
          <w:rFonts w:asciiTheme="majorHAnsi" w:hAnsiTheme="majorHAnsi" w:cstheme="majorHAnsi"/>
          <w:sz w:val="24"/>
          <w:szCs w:val="24"/>
          <w:lang w:val="ru-MD"/>
        </w:rPr>
        <w:t xml:space="preserve">, со </w:t>
      </w:r>
      <w:r w:rsidR="00E23112" w:rsidRPr="00E5613E">
        <w:rPr>
          <w:rFonts w:asciiTheme="majorHAnsi" w:hAnsiTheme="majorHAnsi" w:cstheme="majorHAnsi"/>
          <w:sz w:val="24"/>
          <w:szCs w:val="24"/>
          <w:lang w:val="ru-MD"/>
        </w:rPr>
        <w:t>стоимостью</w:t>
      </w:r>
      <w:r w:rsidRPr="00E5613E">
        <w:rPr>
          <w:rFonts w:asciiTheme="majorHAnsi" w:hAnsiTheme="majorHAnsi" w:cstheme="majorHAnsi"/>
          <w:sz w:val="24"/>
          <w:szCs w:val="24"/>
          <w:lang w:val="ru-MD"/>
        </w:rPr>
        <w:t>, установленн</w:t>
      </w:r>
      <w:r w:rsidR="00E23112" w:rsidRPr="00E5613E">
        <w:rPr>
          <w:rFonts w:asciiTheme="majorHAnsi" w:hAnsiTheme="majorHAnsi" w:cstheme="majorHAnsi"/>
          <w:sz w:val="24"/>
          <w:szCs w:val="24"/>
          <w:lang w:val="ru-MD"/>
        </w:rPr>
        <w:t>ой</w:t>
      </w:r>
      <w:r w:rsidRPr="00E5613E">
        <w:rPr>
          <w:rFonts w:asciiTheme="majorHAnsi" w:hAnsiTheme="majorHAnsi" w:cstheme="majorHAnsi"/>
          <w:sz w:val="24"/>
          <w:szCs w:val="24"/>
          <w:lang w:val="ru-MD"/>
        </w:rPr>
        <w:t xml:space="preserve"> констатирующим агентом, в то время как в протоколах </w:t>
      </w:r>
      <w:r w:rsidR="00E23112" w:rsidRPr="00E5613E">
        <w:rPr>
          <w:rFonts w:asciiTheme="majorHAnsi" w:hAnsiTheme="majorHAnsi" w:cstheme="majorHAnsi"/>
          <w:sz w:val="24"/>
          <w:szCs w:val="24"/>
          <w:lang w:val="ru-MD"/>
        </w:rPr>
        <w:t xml:space="preserve">о их </w:t>
      </w:r>
      <w:r w:rsidRPr="00E5613E">
        <w:rPr>
          <w:rFonts w:asciiTheme="majorHAnsi" w:hAnsiTheme="majorHAnsi" w:cstheme="majorHAnsi"/>
          <w:sz w:val="24"/>
          <w:szCs w:val="24"/>
          <w:lang w:val="ru-MD"/>
        </w:rPr>
        <w:t>передач</w:t>
      </w:r>
      <w:r w:rsidR="00E23112" w:rsidRPr="00E5613E">
        <w:rPr>
          <w:rFonts w:asciiTheme="majorHAnsi" w:hAnsiTheme="majorHAnsi" w:cstheme="majorHAnsi"/>
          <w:sz w:val="24"/>
          <w:szCs w:val="24"/>
          <w:lang w:val="ru-MD"/>
        </w:rPr>
        <w:t>е</w:t>
      </w:r>
      <w:r w:rsidRPr="00E5613E">
        <w:rPr>
          <w:rFonts w:asciiTheme="majorHAnsi" w:hAnsiTheme="majorHAnsi" w:cstheme="majorHAnsi"/>
          <w:sz w:val="24"/>
          <w:szCs w:val="24"/>
          <w:lang w:val="ru-MD"/>
        </w:rPr>
        <w:t xml:space="preserve"> ГНС на </w:t>
      </w:r>
      <w:r w:rsidR="00E23112" w:rsidRPr="00E5613E">
        <w:rPr>
          <w:rFonts w:asciiTheme="majorHAnsi" w:hAnsiTheme="majorHAnsi" w:cstheme="majorHAnsi"/>
          <w:sz w:val="24"/>
          <w:szCs w:val="24"/>
          <w:lang w:val="ru-MD"/>
        </w:rPr>
        <w:t>продажу</w:t>
      </w:r>
      <w:r w:rsidRPr="00E5613E">
        <w:rPr>
          <w:rFonts w:asciiTheme="majorHAnsi" w:hAnsiTheme="majorHAnsi" w:cstheme="majorHAnsi"/>
          <w:sz w:val="24"/>
          <w:szCs w:val="24"/>
          <w:lang w:val="ru-MD"/>
        </w:rPr>
        <w:t xml:space="preserve"> указывается стоимость активов, переоцененн</w:t>
      </w:r>
      <w:r w:rsidR="00E5613E" w:rsidRPr="00E5613E">
        <w:rPr>
          <w:rFonts w:asciiTheme="majorHAnsi" w:hAnsiTheme="majorHAnsi" w:cstheme="majorHAnsi"/>
          <w:sz w:val="24"/>
          <w:szCs w:val="24"/>
          <w:lang w:val="ru-MD"/>
        </w:rPr>
        <w:t>ая</w:t>
      </w:r>
      <w:r w:rsidRPr="00E5613E">
        <w:rPr>
          <w:rFonts w:asciiTheme="majorHAnsi" w:hAnsiTheme="majorHAnsi" w:cstheme="majorHAnsi"/>
          <w:sz w:val="24"/>
          <w:szCs w:val="24"/>
          <w:lang w:val="ru-MD"/>
        </w:rPr>
        <w:t xml:space="preserve"> таможенной лабораторией. В результате образуется </w:t>
      </w:r>
      <w:r w:rsidR="00E5613E" w:rsidRPr="00E5613E">
        <w:rPr>
          <w:rFonts w:asciiTheme="majorHAnsi" w:hAnsiTheme="majorHAnsi" w:cstheme="majorHAnsi"/>
          <w:sz w:val="24"/>
          <w:szCs w:val="24"/>
          <w:lang w:val="ru-MD"/>
        </w:rPr>
        <w:t>разрыв</w:t>
      </w:r>
      <w:r w:rsidRPr="00E5613E">
        <w:rPr>
          <w:rFonts w:asciiTheme="majorHAnsi" w:hAnsiTheme="majorHAnsi" w:cstheme="majorHAnsi"/>
          <w:sz w:val="24"/>
          <w:szCs w:val="24"/>
          <w:lang w:val="ru-MD"/>
        </w:rPr>
        <w:t xml:space="preserve"> между стоимостью активов, </w:t>
      </w:r>
      <w:r w:rsidR="00E5613E" w:rsidRPr="00E5613E">
        <w:rPr>
          <w:rFonts w:asciiTheme="majorHAnsi" w:hAnsiTheme="majorHAnsi" w:cstheme="majorHAnsi"/>
          <w:sz w:val="24"/>
          <w:szCs w:val="24"/>
          <w:lang w:val="ru-MD"/>
        </w:rPr>
        <w:t>конфискованных ТС</w:t>
      </w:r>
      <w:r w:rsidRPr="00E5613E">
        <w:rPr>
          <w:rFonts w:asciiTheme="majorHAnsi" w:hAnsiTheme="majorHAnsi" w:cstheme="majorHAnsi"/>
          <w:sz w:val="24"/>
          <w:szCs w:val="24"/>
          <w:lang w:val="ru-MD"/>
        </w:rPr>
        <w:t xml:space="preserve">, и стоимостью, передаваемой ГНС. </w:t>
      </w:r>
    </w:p>
    <w:p w:rsidR="00C77062" w:rsidRPr="00F55BA6" w:rsidRDefault="00C77062" w:rsidP="00C77062">
      <w:pPr>
        <w:tabs>
          <w:tab w:val="left" w:pos="142"/>
          <w:tab w:val="left" w:pos="426"/>
        </w:tabs>
        <w:spacing w:after="0" w:line="276" w:lineRule="auto"/>
        <w:contextualSpacing/>
        <w:outlineLvl w:val="0"/>
        <w:rPr>
          <w:rFonts w:asciiTheme="majorHAnsi" w:eastAsia="Times New Roman" w:hAnsiTheme="majorHAnsi" w:cs="Times New Roman"/>
          <w:b/>
          <w:bCs/>
          <w:szCs w:val="28"/>
          <w:lang w:val="ro-RO"/>
        </w:rPr>
      </w:pPr>
      <w:r w:rsidRPr="00E4517B">
        <w:rPr>
          <w:rFonts w:asciiTheme="majorHAnsi" w:hAnsiTheme="majorHAnsi" w:cstheme="majorHAnsi"/>
          <w:b/>
          <w:sz w:val="24"/>
          <w:szCs w:val="24"/>
          <w:lang w:val="ro-RO"/>
        </w:rPr>
        <w:t>5.</w:t>
      </w:r>
      <w:r w:rsidRPr="00973E5B">
        <w:rPr>
          <w:rFonts w:asciiTheme="majorHAnsi" w:hAnsiTheme="majorHAnsi" w:cstheme="majorHAnsi"/>
          <w:b/>
          <w:sz w:val="24"/>
          <w:szCs w:val="24"/>
          <w:lang w:val="ro-RO"/>
        </w:rPr>
        <w:t xml:space="preserve">2 </w:t>
      </w:r>
      <w:r w:rsidR="006D2C88" w:rsidRPr="00E5613E">
        <w:rPr>
          <w:rFonts w:asciiTheme="majorHAnsi" w:hAnsiTheme="majorHAnsi" w:cstheme="majorHAnsi"/>
          <w:b/>
          <w:sz w:val="24"/>
          <w:szCs w:val="24"/>
          <w:lang w:val="ru-MD"/>
        </w:rPr>
        <w:t xml:space="preserve">Отсутствие регулирования порядка учета, отчетности и </w:t>
      </w:r>
      <w:r w:rsidR="00E5613E" w:rsidRPr="00E5613E">
        <w:rPr>
          <w:rFonts w:asciiTheme="majorHAnsi" w:hAnsiTheme="majorHAnsi" w:cstheme="majorHAnsi"/>
          <w:b/>
          <w:sz w:val="24"/>
          <w:szCs w:val="24"/>
          <w:lang w:val="ru-MD"/>
        </w:rPr>
        <w:t>взима</w:t>
      </w:r>
      <w:r w:rsidR="006D2C88" w:rsidRPr="00E5613E">
        <w:rPr>
          <w:rFonts w:asciiTheme="majorHAnsi" w:hAnsiTheme="majorHAnsi" w:cstheme="majorHAnsi"/>
          <w:b/>
          <w:sz w:val="24"/>
          <w:szCs w:val="24"/>
          <w:lang w:val="ru-MD"/>
        </w:rPr>
        <w:t xml:space="preserve">ния платежей </w:t>
      </w:r>
      <w:r w:rsidR="00E5613E" w:rsidRPr="00E5613E">
        <w:rPr>
          <w:rFonts w:asciiTheme="majorHAnsi" w:hAnsiTheme="majorHAnsi" w:cstheme="majorHAnsi"/>
          <w:b/>
          <w:sz w:val="24"/>
          <w:szCs w:val="24"/>
          <w:lang w:val="ru-MD"/>
        </w:rPr>
        <w:t>от найма публич</w:t>
      </w:r>
      <w:r w:rsidR="006D2C88" w:rsidRPr="00E5613E">
        <w:rPr>
          <w:rFonts w:asciiTheme="majorHAnsi" w:hAnsiTheme="majorHAnsi" w:cstheme="majorHAnsi"/>
          <w:b/>
          <w:sz w:val="24"/>
          <w:szCs w:val="24"/>
          <w:lang w:val="ru-MD"/>
        </w:rPr>
        <w:t>ных земель</w:t>
      </w:r>
      <w:r w:rsidR="00E5613E" w:rsidRPr="00E5613E">
        <w:rPr>
          <w:rFonts w:asciiTheme="majorHAnsi" w:hAnsiTheme="majorHAnsi" w:cstheme="majorHAnsi"/>
          <w:b/>
          <w:sz w:val="24"/>
          <w:szCs w:val="24"/>
          <w:lang w:val="ru-MD"/>
        </w:rPr>
        <w:t>ных участков</w:t>
      </w:r>
      <w:r w:rsidR="006D2C88" w:rsidRPr="00E5613E">
        <w:rPr>
          <w:rFonts w:asciiTheme="majorHAnsi" w:hAnsiTheme="majorHAnsi" w:cstheme="majorHAnsi"/>
          <w:b/>
          <w:sz w:val="24"/>
          <w:szCs w:val="24"/>
          <w:lang w:val="ru-MD"/>
        </w:rPr>
        <w:t xml:space="preserve">, </w:t>
      </w:r>
      <w:r w:rsidR="00E5613E" w:rsidRPr="00E5613E">
        <w:rPr>
          <w:rFonts w:asciiTheme="majorHAnsi" w:hAnsiTheme="majorHAnsi" w:cstheme="majorHAnsi"/>
          <w:b/>
          <w:sz w:val="24"/>
          <w:szCs w:val="24"/>
          <w:lang w:val="ru-MD"/>
        </w:rPr>
        <w:t>относящихся к</w:t>
      </w:r>
      <w:r w:rsidR="006D2C88" w:rsidRPr="00E5613E">
        <w:rPr>
          <w:rFonts w:asciiTheme="majorHAnsi" w:hAnsiTheme="majorHAnsi" w:cstheme="majorHAnsi"/>
          <w:b/>
          <w:sz w:val="24"/>
          <w:szCs w:val="24"/>
          <w:lang w:val="ru-MD"/>
        </w:rPr>
        <w:t xml:space="preserve"> приватизированным объектам, </w:t>
      </w:r>
      <w:r w:rsidR="00E5613E" w:rsidRPr="00E5613E">
        <w:rPr>
          <w:rFonts w:asciiTheme="majorHAnsi" w:hAnsiTheme="majorHAnsi" w:cstheme="majorHAnsi"/>
          <w:b/>
          <w:sz w:val="24"/>
          <w:szCs w:val="24"/>
          <w:lang w:val="ru-MD"/>
        </w:rPr>
        <w:t>обусловило</w:t>
      </w:r>
      <w:r w:rsidR="006D2C88" w:rsidRPr="00E5613E">
        <w:rPr>
          <w:rFonts w:asciiTheme="majorHAnsi" w:hAnsiTheme="majorHAnsi" w:cstheme="majorHAnsi"/>
          <w:b/>
          <w:sz w:val="24"/>
          <w:szCs w:val="24"/>
          <w:lang w:val="ru-MD"/>
        </w:rPr>
        <w:t xml:space="preserve"> не</w:t>
      </w:r>
      <w:r w:rsidR="00E5613E" w:rsidRPr="00E5613E">
        <w:rPr>
          <w:rFonts w:asciiTheme="majorHAnsi" w:hAnsiTheme="majorHAnsi" w:cstheme="majorHAnsi"/>
          <w:b/>
          <w:sz w:val="24"/>
          <w:szCs w:val="24"/>
          <w:lang w:val="ru-MD"/>
        </w:rPr>
        <w:t>поступле</w:t>
      </w:r>
      <w:r w:rsidR="006D2C88" w:rsidRPr="00E5613E">
        <w:rPr>
          <w:rFonts w:asciiTheme="majorHAnsi" w:hAnsiTheme="majorHAnsi" w:cstheme="majorHAnsi"/>
          <w:b/>
          <w:sz w:val="24"/>
          <w:szCs w:val="24"/>
          <w:lang w:val="ru-MD"/>
        </w:rPr>
        <w:t>ни</w:t>
      </w:r>
      <w:r w:rsidR="00E5613E" w:rsidRPr="00E5613E">
        <w:rPr>
          <w:rFonts w:asciiTheme="majorHAnsi" w:hAnsiTheme="majorHAnsi" w:cstheme="majorHAnsi"/>
          <w:b/>
          <w:sz w:val="24"/>
          <w:szCs w:val="24"/>
          <w:lang w:val="ru-MD"/>
        </w:rPr>
        <w:t>е</w:t>
      </w:r>
      <w:r w:rsidR="006D2C88" w:rsidRPr="00E5613E">
        <w:rPr>
          <w:rFonts w:asciiTheme="majorHAnsi" w:hAnsiTheme="majorHAnsi" w:cstheme="majorHAnsi"/>
          <w:b/>
          <w:sz w:val="24"/>
          <w:szCs w:val="24"/>
          <w:lang w:val="ru-MD"/>
        </w:rPr>
        <w:t xml:space="preserve"> </w:t>
      </w:r>
      <w:r w:rsidR="00E5613E" w:rsidRPr="00E5613E">
        <w:rPr>
          <w:rFonts w:asciiTheme="majorHAnsi" w:hAnsiTheme="majorHAnsi" w:cstheme="majorHAnsi"/>
          <w:b/>
          <w:sz w:val="24"/>
          <w:szCs w:val="24"/>
          <w:lang w:val="ru-MD"/>
        </w:rPr>
        <w:t>в ГБ возможных доходов</w:t>
      </w:r>
      <w:r w:rsidR="005E446A">
        <w:rPr>
          <w:rFonts w:asciiTheme="majorHAnsi" w:hAnsiTheme="majorHAnsi" w:cstheme="majorHAnsi"/>
          <w:b/>
          <w:sz w:val="24"/>
          <w:szCs w:val="24"/>
          <w:lang w:val="ro-RO"/>
        </w:rPr>
        <w:t>.</w:t>
      </w:r>
    </w:p>
    <w:p w:rsidR="009C3649" w:rsidRPr="0018703B" w:rsidRDefault="006D2C88" w:rsidP="009C3649">
      <w:pPr>
        <w:tabs>
          <w:tab w:val="left" w:pos="284"/>
          <w:tab w:val="left" w:pos="426"/>
        </w:tabs>
        <w:spacing w:after="0" w:line="276" w:lineRule="auto"/>
        <w:rPr>
          <w:rFonts w:asciiTheme="majorHAnsi" w:hAnsiTheme="majorHAnsi" w:cstheme="majorHAnsi"/>
          <w:sz w:val="24"/>
          <w:szCs w:val="24"/>
          <w:lang w:val="ru-MD"/>
        </w:rPr>
      </w:pPr>
      <w:r w:rsidRPr="00D55D70">
        <w:rPr>
          <w:rFonts w:asciiTheme="majorHAnsi" w:hAnsiTheme="majorHAnsi" w:cstheme="majorHAnsi"/>
          <w:sz w:val="24"/>
          <w:szCs w:val="24"/>
          <w:lang w:val="ru-MD"/>
        </w:rPr>
        <w:t xml:space="preserve">Согласно </w:t>
      </w:r>
      <w:proofErr w:type="gramStart"/>
      <w:r w:rsidR="009A6E57" w:rsidRPr="00D55D70">
        <w:rPr>
          <w:rFonts w:asciiTheme="majorHAnsi" w:hAnsiTheme="majorHAnsi" w:cstheme="majorHAnsi"/>
          <w:sz w:val="24"/>
          <w:szCs w:val="24"/>
          <w:lang w:val="ru-MD"/>
        </w:rPr>
        <w:t>О</w:t>
      </w:r>
      <w:r w:rsidRPr="00D55D70">
        <w:rPr>
          <w:rFonts w:asciiTheme="majorHAnsi" w:hAnsiTheme="majorHAnsi" w:cstheme="majorHAnsi"/>
          <w:sz w:val="24"/>
          <w:szCs w:val="24"/>
          <w:lang w:val="ru-MD"/>
        </w:rPr>
        <w:t>тчету</w:t>
      </w:r>
      <w:proofErr w:type="gramEnd"/>
      <w:r w:rsidRPr="00D55D70">
        <w:rPr>
          <w:rFonts w:asciiTheme="majorHAnsi" w:hAnsiTheme="majorHAnsi" w:cstheme="majorHAnsi"/>
          <w:sz w:val="24"/>
          <w:szCs w:val="24"/>
          <w:lang w:val="ru-MD"/>
        </w:rPr>
        <w:t xml:space="preserve"> об исполнении </w:t>
      </w:r>
      <w:r w:rsidR="009A6E57" w:rsidRPr="00D55D70">
        <w:rPr>
          <w:rFonts w:asciiTheme="majorHAnsi" w:hAnsiTheme="majorHAnsi" w:cstheme="majorHAnsi"/>
          <w:sz w:val="24"/>
          <w:szCs w:val="24"/>
          <w:lang w:val="ru-MD"/>
        </w:rPr>
        <w:t>ГБ</w:t>
      </w:r>
      <w:r w:rsidRPr="00D55D70">
        <w:rPr>
          <w:rFonts w:asciiTheme="majorHAnsi" w:hAnsiTheme="majorHAnsi" w:cstheme="majorHAnsi"/>
          <w:sz w:val="24"/>
          <w:szCs w:val="24"/>
          <w:lang w:val="ru-MD"/>
        </w:rPr>
        <w:t xml:space="preserve">, </w:t>
      </w:r>
      <w:r w:rsidR="009A6E57" w:rsidRPr="00D55D70">
        <w:rPr>
          <w:rFonts w:asciiTheme="majorHAnsi" w:hAnsiTheme="majorHAnsi" w:cstheme="majorHAnsi"/>
          <w:sz w:val="24"/>
          <w:szCs w:val="24"/>
          <w:lang w:val="ru-MD"/>
        </w:rPr>
        <w:t>по</w:t>
      </w:r>
      <w:r w:rsidRPr="00D55D70">
        <w:rPr>
          <w:rFonts w:asciiTheme="majorHAnsi" w:hAnsiTheme="majorHAnsi" w:cstheme="majorHAnsi"/>
          <w:sz w:val="24"/>
          <w:szCs w:val="24"/>
          <w:lang w:val="ru-MD"/>
        </w:rPr>
        <w:t xml:space="preserve"> эт</w:t>
      </w:r>
      <w:r w:rsidR="009A6E57" w:rsidRPr="00D55D70">
        <w:rPr>
          <w:rFonts w:asciiTheme="majorHAnsi" w:hAnsiTheme="majorHAnsi" w:cstheme="majorHAnsi"/>
          <w:sz w:val="24"/>
          <w:szCs w:val="24"/>
          <w:lang w:val="ru-MD"/>
        </w:rPr>
        <w:t>ой</w:t>
      </w:r>
      <w:r w:rsidRPr="00D55D70">
        <w:rPr>
          <w:rFonts w:asciiTheme="majorHAnsi" w:hAnsiTheme="majorHAnsi" w:cstheme="majorHAnsi"/>
          <w:sz w:val="24"/>
          <w:szCs w:val="24"/>
          <w:lang w:val="ru-MD"/>
        </w:rPr>
        <w:t xml:space="preserve"> позици</w:t>
      </w:r>
      <w:r w:rsidR="009A6E57" w:rsidRPr="00D55D70">
        <w:rPr>
          <w:rFonts w:asciiTheme="majorHAnsi" w:hAnsiTheme="majorHAnsi" w:cstheme="majorHAnsi"/>
          <w:sz w:val="24"/>
          <w:szCs w:val="24"/>
          <w:lang w:val="ru-MD"/>
        </w:rPr>
        <w:t>и</w:t>
      </w:r>
      <w:r w:rsidRPr="00D55D70">
        <w:rPr>
          <w:rFonts w:asciiTheme="majorHAnsi" w:hAnsiTheme="majorHAnsi" w:cstheme="majorHAnsi"/>
          <w:sz w:val="24"/>
          <w:szCs w:val="24"/>
          <w:lang w:val="ru-MD"/>
        </w:rPr>
        <w:t xml:space="preserve"> были указаны доходы в размере 0,5 млн. леев, исполнение которых </w:t>
      </w:r>
      <w:r w:rsidR="009A6E57" w:rsidRPr="00D55D70">
        <w:rPr>
          <w:rFonts w:asciiTheme="majorHAnsi" w:hAnsiTheme="majorHAnsi" w:cstheme="majorHAnsi"/>
          <w:sz w:val="24"/>
          <w:szCs w:val="24"/>
          <w:lang w:val="ru-MD"/>
        </w:rPr>
        <w:t>отраж</w:t>
      </w:r>
      <w:r w:rsidRPr="00D55D70">
        <w:rPr>
          <w:rFonts w:asciiTheme="majorHAnsi" w:hAnsiTheme="majorHAnsi" w:cstheme="majorHAnsi"/>
          <w:sz w:val="24"/>
          <w:szCs w:val="24"/>
          <w:lang w:val="ru-MD"/>
        </w:rPr>
        <w:t xml:space="preserve">ается в сумме 3,4 млн. </w:t>
      </w:r>
      <w:r w:rsidR="009A6E57" w:rsidRPr="00D55D70">
        <w:rPr>
          <w:rFonts w:asciiTheme="majorHAnsi" w:hAnsiTheme="majorHAnsi" w:cstheme="majorHAnsi"/>
          <w:sz w:val="24"/>
          <w:szCs w:val="24"/>
          <w:lang w:val="ru-MD"/>
        </w:rPr>
        <w:t>леев</w:t>
      </w:r>
      <w:r w:rsidRPr="00D55D70">
        <w:rPr>
          <w:rFonts w:asciiTheme="majorHAnsi" w:hAnsiTheme="majorHAnsi" w:cstheme="majorHAnsi"/>
          <w:sz w:val="24"/>
          <w:szCs w:val="24"/>
          <w:lang w:val="ru-MD"/>
        </w:rPr>
        <w:t xml:space="preserve">. Внешний публичный аудит </w:t>
      </w:r>
      <w:r w:rsidR="009A6E57" w:rsidRPr="00D55D70">
        <w:rPr>
          <w:rFonts w:asciiTheme="majorHAnsi" w:hAnsiTheme="majorHAnsi" w:cstheme="majorHAnsi"/>
          <w:sz w:val="24"/>
          <w:szCs w:val="24"/>
          <w:lang w:val="ru-MD"/>
        </w:rPr>
        <w:t xml:space="preserve">по </w:t>
      </w:r>
      <w:r w:rsidRPr="00D55D70">
        <w:rPr>
          <w:rFonts w:asciiTheme="majorHAnsi" w:hAnsiTheme="majorHAnsi" w:cstheme="majorHAnsi"/>
          <w:sz w:val="24"/>
          <w:szCs w:val="24"/>
          <w:lang w:val="ru-MD"/>
        </w:rPr>
        <w:t xml:space="preserve">приватизации имущества посредством инвестиционных и коммерческих конкурсов </w:t>
      </w:r>
      <w:r w:rsidR="009A6E57" w:rsidRPr="00D55D70">
        <w:rPr>
          <w:rFonts w:asciiTheme="majorHAnsi" w:hAnsiTheme="majorHAnsi" w:cstheme="majorHAnsi"/>
          <w:sz w:val="24"/>
          <w:szCs w:val="24"/>
          <w:lang w:val="ru-MD"/>
        </w:rPr>
        <w:t>за</w:t>
      </w:r>
      <w:r w:rsidRPr="00D55D70">
        <w:rPr>
          <w:rFonts w:asciiTheme="majorHAnsi" w:hAnsiTheme="majorHAnsi" w:cstheme="majorHAnsi"/>
          <w:sz w:val="24"/>
          <w:szCs w:val="24"/>
          <w:lang w:val="ru-MD"/>
        </w:rPr>
        <w:t xml:space="preserve"> 2013-2019 г</w:t>
      </w:r>
      <w:r w:rsidR="009A6E57" w:rsidRPr="00D55D70">
        <w:rPr>
          <w:rFonts w:asciiTheme="majorHAnsi" w:hAnsiTheme="majorHAnsi" w:cstheme="majorHAnsi"/>
          <w:sz w:val="24"/>
          <w:szCs w:val="24"/>
          <w:lang w:val="ru-MD"/>
        </w:rPr>
        <w:t>оды</w:t>
      </w:r>
      <w:r w:rsidRPr="00D55D70">
        <w:rPr>
          <w:rFonts w:asciiTheme="majorHAnsi" w:hAnsiTheme="majorHAnsi" w:cstheme="majorHAnsi"/>
          <w:sz w:val="24"/>
          <w:szCs w:val="24"/>
          <w:lang w:val="ru-MD"/>
        </w:rPr>
        <w:t xml:space="preserve"> констатировал отсутствие регулирования и </w:t>
      </w:r>
      <w:r w:rsidR="009A6E57" w:rsidRPr="00D55D70">
        <w:rPr>
          <w:rFonts w:asciiTheme="majorHAnsi" w:hAnsiTheme="majorHAnsi" w:cstheme="majorHAnsi"/>
          <w:sz w:val="24"/>
          <w:szCs w:val="24"/>
          <w:lang w:val="ru-MD"/>
        </w:rPr>
        <w:t>не</w:t>
      </w:r>
      <w:r w:rsidRPr="00D55D70">
        <w:rPr>
          <w:rFonts w:asciiTheme="majorHAnsi" w:hAnsiTheme="majorHAnsi" w:cstheme="majorHAnsi"/>
          <w:sz w:val="24"/>
          <w:szCs w:val="24"/>
          <w:lang w:val="ru-MD"/>
        </w:rPr>
        <w:t>внедрени</w:t>
      </w:r>
      <w:r w:rsidR="009A6E57" w:rsidRPr="00D55D70">
        <w:rPr>
          <w:rFonts w:asciiTheme="majorHAnsi" w:hAnsiTheme="majorHAnsi" w:cstheme="majorHAnsi"/>
          <w:sz w:val="24"/>
          <w:szCs w:val="24"/>
          <w:lang w:val="ru-MD"/>
        </w:rPr>
        <w:t>е</w:t>
      </w:r>
      <w:r w:rsidRPr="00D55D70">
        <w:rPr>
          <w:rFonts w:asciiTheme="majorHAnsi" w:hAnsiTheme="majorHAnsi" w:cstheme="majorHAnsi"/>
          <w:sz w:val="24"/>
          <w:szCs w:val="24"/>
          <w:lang w:val="ru-MD"/>
        </w:rPr>
        <w:t xml:space="preserve"> уполномоченными </w:t>
      </w:r>
      <w:r w:rsidR="009A6E57" w:rsidRPr="00D55D70">
        <w:rPr>
          <w:rFonts w:asciiTheme="majorHAnsi" w:hAnsiTheme="majorHAnsi" w:cstheme="majorHAnsi"/>
          <w:sz w:val="24"/>
          <w:szCs w:val="24"/>
          <w:lang w:val="ru-MD"/>
        </w:rPr>
        <w:t xml:space="preserve">государственными </w:t>
      </w:r>
      <w:r w:rsidRPr="00D55D70">
        <w:rPr>
          <w:rFonts w:asciiTheme="majorHAnsi" w:hAnsiTheme="majorHAnsi" w:cstheme="majorHAnsi"/>
          <w:sz w:val="24"/>
          <w:szCs w:val="24"/>
          <w:lang w:val="ru-MD"/>
        </w:rPr>
        <w:t xml:space="preserve">органами эффективного механизма, обеспечивающего </w:t>
      </w:r>
      <w:r w:rsidR="009A6E57" w:rsidRPr="00D55D70">
        <w:rPr>
          <w:rFonts w:asciiTheme="majorHAnsi" w:hAnsiTheme="majorHAnsi" w:cstheme="majorHAnsi"/>
          <w:sz w:val="24"/>
          <w:szCs w:val="24"/>
          <w:lang w:val="ru-MD"/>
        </w:rPr>
        <w:t>правиль</w:t>
      </w:r>
      <w:r w:rsidRPr="00D55D70">
        <w:rPr>
          <w:rFonts w:asciiTheme="majorHAnsi" w:hAnsiTheme="majorHAnsi" w:cstheme="majorHAnsi"/>
          <w:sz w:val="24"/>
          <w:szCs w:val="24"/>
          <w:lang w:val="ru-MD"/>
        </w:rPr>
        <w:t xml:space="preserve">ность учета, </w:t>
      </w:r>
      <w:r w:rsidR="009A6E57" w:rsidRPr="00D55D70">
        <w:rPr>
          <w:rFonts w:asciiTheme="majorHAnsi" w:hAnsiTheme="majorHAnsi" w:cstheme="majorHAnsi"/>
          <w:sz w:val="24"/>
          <w:szCs w:val="24"/>
          <w:lang w:val="ru-MD"/>
        </w:rPr>
        <w:t>взима</w:t>
      </w:r>
      <w:r w:rsidRPr="00D55D70">
        <w:rPr>
          <w:rFonts w:asciiTheme="majorHAnsi" w:hAnsiTheme="majorHAnsi" w:cstheme="majorHAnsi"/>
          <w:sz w:val="24"/>
          <w:szCs w:val="24"/>
          <w:lang w:val="ru-MD"/>
        </w:rPr>
        <w:t>ния, а также отчетност</w:t>
      </w:r>
      <w:r w:rsidR="009A6E57" w:rsidRPr="00D55D70">
        <w:rPr>
          <w:rFonts w:asciiTheme="majorHAnsi" w:hAnsiTheme="majorHAnsi" w:cstheme="majorHAnsi"/>
          <w:sz w:val="24"/>
          <w:szCs w:val="24"/>
          <w:lang w:val="ru-MD"/>
        </w:rPr>
        <w:t>и</w:t>
      </w:r>
      <w:r w:rsidRPr="00D55D70">
        <w:rPr>
          <w:rFonts w:asciiTheme="majorHAnsi" w:hAnsiTheme="majorHAnsi" w:cstheme="majorHAnsi"/>
          <w:sz w:val="24"/>
          <w:szCs w:val="24"/>
          <w:lang w:val="ru-MD"/>
        </w:rPr>
        <w:t xml:space="preserve"> о доходах от сдачи в аренду </w:t>
      </w:r>
      <w:r w:rsidR="009A6E57" w:rsidRPr="00D55D70">
        <w:rPr>
          <w:rFonts w:asciiTheme="majorHAnsi" w:hAnsiTheme="majorHAnsi" w:cstheme="majorHAnsi"/>
          <w:sz w:val="24"/>
          <w:szCs w:val="24"/>
          <w:lang w:val="ru-MD"/>
        </w:rPr>
        <w:t>публич</w:t>
      </w:r>
      <w:r w:rsidRPr="00D55D70">
        <w:rPr>
          <w:rFonts w:asciiTheme="majorHAnsi" w:hAnsiTheme="majorHAnsi" w:cstheme="majorHAnsi"/>
          <w:sz w:val="24"/>
          <w:szCs w:val="24"/>
          <w:lang w:val="ru-MD"/>
        </w:rPr>
        <w:t>ных земель</w:t>
      </w:r>
      <w:r w:rsidR="009A6E57" w:rsidRPr="00D55D70">
        <w:rPr>
          <w:rFonts w:asciiTheme="majorHAnsi" w:hAnsiTheme="majorHAnsi" w:cstheme="majorHAnsi"/>
          <w:sz w:val="24"/>
          <w:szCs w:val="24"/>
          <w:lang w:val="ru-MD"/>
        </w:rPr>
        <w:t>ных участков</w:t>
      </w:r>
      <w:r w:rsidRPr="00D55D70">
        <w:rPr>
          <w:rFonts w:asciiTheme="majorHAnsi" w:hAnsiTheme="majorHAnsi" w:cstheme="majorHAnsi"/>
          <w:sz w:val="24"/>
          <w:szCs w:val="24"/>
          <w:lang w:val="ru-MD"/>
        </w:rPr>
        <w:t xml:space="preserve">, </w:t>
      </w:r>
      <w:r w:rsidR="009A6E57" w:rsidRPr="00D55D70">
        <w:rPr>
          <w:rFonts w:asciiTheme="majorHAnsi" w:hAnsiTheme="majorHAnsi" w:cstheme="majorHAnsi"/>
          <w:sz w:val="24"/>
          <w:szCs w:val="24"/>
          <w:lang w:val="ru-MD"/>
        </w:rPr>
        <w:t>относящихся к</w:t>
      </w:r>
      <w:r w:rsidRPr="00D55D70">
        <w:rPr>
          <w:rFonts w:asciiTheme="majorHAnsi" w:hAnsiTheme="majorHAnsi" w:cstheme="majorHAnsi"/>
          <w:sz w:val="24"/>
          <w:szCs w:val="24"/>
          <w:lang w:val="ru-MD"/>
        </w:rPr>
        <w:t xml:space="preserve"> приватизированным объектам.</w:t>
      </w:r>
      <w:r w:rsidRPr="009A6E57">
        <w:rPr>
          <w:rFonts w:asciiTheme="majorHAnsi" w:hAnsiTheme="majorHAnsi" w:cstheme="majorHAnsi"/>
          <w:sz w:val="24"/>
          <w:szCs w:val="24"/>
          <w:lang w:val="ro-RO"/>
        </w:rPr>
        <w:t xml:space="preserve"> </w:t>
      </w:r>
      <w:r w:rsidRPr="00A8349B">
        <w:rPr>
          <w:rFonts w:asciiTheme="majorHAnsi" w:hAnsiTheme="majorHAnsi" w:cstheme="majorHAnsi"/>
          <w:sz w:val="24"/>
          <w:szCs w:val="24"/>
          <w:lang w:val="ru-MD"/>
        </w:rPr>
        <w:t xml:space="preserve">Эта ситуация обусловливает </w:t>
      </w:r>
      <w:r w:rsidR="00D55D70" w:rsidRPr="00A8349B">
        <w:rPr>
          <w:rFonts w:asciiTheme="majorHAnsi" w:hAnsiTheme="majorHAnsi" w:cstheme="majorHAnsi"/>
          <w:sz w:val="24"/>
          <w:szCs w:val="24"/>
          <w:lang w:val="ru-MD"/>
        </w:rPr>
        <w:t xml:space="preserve">также </w:t>
      </w:r>
      <w:r w:rsidRPr="00A8349B">
        <w:rPr>
          <w:rFonts w:asciiTheme="majorHAnsi" w:hAnsiTheme="majorHAnsi" w:cstheme="majorHAnsi"/>
          <w:sz w:val="24"/>
          <w:szCs w:val="24"/>
          <w:lang w:val="ru-MD"/>
        </w:rPr>
        <w:t xml:space="preserve">невозможность применения мер по преследованию и принудительному </w:t>
      </w:r>
      <w:r w:rsidR="00D55D70" w:rsidRPr="00A8349B">
        <w:rPr>
          <w:rFonts w:asciiTheme="majorHAnsi" w:hAnsiTheme="majorHAnsi" w:cstheme="majorHAnsi"/>
          <w:sz w:val="24"/>
          <w:szCs w:val="24"/>
          <w:lang w:val="ru-MD"/>
        </w:rPr>
        <w:t>взыска</w:t>
      </w:r>
      <w:r w:rsidRPr="00A8349B">
        <w:rPr>
          <w:rFonts w:asciiTheme="majorHAnsi" w:hAnsiTheme="majorHAnsi" w:cstheme="majorHAnsi"/>
          <w:sz w:val="24"/>
          <w:szCs w:val="24"/>
          <w:lang w:val="ru-MD"/>
        </w:rPr>
        <w:t>нию задолженностей в бюджет</w:t>
      </w:r>
      <w:r w:rsidR="00D55D70" w:rsidRPr="00A8349B">
        <w:rPr>
          <w:rFonts w:asciiTheme="majorHAnsi" w:hAnsiTheme="majorHAnsi" w:cstheme="majorHAnsi"/>
          <w:sz w:val="24"/>
          <w:szCs w:val="24"/>
          <w:lang w:val="ru-MD"/>
        </w:rPr>
        <w:t>,</w:t>
      </w:r>
      <w:r w:rsidRPr="00A8349B">
        <w:rPr>
          <w:rFonts w:asciiTheme="majorHAnsi" w:hAnsiTheme="majorHAnsi" w:cstheme="majorHAnsi"/>
          <w:sz w:val="24"/>
          <w:szCs w:val="24"/>
          <w:lang w:val="ru-MD"/>
        </w:rPr>
        <w:t xml:space="preserve"> в случае не</w:t>
      </w:r>
      <w:r w:rsidR="00D55D70" w:rsidRPr="00A8349B">
        <w:rPr>
          <w:rFonts w:asciiTheme="majorHAnsi" w:hAnsiTheme="majorHAnsi" w:cstheme="majorHAnsi"/>
          <w:sz w:val="24"/>
          <w:szCs w:val="24"/>
          <w:lang w:val="ru-MD"/>
        </w:rPr>
        <w:t>уплаты</w:t>
      </w:r>
      <w:r w:rsidRPr="00A8349B">
        <w:rPr>
          <w:rFonts w:asciiTheme="majorHAnsi" w:hAnsiTheme="majorHAnsi" w:cstheme="majorHAnsi"/>
          <w:sz w:val="24"/>
          <w:szCs w:val="24"/>
          <w:lang w:val="ru-MD"/>
        </w:rPr>
        <w:t xml:space="preserve"> экономическими агентами </w:t>
      </w:r>
      <w:r w:rsidR="00D55D70" w:rsidRPr="00A8349B">
        <w:rPr>
          <w:rFonts w:asciiTheme="majorHAnsi" w:hAnsiTheme="majorHAnsi" w:cstheme="majorHAnsi"/>
          <w:sz w:val="24"/>
          <w:szCs w:val="24"/>
          <w:lang w:val="ru-MD"/>
        </w:rPr>
        <w:t>причитающихся государству платежей за</w:t>
      </w:r>
      <w:r w:rsidRPr="00A8349B">
        <w:rPr>
          <w:rFonts w:asciiTheme="majorHAnsi" w:hAnsiTheme="majorHAnsi" w:cstheme="majorHAnsi"/>
          <w:sz w:val="24"/>
          <w:szCs w:val="24"/>
          <w:lang w:val="ru-MD"/>
        </w:rPr>
        <w:t xml:space="preserve"> использовани</w:t>
      </w:r>
      <w:r w:rsidR="00D55D70" w:rsidRPr="00A8349B">
        <w:rPr>
          <w:rFonts w:asciiTheme="majorHAnsi" w:hAnsiTheme="majorHAnsi" w:cstheme="majorHAnsi"/>
          <w:sz w:val="24"/>
          <w:szCs w:val="24"/>
          <w:lang w:val="ru-MD"/>
        </w:rPr>
        <w:t>е</w:t>
      </w:r>
      <w:r w:rsidRPr="00A8349B">
        <w:rPr>
          <w:rFonts w:asciiTheme="majorHAnsi" w:hAnsiTheme="majorHAnsi" w:cstheme="majorHAnsi"/>
          <w:sz w:val="24"/>
          <w:szCs w:val="24"/>
          <w:lang w:val="ru-MD"/>
        </w:rPr>
        <w:t xml:space="preserve"> соответствующих земель</w:t>
      </w:r>
      <w:r w:rsidR="00D55D70" w:rsidRPr="00A8349B">
        <w:rPr>
          <w:rFonts w:asciiTheme="majorHAnsi" w:hAnsiTheme="majorHAnsi" w:cstheme="majorHAnsi"/>
          <w:sz w:val="24"/>
          <w:szCs w:val="24"/>
          <w:lang w:val="ru-MD"/>
        </w:rPr>
        <w:t>ных участков</w:t>
      </w:r>
      <w:r w:rsidRPr="00A8349B">
        <w:rPr>
          <w:rFonts w:asciiTheme="majorHAnsi" w:hAnsiTheme="majorHAnsi" w:cstheme="majorHAnsi"/>
          <w:sz w:val="24"/>
          <w:szCs w:val="24"/>
          <w:lang w:val="ru-MD"/>
        </w:rPr>
        <w:t xml:space="preserve">. </w:t>
      </w:r>
      <w:r w:rsidR="00D55D70" w:rsidRPr="00A8349B">
        <w:rPr>
          <w:rFonts w:asciiTheme="majorHAnsi" w:hAnsiTheme="majorHAnsi" w:cstheme="majorHAnsi"/>
          <w:sz w:val="24"/>
          <w:szCs w:val="24"/>
          <w:lang w:val="ru-MD"/>
        </w:rPr>
        <w:t>Примечательно, что рассчитанные суммы от этого вида доходов не включены в код ECO 141531 „Арендная плата</w:t>
      </w:r>
      <w:r w:rsidR="00D55D70" w:rsidRPr="00D55D70">
        <w:rPr>
          <w:rFonts w:asciiTheme="majorHAnsi" w:hAnsiTheme="majorHAnsi" w:cstheme="majorHAnsi"/>
          <w:sz w:val="24"/>
          <w:szCs w:val="24"/>
          <w:lang w:val="ru-RU"/>
        </w:rPr>
        <w:t xml:space="preserve"> </w:t>
      </w:r>
      <w:r w:rsidR="00D55D70" w:rsidRPr="00D55D70">
        <w:rPr>
          <w:rFonts w:asciiTheme="majorHAnsi" w:hAnsiTheme="majorHAnsi" w:cstheme="majorHAnsi"/>
          <w:sz w:val="24"/>
          <w:szCs w:val="24"/>
          <w:lang w:val="ru-RU"/>
        </w:rPr>
        <w:lastRenderedPageBreak/>
        <w:t>за земли несельскохозяйственного назначения, зачисляемая в государственный бюджет</w:t>
      </w:r>
      <w:r w:rsidR="00D55D70" w:rsidRPr="00F55BA6">
        <w:rPr>
          <w:rFonts w:asciiTheme="majorHAnsi" w:hAnsiTheme="majorHAnsi" w:cstheme="majorHAnsi"/>
          <w:sz w:val="24"/>
          <w:szCs w:val="24"/>
          <w:lang w:val="ro-RO"/>
        </w:rPr>
        <w:t>”</w:t>
      </w:r>
      <w:r w:rsidR="00D55D70" w:rsidRPr="00D55D70">
        <w:rPr>
          <w:rFonts w:asciiTheme="majorHAnsi" w:hAnsiTheme="majorHAnsi" w:cstheme="majorHAnsi"/>
          <w:sz w:val="24"/>
          <w:szCs w:val="24"/>
          <w:lang w:val="ro-RO"/>
        </w:rPr>
        <w:t xml:space="preserve">, и, </w:t>
      </w:r>
      <w:r w:rsidR="00D55D70" w:rsidRPr="0018703B">
        <w:rPr>
          <w:rFonts w:asciiTheme="majorHAnsi" w:hAnsiTheme="majorHAnsi" w:cstheme="majorHAnsi"/>
          <w:sz w:val="24"/>
          <w:szCs w:val="24"/>
          <w:lang w:val="ru-MD"/>
        </w:rPr>
        <w:t>соответственно, в годовых отчетах ГБ задолженность не отражена</w:t>
      </w:r>
      <w:r w:rsidRPr="0018703B">
        <w:rPr>
          <w:rFonts w:asciiTheme="majorHAnsi" w:hAnsiTheme="majorHAnsi" w:cstheme="majorHAnsi"/>
          <w:sz w:val="24"/>
          <w:szCs w:val="24"/>
          <w:lang w:val="ru-MD"/>
        </w:rPr>
        <w:t>.</w:t>
      </w:r>
      <w:r w:rsidR="009B2149" w:rsidRPr="0018703B">
        <w:rPr>
          <w:rFonts w:asciiTheme="majorHAnsi" w:hAnsiTheme="majorHAnsi" w:cstheme="majorHAnsi"/>
          <w:sz w:val="24"/>
          <w:szCs w:val="24"/>
          <w:lang w:val="ru-MD"/>
        </w:rPr>
        <w:t xml:space="preserve"> </w:t>
      </w:r>
      <w:r w:rsidRPr="0018703B">
        <w:rPr>
          <w:rFonts w:asciiTheme="majorHAnsi" w:hAnsiTheme="majorHAnsi" w:cstheme="majorHAnsi"/>
          <w:sz w:val="24"/>
          <w:szCs w:val="24"/>
          <w:lang w:val="ru-MD"/>
        </w:rPr>
        <w:t xml:space="preserve">В </w:t>
      </w:r>
      <w:r w:rsidR="00D55D70" w:rsidRPr="0018703B">
        <w:rPr>
          <w:rFonts w:asciiTheme="majorHAnsi" w:hAnsiTheme="majorHAnsi" w:cstheme="majorHAnsi"/>
          <w:sz w:val="24"/>
          <w:szCs w:val="24"/>
          <w:lang w:val="ru-MD"/>
        </w:rPr>
        <w:t xml:space="preserve">этой </w:t>
      </w:r>
      <w:r w:rsidRPr="0018703B">
        <w:rPr>
          <w:rFonts w:asciiTheme="majorHAnsi" w:hAnsiTheme="majorHAnsi" w:cstheme="majorHAnsi"/>
          <w:sz w:val="24"/>
          <w:szCs w:val="24"/>
          <w:lang w:val="ru-MD"/>
        </w:rPr>
        <w:t xml:space="preserve">связи аудит констатировал, </w:t>
      </w:r>
      <w:proofErr w:type="gramStart"/>
      <w:r w:rsidRPr="0018703B">
        <w:rPr>
          <w:rFonts w:asciiTheme="majorHAnsi" w:hAnsiTheme="majorHAnsi" w:cstheme="majorHAnsi"/>
          <w:sz w:val="24"/>
          <w:szCs w:val="24"/>
          <w:lang w:val="ru-MD"/>
        </w:rPr>
        <w:t>что</w:t>
      </w:r>
      <w:proofErr w:type="gramEnd"/>
      <w:r w:rsidRPr="0018703B">
        <w:rPr>
          <w:rFonts w:asciiTheme="majorHAnsi" w:hAnsiTheme="majorHAnsi" w:cstheme="majorHAnsi"/>
          <w:sz w:val="24"/>
          <w:szCs w:val="24"/>
          <w:lang w:val="ru-MD"/>
        </w:rPr>
        <w:t xml:space="preserve"> </w:t>
      </w:r>
      <w:r w:rsidR="00D55D70" w:rsidRPr="0018703B">
        <w:rPr>
          <w:rFonts w:asciiTheme="majorHAnsi" w:hAnsiTheme="majorHAnsi" w:cstheme="majorHAnsi"/>
          <w:sz w:val="24"/>
          <w:szCs w:val="24"/>
          <w:lang w:val="ru-MD"/>
        </w:rPr>
        <w:t xml:space="preserve">начиная </w:t>
      </w:r>
      <w:r w:rsidRPr="0018703B">
        <w:rPr>
          <w:rFonts w:asciiTheme="majorHAnsi" w:hAnsiTheme="majorHAnsi" w:cstheme="majorHAnsi"/>
          <w:sz w:val="24"/>
          <w:szCs w:val="24"/>
          <w:lang w:val="ru-MD"/>
        </w:rPr>
        <w:t xml:space="preserve">с 01.07.2016, хотя </w:t>
      </w:r>
      <w:r w:rsidR="00D55D70" w:rsidRPr="0018703B">
        <w:rPr>
          <w:rFonts w:asciiTheme="majorHAnsi" w:hAnsiTheme="majorHAnsi" w:cstheme="majorHAnsi"/>
          <w:sz w:val="24"/>
          <w:szCs w:val="24"/>
          <w:lang w:val="ru-MD"/>
        </w:rPr>
        <w:t>АПС</w:t>
      </w:r>
      <w:r w:rsidRPr="0018703B">
        <w:rPr>
          <w:rFonts w:asciiTheme="majorHAnsi" w:hAnsiTheme="majorHAnsi" w:cstheme="majorHAnsi"/>
          <w:sz w:val="24"/>
          <w:szCs w:val="24"/>
          <w:lang w:val="ru-MD"/>
        </w:rPr>
        <w:t xml:space="preserve"> </w:t>
      </w:r>
      <w:r w:rsidR="0018703B" w:rsidRPr="0018703B">
        <w:rPr>
          <w:rFonts w:asciiTheme="majorHAnsi" w:hAnsiTheme="majorHAnsi" w:cstheme="majorHAnsi"/>
          <w:sz w:val="24"/>
          <w:szCs w:val="24"/>
          <w:lang w:val="ru-MD"/>
        </w:rPr>
        <w:t>начисля</w:t>
      </w:r>
      <w:r w:rsidRPr="0018703B">
        <w:rPr>
          <w:rFonts w:asciiTheme="majorHAnsi" w:hAnsiTheme="majorHAnsi" w:cstheme="majorHAnsi"/>
          <w:sz w:val="24"/>
          <w:szCs w:val="24"/>
          <w:lang w:val="ru-MD"/>
        </w:rPr>
        <w:t xml:space="preserve">ло плату за пользование </w:t>
      </w:r>
      <w:r w:rsidR="0018703B" w:rsidRPr="0018703B">
        <w:rPr>
          <w:rFonts w:asciiTheme="majorHAnsi" w:hAnsiTheme="majorHAnsi" w:cstheme="majorHAnsi"/>
          <w:sz w:val="24"/>
          <w:szCs w:val="24"/>
          <w:lang w:val="ru-MD"/>
        </w:rPr>
        <w:t xml:space="preserve">землей </w:t>
      </w:r>
      <w:r w:rsidRPr="0018703B">
        <w:rPr>
          <w:rFonts w:asciiTheme="majorHAnsi" w:hAnsiTheme="majorHAnsi" w:cstheme="majorHAnsi"/>
          <w:sz w:val="24"/>
          <w:szCs w:val="24"/>
          <w:lang w:val="ru-MD"/>
        </w:rPr>
        <w:t xml:space="preserve">в сумме 2,5 млн. </w:t>
      </w:r>
      <w:r w:rsidR="0018703B" w:rsidRPr="0018703B">
        <w:rPr>
          <w:rFonts w:asciiTheme="majorHAnsi" w:hAnsiTheme="majorHAnsi" w:cstheme="majorHAnsi"/>
          <w:sz w:val="24"/>
          <w:szCs w:val="24"/>
          <w:lang w:val="ru-MD"/>
        </w:rPr>
        <w:t>леев, в</w:t>
      </w:r>
      <w:r w:rsidRPr="0018703B">
        <w:rPr>
          <w:rFonts w:asciiTheme="majorHAnsi" w:hAnsiTheme="majorHAnsi" w:cstheme="majorHAnsi"/>
          <w:sz w:val="24"/>
          <w:szCs w:val="24"/>
          <w:lang w:val="ru-MD"/>
        </w:rPr>
        <w:t xml:space="preserve"> действ</w:t>
      </w:r>
      <w:r w:rsidR="0018703B" w:rsidRPr="0018703B">
        <w:rPr>
          <w:rFonts w:asciiTheme="majorHAnsi" w:hAnsiTheme="majorHAnsi" w:cstheme="majorHAnsi"/>
          <w:sz w:val="24"/>
          <w:szCs w:val="24"/>
          <w:lang w:val="ru-MD"/>
        </w:rPr>
        <w:t>ительности</w:t>
      </w:r>
      <w:r w:rsidRPr="0018703B">
        <w:rPr>
          <w:rFonts w:asciiTheme="majorHAnsi" w:hAnsiTheme="majorHAnsi" w:cstheme="majorHAnsi"/>
          <w:sz w:val="24"/>
          <w:szCs w:val="24"/>
          <w:lang w:val="ru-MD"/>
        </w:rPr>
        <w:t xml:space="preserve"> в </w:t>
      </w:r>
      <w:r w:rsidR="0018703B" w:rsidRPr="0018703B">
        <w:rPr>
          <w:rFonts w:asciiTheme="majorHAnsi" w:hAnsiTheme="majorHAnsi" w:cstheme="majorHAnsi"/>
          <w:sz w:val="24"/>
          <w:szCs w:val="24"/>
          <w:lang w:val="ru-MD"/>
        </w:rPr>
        <w:t>ГБ</w:t>
      </w:r>
      <w:r w:rsidRPr="0018703B">
        <w:rPr>
          <w:rFonts w:asciiTheme="majorHAnsi" w:hAnsiTheme="majorHAnsi" w:cstheme="majorHAnsi"/>
          <w:sz w:val="24"/>
          <w:szCs w:val="24"/>
          <w:lang w:val="ru-MD"/>
        </w:rPr>
        <w:t xml:space="preserve"> </w:t>
      </w:r>
      <w:r w:rsidR="0018703B" w:rsidRPr="0018703B">
        <w:rPr>
          <w:rFonts w:asciiTheme="majorHAnsi" w:hAnsiTheme="majorHAnsi" w:cstheme="majorHAnsi"/>
          <w:sz w:val="24"/>
          <w:szCs w:val="24"/>
          <w:lang w:val="ru-MD"/>
        </w:rPr>
        <w:t>по</w:t>
      </w:r>
      <w:r w:rsidRPr="0018703B">
        <w:rPr>
          <w:rFonts w:asciiTheme="majorHAnsi" w:hAnsiTheme="majorHAnsi" w:cstheme="majorHAnsi"/>
          <w:sz w:val="24"/>
          <w:szCs w:val="24"/>
          <w:lang w:val="ru-MD"/>
        </w:rPr>
        <w:t xml:space="preserve"> указанн</w:t>
      </w:r>
      <w:r w:rsidR="0018703B" w:rsidRPr="0018703B">
        <w:rPr>
          <w:rFonts w:asciiTheme="majorHAnsi" w:hAnsiTheme="majorHAnsi" w:cstheme="majorHAnsi"/>
          <w:sz w:val="24"/>
          <w:szCs w:val="24"/>
          <w:lang w:val="ru-MD"/>
        </w:rPr>
        <w:t>ому</w:t>
      </w:r>
      <w:r w:rsidRPr="0018703B">
        <w:rPr>
          <w:rFonts w:asciiTheme="majorHAnsi" w:hAnsiTheme="majorHAnsi" w:cstheme="majorHAnsi"/>
          <w:sz w:val="24"/>
          <w:szCs w:val="24"/>
          <w:lang w:val="ru-MD"/>
        </w:rPr>
        <w:t xml:space="preserve"> код</w:t>
      </w:r>
      <w:r w:rsidR="0018703B" w:rsidRPr="0018703B">
        <w:rPr>
          <w:rFonts w:asciiTheme="majorHAnsi" w:hAnsiTheme="majorHAnsi" w:cstheme="majorHAnsi"/>
          <w:sz w:val="24"/>
          <w:szCs w:val="24"/>
          <w:lang w:val="ru-MD"/>
        </w:rPr>
        <w:t>у ЭКО</w:t>
      </w:r>
      <w:r w:rsidRPr="0018703B">
        <w:rPr>
          <w:rFonts w:asciiTheme="majorHAnsi" w:hAnsiTheme="majorHAnsi" w:cstheme="majorHAnsi"/>
          <w:sz w:val="24"/>
          <w:szCs w:val="24"/>
          <w:lang w:val="ru-MD"/>
        </w:rPr>
        <w:t xml:space="preserve"> </w:t>
      </w:r>
      <w:r w:rsidR="0018703B" w:rsidRPr="0018703B">
        <w:rPr>
          <w:rFonts w:asciiTheme="majorHAnsi" w:hAnsiTheme="majorHAnsi" w:cstheme="majorHAnsi"/>
          <w:sz w:val="24"/>
          <w:szCs w:val="24"/>
          <w:lang w:val="ru-MD"/>
        </w:rPr>
        <w:t>поступило</w:t>
      </w:r>
      <w:r w:rsidRPr="0018703B">
        <w:rPr>
          <w:rFonts w:asciiTheme="majorHAnsi" w:hAnsiTheme="majorHAnsi" w:cstheme="majorHAnsi"/>
          <w:sz w:val="24"/>
          <w:szCs w:val="24"/>
          <w:lang w:val="ru-MD"/>
        </w:rPr>
        <w:t xml:space="preserve"> всего 0,4 млн. </w:t>
      </w:r>
      <w:r w:rsidR="0018703B" w:rsidRPr="0018703B">
        <w:rPr>
          <w:rFonts w:asciiTheme="majorHAnsi" w:hAnsiTheme="majorHAnsi" w:cstheme="majorHAnsi"/>
          <w:sz w:val="24"/>
          <w:szCs w:val="24"/>
          <w:lang w:val="ru-MD"/>
        </w:rPr>
        <w:t>леев</w:t>
      </w:r>
      <w:r w:rsidRPr="0018703B">
        <w:rPr>
          <w:rFonts w:asciiTheme="majorHAnsi" w:hAnsiTheme="majorHAnsi" w:cstheme="majorHAnsi"/>
          <w:sz w:val="24"/>
          <w:szCs w:val="24"/>
          <w:lang w:val="ru-MD"/>
        </w:rPr>
        <w:t>. В остальном</w:t>
      </w:r>
      <w:r w:rsidR="0018703B" w:rsidRPr="0018703B">
        <w:rPr>
          <w:rFonts w:asciiTheme="majorHAnsi" w:hAnsiTheme="majorHAnsi" w:cstheme="majorHAnsi"/>
          <w:sz w:val="24"/>
          <w:szCs w:val="24"/>
          <w:lang w:val="ru-MD"/>
        </w:rPr>
        <w:t xml:space="preserve">, </w:t>
      </w:r>
      <w:r w:rsidRPr="0018703B">
        <w:rPr>
          <w:rFonts w:asciiTheme="majorHAnsi" w:hAnsiTheme="majorHAnsi" w:cstheme="majorHAnsi"/>
          <w:sz w:val="24"/>
          <w:szCs w:val="24"/>
          <w:lang w:val="ru-MD"/>
        </w:rPr>
        <w:t xml:space="preserve">сумма </w:t>
      </w:r>
      <w:r w:rsidR="0018703B" w:rsidRPr="0018703B">
        <w:rPr>
          <w:rFonts w:asciiTheme="majorHAnsi" w:hAnsiTheme="majorHAnsi" w:cstheme="majorHAnsi"/>
          <w:sz w:val="24"/>
          <w:szCs w:val="24"/>
          <w:lang w:val="ru-MD"/>
        </w:rPr>
        <w:t>в размере</w:t>
      </w:r>
      <w:r w:rsidRPr="0018703B">
        <w:rPr>
          <w:rFonts w:asciiTheme="majorHAnsi" w:hAnsiTheme="majorHAnsi" w:cstheme="majorHAnsi"/>
          <w:sz w:val="24"/>
          <w:szCs w:val="24"/>
          <w:lang w:val="ru-MD"/>
        </w:rPr>
        <w:t xml:space="preserve"> 2,1 млн. </w:t>
      </w:r>
      <w:r w:rsidR="0018703B" w:rsidRPr="0018703B">
        <w:rPr>
          <w:rFonts w:asciiTheme="majorHAnsi" w:hAnsiTheme="majorHAnsi" w:cstheme="majorHAnsi"/>
          <w:sz w:val="24"/>
          <w:szCs w:val="24"/>
          <w:lang w:val="ru-MD"/>
        </w:rPr>
        <w:t>леев</w:t>
      </w:r>
      <w:r w:rsidRPr="0018703B">
        <w:rPr>
          <w:rFonts w:asciiTheme="majorHAnsi" w:hAnsiTheme="majorHAnsi" w:cstheme="majorHAnsi"/>
          <w:sz w:val="24"/>
          <w:szCs w:val="24"/>
          <w:lang w:val="ru-MD"/>
        </w:rPr>
        <w:t xml:space="preserve"> </w:t>
      </w:r>
      <w:r w:rsidR="0018703B" w:rsidRPr="0018703B">
        <w:rPr>
          <w:rFonts w:asciiTheme="majorHAnsi" w:hAnsiTheme="majorHAnsi" w:cstheme="majorHAnsi"/>
          <w:sz w:val="24"/>
          <w:szCs w:val="24"/>
          <w:lang w:val="ru-MD"/>
        </w:rPr>
        <w:t>представляет</w:t>
      </w:r>
      <w:r w:rsidRPr="0018703B">
        <w:rPr>
          <w:rFonts w:asciiTheme="majorHAnsi" w:hAnsiTheme="majorHAnsi" w:cstheme="majorHAnsi"/>
          <w:sz w:val="24"/>
          <w:szCs w:val="24"/>
          <w:lang w:val="ru-MD"/>
        </w:rPr>
        <w:t xml:space="preserve"> </w:t>
      </w:r>
      <w:r w:rsidR="0018703B" w:rsidRPr="0018703B">
        <w:rPr>
          <w:rFonts w:asciiTheme="majorHAnsi" w:hAnsiTheme="majorHAnsi" w:cstheme="majorHAnsi"/>
          <w:sz w:val="24"/>
          <w:szCs w:val="24"/>
          <w:lang w:val="ru-MD"/>
        </w:rPr>
        <w:t xml:space="preserve">начисленные АПС </w:t>
      </w:r>
      <w:r w:rsidRPr="0018703B">
        <w:rPr>
          <w:rFonts w:asciiTheme="majorHAnsi" w:hAnsiTheme="majorHAnsi" w:cstheme="majorHAnsi"/>
          <w:sz w:val="24"/>
          <w:szCs w:val="24"/>
          <w:lang w:val="ru-MD"/>
        </w:rPr>
        <w:t>плат</w:t>
      </w:r>
      <w:r w:rsidR="0018703B" w:rsidRPr="0018703B">
        <w:rPr>
          <w:rFonts w:asciiTheme="majorHAnsi" w:hAnsiTheme="majorHAnsi" w:cstheme="majorHAnsi"/>
          <w:sz w:val="24"/>
          <w:szCs w:val="24"/>
          <w:lang w:val="ru-MD"/>
        </w:rPr>
        <w:t>ежи за</w:t>
      </w:r>
      <w:r w:rsidRPr="0018703B">
        <w:rPr>
          <w:rFonts w:asciiTheme="majorHAnsi" w:hAnsiTheme="majorHAnsi" w:cstheme="majorHAnsi"/>
          <w:sz w:val="24"/>
          <w:szCs w:val="24"/>
          <w:lang w:val="ru-MD"/>
        </w:rPr>
        <w:t xml:space="preserve"> использовани</w:t>
      </w:r>
      <w:r w:rsidR="0018703B" w:rsidRPr="0018703B">
        <w:rPr>
          <w:rFonts w:asciiTheme="majorHAnsi" w:hAnsiTheme="majorHAnsi" w:cstheme="majorHAnsi"/>
          <w:sz w:val="24"/>
          <w:szCs w:val="24"/>
          <w:lang w:val="ru-MD"/>
        </w:rPr>
        <w:t>е</w:t>
      </w:r>
      <w:r w:rsidRPr="0018703B">
        <w:rPr>
          <w:rFonts w:asciiTheme="majorHAnsi" w:hAnsiTheme="majorHAnsi" w:cstheme="majorHAnsi"/>
          <w:sz w:val="24"/>
          <w:szCs w:val="24"/>
          <w:lang w:val="ru-MD"/>
        </w:rPr>
        <w:t xml:space="preserve"> соответствующих земель, но не </w:t>
      </w:r>
      <w:r w:rsidR="0018703B" w:rsidRPr="0018703B">
        <w:rPr>
          <w:rFonts w:asciiTheme="majorHAnsi" w:hAnsiTheme="majorHAnsi" w:cstheme="majorHAnsi"/>
          <w:sz w:val="24"/>
          <w:szCs w:val="24"/>
          <w:lang w:val="ru-MD"/>
        </w:rPr>
        <w:t>взыска</w:t>
      </w:r>
      <w:r w:rsidRPr="0018703B">
        <w:rPr>
          <w:rFonts w:asciiTheme="majorHAnsi" w:hAnsiTheme="majorHAnsi" w:cstheme="majorHAnsi"/>
          <w:sz w:val="24"/>
          <w:szCs w:val="24"/>
          <w:lang w:val="ru-MD"/>
        </w:rPr>
        <w:t xml:space="preserve">нные в </w:t>
      </w:r>
      <w:r w:rsidR="0018703B" w:rsidRPr="0018703B">
        <w:rPr>
          <w:rFonts w:asciiTheme="majorHAnsi" w:hAnsiTheme="majorHAnsi" w:cstheme="majorHAnsi"/>
          <w:sz w:val="24"/>
          <w:szCs w:val="24"/>
          <w:lang w:val="ru-MD"/>
        </w:rPr>
        <w:t>ГБ</w:t>
      </w:r>
      <w:r w:rsidRPr="0018703B">
        <w:rPr>
          <w:rFonts w:asciiTheme="majorHAnsi" w:hAnsiTheme="majorHAnsi" w:cstheme="majorHAnsi"/>
          <w:sz w:val="24"/>
          <w:szCs w:val="24"/>
          <w:lang w:val="ru-MD"/>
        </w:rPr>
        <w:t xml:space="preserve">, </w:t>
      </w:r>
      <w:r w:rsidR="0018703B" w:rsidRPr="0018703B">
        <w:rPr>
          <w:rFonts w:asciiTheme="majorHAnsi" w:hAnsiTheme="majorHAnsi" w:cstheme="majorHAnsi"/>
          <w:sz w:val="24"/>
          <w:szCs w:val="24"/>
          <w:lang w:val="ru-MD"/>
        </w:rPr>
        <w:t>поскольку</w:t>
      </w:r>
      <w:r w:rsidRPr="0018703B">
        <w:rPr>
          <w:rFonts w:asciiTheme="majorHAnsi" w:hAnsiTheme="majorHAnsi" w:cstheme="majorHAnsi"/>
          <w:sz w:val="24"/>
          <w:szCs w:val="24"/>
          <w:lang w:val="ru-MD"/>
        </w:rPr>
        <w:t xml:space="preserve"> экономические агенты отказываются их оплачивать. </w:t>
      </w:r>
      <w:r w:rsidR="0018703B" w:rsidRPr="0018703B">
        <w:rPr>
          <w:rFonts w:asciiTheme="majorHAnsi" w:hAnsiTheme="majorHAnsi" w:cstheme="majorHAnsi"/>
          <w:sz w:val="24"/>
          <w:szCs w:val="24"/>
          <w:lang w:val="ru-MD"/>
        </w:rPr>
        <w:t>Боле</w:t>
      </w:r>
      <w:r w:rsidRPr="0018703B">
        <w:rPr>
          <w:rFonts w:asciiTheme="majorHAnsi" w:hAnsiTheme="majorHAnsi" w:cstheme="majorHAnsi"/>
          <w:sz w:val="24"/>
          <w:szCs w:val="24"/>
          <w:lang w:val="ru-MD"/>
        </w:rPr>
        <w:t xml:space="preserve">е того, для некоторых </w:t>
      </w:r>
      <w:r w:rsidR="0018703B" w:rsidRPr="0018703B">
        <w:rPr>
          <w:rFonts w:asciiTheme="majorHAnsi" w:hAnsiTheme="majorHAnsi" w:cstheme="majorHAnsi"/>
          <w:sz w:val="24"/>
          <w:szCs w:val="24"/>
          <w:lang w:val="ru-MD"/>
        </w:rPr>
        <w:t>прилегающих</w:t>
      </w:r>
      <w:r w:rsidRPr="0018703B">
        <w:rPr>
          <w:rFonts w:asciiTheme="majorHAnsi" w:hAnsiTheme="majorHAnsi" w:cstheme="majorHAnsi"/>
          <w:sz w:val="24"/>
          <w:szCs w:val="24"/>
          <w:lang w:val="ru-MD"/>
        </w:rPr>
        <w:t xml:space="preserve"> земельных участков </w:t>
      </w:r>
      <w:r w:rsidR="0018703B" w:rsidRPr="0018703B">
        <w:rPr>
          <w:rFonts w:asciiTheme="majorHAnsi" w:hAnsiTheme="majorHAnsi" w:cstheme="majorHAnsi"/>
          <w:sz w:val="24"/>
          <w:szCs w:val="24"/>
          <w:lang w:val="ru-MD"/>
        </w:rPr>
        <w:t>АПС</w:t>
      </w:r>
      <w:r w:rsidRPr="0018703B">
        <w:rPr>
          <w:rFonts w:asciiTheme="majorHAnsi" w:hAnsiTheme="majorHAnsi" w:cstheme="majorHAnsi"/>
          <w:sz w:val="24"/>
          <w:szCs w:val="24"/>
          <w:lang w:val="ru-MD"/>
        </w:rPr>
        <w:t xml:space="preserve"> не рассчитало плату </w:t>
      </w:r>
      <w:r w:rsidR="0018703B" w:rsidRPr="0018703B">
        <w:rPr>
          <w:rFonts w:asciiTheme="majorHAnsi" w:hAnsiTheme="majorHAnsi" w:cstheme="majorHAnsi"/>
          <w:sz w:val="24"/>
          <w:szCs w:val="24"/>
          <w:lang w:val="ru-MD"/>
        </w:rPr>
        <w:t>за</w:t>
      </w:r>
      <w:r w:rsidRPr="0018703B">
        <w:rPr>
          <w:rFonts w:asciiTheme="majorHAnsi" w:hAnsiTheme="majorHAnsi" w:cstheme="majorHAnsi"/>
          <w:sz w:val="24"/>
          <w:szCs w:val="24"/>
          <w:lang w:val="ru-MD"/>
        </w:rPr>
        <w:t xml:space="preserve"> их </w:t>
      </w:r>
      <w:r w:rsidR="0018703B" w:rsidRPr="0018703B">
        <w:rPr>
          <w:rFonts w:asciiTheme="majorHAnsi" w:hAnsiTheme="majorHAnsi" w:cstheme="majorHAnsi"/>
          <w:sz w:val="24"/>
          <w:szCs w:val="24"/>
          <w:lang w:val="ru-MD"/>
        </w:rPr>
        <w:t xml:space="preserve">сдачи в </w:t>
      </w:r>
      <w:r w:rsidRPr="0018703B">
        <w:rPr>
          <w:rFonts w:asciiTheme="majorHAnsi" w:hAnsiTheme="majorHAnsi" w:cstheme="majorHAnsi"/>
          <w:sz w:val="24"/>
          <w:szCs w:val="24"/>
          <w:lang w:val="ru-MD"/>
        </w:rPr>
        <w:t>пользовани</w:t>
      </w:r>
      <w:r w:rsidR="0018703B" w:rsidRPr="0018703B">
        <w:rPr>
          <w:rFonts w:asciiTheme="majorHAnsi" w:hAnsiTheme="majorHAnsi" w:cstheme="majorHAnsi"/>
          <w:sz w:val="24"/>
          <w:szCs w:val="24"/>
          <w:lang w:val="ru-MD"/>
        </w:rPr>
        <w:t>е</w:t>
      </w:r>
      <w:r w:rsidRPr="0018703B">
        <w:rPr>
          <w:rFonts w:asciiTheme="majorHAnsi" w:hAnsiTheme="majorHAnsi" w:cstheme="majorHAnsi"/>
          <w:sz w:val="24"/>
          <w:szCs w:val="24"/>
          <w:lang w:val="ru-MD"/>
        </w:rPr>
        <w:t xml:space="preserve">, </w:t>
      </w:r>
      <w:r w:rsidR="0018703B" w:rsidRPr="0018703B">
        <w:rPr>
          <w:rFonts w:asciiTheme="majorHAnsi" w:hAnsiTheme="majorHAnsi" w:cstheme="majorHAnsi"/>
          <w:sz w:val="24"/>
          <w:szCs w:val="24"/>
          <w:lang w:val="ru-MD"/>
        </w:rPr>
        <w:t>размер</w:t>
      </w:r>
      <w:r w:rsidRPr="0018703B">
        <w:rPr>
          <w:rFonts w:asciiTheme="majorHAnsi" w:hAnsiTheme="majorHAnsi" w:cstheme="majorHAnsi"/>
          <w:sz w:val="24"/>
          <w:szCs w:val="24"/>
          <w:lang w:val="ru-MD"/>
        </w:rPr>
        <w:t xml:space="preserve"> которой составляет 1,4 млн. ле</w:t>
      </w:r>
      <w:r w:rsidR="0018703B" w:rsidRPr="0018703B">
        <w:rPr>
          <w:rFonts w:asciiTheme="majorHAnsi" w:hAnsiTheme="majorHAnsi" w:cstheme="majorHAnsi"/>
          <w:sz w:val="24"/>
          <w:szCs w:val="24"/>
          <w:lang w:val="ru-MD"/>
        </w:rPr>
        <w:t>ев.</w:t>
      </w:r>
    </w:p>
    <w:p w:rsidR="00C77062" w:rsidRPr="00F55BA6" w:rsidRDefault="00C77062" w:rsidP="00C77062">
      <w:pPr>
        <w:tabs>
          <w:tab w:val="left" w:pos="142"/>
          <w:tab w:val="left" w:pos="426"/>
        </w:tabs>
        <w:spacing w:after="0" w:line="276" w:lineRule="auto"/>
        <w:contextualSpacing/>
        <w:outlineLvl w:val="0"/>
        <w:rPr>
          <w:rFonts w:asciiTheme="majorHAnsi" w:eastAsia="Times New Roman" w:hAnsiTheme="majorHAnsi" w:cs="Times New Roman"/>
          <w:b/>
          <w:bCs/>
          <w:szCs w:val="28"/>
          <w:lang w:val="ro-RO"/>
        </w:rPr>
      </w:pPr>
      <w:r w:rsidRPr="00E4517B">
        <w:rPr>
          <w:rFonts w:asciiTheme="majorHAnsi" w:hAnsiTheme="majorHAnsi" w:cstheme="majorHAnsi"/>
          <w:b/>
          <w:sz w:val="24"/>
          <w:szCs w:val="24"/>
          <w:lang w:val="ro-RO"/>
        </w:rPr>
        <w:t>5.</w:t>
      </w:r>
      <w:r w:rsidRPr="00973E5B">
        <w:rPr>
          <w:rFonts w:asciiTheme="majorHAnsi" w:hAnsiTheme="majorHAnsi" w:cstheme="majorHAnsi"/>
          <w:b/>
          <w:sz w:val="24"/>
          <w:szCs w:val="24"/>
          <w:lang w:val="ro-RO"/>
        </w:rPr>
        <w:t xml:space="preserve">3 </w:t>
      </w:r>
      <w:r w:rsidR="006D2C88" w:rsidRPr="0020208A">
        <w:rPr>
          <w:rFonts w:asciiTheme="majorHAnsi" w:hAnsiTheme="majorHAnsi" w:cstheme="majorHAnsi"/>
          <w:b/>
          <w:sz w:val="24"/>
          <w:szCs w:val="24"/>
          <w:lang w:val="ru-MD"/>
        </w:rPr>
        <w:t xml:space="preserve">В общей сумме возмещения НДС в размере 2 957,3 млн. леев были включены средства </w:t>
      </w:r>
      <w:r w:rsidR="0020208A" w:rsidRPr="0020208A">
        <w:rPr>
          <w:rFonts w:asciiTheme="majorHAnsi" w:hAnsiTheme="majorHAnsi" w:cstheme="majorHAnsi"/>
          <w:b/>
          <w:sz w:val="24"/>
          <w:szCs w:val="24"/>
          <w:lang w:val="ru-MD"/>
        </w:rPr>
        <w:t>в</w:t>
      </w:r>
      <w:r w:rsidR="006D2C88" w:rsidRPr="0020208A">
        <w:rPr>
          <w:rFonts w:asciiTheme="majorHAnsi" w:hAnsiTheme="majorHAnsi" w:cstheme="majorHAnsi"/>
          <w:b/>
          <w:sz w:val="24"/>
          <w:szCs w:val="24"/>
          <w:lang w:val="ru-MD"/>
        </w:rPr>
        <w:t xml:space="preserve"> сумм</w:t>
      </w:r>
      <w:r w:rsidR="0020208A" w:rsidRPr="0020208A">
        <w:rPr>
          <w:rFonts w:asciiTheme="majorHAnsi" w:hAnsiTheme="majorHAnsi" w:cstheme="majorHAnsi"/>
          <w:b/>
          <w:sz w:val="24"/>
          <w:szCs w:val="24"/>
          <w:lang w:val="ru-MD"/>
        </w:rPr>
        <w:t>е</w:t>
      </w:r>
      <w:r w:rsidR="006D2C88" w:rsidRPr="0020208A">
        <w:rPr>
          <w:rFonts w:asciiTheme="majorHAnsi" w:hAnsiTheme="majorHAnsi" w:cstheme="majorHAnsi"/>
          <w:b/>
          <w:sz w:val="24"/>
          <w:szCs w:val="24"/>
          <w:lang w:val="ru-MD"/>
        </w:rPr>
        <w:t xml:space="preserve"> 194,1 млн. леев</w:t>
      </w:r>
      <w:r w:rsidR="0020208A" w:rsidRPr="0020208A">
        <w:rPr>
          <w:rFonts w:asciiTheme="majorHAnsi" w:hAnsiTheme="majorHAnsi" w:cstheme="majorHAnsi"/>
          <w:b/>
          <w:sz w:val="24"/>
          <w:szCs w:val="24"/>
          <w:lang w:val="ru-MD"/>
        </w:rPr>
        <w:t>, которые были исполнены по</w:t>
      </w:r>
      <w:r w:rsidR="006D2C88" w:rsidRPr="0020208A">
        <w:rPr>
          <w:rFonts w:asciiTheme="majorHAnsi" w:hAnsiTheme="majorHAnsi" w:cstheme="majorHAnsi"/>
          <w:b/>
          <w:sz w:val="24"/>
          <w:szCs w:val="24"/>
          <w:lang w:val="ru-MD"/>
        </w:rPr>
        <w:t xml:space="preserve"> </w:t>
      </w:r>
      <w:r w:rsidR="0020208A" w:rsidRPr="0020208A">
        <w:rPr>
          <w:rFonts w:asciiTheme="majorHAnsi" w:hAnsiTheme="majorHAnsi" w:cstheme="majorHAnsi"/>
          <w:b/>
          <w:sz w:val="24"/>
          <w:szCs w:val="24"/>
          <w:lang w:val="ru-MD"/>
        </w:rPr>
        <w:t>П</w:t>
      </w:r>
      <w:r w:rsidR="006D2C88" w:rsidRPr="0020208A">
        <w:rPr>
          <w:rFonts w:asciiTheme="majorHAnsi" w:hAnsiTheme="majorHAnsi" w:cstheme="majorHAnsi"/>
          <w:b/>
          <w:sz w:val="24"/>
          <w:szCs w:val="24"/>
          <w:lang w:val="ru-MD"/>
        </w:rPr>
        <w:t>рограмм</w:t>
      </w:r>
      <w:r w:rsidR="0020208A" w:rsidRPr="0020208A">
        <w:rPr>
          <w:rFonts w:asciiTheme="majorHAnsi" w:hAnsiTheme="majorHAnsi" w:cstheme="majorHAnsi"/>
          <w:b/>
          <w:sz w:val="24"/>
          <w:szCs w:val="24"/>
          <w:lang w:val="ru-MD"/>
        </w:rPr>
        <w:t>е возмещения НДС</w:t>
      </w:r>
      <w:r w:rsidR="005E446A">
        <w:rPr>
          <w:rFonts w:asciiTheme="majorHAnsi" w:hAnsiTheme="majorHAnsi" w:cstheme="majorHAnsi"/>
          <w:b/>
          <w:sz w:val="24"/>
          <w:szCs w:val="24"/>
          <w:lang w:val="ro-RO"/>
        </w:rPr>
        <w:t>.</w:t>
      </w:r>
    </w:p>
    <w:p w:rsidR="006E2E6A" w:rsidRPr="00AB1020" w:rsidRDefault="0020208A" w:rsidP="006E2E6A">
      <w:pPr>
        <w:spacing w:after="0" w:line="276" w:lineRule="auto"/>
        <w:rPr>
          <w:rFonts w:asciiTheme="majorHAnsi" w:eastAsia="Times New Roman" w:hAnsiTheme="majorHAnsi" w:cstheme="majorHAnsi"/>
          <w:sz w:val="24"/>
          <w:szCs w:val="24"/>
          <w:lang w:val="ru-MD"/>
        </w:rPr>
      </w:pPr>
      <w:r w:rsidRPr="001E5A95">
        <w:rPr>
          <w:rFonts w:asciiTheme="majorHAnsi" w:eastAsia="Times New Roman" w:hAnsiTheme="majorHAnsi" w:cstheme="majorHAnsi"/>
          <w:sz w:val="24"/>
          <w:szCs w:val="24"/>
          <w:lang w:val="ru-MD"/>
        </w:rPr>
        <w:t>Согласно З</w:t>
      </w:r>
      <w:r w:rsidR="006D2C88" w:rsidRPr="001E5A95">
        <w:rPr>
          <w:rFonts w:asciiTheme="majorHAnsi" w:eastAsia="Times New Roman" w:hAnsiTheme="majorHAnsi" w:cstheme="majorHAnsi"/>
          <w:sz w:val="24"/>
          <w:szCs w:val="24"/>
          <w:lang w:val="ru-MD"/>
        </w:rPr>
        <w:t xml:space="preserve">акону </w:t>
      </w:r>
      <w:r w:rsidRPr="001E5A95">
        <w:rPr>
          <w:rFonts w:asciiTheme="majorHAnsi" w:eastAsia="Times New Roman" w:hAnsiTheme="majorHAnsi" w:cstheme="majorHAnsi"/>
          <w:sz w:val="24"/>
          <w:szCs w:val="24"/>
          <w:lang w:val="ru-MD"/>
        </w:rPr>
        <w:t>о ГБ</w:t>
      </w:r>
      <w:r w:rsidR="006D2C88" w:rsidRPr="001E5A95">
        <w:rPr>
          <w:rFonts w:asciiTheme="majorHAnsi" w:eastAsia="Times New Roman" w:hAnsiTheme="majorHAnsi" w:cstheme="majorHAnsi"/>
          <w:sz w:val="24"/>
          <w:szCs w:val="24"/>
          <w:lang w:val="ru-MD"/>
        </w:rPr>
        <w:t xml:space="preserve"> за 2020 год, </w:t>
      </w:r>
      <w:r w:rsidRPr="001E5A95">
        <w:rPr>
          <w:rFonts w:asciiTheme="majorHAnsi" w:eastAsia="Times New Roman" w:hAnsiTheme="majorHAnsi" w:cstheme="majorHAnsi"/>
          <w:i/>
          <w:sz w:val="24"/>
          <w:szCs w:val="24"/>
          <w:lang w:val="ru-MD"/>
        </w:rPr>
        <w:t>на</w:t>
      </w:r>
      <w:r w:rsidR="006D2C88" w:rsidRPr="001E5A95">
        <w:rPr>
          <w:rFonts w:asciiTheme="majorHAnsi" w:eastAsia="Times New Roman" w:hAnsiTheme="majorHAnsi" w:cstheme="majorHAnsi"/>
          <w:i/>
          <w:sz w:val="24"/>
          <w:szCs w:val="24"/>
          <w:lang w:val="ru-MD"/>
        </w:rPr>
        <w:t xml:space="preserve"> </w:t>
      </w:r>
      <w:r w:rsidR="001E5A95" w:rsidRPr="001E5A95">
        <w:rPr>
          <w:rFonts w:asciiTheme="majorHAnsi" w:eastAsia="Times New Roman" w:hAnsiTheme="majorHAnsi" w:cstheme="majorHAnsi"/>
          <w:i/>
          <w:sz w:val="24"/>
          <w:szCs w:val="24"/>
          <w:lang w:val="ru-MD"/>
        </w:rPr>
        <w:t>возмещение</w:t>
      </w:r>
      <w:r w:rsidR="006D2C88" w:rsidRPr="001E5A95">
        <w:rPr>
          <w:rFonts w:asciiTheme="majorHAnsi" w:eastAsia="Times New Roman" w:hAnsiTheme="majorHAnsi" w:cstheme="majorHAnsi"/>
          <w:i/>
          <w:sz w:val="24"/>
          <w:szCs w:val="24"/>
          <w:lang w:val="ru-MD"/>
        </w:rPr>
        <w:t xml:space="preserve"> НДС</w:t>
      </w:r>
      <w:r w:rsidR="006D2C88" w:rsidRPr="001E5A95">
        <w:rPr>
          <w:rFonts w:asciiTheme="majorHAnsi" w:eastAsia="Times New Roman" w:hAnsiTheme="majorHAnsi" w:cstheme="majorHAnsi"/>
          <w:sz w:val="24"/>
          <w:szCs w:val="24"/>
          <w:lang w:val="ru-MD"/>
        </w:rPr>
        <w:t xml:space="preserve"> </w:t>
      </w:r>
      <w:r w:rsidRPr="001E5A95">
        <w:rPr>
          <w:rFonts w:asciiTheme="majorHAnsi" w:eastAsia="Times New Roman" w:hAnsiTheme="majorHAnsi" w:cstheme="majorHAnsi"/>
          <w:sz w:val="24"/>
          <w:szCs w:val="24"/>
          <w:lang w:val="ru-MD"/>
        </w:rPr>
        <w:t>из</w:t>
      </w:r>
      <w:r w:rsidR="006D2C88" w:rsidRPr="001E5A95">
        <w:rPr>
          <w:rFonts w:asciiTheme="majorHAnsi" w:eastAsia="Times New Roman" w:hAnsiTheme="majorHAnsi" w:cstheme="majorHAnsi"/>
          <w:sz w:val="24"/>
          <w:szCs w:val="24"/>
          <w:lang w:val="ru-MD"/>
        </w:rPr>
        <w:t xml:space="preserve">начально </w:t>
      </w:r>
      <w:r w:rsidRPr="001E5A95">
        <w:rPr>
          <w:rFonts w:asciiTheme="majorHAnsi" w:eastAsia="Times New Roman" w:hAnsiTheme="majorHAnsi" w:cstheme="majorHAnsi"/>
          <w:sz w:val="24"/>
          <w:szCs w:val="24"/>
          <w:lang w:val="ru-MD"/>
        </w:rPr>
        <w:t xml:space="preserve">было </w:t>
      </w:r>
      <w:r w:rsidR="006D2C88" w:rsidRPr="001E5A95">
        <w:rPr>
          <w:rFonts w:asciiTheme="majorHAnsi" w:eastAsia="Times New Roman" w:hAnsiTheme="majorHAnsi" w:cstheme="majorHAnsi"/>
          <w:sz w:val="24"/>
          <w:szCs w:val="24"/>
          <w:lang w:val="ru-MD"/>
        </w:rPr>
        <w:t>утвержден</w:t>
      </w:r>
      <w:r w:rsidRPr="001E5A95">
        <w:rPr>
          <w:rFonts w:asciiTheme="majorHAnsi" w:eastAsia="Times New Roman" w:hAnsiTheme="majorHAnsi" w:cstheme="majorHAnsi"/>
          <w:sz w:val="24"/>
          <w:szCs w:val="24"/>
          <w:lang w:val="ru-MD"/>
        </w:rPr>
        <w:t>о</w:t>
      </w:r>
      <w:r w:rsidR="006D2C88" w:rsidRPr="001E5A95">
        <w:rPr>
          <w:rFonts w:asciiTheme="majorHAnsi" w:eastAsia="Times New Roman" w:hAnsiTheme="majorHAnsi" w:cstheme="majorHAnsi"/>
          <w:sz w:val="24"/>
          <w:szCs w:val="24"/>
          <w:lang w:val="ru-MD"/>
        </w:rPr>
        <w:t xml:space="preserve"> 3 290,0 млн. леев</w:t>
      </w:r>
      <w:r w:rsidRPr="001E5A95">
        <w:rPr>
          <w:rFonts w:asciiTheme="majorHAnsi" w:eastAsia="Times New Roman" w:hAnsiTheme="majorHAnsi" w:cstheme="majorHAnsi"/>
          <w:sz w:val="24"/>
          <w:szCs w:val="24"/>
          <w:lang w:val="ru-MD"/>
        </w:rPr>
        <w:t>,</w:t>
      </w:r>
      <w:r w:rsidR="006D2C88" w:rsidRPr="001E5A95">
        <w:rPr>
          <w:rFonts w:asciiTheme="majorHAnsi" w:eastAsia="Times New Roman" w:hAnsiTheme="majorHAnsi" w:cstheme="majorHAnsi"/>
          <w:sz w:val="24"/>
          <w:szCs w:val="24"/>
          <w:lang w:val="ru-MD"/>
        </w:rPr>
        <w:t xml:space="preserve"> в результате снижения налога на 2</w:t>
      </w:r>
      <w:r w:rsidRPr="001E5A95">
        <w:rPr>
          <w:rFonts w:asciiTheme="majorHAnsi" w:eastAsia="Times New Roman" w:hAnsiTheme="majorHAnsi" w:cstheme="majorHAnsi"/>
          <w:sz w:val="24"/>
          <w:szCs w:val="24"/>
          <w:lang w:val="ru-MD"/>
        </w:rPr>
        <w:t>3,0 млн. леев</w:t>
      </w:r>
      <w:r w:rsidR="006D2C88" w:rsidRPr="001E5A95">
        <w:rPr>
          <w:rFonts w:asciiTheme="majorHAnsi" w:eastAsia="Times New Roman" w:hAnsiTheme="majorHAnsi" w:cstheme="majorHAnsi"/>
          <w:sz w:val="24"/>
          <w:szCs w:val="24"/>
          <w:lang w:val="ru-MD"/>
        </w:rPr>
        <w:t xml:space="preserve"> (0,7%). </w:t>
      </w:r>
      <w:r w:rsidRPr="001E5A95">
        <w:rPr>
          <w:rFonts w:asciiTheme="majorHAnsi" w:eastAsia="Times New Roman" w:hAnsiTheme="majorHAnsi" w:cstheme="majorHAnsi"/>
          <w:sz w:val="24"/>
          <w:szCs w:val="24"/>
          <w:lang w:val="ru-MD"/>
        </w:rPr>
        <w:t>За аудируемый</w:t>
      </w:r>
      <w:r w:rsidR="006D2C88" w:rsidRPr="001E5A95">
        <w:rPr>
          <w:rFonts w:asciiTheme="majorHAnsi" w:eastAsia="Times New Roman" w:hAnsiTheme="majorHAnsi" w:cstheme="majorHAnsi"/>
          <w:sz w:val="24"/>
          <w:szCs w:val="24"/>
          <w:lang w:val="ru-MD"/>
        </w:rPr>
        <w:t xml:space="preserve"> период возмещени</w:t>
      </w:r>
      <w:r w:rsidRPr="001E5A95">
        <w:rPr>
          <w:rFonts w:asciiTheme="majorHAnsi" w:eastAsia="Times New Roman" w:hAnsiTheme="majorHAnsi" w:cstheme="majorHAnsi"/>
          <w:sz w:val="24"/>
          <w:szCs w:val="24"/>
          <w:lang w:val="ru-MD"/>
        </w:rPr>
        <w:t>е</w:t>
      </w:r>
      <w:r w:rsidR="006D2C88" w:rsidRPr="001E5A95">
        <w:rPr>
          <w:rFonts w:asciiTheme="majorHAnsi" w:eastAsia="Times New Roman" w:hAnsiTheme="majorHAnsi" w:cstheme="majorHAnsi"/>
          <w:sz w:val="24"/>
          <w:szCs w:val="24"/>
          <w:lang w:val="ru-MD"/>
        </w:rPr>
        <w:t xml:space="preserve"> НДС было произведено на сумму 2 957,3 млн. леев, что составляет 15,0% от суммы НДС, взимаемой в бюджет, или </w:t>
      </w:r>
      <w:r w:rsidRPr="001E5A95">
        <w:rPr>
          <w:rFonts w:asciiTheme="majorHAnsi" w:eastAsia="Times New Roman" w:hAnsiTheme="majorHAnsi" w:cstheme="majorHAnsi"/>
          <w:sz w:val="24"/>
          <w:szCs w:val="24"/>
          <w:lang w:val="ru-MD"/>
        </w:rPr>
        <w:t xml:space="preserve">на 1,8% (52,7 млн. леев) </w:t>
      </w:r>
      <w:r w:rsidR="006D2C88" w:rsidRPr="001E5A95">
        <w:rPr>
          <w:rFonts w:asciiTheme="majorHAnsi" w:eastAsia="Times New Roman" w:hAnsiTheme="majorHAnsi" w:cstheme="majorHAnsi"/>
          <w:sz w:val="24"/>
          <w:szCs w:val="24"/>
          <w:lang w:val="ru-MD"/>
        </w:rPr>
        <w:t>меньше</w:t>
      </w:r>
      <w:r w:rsidRPr="001E5A95">
        <w:rPr>
          <w:rFonts w:asciiTheme="majorHAnsi" w:eastAsia="Times New Roman" w:hAnsiTheme="majorHAnsi" w:cstheme="majorHAnsi"/>
          <w:sz w:val="24"/>
          <w:szCs w:val="24"/>
          <w:lang w:val="ru-MD"/>
        </w:rPr>
        <w:t xml:space="preserve"> по сравнению с</w:t>
      </w:r>
      <w:r w:rsidR="006D2C88" w:rsidRPr="001E5A95">
        <w:rPr>
          <w:rFonts w:asciiTheme="majorHAnsi" w:eastAsia="Times New Roman" w:hAnsiTheme="majorHAnsi" w:cstheme="majorHAnsi"/>
          <w:sz w:val="24"/>
          <w:szCs w:val="24"/>
          <w:lang w:val="ru-MD"/>
        </w:rPr>
        <w:t xml:space="preserve"> 2019 год</w:t>
      </w:r>
      <w:r w:rsidRPr="001E5A95">
        <w:rPr>
          <w:rFonts w:asciiTheme="majorHAnsi" w:eastAsia="Times New Roman" w:hAnsiTheme="majorHAnsi" w:cstheme="majorHAnsi"/>
          <w:sz w:val="24"/>
          <w:szCs w:val="24"/>
          <w:lang w:val="ru-MD"/>
        </w:rPr>
        <w:t>ом</w:t>
      </w:r>
      <w:r w:rsidR="006D2C88" w:rsidRPr="001E5A95">
        <w:rPr>
          <w:rFonts w:asciiTheme="majorHAnsi" w:eastAsia="Times New Roman" w:hAnsiTheme="majorHAnsi" w:cstheme="majorHAnsi"/>
          <w:sz w:val="24"/>
          <w:szCs w:val="24"/>
          <w:lang w:val="ru-MD"/>
        </w:rPr>
        <w:t xml:space="preserve">. Аудит констатирует, что в </w:t>
      </w:r>
      <w:r w:rsidRPr="001E5A95">
        <w:rPr>
          <w:rFonts w:asciiTheme="majorHAnsi" w:eastAsia="Times New Roman" w:hAnsiTheme="majorHAnsi" w:cstheme="majorHAnsi"/>
          <w:sz w:val="24"/>
          <w:szCs w:val="24"/>
          <w:lang w:val="ru-MD"/>
        </w:rPr>
        <w:t xml:space="preserve">общем объеме </w:t>
      </w:r>
      <w:r w:rsidR="006D2C88" w:rsidRPr="001E5A95">
        <w:rPr>
          <w:rFonts w:asciiTheme="majorHAnsi" w:eastAsia="Times New Roman" w:hAnsiTheme="majorHAnsi" w:cstheme="majorHAnsi"/>
          <w:sz w:val="24"/>
          <w:szCs w:val="24"/>
          <w:lang w:val="ru-MD"/>
        </w:rPr>
        <w:t xml:space="preserve">исполненной суммы при возмещении НДС </w:t>
      </w:r>
      <w:r w:rsidRPr="001E5A95">
        <w:rPr>
          <w:rFonts w:asciiTheme="majorHAnsi" w:eastAsia="Times New Roman" w:hAnsiTheme="majorHAnsi" w:cstheme="majorHAnsi"/>
          <w:sz w:val="24"/>
          <w:szCs w:val="24"/>
          <w:lang w:val="ru-MD"/>
        </w:rPr>
        <w:t xml:space="preserve">были </w:t>
      </w:r>
      <w:r w:rsidR="006D2C88" w:rsidRPr="001E5A95">
        <w:rPr>
          <w:rFonts w:asciiTheme="majorHAnsi" w:eastAsia="Times New Roman" w:hAnsiTheme="majorHAnsi" w:cstheme="majorHAnsi"/>
          <w:sz w:val="24"/>
          <w:szCs w:val="24"/>
          <w:lang w:val="ru-MD"/>
        </w:rPr>
        <w:t xml:space="preserve">включены и средства, </w:t>
      </w:r>
      <w:r w:rsidRPr="001E5A95">
        <w:rPr>
          <w:rFonts w:asciiTheme="majorHAnsi" w:eastAsia="Times New Roman" w:hAnsiTheme="majorHAnsi" w:cstheme="majorHAnsi"/>
          <w:sz w:val="24"/>
          <w:szCs w:val="24"/>
          <w:lang w:val="ru-MD"/>
        </w:rPr>
        <w:t>исполненные</w:t>
      </w:r>
      <w:r w:rsidR="006D2C88" w:rsidRPr="001E5A95">
        <w:rPr>
          <w:rFonts w:asciiTheme="majorHAnsi" w:eastAsia="Times New Roman" w:hAnsiTheme="majorHAnsi" w:cstheme="majorHAnsi"/>
          <w:sz w:val="24"/>
          <w:szCs w:val="24"/>
          <w:lang w:val="ru-MD"/>
        </w:rPr>
        <w:t xml:space="preserve"> </w:t>
      </w:r>
      <w:r w:rsidRPr="001E5A95">
        <w:rPr>
          <w:rFonts w:asciiTheme="majorHAnsi" w:eastAsia="Times New Roman" w:hAnsiTheme="majorHAnsi" w:cstheme="majorHAnsi"/>
          <w:sz w:val="24"/>
          <w:szCs w:val="24"/>
          <w:lang w:val="ru-MD"/>
        </w:rPr>
        <w:t>по</w:t>
      </w:r>
      <w:r w:rsidR="006D2C88" w:rsidRPr="001E5A95">
        <w:rPr>
          <w:rFonts w:asciiTheme="majorHAnsi" w:eastAsia="Times New Roman" w:hAnsiTheme="majorHAnsi" w:cstheme="majorHAnsi"/>
          <w:sz w:val="24"/>
          <w:szCs w:val="24"/>
          <w:lang w:val="ru-MD"/>
        </w:rPr>
        <w:t xml:space="preserve"> </w:t>
      </w:r>
      <w:r w:rsidRPr="001E5A95">
        <w:rPr>
          <w:rFonts w:asciiTheme="majorHAnsi" w:eastAsia="Times New Roman" w:hAnsiTheme="majorHAnsi" w:cstheme="majorHAnsi"/>
          <w:sz w:val="24"/>
          <w:szCs w:val="24"/>
          <w:lang w:val="ru-MD"/>
        </w:rPr>
        <w:t>П</w:t>
      </w:r>
      <w:r w:rsidR="006D2C88" w:rsidRPr="001E5A95">
        <w:rPr>
          <w:rFonts w:asciiTheme="majorHAnsi" w:eastAsia="Times New Roman" w:hAnsiTheme="majorHAnsi" w:cstheme="majorHAnsi"/>
          <w:sz w:val="24"/>
          <w:szCs w:val="24"/>
          <w:lang w:val="ru-MD"/>
        </w:rPr>
        <w:t>рограмм</w:t>
      </w:r>
      <w:r w:rsidR="00C77817" w:rsidRPr="001E5A95">
        <w:rPr>
          <w:rFonts w:asciiTheme="majorHAnsi" w:eastAsia="Times New Roman" w:hAnsiTheme="majorHAnsi" w:cstheme="majorHAnsi"/>
          <w:sz w:val="24"/>
          <w:szCs w:val="24"/>
          <w:lang w:val="ru-MD"/>
        </w:rPr>
        <w:t>е возмещения НДС</w:t>
      </w:r>
      <w:r w:rsidR="00541BF1" w:rsidRPr="001E5A95">
        <w:rPr>
          <w:rFonts w:asciiTheme="majorHAnsi" w:hAnsiTheme="majorHAnsi" w:cstheme="majorHAnsi"/>
          <w:sz w:val="24"/>
          <w:szCs w:val="24"/>
          <w:vertAlign w:val="superscript"/>
          <w:lang w:val="ru-MD"/>
        </w:rPr>
        <w:footnoteReference w:id="17"/>
      </w:r>
      <w:r w:rsidR="002127B8" w:rsidRPr="001E5A95">
        <w:rPr>
          <w:rFonts w:asciiTheme="majorHAnsi" w:eastAsia="Times New Roman" w:hAnsiTheme="majorHAnsi" w:cstheme="majorHAnsi"/>
          <w:sz w:val="24"/>
          <w:szCs w:val="24"/>
          <w:lang w:val="ru-MD"/>
        </w:rPr>
        <w:t>.</w:t>
      </w:r>
      <w:r w:rsidR="00181B29" w:rsidRPr="00C77817">
        <w:rPr>
          <w:rFonts w:asciiTheme="majorHAnsi" w:eastAsia="Times New Roman" w:hAnsiTheme="majorHAnsi" w:cstheme="majorHAnsi"/>
          <w:sz w:val="24"/>
          <w:szCs w:val="24"/>
          <w:lang w:val="ru-RU"/>
        </w:rPr>
        <w:t xml:space="preserve"> </w:t>
      </w:r>
      <w:r w:rsidR="00181B29" w:rsidRPr="00181B29">
        <w:rPr>
          <w:rFonts w:asciiTheme="majorHAnsi" w:eastAsia="Times New Roman" w:hAnsiTheme="majorHAnsi" w:cstheme="majorHAnsi"/>
          <w:sz w:val="24"/>
          <w:szCs w:val="24"/>
          <w:lang w:val="ru-RU"/>
        </w:rPr>
        <w:t xml:space="preserve">Проверки аудита </w:t>
      </w:r>
      <w:r w:rsidR="00C77817">
        <w:rPr>
          <w:rFonts w:asciiTheme="majorHAnsi" w:eastAsia="Times New Roman" w:hAnsiTheme="majorHAnsi" w:cstheme="majorHAnsi"/>
          <w:sz w:val="24"/>
          <w:szCs w:val="24"/>
          <w:lang w:val="ru-RU"/>
        </w:rPr>
        <w:t>показали</w:t>
      </w:r>
      <w:r w:rsidR="00181B29" w:rsidRPr="00181B29">
        <w:rPr>
          <w:rFonts w:asciiTheme="majorHAnsi" w:eastAsia="Times New Roman" w:hAnsiTheme="majorHAnsi" w:cstheme="majorHAnsi"/>
          <w:sz w:val="24"/>
          <w:szCs w:val="24"/>
          <w:lang w:val="ru-RU"/>
        </w:rPr>
        <w:t xml:space="preserve">, что по состоянию на 31.12.2020, согласно данным, представленным </w:t>
      </w:r>
      <w:r w:rsidR="00C77817" w:rsidRPr="00181B29">
        <w:rPr>
          <w:rFonts w:asciiTheme="majorHAnsi" w:eastAsia="Times New Roman" w:hAnsiTheme="majorHAnsi" w:cstheme="majorHAnsi"/>
          <w:sz w:val="24"/>
          <w:szCs w:val="24"/>
          <w:lang w:val="ru-RU"/>
        </w:rPr>
        <w:t>ГНС</w:t>
      </w:r>
      <w:r w:rsidR="00C77817" w:rsidRPr="00F55BA6">
        <w:rPr>
          <w:rFonts w:asciiTheme="majorHAnsi" w:hAnsiTheme="majorHAnsi" w:cstheme="majorHAnsi"/>
          <w:sz w:val="24"/>
          <w:szCs w:val="24"/>
          <w:vertAlign w:val="superscript"/>
          <w:lang w:val="ro-RO"/>
        </w:rPr>
        <w:footnoteReference w:id="18"/>
      </w:r>
      <w:r w:rsidR="00C77817">
        <w:rPr>
          <w:rFonts w:asciiTheme="majorHAnsi" w:eastAsia="Times New Roman" w:hAnsiTheme="majorHAnsi" w:cstheme="majorHAnsi"/>
          <w:sz w:val="24"/>
          <w:szCs w:val="24"/>
          <w:lang w:val="ru-RU"/>
        </w:rPr>
        <w:t xml:space="preserve"> </w:t>
      </w:r>
      <w:r w:rsidR="00C77817" w:rsidRPr="00181B29">
        <w:rPr>
          <w:rFonts w:asciiTheme="majorHAnsi" w:eastAsia="Times New Roman" w:hAnsiTheme="majorHAnsi" w:cstheme="majorHAnsi"/>
          <w:sz w:val="24"/>
          <w:szCs w:val="24"/>
          <w:lang w:val="ru-RU"/>
        </w:rPr>
        <w:t>аудиторской групп</w:t>
      </w:r>
      <w:r w:rsidR="00C77817">
        <w:rPr>
          <w:rFonts w:asciiTheme="majorHAnsi" w:eastAsia="Times New Roman" w:hAnsiTheme="majorHAnsi" w:cstheme="majorHAnsi"/>
          <w:sz w:val="24"/>
          <w:szCs w:val="24"/>
          <w:lang w:val="ru-RU"/>
        </w:rPr>
        <w:t>е</w:t>
      </w:r>
      <w:r w:rsidR="00181B29" w:rsidRPr="00181B29">
        <w:rPr>
          <w:rFonts w:asciiTheme="majorHAnsi" w:eastAsia="Times New Roman" w:hAnsiTheme="majorHAnsi" w:cstheme="majorHAnsi"/>
          <w:sz w:val="24"/>
          <w:szCs w:val="24"/>
          <w:lang w:val="ru-RU"/>
        </w:rPr>
        <w:t>, было подано 1 971 заяв</w:t>
      </w:r>
      <w:r w:rsidR="00C77817">
        <w:rPr>
          <w:rFonts w:asciiTheme="majorHAnsi" w:eastAsia="Times New Roman" w:hAnsiTheme="majorHAnsi" w:cstheme="majorHAnsi"/>
          <w:sz w:val="24"/>
          <w:szCs w:val="24"/>
          <w:lang w:val="ru-RU"/>
        </w:rPr>
        <w:t>ок</w:t>
      </w:r>
      <w:r w:rsidR="00181B29" w:rsidRPr="00181B29">
        <w:rPr>
          <w:rFonts w:asciiTheme="majorHAnsi" w:eastAsia="Times New Roman" w:hAnsiTheme="majorHAnsi" w:cstheme="majorHAnsi"/>
          <w:sz w:val="24"/>
          <w:szCs w:val="24"/>
          <w:lang w:val="ru-RU"/>
        </w:rPr>
        <w:t xml:space="preserve"> о возмещении НДС на сумму 325,6 млн. </w:t>
      </w:r>
      <w:r w:rsidR="00C77817">
        <w:rPr>
          <w:rFonts w:asciiTheme="majorHAnsi" w:eastAsia="Times New Roman" w:hAnsiTheme="majorHAnsi" w:cstheme="majorHAnsi"/>
          <w:sz w:val="24"/>
          <w:szCs w:val="24"/>
          <w:lang w:val="ru-RU"/>
        </w:rPr>
        <w:t>леев</w:t>
      </w:r>
      <w:r w:rsidR="00181B29" w:rsidRPr="00181B29">
        <w:rPr>
          <w:rFonts w:asciiTheme="majorHAnsi" w:eastAsia="Times New Roman" w:hAnsiTheme="majorHAnsi" w:cstheme="majorHAnsi"/>
          <w:sz w:val="24"/>
          <w:szCs w:val="24"/>
          <w:lang w:val="ru-RU"/>
        </w:rPr>
        <w:t>. Таким образом, из общего количества поданных заявок</w:t>
      </w:r>
      <w:r w:rsidR="00C77817">
        <w:rPr>
          <w:rFonts w:asciiTheme="majorHAnsi" w:eastAsia="Times New Roman" w:hAnsiTheme="majorHAnsi" w:cstheme="majorHAnsi"/>
          <w:sz w:val="24"/>
          <w:szCs w:val="24"/>
          <w:lang w:val="ru-RU"/>
        </w:rPr>
        <w:t>,</w:t>
      </w:r>
      <w:r w:rsidR="00181B29" w:rsidRPr="00181B29">
        <w:rPr>
          <w:rFonts w:asciiTheme="majorHAnsi" w:eastAsia="Times New Roman" w:hAnsiTheme="majorHAnsi" w:cstheme="majorHAnsi"/>
          <w:sz w:val="24"/>
          <w:szCs w:val="24"/>
          <w:lang w:val="ru-RU"/>
        </w:rPr>
        <w:t xml:space="preserve"> 674 заявки на общую сумму </w:t>
      </w:r>
      <w:r w:rsidR="00C77817">
        <w:rPr>
          <w:rFonts w:asciiTheme="majorHAnsi" w:eastAsia="Times New Roman" w:hAnsiTheme="majorHAnsi" w:cstheme="majorHAnsi"/>
          <w:sz w:val="24"/>
          <w:szCs w:val="24"/>
          <w:lang w:val="ru-RU"/>
        </w:rPr>
        <w:t xml:space="preserve">запрашиваемого </w:t>
      </w:r>
      <w:r w:rsidR="00181B29" w:rsidRPr="00181B29">
        <w:rPr>
          <w:rFonts w:asciiTheme="majorHAnsi" w:eastAsia="Times New Roman" w:hAnsiTheme="majorHAnsi" w:cstheme="majorHAnsi"/>
          <w:sz w:val="24"/>
          <w:szCs w:val="24"/>
          <w:lang w:val="ru-RU"/>
        </w:rPr>
        <w:t>возмещения НДС в размере 97,6 млн. ле</w:t>
      </w:r>
      <w:r w:rsidR="00C77817">
        <w:rPr>
          <w:rFonts w:asciiTheme="majorHAnsi" w:eastAsia="Times New Roman" w:hAnsiTheme="majorHAnsi" w:cstheme="majorHAnsi"/>
          <w:sz w:val="24"/>
          <w:szCs w:val="24"/>
          <w:lang w:val="ru-RU"/>
        </w:rPr>
        <w:t>ев,</w:t>
      </w:r>
      <w:r w:rsidR="00181B29" w:rsidRPr="00181B29">
        <w:rPr>
          <w:rFonts w:asciiTheme="majorHAnsi" w:eastAsia="Times New Roman" w:hAnsiTheme="majorHAnsi" w:cstheme="majorHAnsi"/>
          <w:sz w:val="24"/>
          <w:szCs w:val="24"/>
          <w:lang w:val="ru-RU"/>
        </w:rPr>
        <w:t xml:space="preserve"> были отозваны 408 налогоплательщиками.</w:t>
      </w:r>
      <w:r w:rsidR="006E2E6A" w:rsidRPr="00F55BA6">
        <w:rPr>
          <w:rFonts w:asciiTheme="majorHAnsi" w:hAnsiTheme="majorHAnsi" w:cstheme="majorHAnsi"/>
          <w:color w:val="000000"/>
          <w:sz w:val="24"/>
          <w:szCs w:val="24"/>
          <w:lang w:val="ro-RO" w:eastAsia="ro-RO" w:bidi="ro-RO"/>
        </w:rPr>
        <w:t xml:space="preserve"> </w:t>
      </w:r>
      <w:r w:rsidR="00181B29" w:rsidRPr="00AB1020">
        <w:rPr>
          <w:rFonts w:asciiTheme="majorHAnsi" w:hAnsiTheme="majorHAnsi" w:cstheme="majorHAnsi"/>
          <w:color w:val="000000"/>
          <w:sz w:val="24"/>
          <w:szCs w:val="24"/>
          <w:lang w:val="ru-MD" w:eastAsia="ro-RO" w:bidi="ro-RO"/>
        </w:rPr>
        <w:t>Одновременно</w:t>
      </w:r>
      <w:r w:rsidR="00C77817" w:rsidRPr="00AB1020">
        <w:rPr>
          <w:rFonts w:asciiTheme="majorHAnsi" w:hAnsiTheme="majorHAnsi" w:cstheme="majorHAnsi"/>
          <w:color w:val="000000"/>
          <w:sz w:val="24"/>
          <w:szCs w:val="24"/>
          <w:lang w:val="ru-MD" w:eastAsia="ro-RO" w:bidi="ro-RO"/>
        </w:rPr>
        <w:t>,</w:t>
      </w:r>
      <w:r w:rsidR="00181B29" w:rsidRPr="00AB1020">
        <w:rPr>
          <w:rFonts w:asciiTheme="majorHAnsi" w:hAnsiTheme="majorHAnsi" w:cstheme="majorHAnsi"/>
          <w:color w:val="000000"/>
          <w:sz w:val="24"/>
          <w:szCs w:val="24"/>
          <w:lang w:val="ru-MD" w:eastAsia="ro-RO" w:bidi="ro-RO"/>
        </w:rPr>
        <w:t xml:space="preserve"> на 27 заявок с </w:t>
      </w:r>
      <w:r w:rsidR="00C77817" w:rsidRPr="00AB1020">
        <w:rPr>
          <w:rFonts w:asciiTheme="majorHAnsi" w:hAnsiTheme="majorHAnsi" w:cstheme="majorHAnsi"/>
          <w:color w:val="000000"/>
          <w:sz w:val="24"/>
          <w:szCs w:val="24"/>
          <w:lang w:val="ru-MD" w:eastAsia="ro-RO" w:bidi="ro-RO"/>
        </w:rPr>
        <w:t>запрашива</w:t>
      </w:r>
      <w:r w:rsidR="00181B29" w:rsidRPr="00AB1020">
        <w:rPr>
          <w:rFonts w:asciiTheme="majorHAnsi" w:hAnsiTheme="majorHAnsi" w:cstheme="majorHAnsi"/>
          <w:color w:val="000000"/>
          <w:sz w:val="24"/>
          <w:szCs w:val="24"/>
          <w:lang w:val="ru-MD" w:eastAsia="ro-RO" w:bidi="ro-RO"/>
        </w:rPr>
        <w:t xml:space="preserve">емыми суммами </w:t>
      </w:r>
      <w:r w:rsidR="00C77817" w:rsidRPr="00AB1020">
        <w:rPr>
          <w:rFonts w:asciiTheme="majorHAnsi" w:hAnsiTheme="majorHAnsi" w:cstheme="majorHAnsi"/>
          <w:color w:val="000000"/>
          <w:sz w:val="24"/>
          <w:szCs w:val="24"/>
          <w:lang w:val="ru-MD" w:eastAsia="ro-RO" w:bidi="ro-RO"/>
        </w:rPr>
        <w:t>в</w:t>
      </w:r>
      <w:r w:rsidR="00181B29" w:rsidRPr="00AB1020">
        <w:rPr>
          <w:rFonts w:asciiTheme="majorHAnsi" w:hAnsiTheme="majorHAnsi" w:cstheme="majorHAnsi"/>
          <w:color w:val="000000"/>
          <w:sz w:val="24"/>
          <w:szCs w:val="24"/>
          <w:lang w:val="ru-MD" w:eastAsia="ro-RO" w:bidi="ro-RO"/>
        </w:rPr>
        <w:t xml:space="preserve"> общ</w:t>
      </w:r>
      <w:r w:rsidR="00C77817" w:rsidRPr="00AB1020">
        <w:rPr>
          <w:rFonts w:asciiTheme="majorHAnsi" w:hAnsiTheme="majorHAnsi" w:cstheme="majorHAnsi"/>
          <w:color w:val="000000"/>
          <w:sz w:val="24"/>
          <w:szCs w:val="24"/>
          <w:lang w:val="ru-MD" w:eastAsia="ro-RO" w:bidi="ro-RO"/>
        </w:rPr>
        <w:t>ем</w:t>
      </w:r>
      <w:r w:rsidR="00181B29" w:rsidRPr="00AB1020">
        <w:rPr>
          <w:rFonts w:asciiTheme="majorHAnsi" w:hAnsiTheme="majorHAnsi" w:cstheme="majorHAnsi"/>
          <w:color w:val="000000"/>
          <w:sz w:val="24"/>
          <w:szCs w:val="24"/>
          <w:lang w:val="ru-MD" w:eastAsia="ro-RO" w:bidi="ro-RO"/>
        </w:rPr>
        <w:t xml:space="preserve"> </w:t>
      </w:r>
      <w:r w:rsidR="00C77817" w:rsidRPr="00AB1020">
        <w:rPr>
          <w:rFonts w:asciiTheme="majorHAnsi" w:hAnsiTheme="majorHAnsi" w:cstheme="majorHAnsi"/>
          <w:color w:val="000000"/>
          <w:sz w:val="24"/>
          <w:szCs w:val="24"/>
          <w:lang w:val="ru-MD" w:eastAsia="ro-RO" w:bidi="ro-RO"/>
        </w:rPr>
        <w:t>объеме</w:t>
      </w:r>
      <w:r w:rsidR="00181B29" w:rsidRPr="00AB1020">
        <w:rPr>
          <w:rFonts w:asciiTheme="majorHAnsi" w:hAnsiTheme="majorHAnsi" w:cstheme="majorHAnsi"/>
          <w:color w:val="000000"/>
          <w:sz w:val="24"/>
          <w:szCs w:val="24"/>
          <w:lang w:val="ru-MD" w:eastAsia="ro-RO" w:bidi="ro-RO"/>
        </w:rPr>
        <w:t xml:space="preserve"> 3,4 млн. ле</w:t>
      </w:r>
      <w:r w:rsidR="00C77817" w:rsidRPr="00AB1020">
        <w:rPr>
          <w:rFonts w:asciiTheme="majorHAnsi" w:hAnsiTheme="majorHAnsi" w:cstheme="majorHAnsi"/>
          <w:color w:val="000000"/>
          <w:sz w:val="24"/>
          <w:szCs w:val="24"/>
          <w:lang w:val="ru-MD" w:eastAsia="ro-RO" w:bidi="ro-RO"/>
        </w:rPr>
        <w:t>ев,</w:t>
      </w:r>
      <w:r w:rsidR="00181B29" w:rsidRPr="00AB1020">
        <w:rPr>
          <w:rFonts w:asciiTheme="majorHAnsi" w:hAnsiTheme="majorHAnsi" w:cstheme="majorHAnsi"/>
          <w:color w:val="000000"/>
          <w:sz w:val="24"/>
          <w:szCs w:val="24"/>
          <w:lang w:val="ru-MD" w:eastAsia="ro-RO" w:bidi="ro-RO"/>
        </w:rPr>
        <w:t xml:space="preserve"> </w:t>
      </w:r>
      <w:r w:rsidR="00C77817" w:rsidRPr="00AB1020">
        <w:rPr>
          <w:rFonts w:asciiTheme="majorHAnsi" w:hAnsiTheme="majorHAnsi" w:cstheme="majorHAnsi"/>
          <w:color w:val="000000"/>
          <w:sz w:val="24"/>
          <w:szCs w:val="24"/>
          <w:lang w:val="ru-MD" w:eastAsia="ro-RO" w:bidi="ro-RO"/>
        </w:rPr>
        <w:t xml:space="preserve">21 налогоплательщику </w:t>
      </w:r>
      <w:r w:rsidR="00181B29" w:rsidRPr="00AB1020">
        <w:rPr>
          <w:rFonts w:asciiTheme="majorHAnsi" w:hAnsiTheme="majorHAnsi" w:cstheme="majorHAnsi"/>
          <w:color w:val="000000"/>
          <w:sz w:val="24"/>
          <w:szCs w:val="24"/>
          <w:lang w:val="ru-MD" w:eastAsia="ro-RO" w:bidi="ro-RO"/>
        </w:rPr>
        <w:t xml:space="preserve">были </w:t>
      </w:r>
      <w:r w:rsidR="00C77817" w:rsidRPr="00AB1020">
        <w:rPr>
          <w:rFonts w:asciiTheme="majorHAnsi" w:hAnsiTheme="majorHAnsi" w:cstheme="majorHAnsi"/>
          <w:color w:val="000000"/>
          <w:sz w:val="24"/>
          <w:szCs w:val="24"/>
          <w:lang w:val="ru-MD" w:eastAsia="ro-RO" w:bidi="ro-RO"/>
        </w:rPr>
        <w:t>направле</w:t>
      </w:r>
      <w:r w:rsidR="00181B29" w:rsidRPr="00AB1020">
        <w:rPr>
          <w:rFonts w:asciiTheme="majorHAnsi" w:hAnsiTheme="majorHAnsi" w:cstheme="majorHAnsi"/>
          <w:color w:val="000000"/>
          <w:sz w:val="24"/>
          <w:szCs w:val="24"/>
          <w:lang w:val="ru-MD" w:eastAsia="ro-RO" w:bidi="ro-RO"/>
        </w:rPr>
        <w:t xml:space="preserve">ны уведомления </w:t>
      </w:r>
      <w:r w:rsidR="00AB1020" w:rsidRPr="00AB1020">
        <w:rPr>
          <w:rFonts w:asciiTheme="majorHAnsi" w:hAnsiTheme="majorHAnsi" w:cstheme="majorHAnsi"/>
          <w:color w:val="000000"/>
          <w:sz w:val="24"/>
          <w:szCs w:val="24"/>
          <w:lang w:val="ru-MD" w:eastAsia="ro-RO" w:bidi="ro-RO"/>
        </w:rPr>
        <w:t>об</w:t>
      </w:r>
      <w:r w:rsidR="00181B29" w:rsidRPr="00AB1020">
        <w:rPr>
          <w:rFonts w:asciiTheme="majorHAnsi" w:hAnsiTheme="majorHAnsi" w:cstheme="majorHAnsi"/>
          <w:color w:val="000000"/>
          <w:sz w:val="24"/>
          <w:szCs w:val="24"/>
          <w:lang w:val="ru-MD" w:eastAsia="ro-RO" w:bidi="ro-RO"/>
        </w:rPr>
        <w:t xml:space="preserve"> информировани</w:t>
      </w:r>
      <w:r w:rsidR="00AB1020" w:rsidRPr="00AB1020">
        <w:rPr>
          <w:rFonts w:asciiTheme="majorHAnsi" w:hAnsiTheme="majorHAnsi" w:cstheme="majorHAnsi"/>
          <w:color w:val="000000"/>
          <w:sz w:val="24"/>
          <w:szCs w:val="24"/>
          <w:lang w:val="ru-MD" w:eastAsia="ro-RO" w:bidi="ro-RO"/>
        </w:rPr>
        <w:t>и</w:t>
      </w:r>
      <w:r w:rsidR="00181B29" w:rsidRPr="00AB1020">
        <w:rPr>
          <w:rFonts w:asciiTheme="majorHAnsi" w:hAnsiTheme="majorHAnsi" w:cstheme="majorHAnsi"/>
          <w:color w:val="000000"/>
          <w:sz w:val="24"/>
          <w:szCs w:val="24"/>
          <w:lang w:val="ru-MD" w:eastAsia="ro-RO" w:bidi="ro-RO"/>
        </w:rPr>
        <w:t xml:space="preserve"> и представлени</w:t>
      </w:r>
      <w:r w:rsidR="00AB1020" w:rsidRPr="00AB1020">
        <w:rPr>
          <w:rFonts w:asciiTheme="majorHAnsi" w:hAnsiTheme="majorHAnsi" w:cstheme="majorHAnsi"/>
          <w:color w:val="000000"/>
          <w:sz w:val="24"/>
          <w:szCs w:val="24"/>
          <w:lang w:val="ru-MD" w:eastAsia="ro-RO" w:bidi="ro-RO"/>
        </w:rPr>
        <w:t>и</w:t>
      </w:r>
      <w:r w:rsidR="00181B29" w:rsidRPr="00AB1020">
        <w:rPr>
          <w:rFonts w:asciiTheme="majorHAnsi" w:hAnsiTheme="majorHAnsi" w:cstheme="majorHAnsi"/>
          <w:color w:val="000000"/>
          <w:sz w:val="24"/>
          <w:szCs w:val="24"/>
          <w:lang w:val="ru-MD" w:eastAsia="ro-RO" w:bidi="ro-RO"/>
        </w:rPr>
        <w:t xml:space="preserve"> </w:t>
      </w:r>
      <w:r w:rsidR="00C77817" w:rsidRPr="00AB1020">
        <w:rPr>
          <w:rFonts w:asciiTheme="majorHAnsi" w:hAnsiTheme="majorHAnsi" w:cstheme="majorHAnsi"/>
          <w:color w:val="000000"/>
          <w:sz w:val="24"/>
          <w:szCs w:val="24"/>
          <w:lang w:val="ru-MD" w:eastAsia="ro-RO" w:bidi="ro-RO"/>
        </w:rPr>
        <w:t>мотивов</w:t>
      </w:r>
      <w:r w:rsidR="00181B29" w:rsidRPr="00AB1020">
        <w:rPr>
          <w:rFonts w:asciiTheme="majorHAnsi" w:hAnsiTheme="majorHAnsi" w:cstheme="majorHAnsi"/>
          <w:color w:val="000000"/>
          <w:sz w:val="24"/>
          <w:szCs w:val="24"/>
          <w:lang w:val="ru-MD" w:eastAsia="ro-RO" w:bidi="ro-RO"/>
        </w:rPr>
        <w:t>, что</w:t>
      </w:r>
      <w:r w:rsidR="00C77817" w:rsidRPr="00AB1020">
        <w:rPr>
          <w:rFonts w:asciiTheme="majorHAnsi" w:hAnsiTheme="majorHAnsi" w:cstheme="majorHAnsi"/>
          <w:color w:val="000000"/>
          <w:sz w:val="24"/>
          <w:szCs w:val="24"/>
          <w:lang w:val="ru-MD" w:eastAsia="ro-RO" w:bidi="ro-RO"/>
        </w:rPr>
        <w:t>,</w:t>
      </w:r>
      <w:r w:rsidR="00181B29" w:rsidRPr="00AB1020">
        <w:rPr>
          <w:rFonts w:asciiTheme="majorHAnsi" w:hAnsiTheme="majorHAnsi" w:cstheme="majorHAnsi"/>
          <w:color w:val="000000"/>
          <w:sz w:val="24"/>
          <w:szCs w:val="24"/>
          <w:lang w:val="ru-MD" w:eastAsia="ro-RO" w:bidi="ro-RO"/>
        </w:rPr>
        <w:t xml:space="preserve"> в конечном итоге</w:t>
      </w:r>
      <w:r w:rsidR="00C77817" w:rsidRPr="00AB1020">
        <w:rPr>
          <w:rFonts w:asciiTheme="majorHAnsi" w:hAnsiTheme="majorHAnsi" w:cstheme="majorHAnsi"/>
          <w:color w:val="000000"/>
          <w:sz w:val="24"/>
          <w:szCs w:val="24"/>
          <w:lang w:val="ru-MD" w:eastAsia="ro-RO" w:bidi="ro-RO"/>
        </w:rPr>
        <w:t>,</w:t>
      </w:r>
      <w:r w:rsidR="00181B29" w:rsidRPr="00AB1020">
        <w:rPr>
          <w:rFonts w:asciiTheme="majorHAnsi" w:hAnsiTheme="majorHAnsi" w:cstheme="majorHAnsi"/>
          <w:color w:val="000000"/>
          <w:sz w:val="24"/>
          <w:szCs w:val="24"/>
          <w:lang w:val="ru-MD" w:eastAsia="ro-RO" w:bidi="ro-RO"/>
        </w:rPr>
        <w:t xml:space="preserve"> привело к невозможности рассмотрения поданных заяв</w:t>
      </w:r>
      <w:r w:rsidR="00C77817" w:rsidRPr="00AB1020">
        <w:rPr>
          <w:rFonts w:asciiTheme="majorHAnsi" w:hAnsiTheme="majorHAnsi" w:cstheme="majorHAnsi"/>
          <w:color w:val="000000"/>
          <w:sz w:val="24"/>
          <w:szCs w:val="24"/>
          <w:lang w:val="ru-MD" w:eastAsia="ro-RO" w:bidi="ro-RO"/>
        </w:rPr>
        <w:t>ок</w:t>
      </w:r>
      <w:r w:rsidR="00181B29" w:rsidRPr="00AB1020">
        <w:rPr>
          <w:rFonts w:asciiTheme="majorHAnsi" w:hAnsiTheme="majorHAnsi" w:cstheme="majorHAnsi"/>
          <w:color w:val="000000"/>
          <w:sz w:val="24"/>
          <w:szCs w:val="24"/>
          <w:lang w:val="ru-MD" w:eastAsia="ro-RO" w:bidi="ro-RO"/>
        </w:rPr>
        <w:t>. В 2020 году ГНС приняла 1 112 решений о</w:t>
      </w:r>
      <w:r w:rsidR="00AB1020" w:rsidRPr="00AB1020">
        <w:rPr>
          <w:rFonts w:asciiTheme="majorHAnsi" w:hAnsiTheme="majorHAnsi" w:cstheme="majorHAnsi"/>
          <w:color w:val="000000"/>
          <w:sz w:val="24"/>
          <w:szCs w:val="24"/>
          <w:lang w:val="ru-MD" w:eastAsia="ro-RO" w:bidi="ro-RO"/>
        </w:rPr>
        <w:t>б одобрении</w:t>
      </w:r>
      <w:r w:rsidR="00181B29" w:rsidRPr="00AB1020">
        <w:rPr>
          <w:rFonts w:asciiTheme="majorHAnsi" w:hAnsiTheme="majorHAnsi" w:cstheme="majorHAnsi"/>
          <w:color w:val="000000"/>
          <w:sz w:val="24"/>
          <w:szCs w:val="24"/>
          <w:lang w:val="ru-MD" w:eastAsia="ro-RO" w:bidi="ro-RO"/>
        </w:rPr>
        <w:t xml:space="preserve"> возмещения НДС на сумму 195,6 млн. леев, для 694 налогоплательщиков, </w:t>
      </w:r>
      <w:r w:rsidR="00AB1020" w:rsidRPr="00AB1020">
        <w:rPr>
          <w:rFonts w:asciiTheme="majorHAnsi" w:hAnsiTheme="majorHAnsi" w:cstheme="majorHAnsi"/>
          <w:color w:val="000000"/>
          <w:sz w:val="24"/>
          <w:szCs w:val="24"/>
          <w:lang w:val="ru-MD" w:eastAsia="ro-RO" w:bidi="ro-RO"/>
        </w:rPr>
        <w:t>и</w:t>
      </w:r>
      <w:r w:rsidR="00181B29" w:rsidRPr="00AB1020">
        <w:rPr>
          <w:rFonts w:asciiTheme="majorHAnsi" w:hAnsiTheme="majorHAnsi" w:cstheme="majorHAnsi"/>
          <w:color w:val="000000"/>
          <w:sz w:val="24"/>
          <w:szCs w:val="24"/>
          <w:lang w:val="ru-MD" w:eastAsia="ro-RO" w:bidi="ro-RO"/>
        </w:rPr>
        <w:t xml:space="preserve"> составлен</w:t>
      </w:r>
      <w:r w:rsidR="00AB1020" w:rsidRPr="00AB1020">
        <w:rPr>
          <w:rFonts w:asciiTheme="majorHAnsi" w:hAnsiTheme="majorHAnsi" w:cstheme="majorHAnsi"/>
          <w:color w:val="000000"/>
          <w:sz w:val="24"/>
          <w:szCs w:val="24"/>
          <w:lang w:val="ru-MD" w:eastAsia="ro-RO" w:bidi="ro-RO"/>
        </w:rPr>
        <w:t>ы</w:t>
      </w:r>
      <w:r w:rsidR="00181B29" w:rsidRPr="00AB1020">
        <w:rPr>
          <w:rFonts w:asciiTheme="majorHAnsi" w:hAnsiTheme="majorHAnsi" w:cstheme="majorHAnsi"/>
          <w:color w:val="000000"/>
          <w:sz w:val="24"/>
          <w:szCs w:val="24"/>
          <w:lang w:val="ru-MD" w:eastAsia="ro-RO" w:bidi="ro-RO"/>
        </w:rPr>
        <w:t xml:space="preserve"> 1 095 платежных документов с исполнением в 2020 году, </w:t>
      </w:r>
      <w:r w:rsidR="00AB1020" w:rsidRPr="00AB1020">
        <w:rPr>
          <w:rFonts w:asciiTheme="majorHAnsi" w:hAnsiTheme="majorHAnsi" w:cstheme="majorHAnsi"/>
          <w:color w:val="000000"/>
          <w:sz w:val="24"/>
          <w:szCs w:val="24"/>
          <w:lang w:val="ru-MD" w:eastAsia="ro-RO" w:bidi="ro-RO"/>
        </w:rPr>
        <w:t>для выплаты возмещения</w:t>
      </w:r>
      <w:r w:rsidR="00181B29" w:rsidRPr="00AB1020">
        <w:rPr>
          <w:rFonts w:asciiTheme="majorHAnsi" w:hAnsiTheme="majorHAnsi" w:cstheme="majorHAnsi"/>
          <w:color w:val="000000"/>
          <w:sz w:val="24"/>
          <w:szCs w:val="24"/>
          <w:lang w:val="ru-MD" w:eastAsia="ro-RO" w:bidi="ro-RO"/>
        </w:rPr>
        <w:t xml:space="preserve"> на основе принятых решений. Следует отметить, что для 17 решений, принятых в 2020 году, платежные документы были составлены в январе 2021 года</w:t>
      </w:r>
      <w:r w:rsidR="006E2E6A" w:rsidRPr="00AB1020">
        <w:rPr>
          <w:rFonts w:asciiTheme="majorHAnsi" w:hAnsiTheme="majorHAnsi" w:cstheme="majorHAnsi"/>
          <w:color w:val="000000"/>
          <w:sz w:val="24"/>
          <w:szCs w:val="24"/>
          <w:lang w:val="ru-MD" w:eastAsia="ro-RO" w:bidi="ro-RO"/>
        </w:rPr>
        <w:t>.</w:t>
      </w:r>
    </w:p>
    <w:p w:rsidR="00B81A2C" w:rsidRPr="006E35E3" w:rsidRDefault="00181B29" w:rsidP="0045540A">
      <w:pPr>
        <w:spacing w:after="0" w:line="276" w:lineRule="auto"/>
        <w:rPr>
          <w:rFonts w:asciiTheme="majorHAnsi" w:hAnsiTheme="majorHAnsi" w:cstheme="majorHAnsi"/>
          <w:sz w:val="24"/>
          <w:szCs w:val="24"/>
          <w:lang w:val="ru-MD"/>
        </w:rPr>
      </w:pPr>
      <w:r w:rsidRPr="006E35E3">
        <w:rPr>
          <w:rFonts w:asciiTheme="majorHAnsi" w:hAnsiTheme="majorHAnsi" w:cstheme="majorHAnsi"/>
          <w:sz w:val="24"/>
          <w:szCs w:val="24"/>
          <w:lang w:val="ru-MD"/>
        </w:rPr>
        <w:t xml:space="preserve">МФ, по состоянию на 31.12.2020, </w:t>
      </w:r>
      <w:r w:rsidR="00DA2D67" w:rsidRPr="006E35E3">
        <w:rPr>
          <w:rFonts w:asciiTheme="majorHAnsi" w:hAnsiTheme="majorHAnsi" w:cstheme="majorHAnsi"/>
          <w:sz w:val="24"/>
          <w:szCs w:val="24"/>
          <w:lang w:val="ru-MD"/>
        </w:rPr>
        <w:t xml:space="preserve">отразило </w:t>
      </w:r>
      <w:r w:rsidR="006E35E3">
        <w:rPr>
          <w:rFonts w:asciiTheme="majorHAnsi" w:hAnsiTheme="majorHAnsi" w:cstheme="majorHAnsi"/>
          <w:sz w:val="24"/>
          <w:szCs w:val="24"/>
          <w:lang w:val="ru-MD"/>
        </w:rPr>
        <w:t xml:space="preserve">в отчетности </w:t>
      </w:r>
      <w:r w:rsidRPr="006E35E3">
        <w:rPr>
          <w:rFonts w:asciiTheme="majorHAnsi" w:hAnsiTheme="majorHAnsi" w:cstheme="majorHAnsi"/>
          <w:sz w:val="24"/>
          <w:szCs w:val="24"/>
          <w:lang w:val="ru-MD"/>
        </w:rPr>
        <w:t>возмещени</w:t>
      </w:r>
      <w:r w:rsidR="00DA2D67" w:rsidRPr="006E35E3">
        <w:rPr>
          <w:rFonts w:asciiTheme="majorHAnsi" w:hAnsiTheme="majorHAnsi" w:cstheme="majorHAnsi"/>
          <w:sz w:val="24"/>
          <w:szCs w:val="24"/>
          <w:lang w:val="ru-MD"/>
        </w:rPr>
        <w:t>е</w:t>
      </w:r>
      <w:r w:rsidRPr="006E35E3">
        <w:rPr>
          <w:rFonts w:asciiTheme="majorHAnsi" w:hAnsiTheme="majorHAnsi" w:cstheme="majorHAnsi"/>
          <w:sz w:val="24"/>
          <w:szCs w:val="24"/>
          <w:lang w:val="ru-MD"/>
        </w:rPr>
        <w:t xml:space="preserve"> НДС в размере 194,1 млн. леев, хотя были исполнены платежные поручения, </w:t>
      </w:r>
      <w:r w:rsidR="00DA2D67" w:rsidRPr="006E35E3">
        <w:rPr>
          <w:rFonts w:asciiTheme="majorHAnsi" w:hAnsiTheme="majorHAnsi" w:cstheme="majorHAnsi"/>
          <w:sz w:val="24"/>
          <w:szCs w:val="24"/>
          <w:lang w:val="ru-MD"/>
        </w:rPr>
        <w:t>направле</w:t>
      </w:r>
      <w:r w:rsidRPr="006E35E3">
        <w:rPr>
          <w:rFonts w:asciiTheme="majorHAnsi" w:hAnsiTheme="majorHAnsi" w:cstheme="majorHAnsi"/>
          <w:sz w:val="24"/>
          <w:szCs w:val="24"/>
          <w:lang w:val="ru-MD"/>
        </w:rPr>
        <w:t>нные ГНС в МФ</w:t>
      </w:r>
      <w:r w:rsidR="00DA2D67" w:rsidRPr="006E35E3">
        <w:rPr>
          <w:rFonts w:asciiTheme="majorHAnsi" w:hAnsiTheme="majorHAnsi" w:cstheme="majorHAnsi"/>
          <w:sz w:val="24"/>
          <w:szCs w:val="24"/>
          <w:lang w:val="ru-MD"/>
        </w:rPr>
        <w:t>,</w:t>
      </w:r>
      <w:r w:rsidRPr="006E35E3">
        <w:rPr>
          <w:rFonts w:asciiTheme="majorHAnsi" w:hAnsiTheme="majorHAnsi" w:cstheme="majorHAnsi"/>
          <w:sz w:val="24"/>
          <w:szCs w:val="24"/>
          <w:lang w:val="ru-MD"/>
        </w:rPr>
        <w:t xml:space="preserve"> на сумму 190,8 млн. леев. В результате аудиторских проверок были выявлены расхождения в сумме 3,3 млн. леев между данными, </w:t>
      </w:r>
      <w:r w:rsidR="00DA2D67" w:rsidRPr="006E35E3">
        <w:rPr>
          <w:rFonts w:asciiTheme="majorHAnsi" w:hAnsiTheme="majorHAnsi" w:cstheme="majorHAnsi"/>
          <w:sz w:val="24"/>
          <w:szCs w:val="24"/>
          <w:lang w:val="ru-MD"/>
        </w:rPr>
        <w:t>отраж</w:t>
      </w:r>
      <w:r w:rsidRPr="006E35E3">
        <w:rPr>
          <w:rFonts w:asciiTheme="majorHAnsi" w:hAnsiTheme="majorHAnsi" w:cstheme="majorHAnsi"/>
          <w:sz w:val="24"/>
          <w:szCs w:val="24"/>
          <w:lang w:val="ru-MD"/>
        </w:rPr>
        <w:t xml:space="preserve">енными </w:t>
      </w:r>
      <w:r w:rsidR="00DA2D67" w:rsidRPr="006E35E3">
        <w:rPr>
          <w:rFonts w:asciiTheme="majorHAnsi" w:hAnsiTheme="majorHAnsi" w:cstheme="majorHAnsi"/>
          <w:sz w:val="24"/>
          <w:szCs w:val="24"/>
          <w:lang w:val="ru-MD"/>
        </w:rPr>
        <w:t>МФ</w:t>
      </w:r>
      <w:r w:rsidRPr="006E35E3">
        <w:rPr>
          <w:rFonts w:asciiTheme="majorHAnsi" w:hAnsiTheme="majorHAnsi" w:cstheme="majorHAnsi"/>
          <w:sz w:val="24"/>
          <w:szCs w:val="24"/>
          <w:lang w:val="ru-MD"/>
        </w:rPr>
        <w:t xml:space="preserve">, и данными, представленными ГНС. МФ </w:t>
      </w:r>
      <w:r w:rsidR="00DA2D67" w:rsidRPr="006E35E3">
        <w:rPr>
          <w:rFonts w:asciiTheme="majorHAnsi" w:hAnsiTheme="majorHAnsi" w:cstheme="majorHAnsi"/>
          <w:sz w:val="24"/>
          <w:szCs w:val="24"/>
          <w:lang w:val="ru-MD"/>
        </w:rPr>
        <w:t>объяснило</w:t>
      </w:r>
      <w:r w:rsidRPr="006E35E3">
        <w:rPr>
          <w:rFonts w:asciiTheme="majorHAnsi" w:hAnsiTheme="majorHAnsi" w:cstheme="majorHAnsi"/>
          <w:sz w:val="24"/>
          <w:szCs w:val="24"/>
          <w:lang w:val="ru-MD"/>
        </w:rPr>
        <w:t xml:space="preserve">, что </w:t>
      </w:r>
      <w:r w:rsidR="00DA2D67" w:rsidRPr="006E35E3">
        <w:rPr>
          <w:rFonts w:asciiTheme="majorHAnsi" w:hAnsiTheme="majorHAnsi" w:cstheme="majorHAnsi"/>
          <w:sz w:val="24"/>
          <w:szCs w:val="24"/>
          <w:lang w:val="ru-MD"/>
        </w:rPr>
        <w:t>сумма (194,1 млн. леев), отраж</w:t>
      </w:r>
      <w:r w:rsidRPr="006E35E3">
        <w:rPr>
          <w:rFonts w:asciiTheme="majorHAnsi" w:hAnsiTheme="majorHAnsi" w:cstheme="majorHAnsi"/>
          <w:sz w:val="24"/>
          <w:szCs w:val="24"/>
          <w:lang w:val="ru-MD"/>
        </w:rPr>
        <w:t xml:space="preserve">енная в </w:t>
      </w:r>
      <w:r w:rsidR="00DA2D67" w:rsidRPr="006E35E3">
        <w:rPr>
          <w:rFonts w:asciiTheme="majorHAnsi" w:hAnsiTheme="majorHAnsi" w:cstheme="majorHAnsi"/>
          <w:sz w:val="24"/>
          <w:szCs w:val="24"/>
          <w:lang w:val="ru-MD"/>
        </w:rPr>
        <w:t>О</w:t>
      </w:r>
      <w:r w:rsidRPr="006E35E3">
        <w:rPr>
          <w:rFonts w:asciiTheme="majorHAnsi" w:hAnsiTheme="majorHAnsi" w:cstheme="majorHAnsi"/>
          <w:sz w:val="24"/>
          <w:szCs w:val="24"/>
          <w:lang w:val="ru-MD"/>
        </w:rPr>
        <w:t xml:space="preserve">тчете об исполнении </w:t>
      </w:r>
      <w:r w:rsidR="0020208A" w:rsidRPr="006E35E3">
        <w:rPr>
          <w:rFonts w:asciiTheme="majorHAnsi" w:hAnsiTheme="majorHAnsi" w:cstheme="majorHAnsi"/>
          <w:sz w:val="24"/>
          <w:szCs w:val="24"/>
          <w:lang w:val="ru-MD"/>
        </w:rPr>
        <w:t>ГБ</w:t>
      </w:r>
      <w:r w:rsidR="00DA2D67" w:rsidRPr="006E35E3">
        <w:rPr>
          <w:rFonts w:asciiTheme="majorHAnsi" w:hAnsiTheme="majorHAnsi" w:cstheme="majorHAnsi"/>
          <w:sz w:val="24"/>
          <w:szCs w:val="24"/>
          <w:lang w:val="ru-MD"/>
        </w:rPr>
        <w:t>,</w:t>
      </w:r>
      <w:r w:rsidRPr="006E35E3">
        <w:rPr>
          <w:rFonts w:asciiTheme="majorHAnsi" w:hAnsiTheme="majorHAnsi" w:cstheme="majorHAnsi"/>
          <w:sz w:val="24"/>
          <w:szCs w:val="24"/>
          <w:lang w:val="ru-MD"/>
        </w:rPr>
        <w:t xml:space="preserve"> был</w:t>
      </w:r>
      <w:r w:rsidR="00DA2D67" w:rsidRPr="006E35E3">
        <w:rPr>
          <w:rFonts w:asciiTheme="majorHAnsi" w:hAnsiTheme="majorHAnsi" w:cstheme="majorHAnsi"/>
          <w:sz w:val="24"/>
          <w:szCs w:val="24"/>
          <w:lang w:val="ru-MD"/>
        </w:rPr>
        <w:t>а</w:t>
      </w:r>
      <w:r w:rsidRPr="006E35E3">
        <w:rPr>
          <w:rFonts w:asciiTheme="majorHAnsi" w:hAnsiTheme="majorHAnsi" w:cstheme="majorHAnsi"/>
          <w:sz w:val="24"/>
          <w:szCs w:val="24"/>
          <w:lang w:val="ru-MD"/>
        </w:rPr>
        <w:t xml:space="preserve"> включен</w:t>
      </w:r>
      <w:r w:rsidR="00DA2D67" w:rsidRPr="006E35E3">
        <w:rPr>
          <w:rFonts w:asciiTheme="majorHAnsi" w:hAnsiTheme="majorHAnsi" w:cstheme="majorHAnsi"/>
          <w:sz w:val="24"/>
          <w:szCs w:val="24"/>
          <w:lang w:val="ru-MD"/>
        </w:rPr>
        <w:t>а</w:t>
      </w:r>
      <w:r w:rsidRPr="006E35E3">
        <w:rPr>
          <w:rFonts w:asciiTheme="majorHAnsi" w:hAnsiTheme="majorHAnsi" w:cstheme="majorHAnsi"/>
          <w:sz w:val="24"/>
          <w:szCs w:val="24"/>
          <w:lang w:val="ru-MD"/>
        </w:rPr>
        <w:t xml:space="preserve"> на основе оперативной информации</w:t>
      </w:r>
      <w:r w:rsidR="00A60232" w:rsidRPr="006E35E3">
        <w:rPr>
          <w:rFonts w:asciiTheme="majorHAnsi" w:hAnsiTheme="majorHAnsi" w:cstheme="majorHAnsi"/>
          <w:sz w:val="24"/>
          <w:szCs w:val="24"/>
          <w:lang w:val="ru-MD"/>
        </w:rPr>
        <w:t>.</w:t>
      </w:r>
    </w:p>
    <w:p w:rsidR="00A60232" w:rsidRPr="00F55BA6" w:rsidRDefault="00A60232" w:rsidP="0045540A">
      <w:pPr>
        <w:spacing w:after="0" w:line="276" w:lineRule="auto"/>
        <w:rPr>
          <w:rFonts w:asciiTheme="majorHAnsi" w:hAnsiTheme="majorHAnsi" w:cstheme="majorHAnsi"/>
          <w:sz w:val="24"/>
          <w:szCs w:val="24"/>
          <w:lang w:val="ro-RO"/>
        </w:rPr>
      </w:pPr>
    </w:p>
    <w:p w:rsidR="00364AFF" w:rsidRPr="001E2425" w:rsidRDefault="001E2425" w:rsidP="00364AFF">
      <w:pPr>
        <w:numPr>
          <w:ilvl w:val="0"/>
          <w:numId w:val="1"/>
        </w:numPr>
        <w:tabs>
          <w:tab w:val="left" w:pos="426"/>
        </w:tabs>
        <w:spacing w:after="0" w:line="276" w:lineRule="auto"/>
        <w:ind w:left="0" w:firstLine="0"/>
        <w:contextualSpacing/>
        <w:jc w:val="left"/>
        <w:outlineLvl w:val="0"/>
        <w:rPr>
          <w:rFonts w:asciiTheme="majorHAnsi" w:hAnsiTheme="majorHAnsi" w:cstheme="majorHAnsi"/>
          <w:b/>
          <w:szCs w:val="28"/>
          <w:lang w:val="ro-RO"/>
        </w:rPr>
      </w:pPr>
      <w:r>
        <w:rPr>
          <w:rFonts w:asciiTheme="majorHAnsi" w:hAnsiTheme="majorHAnsi" w:cstheme="majorHAnsi"/>
          <w:b/>
          <w:szCs w:val="28"/>
          <w:lang w:val="ru-RU"/>
        </w:rPr>
        <w:t>НАДЛЕЖАЩЕЕ УПРАВЛЕНИЕ</w:t>
      </w:r>
    </w:p>
    <w:p w:rsidR="00C77062" w:rsidRPr="004B1474" w:rsidRDefault="00C77062" w:rsidP="00C77062">
      <w:pPr>
        <w:tabs>
          <w:tab w:val="left" w:pos="426"/>
        </w:tabs>
        <w:spacing w:after="0" w:line="276" w:lineRule="auto"/>
        <w:contextualSpacing/>
        <w:jc w:val="left"/>
        <w:outlineLvl w:val="0"/>
        <w:rPr>
          <w:rFonts w:asciiTheme="majorHAnsi" w:hAnsiTheme="majorHAnsi" w:cstheme="majorHAnsi"/>
          <w:b/>
          <w:szCs w:val="28"/>
          <w:lang w:val="ru-MD"/>
        </w:rPr>
      </w:pPr>
      <w:r w:rsidRPr="00F55BA6">
        <w:rPr>
          <w:rFonts w:asciiTheme="majorHAnsi" w:hAnsiTheme="majorHAnsi" w:cstheme="majorHAnsi"/>
          <w:b/>
          <w:sz w:val="24"/>
          <w:szCs w:val="24"/>
          <w:lang w:val="ro-RO"/>
        </w:rPr>
        <w:lastRenderedPageBreak/>
        <w:t xml:space="preserve">6.1. </w:t>
      </w:r>
      <w:r w:rsidR="00233BCC" w:rsidRPr="004B1474">
        <w:rPr>
          <w:rFonts w:asciiTheme="majorHAnsi" w:hAnsiTheme="majorHAnsi" w:cstheme="majorHAnsi"/>
          <w:b/>
          <w:sz w:val="24"/>
          <w:szCs w:val="24"/>
          <w:lang w:val="ru-MD"/>
        </w:rPr>
        <w:t>Организация, внедрение, оценка и отчетность системы внутреннего контроля</w:t>
      </w:r>
    </w:p>
    <w:p w:rsidR="006412F2" w:rsidRPr="004B1474" w:rsidRDefault="00233BCC" w:rsidP="00813A1C">
      <w:pPr>
        <w:spacing w:after="0" w:line="276" w:lineRule="auto"/>
        <w:rPr>
          <w:rFonts w:asciiTheme="majorHAnsi" w:hAnsiTheme="majorHAnsi" w:cstheme="majorHAnsi"/>
          <w:sz w:val="24"/>
          <w:szCs w:val="24"/>
          <w:lang w:val="ru-MD"/>
        </w:rPr>
      </w:pPr>
      <w:r w:rsidRPr="004B1474">
        <w:rPr>
          <w:rFonts w:ascii="Calibri Light" w:hAnsi="Calibri Light" w:cstheme="majorHAnsi"/>
          <w:sz w:val="24"/>
          <w:szCs w:val="24"/>
          <w:lang w:val="ru-MD"/>
        </w:rPr>
        <w:t>Согласно Закону №229 от 23.09.2010</w:t>
      </w:r>
      <w:r w:rsidRPr="004B1474">
        <w:rPr>
          <w:rFonts w:ascii="Calibri Light" w:hAnsi="Calibri Light" w:cstheme="majorHAnsi"/>
          <w:sz w:val="24"/>
          <w:szCs w:val="24"/>
          <w:vertAlign w:val="superscript"/>
          <w:lang w:val="ru-MD"/>
        </w:rPr>
        <w:footnoteReference w:id="19"/>
      </w:r>
      <w:r w:rsidRPr="004B1474">
        <w:rPr>
          <w:rFonts w:ascii="Calibri Light" w:hAnsi="Calibri Light" w:cstheme="majorHAnsi"/>
          <w:sz w:val="24"/>
          <w:szCs w:val="24"/>
          <w:lang w:val="ru-MD"/>
        </w:rPr>
        <w:t xml:space="preserve">, для продвижения надлежащего управления публичными субъектами внедряется государственный внутренний финансовый контроль, который включает: внутренний управленческий контроль, внутренний аудит, ответственными </w:t>
      </w:r>
      <w:r w:rsidR="004E3225" w:rsidRPr="004B1474">
        <w:rPr>
          <w:rFonts w:ascii="Calibri Light" w:hAnsi="Calibri Light" w:cstheme="majorHAnsi"/>
          <w:sz w:val="24"/>
          <w:szCs w:val="24"/>
          <w:lang w:val="ru-MD"/>
        </w:rPr>
        <w:t xml:space="preserve">за это </w:t>
      </w:r>
      <w:r w:rsidRPr="004B1474">
        <w:rPr>
          <w:rFonts w:ascii="Calibri Light" w:hAnsi="Calibri Light" w:cstheme="majorHAnsi"/>
          <w:sz w:val="24"/>
          <w:szCs w:val="24"/>
          <w:lang w:val="ru-MD"/>
        </w:rPr>
        <w:t xml:space="preserve">являются менеджеры публичных субъектов, а также </w:t>
      </w:r>
      <w:r w:rsidR="004E3225" w:rsidRPr="004B1474">
        <w:rPr>
          <w:rFonts w:ascii="Calibri Light" w:hAnsi="Calibri Light" w:cstheme="majorHAnsi"/>
          <w:sz w:val="24"/>
          <w:szCs w:val="24"/>
          <w:lang w:val="ru-MD"/>
        </w:rPr>
        <w:t xml:space="preserve">централизованную </w:t>
      </w:r>
      <w:r w:rsidRPr="004B1474">
        <w:rPr>
          <w:rFonts w:ascii="Calibri Light" w:hAnsi="Calibri Light" w:cstheme="majorHAnsi"/>
          <w:sz w:val="24"/>
          <w:szCs w:val="24"/>
          <w:lang w:val="ru-MD"/>
        </w:rPr>
        <w:t>координаци</w:t>
      </w:r>
      <w:r w:rsidR="004E3225" w:rsidRPr="004B1474">
        <w:rPr>
          <w:rFonts w:ascii="Calibri Light" w:hAnsi="Calibri Light" w:cstheme="majorHAnsi"/>
          <w:sz w:val="24"/>
          <w:szCs w:val="24"/>
          <w:lang w:val="ru-MD"/>
        </w:rPr>
        <w:t>ю</w:t>
      </w:r>
      <w:r w:rsidRPr="004B1474">
        <w:rPr>
          <w:rFonts w:ascii="Calibri Light" w:hAnsi="Calibri Light" w:cstheme="majorHAnsi"/>
          <w:sz w:val="24"/>
          <w:szCs w:val="24"/>
          <w:lang w:val="ru-MD"/>
        </w:rPr>
        <w:t xml:space="preserve"> и гармонизаци</w:t>
      </w:r>
      <w:r w:rsidR="004E3225" w:rsidRPr="004B1474">
        <w:rPr>
          <w:rFonts w:ascii="Calibri Light" w:hAnsi="Calibri Light" w:cstheme="majorHAnsi"/>
          <w:sz w:val="24"/>
          <w:szCs w:val="24"/>
          <w:lang w:val="ru-MD"/>
        </w:rPr>
        <w:t>ю</w:t>
      </w:r>
      <w:r w:rsidRPr="004B1474">
        <w:rPr>
          <w:rFonts w:ascii="Calibri Light" w:hAnsi="Calibri Light" w:cstheme="majorHAnsi"/>
          <w:sz w:val="24"/>
          <w:szCs w:val="24"/>
          <w:lang w:val="ru-MD"/>
        </w:rPr>
        <w:t xml:space="preserve">, </w:t>
      </w:r>
      <w:r w:rsidR="004E3225" w:rsidRPr="004B1474">
        <w:rPr>
          <w:rFonts w:ascii="Calibri Light" w:hAnsi="Calibri Light" w:cstheme="majorHAnsi"/>
          <w:sz w:val="24"/>
          <w:szCs w:val="24"/>
          <w:lang w:val="ru-MD"/>
        </w:rPr>
        <w:t>осуществляемую</w:t>
      </w:r>
      <w:r w:rsidRPr="004B1474">
        <w:rPr>
          <w:rFonts w:ascii="Calibri Light" w:hAnsi="Calibri Light" w:cstheme="majorHAnsi"/>
          <w:sz w:val="24"/>
          <w:szCs w:val="24"/>
          <w:lang w:val="ru-MD"/>
        </w:rPr>
        <w:t xml:space="preserve"> МФ</w:t>
      </w:r>
      <w:r w:rsidR="00813A1C" w:rsidRPr="004B1474">
        <w:rPr>
          <w:rFonts w:asciiTheme="majorHAnsi" w:eastAsia="Times New Roman" w:hAnsiTheme="majorHAnsi" w:cstheme="majorHAnsi"/>
          <w:sz w:val="24"/>
          <w:szCs w:val="24"/>
          <w:lang w:val="ru-MD"/>
        </w:rPr>
        <w:t xml:space="preserve">. </w:t>
      </w:r>
      <w:r w:rsidR="004E3225" w:rsidRPr="004B1474">
        <w:rPr>
          <w:rFonts w:asciiTheme="majorHAnsi" w:eastAsia="Times New Roman" w:hAnsiTheme="majorHAnsi" w:cstheme="majorHAnsi"/>
          <w:sz w:val="24"/>
          <w:szCs w:val="24"/>
          <w:lang w:val="ru-MD"/>
        </w:rPr>
        <w:t xml:space="preserve">Согласно Декларации об управленческой ответственности, исходя из результатов самооценки, система внутреннего управленческого контроля МФ частично соответствует Национальным стандартам внутреннего контроля в </w:t>
      </w:r>
      <w:r w:rsidR="004B1474">
        <w:rPr>
          <w:rFonts w:asciiTheme="majorHAnsi" w:eastAsia="Times New Roman" w:hAnsiTheme="majorHAnsi" w:cstheme="majorHAnsi"/>
          <w:sz w:val="24"/>
          <w:szCs w:val="24"/>
          <w:lang w:val="ru-MD"/>
        </w:rPr>
        <w:t>публич</w:t>
      </w:r>
      <w:r w:rsidR="004E3225" w:rsidRPr="004B1474">
        <w:rPr>
          <w:rFonts w:asciiTheme="majorHAnsi" w:eastAsia="Times New Roman" w:hAnsiTheme="majorHAnsi" w:cstheme="majorHAnsi"/>
          <w:sz w:val="24"/>
          <w:szCs w:val="24"/>
          <w:lang w:val="ru-MD"/>
        </w:rPr>
        <w:t xml:space="preserve">ном секторе. Таким образом, на основании результатов самооценки ВУК, проведенной МФ, и констатаций аудита в результате тестирования внутренних контролей, подтверждается, что организация и функционирование системы внутреннего управленческого контроля </w:t>
      </w:r>
      <w:r w:rsidR="004E3225" w:rsidRPr="004B1474">
        <w:rPr>
          <w:rFonts w:asciiTheme="majorHAnsi" w:eastAsia="Times New Roman" w:hAnsiTheme="majorHAnsi" w:cstheme="majorHAnsi"/>
          <w:i/>
          <w:sz w:val="24"/>
          <w:szCs w:val="24"/>
          <w:lang w:val="ru-MD"/>
        </w:rPr>
        <w:t>позволяет обеспечить разумную уверенность, но с резервами</w:t>
      </w:r>
      <w:r w:rsidR="004B1474" w:rsidRPr="004B1474">
        <w:rPr>
          <w:rFonts w:asciiTheme="majorHAnsi" w:eastAsia="Times New Roman" w:hAnsiTheme="majorHAnsi" w:cstheme="majorHAnsi"/>
          <w:i/>
          <w:sz w:val="24"/>
          <w:szCs w:val="24"/>
          <w:lang w:val="ru-MD"/>
        </w:rPr>
        <w:t xml:space="preserve"> в отношении</w:t>
      </w:r>
      <w:r w:rsidR="004E3225" w:rsidRPr="004B1474">
        <w:rPr>
          <w:rFonts w:asciiTheme="majorHAnsi" w:eastAsia="Times New Roman" w:hAnsiTheme="majorHAnsi" w:cstheme="majorHAnsi"/>
          <w:sz w:val="24"/>
          <w:szCs w:val="24"/>
          <w:lang w:val="ru-MD"/>
        </w:rPr>
        <w:t>: ведени</w:t>
      </w:r>
      <w:r w:rsidR="004B1474" w:rsidRPr="004B1474">
        <w:rPr>
          <w:rFonts w:asciiTheme="majorHAnsi" w:eastAsia="Times New Roman" w:hAnsiTheme="majorHAnsi" w:cstheme="majorHAnsi"/>
          <w:sz w:val="24"/>
          <w:szCs w:val="24"/>
          <w:lang w:val="ru-MD"/>
        </w:rPr>
        <w:t>я</w:t>
      </w:r>
      <w:r w:rsidR="004E3225" w:rsidRPr="004B1474">
        <w:rPr>
          <w:rFonts w:asciiTheme="majorHAnsi" w:eastAsia="Times New Roman" w:hAnsiTheme="majorHAnsi" w:cstheme="majorHAnsi"/>
          <w:sz w:val="24"/>
          <w:szCs w:val="24"/>
          <w:lang w:val="ru-MD"/>
        </w:rPr>
        <w:t xml:space="preserve"> бухгалтерского учета кассового исполнения средств </w:t>
      </w:r>
      <w:r w:rsidR="004B1474" w:rsidRPr="004B1474">
        <w:rPr>
          <w:rFonts w:asciiTheme="majorHAnsi" w:eastAsia="Times New Roman" w:hAnsiTheme="majorHAnsi" w:cstheme="majorHAnsi"/>
          <w:sz w:val="24"/>
          <w:szCs w:val="24"/>
          <w:lang w:val="ru-MD"/>
        </w:rPr>
        <w:t>ГБ</w:t>
      </w:r>
      <w:r w:rsidR="004E3225" w:rsidRPr="004B1474">
        <w:rPr>
          <w:rFonts w:asciiTheme="majorHAnsi" w:eastAsia="Times New Roman" w:hAnsiTheme="majorHAnsi" w:cstheme="majorHAnsi"/>
          <w:sz w:val="24"/>
          <w:szCs w:val="24"/>
          <w:lang w:val="ru-MD"/>
        </w:rPr>
        <w:t>, исполнени</w:t>
      </w:r>
      <w:r w:rsidR="004B1474" w:rsidRPr="004B1474">
        <w:rPr>
          <w:rFonts w:asciiTheme="majorHAnsi" w:eastAsia="Times New Roman" w:hAnsiTheme="majorHAnsi" w:cstheme="majorHAnsi"/>
          <w:sz w:val="24"/>
          <w:szCs w:val="24"/>
          <w:lang w:val="ru-MD"/>
        </w:rPr>
        <w:t>я</w:t>
      </w:r>
      <w:r w:rsidR="004E3225" w:rsidRPr="004B1474">
        <w:rPr>
          <w:rFonts w:asciiTheme="majorHAnsi" w:eastAsia="Times New Roman" w:hAnsiTheme="majorHAnsi" w:cstheme="majorHAnsi"/>
          <w:sz w:val="24"/>
          <w:szCs w:val="24"/>
          <w:lang w:val="ru-MD"/>
        </w:rPr>
        <w:t xml:space="preserve"> инвестиционных расходов, исполнени</w:t>
      </w:r>
      <w:r w:rsidR="004B1474" w:rsidRPr="004B1474">
        <w:rPr>
          <w:rFonts w:asciiTheme="majorHAnsi" w:eastAsia="Times New Roman" w:hAnsiTheme="majorHAnsi" w:cstheme="majorHAnsi"/>
          <w:sz w:val="24"/>
          <w:szCs w:val="24"/>
          <w:lang w:val="ru-MD"/>
        </w:rPr>
        <w:t>я</w:t>
      </w:r>
      <w:r w:rsidR="004E3225" w:rsidRPr="004B1474">
        <w:rPr>
          <w:rFonts w:asciiTheme="majorHAnsi" w:eastAsia="Times New Roman" w:hAnsiTheme="majorHAnsi" w:cstheme="majorHAnsi"/>
          <w:sz w:val="24"/>
          <w:szCs w:val="24"/>
          <w:lang w:val="ru-MD"/>
        </w:rPr>
        <w:t xml:space="preserve"> субсидий </w:t>
      </w:r>
      <w:r w:rsidR="004B1474" w:rsidRPr="004B1474">
        <w:rPr>
          <w:rFonts w:asciiTheme="majorHAnsi" w:eastAsia="Times New Roman" w:hAnsiTheme="majorHAnsi" w:cstheme="majorHAnsi"/>
          <w:sz w:val="24"/>
          <w:szCs w:val="24"/>
          <w:lang w:val="ru-MD"/>
        </w:rPr>
        <w:t>из ГБ</w:t>
      </w:r>
      <w:r w:rsidR="004E3225" w:rsidRPr="004B1474">
        <w:rPr>
          <w:rFonts w:asciiTheme="majorHAnsi" w:eastAsia="Times New Roman" w:hAnsiTheme="majorHAnsi" w:cstheme="majorHAnsi"/>
          <w:sz w:val="24"/>
          <w:szCs w:val="24"/>
          <w:lang w:val="ru-MD"/>
        </w:rPr>
        <w:t xml:space="preserve"> и други</w:t>
      </w:r>
      <w:r w:rsidR="004B1474" w:rsidRPr="004B1474">
        <w:rPr>
          <w:rFonts w:asciiTheme="majorHAnsi" w:eastAsia="Times New Roman" w:hAnsiTheme="majorHAnsi" w:cstheme="majorHAnsi"/>
          <w:sz w:val="24"/>
          <w:szCs w:val="24"/>
          <w:lang w:val="ru-MD"/>
        </w:rPr>
        <w:t>х</w:t>
      </w:r>
      <w:r w:rsidR="004E3225" w:rsidRPr="004B1474">
        <w:rPr>
          <w:rFonts w:asciiTheme="majorHAnsi" w:eastAsia="Times New Roman" w:hAnsiTheme="majorHAnsi" w:cstheme="majorHAnsi"/>
          <w:sz w:val="24"/>
          <w:szCs w:val="24"/>
          <w:lang w:val="ru-MD"/>
        </w:rPr>
        <w:t xml:space="preserve"> аспект</w:t>
      </w:r>
      <w:r w:rsidR="004B1474" w:rsidRPr="004B1474">
        <w:rPr>
          <w:rFonts w:asciiTheme="majorHAnsi" w:eastAsia="Times New Roman" w:hAnsiTheme="majorHAnsi" w:cstheme="majorHAnsi"/>
          <w:sz w:val="24"/>
          <w:szCs w:val="24"/>
          <w:lang w:val="ru-MD"/>
        </w:rPr>
        <w:t>ов</w:t>
      </w:r>
      <w:r w:rsidR="004E3225" w:rsidRPr="004B1474">
        <w:rPr>
          <w:rFonts w:asciiTheme="majorHAnsi" w:eastAsia="Times New Roman" w:hAnsiTheme="majorHAnsi" w:cstheme="majorHAnsi"/>
          <w:sz w:val="24"/>
          <w:szCs w:val="24"/>
          <w:lang w:val="ru-MD"/>
        </w:rPr>
        <w:t xml:space="preserve">, </w:t>
      </w:r>
      <w:r w:rsidR="004B1474" w:rsidRPr="004B1474">
        <w:rPr>
          <w:rFonts w:asciiTheme="majorHAnsi" w:eastAsia="Times New Roman" w:hAnsiTheme="majorHAnsi" w:cstheme="majorHAnsi"/>
          <w:sz w:val="24"/>
          <w:szCs w:val="24"/>
          <w:lang w:val="ru-MD"/>
        </w:rPr>
        <w:t>изложенных</w:t>
      </w:r>
      <w:r w:rsidR="004E3225" w:rsidRPr="004B1474">
        <w:rPr>
          <w:rFonts w:asciiTheme="majorHAnsi" w:eastAsia="Times New Roman" w:hAnsiTheme="majorHAnsi" w:cstheme="majorHAnsi"/>
          <w:sz w:val="24"/>
          <w:szCs w:val="24"/>
          <w:lang w:val="ru-MD"/>
        </w:rPr>
        <w:t xml:space="preserve"> в </w:t>
      </w:r>
      <w:r w:rsidR="004B1474" w:rsidRPr="004B1474">
        <w:rPr>
          <w:rFonts w:asciiTheme="majorHAnsi" w:eastAsia="Times New Roman" w:hAnsiTheme="majorHAnsi" w:cstheme="majorHAnsi"/>
          <w:sz w:val="24"/>
          <w:szCs w:val="24"/>
          <w:lang w:val="ru-MD"/>
        </w:rPr>
        <w:t>О</w:t>
      </w:r>
      <w:r w:rsidR="004E3225" w:rsidRPr="004B1474">
        <w:rPr>
          <w:rFonts w:asciiTheme="majorHAnsi" w:eastAsia="Times New Roman" w:hAnsiTheme="majorHAnsi" w:cstheme="majorHAnsi"/>
          <w:sz w:val="24"/>
          <w:szCs w:val="24"/>
          <w:lang w:val="ru-MD"/>
        </w:rPr>
        <w:t xml:space="preserve">тчете аудита. </w:t>
      </w:r>
      <w:r w:rsidR="004E3225" w:rsidRPr="004B1474">
        <w:rPr>
          <w:rFonts w:asciiTheme="majorHAnsi" w:hAnsiTheme="majorHAnsi" w:cstheme="majorHAnsi"/>
          <w:sz w:val="24"/>
          <w:szCs w:val="24"/>
          <w:lang w:val="ru-MD"/>
        </w:rPr>
        <w:t xml:space="preserve">Отмечается, что Управление Государственного </w:t>
      </w:r>
      <w:r w:rsidR="004B1474" w:rsidRPr="004B1474">
        <w:rPr>
          <w:rFonts w:asciiTheme="majorHAnsi" w:hAnsiTheme="majorHAnsi" w:cstheme="majorHAnsi"/>
          <w:sz w:val="24"/>
          <w:szCs w:val="24"/>
          <w:lang w:val="ru-MD"/>
        </w:rPr>
        <w:t>к</w:t>
      </w:r>
      <w:r w:rsidR="004E3225" w:rsidRPr="004B1474">
        <w:rPr>
          <w:rFonts w:asciiTheme="majorHAnsi" w:hAnsiTheme="majorHAnsi" w:cstheme="majorHAnsi"/>
          <w:sz w:val="24"/>
          <w:szCs w:val="24"/>
          <w:lang w:val="ru-MD"/>
        </w:rPr>
        <w:t xml:space="preserve">азначейства не описало все выявленные операционные процессы, касающиеся бухгалтерского учета </w:t>
      </w:r>
      <w:r w:rsidR="004B1474" w:rsidRPr="004B1474">
        <w:rPr>
          <w:rFonts w:asciiTheme="majorHAnsi" w:eastAsia="Times New Roman" w:hAnsiTheme="majorHAnsi" w:cstheme="majorHAnsi"/>
          <w:sz w:val="24"/>
          <w:szCs w:val="24"/>
          <w:lang w:val="ru-MD"/>
        </w:rPr>
        <w:t>кассового исполнения ГБ</w:t>
      </w:r>
      <w:r w:rsidR="004E3225" w:rsidRPr="004B1474">
        <w:rPr>
          <w:rFonts w:asciiTheme="majorHAnsi" w:hAnsiTheme="majorHAnsi" w:cstheme="majorHAnsi"/>
          <w:sz w:val="24"/>
          <w:szCs w:val="24"/>
          <w:lang w:val="ru-MD"/>
        </w:rPr>
        <w:t xml:space="preserve">, и не были </w:t>
      </w:r>
      <w:r w:rsidR="004B1474" w:rsidRPr="004B1474">
        <w:rPr>
          <w:rFonts w:asciiTheme="majorHAnsi" w:hAnsiTheme="majorHAnsi" w:cstheme="majorHAnsi"/>
          <w:sz w:val="24"/>
          <w:szCs w:val="24"/>
          <w:lang w:val="ru-MD"/>
        </w:rPr>
        <w:t>идентифицирова</w:t>
      </w:r>
      <w:r w:rsidR="004E3225" w:rsidRPr="004B1474">
        <w:rPr>
          <w:rFonts w:asciiTheme="majorHAnsi" w:hAnsiTheme="majorHAnsi" w:cstheme="majorHAnsi"/>
          <w:sz w:val="24"/>
          <w:szCs w:val="24"/>
          <w:lang w:val="ru-MD"/>
        </w:rPr>
        <w:t xml:space="preserve">ны все процессы, в частности, касающиеся контроля </w:t>
      </w:r>
      <w:r w:rsidR="004B1474" w:rsidRPr="004B1474">
        <w:rPr>
          <w:rFonts w:asciiTheme="majorHAnsi" w:hAnsiTheme="majorHAnsi" w:cstheme="majorHAnsi"/>
          <w:sz w:val="24"/>
          <w:szCs w:val="24"/>
          <w:lang w:val="ru-MD"/>
        </w:rPr>
        <w:t>со стороны У</w:t>
      </w:r>
      <w:r w:rsidR="004E3225" w:rsidRPr="004B1474">
        <w:rPr>
          <w:rFonts w:asciiTheme="majorHAnsi" w:hAnsiTheme="majorHAnsi" w:cstheme="majorHAnsi"/>
          <w:sz w:val="24"/>
          <w:szCs w:val="24"/>
          <w:lang w:val="ru-MD"/>
        </w:rPr>
        <w:t>правлени</w:t>
      </w:r>
      <w:r w:rsidR="004B1474" w:rsidRPr="004B1474">
        <w:rPr>
          <w:rFonts w:asciiTheme="majorHAnsi" w:hAnsiTheme="majorHAnsi" w:cstheme="majorHAnsi"/>
          <w:sz w:val="24"/>
          <w:szCs w:val="24"/>
          <w:lang w:val="ru-MD"/>
        </w:rPr>
        <w:t>я</w:t>
      </w:r>
      <w:r w:rsidR="004E3225" w:rsidRPr="004B1474">
        <w:rPr>
          <w:rFonts w:asciiTheme="majorHAnsi" w:hAnsiTheme="majorHAnsi" w:cstheme="majorHAnsi"/>
          <w:sz w:val="24"/>
          <w:szCs w:val="24"/>
          <w:lang w:val="ru-MD"/>
        </w:rPr>
        <w:t xml:space="preserve"> Государственного казначейства над региональными казначействами МФ п</w:t>
      </w:r>
      <w:r w:rsidR="004B1474" w:rsidRPr="004B1474">
        <w:rPr>
          <w:rFonts w:asciiTheme="majorHAnsi" w:hAnsiTheme="majorHAnsi" w:cstheme="majorHAnsi"/>
          <w:sz w:val="24"/>
          <w:szCs w:val="24"/>
          <w:lang w:val="ru-MD"/>
        </w:rPr>
        <w:t>о</w:t>
      </w:r>
      <w:r w:rsidR="004E3225" w:rsidRPr="004B1474">
        <w:rPr>
          <w:rFonts w:asciiTheme="majorHAnsi" w:hAnsiTheme="majorHAnsi" w:cstheme="majorHAnsi"/>
          <w:sz w:val="24"/>
          <w:szCs w:val="24"/>
          <w:lang w:val="ru-MD"/>
        </w:rPr>
        <w:t xml:space="preserve"> ведени</w:t>
      </w:r>
      <w:r w:rsidR="004B1474" w:rsidRPr="004B1474">
        <w:rPr>
          <w:rFonts w:asciiTheme="majorHAnsi" w:hAnsiTheme="majorHAnsi" w:cstheme="majorHAnsi"/>
          <w:sz w:val="24"/>
          <w:szCs w:val="24"/>
          <w:lang w:val="ru-MD"/>
        </w:rPr>
        <w:t>ю</w:t>
      </w:r>
      <w:r w:rsidR="004E3225" w:rsidRPr="004B1474">
        <w:rPr>
          <w:rFonts w:asciiTheme="majorHAnsi" w:hAnsiTheme="majorHAnsi" w:cstheme="majorHAnsi"/>
          <w:sz w:val="24"/>
          <w:szCs w:val="24"/>
          <w:lang w:val="ru-MD"/>
        </w:rPr>
        <w:t xml:space="preserve"> бухгалтерского учета и отчетности</w:t>
      </w:r>
      <w:r w:rsidR="00B87CD0" w:rsidRPr="004B1474">
        <w:rPr>
          <w:rFonts w:asciiTheme="majorHAnsi" w:hAnsiTheme="majorHAnsi" w:cstheme="majorHAnsi"/>
          <w:sz w:val="24"/>
          <w:szCs w:val="24"/>
          <w:lang w:val="ru-MD"/>
        </w:rPr>
        <w:t>.</w:t>
      </w:r>
    </w:p>
    <w:p w:rsidR="001F53F6" w:rsidRPr="00C7473A" w:rsidRDefault="004B1474" w:rsidP="00813A1C">
      <w:pPr>
        <w:spacing w:after="0" w:line="276" w:lineRule="auto"/>
        <w:rPr>
          <w:rFonts w:asciiTheme="majorHAnsi" w:hAnsiTheme="majorHAnsi" w:cstheme="majorHAnsi"/>
          <w:sz w:val="24"/>
          <w:szCs w:val="24"/>
          <w:lang w:val="ru-MD"/>
        </w:rPr>
      </w:pPr>
      <w:r w:rsidRPr="00C7473A">
        <w:rPr>
          <w:rFonts w:asciiTheme="majorHAnsi" w:hAnsiTheme="majorHAnsi" w:cstheme="majorHAnsi"/>
          <w:sz w:val="24"/>
          <w:szCs w:val="24"/>
          <w:lang w:val="ru-MD"/>
        </w:rPr>
        <w:t xml:space="preserve">В целях обеспечения </w:t>
      </w:r>
      <w:r w:rsidR="001E5A95" w:rsidRPr="00C7473A">
        <w:rPr>
          <w:rFonts w:asciiTheme="majorHAnsi" w:hAnsiTheme="majorHAnsi" w:cstheme="majorHAnsi"/>
          <w:sz w:val="24"/>
          <w:szCs w:val="24"/>
          <w:lang w:val="ru-MD"/>
        </w:rPr>
        <w:t>правиль</w:t>
      </w:r>
      <w:r w:rsidRPr="00C7473A">
        <w:rPr>
          <w:rFonts w:asciiTheme="majorHAnsi" w:hAnsiTheme="majorHAnsi" w:cstheme="majorHAnsi"/>
          <w:sz w:val="24"/>
          <w:szCs w:val="24"/>
          <w:lang w:val="ru-MD"/>
        </w:rPr>
        <w:t xml:space="preserve">ности составления отчетов об исполнении </w:t>
      </w:r>
      <w:r w:rsidR="001E5A95" w:rsidRPr="00C7473A">
        <w:rPr>
          <w:rFonts w:asciiTheme="majorHAnsi" w:hAnsiTheme="majorHAnsi" w:cstheme="majorHAnsi"/>
          <w:sz w:val="24"/>
          <w:szCs w:val="24"/>
          <w:lang w:val="ru-MD"/>
        </w:rPr>
        <w:t>ГБ</w:t>
      </w:r>
      <w:r w:rsidRPr="00C7473A">
        <w:rPr>
          <w:rFonts w:asciiTheme="majorHAnsi" w:hAnsiTheme="majorHAnsi" w:cstheme="majorHAnsi"/>
          <w:sz w:val="24"/>
          <w:szCs w:val="24"/>
          <w:lang w:val="ru-MD"/>
        </w:rPr>
        <w:t>, в соответствии с утвержденными нормами</w:t>
      </w:r>
      <w:r w:rsidR="001E5A95" w:rsidRPr="00C7473A">
        <w:rPr>
          <w:rFonts w:asciiTheme="majorHAnsi" w:hAnsiTheme="majorHAnsi" w:cstheme="majorHAnsi"/>
          <w:sz w:val="24"/>
          <w:szCs w:val="24"/>
          <w:vertAlign w:val="superscript"/>
          <w:lang w:val="ru-MD"/>
        </w:rPr>
        <w:footnoteReference w:id="20"/>
      </w:r>
      <w:r w:rsidRPr="00C7473A">
        <w:rPr>
          <w:rFonts w:asciiTheme="majorHAnsi" w:hAnsiTheme="majorHAnsi" w:cstheme="majorHAnsi"/>
          <w:sz w:val="24"/>
          <w:szCs w:val="24"/>
          <w:lang w:val="ru-MD"/>
        </w:rPr>
        <w:t>, МФ оформил</w:t>
      </w:r>
      <w:r w:rsidR="001E5A95" w:rsidRPr="00C7473A">
        <w:rPr>
          <w:rFonts w:asciiTheme="majorHAnsi" w:hAnsiTheme="majorHAnsi" w:cstheme="majorHAnsi"/>
          <w:sz w:val="24"/>
          <w:szCs w:val="24"/>
          <w:lang w:val="ru-MD"/>
        </w:rPr>
        <w:t>о</w:t>
      </w:r>
      <w:r w:rsidRPr="00C7473A">
        <w:rPr>
          <w:rFonts w:asciiTheme="majorHAnsi" w:hAnsiTheme="majorHAnsi" w:cstheme="majorHAnsi"/>
          <w:sz w:val="24"/>
          <w:szCs w:val="24"/>
          <w:lang w:val="ru-MD"/>
        </w:rPr>
        <w:t xml:space="preserve"> и представил</w:t>
      </w:r>
      <w:r w:rsidR="001E5A95" w:rsidRPr="00C7473A">
        <w:rPr>
          <w:rFonts w:asciiTheme="majorHAnsi" w:hAnsiTheme="majorHAnsi" w:cstheme="majorHAnsi"/>
          <w:sz w:val="24"/>
          <w:szCs w:val="24"/>
          <w:lang w:val="ru-MD"/>
        </w:rPr>
        <w:t>о</w:t>
      </w:r>
      <w:r w:rsidRPr="00C7473A">
        <w:rPr>
          <w:rFonts w:asciiTheme="majorHAnsi" w:hAnsiTheme="majorHAnsi" w:cstheme="majorHAnsi"/>
          <w:sz w:val="24"/>
          <w:szCs w:val="24"/>
          <w:lang w:val="ru-MD"/>
        </w:rPr>
        <w:t xml:space="preserve"> только 2 </w:t>
      </w:r>
      <w:r w:rsidR="001E5A95" w:rsidRPr="00C7473A">
        <w:rPr>
          <w:rFonts w:asciiTheme="majorHAnsi" w:hAnsiTheme="majorHAnsi" w:cstheme="majorHAnsi"/>
          <w:sz w:val="24"/>
          <w:szCs w:val="24"/>
          <w:lang w:val="ru-MD"/>
        </w:rPr>
        <w:t>администраторам</w:t>
      </w:r>
      <w:r w:rsidRPr="00C7473A">
        <w:rPr>
          <w:rFonts w:asciiTheme="majorHAnsi" w:hAnsiTheme="majorHAnsi" w:cstheme="majorHAnsi"/>
          <w:sz w:val="24"/>
          <w:szCs w:val="24"/>
          <w:lang w:val="ru-MD"/>
        </w:rPr>
        <w:t xml:space="preserve"> доход</w:t>
      </w:r>
      <w:r w:rsidR="001E5A95" w:rsidRPr="00C7473A">
        <w:rPr>
          <w:rFonts w:asciiTheme="majorHAnsi" w:hAnsiTheme="majorHAnsi" w:cstheme="majorHAnsi"/>
          <w:sz w:val="24"/>
          <w:szCs w:val="24"/>
          <w:lang w:val="ru-MD"/>
        </w:rPr>
        <w:t>ов</w:t>
      </w:r>
      <w:r w:rsidRPr="00C7473A">
        <w:rPr>
          <w:rFonts w:asciiTheme="majorHAnsi" w:hAnsiTheme="majorHAnsi" w:cstheme="majorHAnsi"/>
          <w:sz w:val="24"/>
          <w:szCs w:val="24"/>
          <w:lang w:val="ru-MD"/>
        </w:rPr>
        <w:t xml:space="preserve"> (ГНС, </w:t>
      </w:r>
      <w:r w:rsidR="001E5A95" w:rsidRPr="00C7473A">
        <w:rPr>
          <w:rFonts w:asciiTheme="majorHAnsi" w:hAnsiTheme="majorHAnsi" w:cstheme="majorHAnsi"/>
          <w:sz w:val="24"/>
          <w:szCs w:val="24"/>
          <w:lang w:val="ru-MD"/>
        </w:rPr>
        <w:t>ТС</w:t>
      </w:r>
      <w:r w:rsidRPr="00C7473A">
        <w:rPr>
          <w:rFonts w:asciiTheme="majorHAnsi" w:hAnsiTheme="majorHAnsi" w:cstheme="majorHAnsi"/>
          <w:sz w:val="24"/>
          <w:szCs w:val="24"/>
          <w:lang w:val="ru-MD"/>
        </w:rPr>
        <w:t xml:space="preserve">) </w:t>
      </w:r>
      <w:r w:rsidR="00D620B8" w:rsidRPr="00C7473A">
        <w:rPr>
          <w:rFonts w:asciiTheme="majorHAnsi" w:hAnsiTheme="majorHAnsi" w:cstheme="majorHAnsi"/>
          <w:sz w:val="24"/>
          <w:szCs w:val="24"/>
          <w:lang w:val="ru-MD"/>
        </w:rPr>
        <w:t>Р</w:t>
      </w:r>
      <w:r w:rsidRPr="00C7473A">
        <w:rPr>
          <w:rFonts w:asciiTheme="majorHAnsi" w:hAnsiTheme="majorHAnsi" w:cstheme="majorHAnsi"/>
          <w:sz w:val="24"/>
          <w:szCs w:val="24"/>
          <w:lang w:val="ru-MD"/>
        </w:rPr>
        <w:t>е</w:t>
      </w:r>
      <w:r w:rsidR="00D620B8" w:rsidRPr="00C7473A">
        <w:rPr>
          <w:rFonts w:asciiTheme="majorHAnsi" w:hAnsiTheme="majorHAnsi" w:cstheme="majorHAnsi"/>
          <w:sz w:val="24"/>
          <w:szCs w:val="24"/>
          <w:lang w:val="ru-MD"/>
        </w:rPr>
        <w:t>е</w:t>
      </w:r>
      <w:r w:rsidRPr="00C7473A">
        <w:rPr>
          <w:rFonts w:asciiTheme="majorHAnsi" w:hAnsiTheme="majorHAnsi" w:cstheme="majorHAnsi"/>
          <w:sz w:val="24"/>
          <w:szCs w:val="24"/>
          <w:lang w:val="ru-MD"/>
        </w:rPr>
        <w:t xml:space="preserve">стры доходов </w:t>
      </w:r>
      <w:r w:rsidR="00D620B8" w:rsidRPr="00C7473A">
        <w:rPr>
          <w:rFonts w:asciiTheme="majorHAnsi" w:hAnsiTheme="majorHAnsi" w:cstheme="majorHAnsi"/>
          <w:sz w:val="24"/>
          <w:szCs w:val="24"/>
          <w:lang w:val="ru-MD"/>
        </w:rPr>
        <w:t>ГБ</w:t>
      </w:r>
      <w:r w:rsidRPr="00C7473A">
        <w:rPr>
          <w:rFonts w:asciiTheme="majorHAnsi" w:hAnsiTheme="majorHAnsi" w:cstheme="majorHAnsi"/>
          <w:sz w:val="24"/>
          <w:szCs w:val="24"/>
          <w:lang w:val="ru-MD"/>
        </w:rPr>
        <w:t xml:space="preserve"> (форма FI-006), </w:t>
      </w:r>
      <w:r w:rsidR="00D620B8" w:rsidRPr="00C7473A">
        <w:rPr>
          <w:rFonts w:asciiTheme="majorHAnsi" w:hAnsiTheme="majorHAnsi" w:cstheme="majorHAnsi"/>
          <w:sz w:val="24"/>
          <w:szCs w:val="24"/>
          <w:lang w:val="ru-MD"/>
        </w:rPr>
        <w:t xml:space="preserve">которые </w:t>
      </w:r>
      <w:r w:rsidRPr="00C7473A">
        <w:rPr>
          <w:rFonts w:asciiTheme="majorHAnsi" w:hAnsiTheme="majorHAnsi" w:cstheme="majorHAnsi"/>
          <w:sz w:val="24"/>
          <w:szCs w:val="24"/>
          <w:lang w:val="ru-MD"/>
        </w:rPr>
        <w:t>составл</w:t>
      </w:r>
      <w:r w:rsidR="00D620B8" w:rsidRPr="00C7473A">
        <w:rPr>
          <w:rFonts w:asciiTheme="majorHAnsi" w:hAnsiTheme="majorHAnsi" w:cstheme="majorHAnsi"/>
          <w:sz w:val="24"/>
          <w:szCs w:val="24"/>
          <w:lang w:val="ru-MD"/>
        </w:rPr>
        <w:t>яют</w:t>
      </w:r>
      <w:r w:rsidR="00C7473A">
        <w:rPr>
          <w:rFonts w:asciiTheme="majorHAnsi" w:hAnsiTheme="majorHAnsi" w:cstheme="majorHAnsi"/>
          <w:sz w:val="24"/>
          <w:szCs w:val="24"/>
          <w:lang w:val="ru-MD"/>
        </w:rPr>
        <w:t>с</w:t>
      </w:r>
      <w:r w:rsidR="00D620B8" w:rsidRPr="00C7473A">
        <w:rPr>
          <w:rFonts w:asciiTheme="majorHAnsi" w:hAnsiTheme="majorHAnsi" w:cstheme="majorHAnsi"/>
          <w:sz w:val="24"/>
          <w:szCs w:val="24"/>
          <w:lang w:val="ru-MD"/>
        </w:rPr>
        <w:t>я</w:t>
      </w:r>
      <w:r w:rsidRPr="00C7473A">
        <w:rPr>
          <w:rFonts w:asciiTheme="majorHAnsi" w:hAnsiTheme="majorHAnsi" w:cstheme="majorHAnsi"/>
          <w:sz w:val="24"/>
          <w:szCs w:val="24"/>
          <w:lang w:val="ru-MD"/>
        </w:rPr>
        <w:t xml:space="preserve"> </w:t>
      </w:r>
      <w:r w:rsidR="00C7473A" w:rsidRPr="00C7473A">
        <w:rPr>
          <w:rFonts w:asciiTheme="majorHAnsi" w:hAnsiTheme="majorHAnsi" w:cstheme="majorHAnsi"/>
          <w:sz w:val="24"/>
          <w:szCs w:val="24"/>
          <w:lang w:val="ru-MD"/>
        </w:rPr>
        <w:t>нарастающим итогом</w:t>
      </w:r>
      <w:r w:rsidRPr="00C7473A">
        <w:rPr>
          <w:rFonts w:asciiTheme="majorHAnsi" w:hAnsiTheme="majorHAnsi" w:cstheme="majorHAnsi"/>
          <w:sz w:val="24"/>
          <w:szCs w:val="24"/>
          <w:lang w:val="ru-MD"/>
        </w:rPr>
        <w:t xml:space="preserve"> по видам налогов и сборов с начала года. В результате аудиторских проверок было установлено, что не были подтверждены все </w:t>
      </w:r>
      <w:r w:rsidR="00C7473A" w:rsidRPr="00C7473A">
        <w:rPr>
          <w:rFonts w:asciiTheme="majorHAnsi" w:hAnsiTheme="majorHAnsi" w:cstheme="majorHAnsi"/>
          <w:sz w:val="24"/>
          <w:szCs w:val="24"/>
          <w:lang w:val="ru-MD"/>
        </w:rPr>
        <w:t>исполн</w:t>
      </w:r>
      <w:r w:rsidRPr="00C7473A">
        <w:rPr>
          <w:rFonts w:asciiTheme="majorHAnsi" w:hAnsiTheme="majorHAnsi" w:cstheme="majorHAnsi"/>
          <w:sz w:val="24"/>
          <w:szCs w:val="24"/>
          <w:lang w:val="ru-MD"/>
        </w:rPr>
        <w:t xml:space="preserve">енные </w:t>
      </w:r>
      <w:r w:rsidR="00C7473A" w:rsidRPr="00C7473A">
        <w:rPr>
          <w:rFonts w:asciiTheme="majorHAnsi" w:hAnsiTheme="majorHAnsi" w:cstheme="majorHAnsi"/>
          <w:sz w:val="24"/>
          <w:szCs w:val="24"/>
          <w:lang w:val="ru-MD"/>
        </w:rPr>
        <w:t xml:space="preserve">доходы </w:t>
      </w:r>
      <w:r w:rsidRPr="00C7473A">
        <w:rPr>
          <w:rFonts w:asciiTheme="majorHAnsi" w:hAnsiTheme="majorHAnsi" w:cstheme="majorHAnsi"/>
          <w:sz w:val="24"/>
          <w:szCs w:val="24"/>
          <w:lang w:val="ru-MD"/>
        </w:rPr>
        <w:t xml:space="preserve">в </w:t>
      </w:r>
      <w:r w:rsidR="00C7473A" w:rsidRPr="00C7473A">
        <w:rPr>
          <w:rFonts w:asciiTheme="majorHAnsi" w:hAnsiTheme="majorHAnsi" w:cstheme="majorHAnsi"/>
          <w:sz w:val="24"/>
          <w:szCs w:val="24"/>
          <w:lang w:val="ru-MD"/>
        </w:rPr>
        <w:t>ГБ</w:t>
      </w:r>
      <w:r w:rsidRPr="00C7473A">
        <w:rPr>
          <w:rFonts w:asciiTheme="majorHAnsi" w:hAnsiTheme="majorHAnsi" w:cstheme="majorHAnsi"/>
          <w:sz w:val="24"/>
          <w:szCs w:val="24"/>
          <w:lang w:val="ru-MD"/>
        </w:rPr>
        <w:t xml:space="preserve"> назначенными администраторами доходов, а в </w:t>
      </w:r>
      <w:r w:rsidR="00C7473A" w:rsidRPr="00C7473A">
        <w:rPr>
          <w:rFonts w:asciiTheme="majorHAnsi" w:hAnsiTheme="majorHAnsi" w:cstheme="majorHAnsi"/>
          <w:sz w:val="24"/>
          <w:szCs w:val="24"/>
          <w:lang w:val="ru-MD"/>
        </w:rPr>
        <w:t>Р</w:t>
      </w:r>
      <w:r w:rsidRPr="00C7473A">
        <w:rPr>
          <w:rFonts w:asciiTheme="majorHAnsi" w:hAnsiTheme="majorHAnsi" w:cstheme="majorHAnsi"/>
          <w:sz w:val="24"/>
          <w:szCs w:val="24"/>
          <w:lang w:val="ru-MD"/>
        </w:rPr>
        <w:t xml:space="preserve">еестрах доходов, </w:t>
      </w:r>
      <w:r w:rsidR="00C7473A" w:rsidRPr="00C7473A">
        <w:rPr>
          <w:rFonts w:asciiTheme="majorHAnsi" w:hAnsiTheme="majorHAnsi" w:cstheme="majorHAnsi"/>
          <w:sz w:val="24"/>
          <w:szCs w:val="24"/>
          <w:lang w:val="ru-MD"/>
        </w:rPr>
        <w:t>завере</w:t>
      </w:r>
      <w:r w:rsidRPr="00C7473A">
        <w:rPr>
          <w:rFonts w:asciiTheme="majorHAnsi" w:hAnsiTheme="majorHAnsi" w:cstheme="majorHAnsi"/>
          <w:sz w:val="24"/>
          <w:szCs w:val="24"/>
          <w:lang w:val="ru-MD"/>
        </w:rPr>
        <w:t>нных ГНС, включены налоги и сборы, которы</w:t>
      </w:r>
      <w:r w:rsidR="00C7473A" w:rsidRPr="00C7473A">
        <w:rPr>
          <w:rFonts w:asciiTheme="majorHAnsi" w:hAnsiTheme="majorHAnsi" w:cstheme="majorHAnsi"/>
          <w:sz w:val="24"/>
          <w:szCs w:val="24"/>
          <w:lang w:val="ru-MD"/>
        </w:rPr>
        <w:t>х</w:t>
      </w:r>
      <w:r w:rsidRPr="00C7473A">
        <w:rPr>
          <w:rFonts w:asciiTheme="majorHAnsi" w:hAnsiTheme="majorHAnsi" w:cstheme="majorHAnsi"/>
          <w:sz w:val="24"/>
          <w:szCs w:val="24"/>
          <w:lang w:val="ru-MD"/>
        </w:rPr>
        <w:t xml:space="preserve"> не начисля</w:t>
      </w:r>
      <w:r w:rsidR="00C7473A" w:rsidRPr="00C7473A">
        <w:rPr>
          <w:rFonts w:asciiTheme="majorHAnsi" w:hAnsiTheme="majorHAnsi" w:cstheme="majorHAnsi"/>
          <w:sz w:val="24"/>
          <w:szCs w:val="24"/>
          <w:lang w:val="ru-MD"/>
        </w:rPr>
        <w:t>ет</w:t>
      </w:r>
      <w:r w:rsidRPr="00C7473A">
        <w:rPr>
          <w:rFonts w:asciiTheme="majorHAnsi" w:hAnsiTheme="majorHAnsi" w:cstheme="majorHAnsi"/>
          <w:sz w:val="24"/>
          <w:szCs w:val="24"/>
          <w:lang w:val="ru-MD"/>
        </w:rPr>
        <w:t>/</w:t>
      </w:r>
      <w:r w:rsidR="00C7473A" w:rsidRPr="00C7473A">
        <w:rPr>
          <w:rFonts w:asciiTheme="majorHAnsi" w:hAnsiTheme="majorHAnsi" w:cstheme="majorHAnsi"/>
          <w:sz w:val="24"/>
          <w:szCs w:val="24"/>
          <w:lang w:val="ru-MD"/>
        </w:rPr>
        <w:t>администрирует</w:t>
      </w:r>
      <w:r w:rsidRPr="00C7473A">
        <w:rPr>
          <w:rFonts w:asciiTheme="majorHAnsi" w:hAnsiTheme="majorHAnsi" w:cstheme="majorHAnsi"/>
          <w:sz w:val="24"/>
          <w:szCs w:val="24"/>
          <w:lang w:val="ru-MD"/>
        </w:rPr>
        <w:t xml:space="preserve"> ГНС</w:t>
      </w:r>
      <w:r w:rsidR="001F53F6" w:rsidRPr="00C7473A">
        <w:rPr>
          <w:rFonts w:asciiTheme="majorHAnsi" w:hAnsiTheme="majorHAnsi" w:cstheme="majorHAnsi"/>
          <w:sz w:val="24"/>
          <w:szCs w:val="24"/>
          <w:lang w:val="ru-MD"/>
        </w:rPr>
        <w:t>.</w:t>
      </w:r>
    </w:p>
    <w:p w:rsidR="006E036A" w:rsidRPr="00616E0D" w:rsidRDefault="00B8024A" w:rsidP="003554AC">
      <w:pPr>
        <w:spacing w:after="0" w:line="276" w:lineRule="auto"/>
        <w:rPr>
          <w:rFonts w:asciiTheme="majorHAnsi" w:hAnsiTheme="majorHAnsi" w:cstheme="majorHAnsi"/>
          <w:sz w:val="24"/>
          <w:szCs w:val="24"/>
          <w:lang w:val="ru-MD"/>
        </w:rPr>
      </w:pPr>
      <w:r w:rsidRPr="00616E0D">
        <w:rPr>
          <w:rFonts w:asciiTheme="majorHAnsi" w:hAnsiTheme="majorHAnsi" w:cstheme="majorHAnsi"/>
          <w:sz w:val="24"/>
          <w:szCs w:val="24"/>
          <w:lang w:val="ru-MD"/>
        </w:rPr>
        <w:t>И</w:t>
      </w:r>
      <w:r w:rsidR="00616E0D">
        <w:rPr>
          <w:rFonts w:asciiTheme="majorHAnsi" w:hAnsiTheme="majorHAnsi" w:cstheme="majorHAnsi"/>
          <w:sz w:val="24"/>
          <w:szCs w:val="24"/>
          <w:lang w:val="ru-MD"/>
        </w:rPr>
        <w:t>нформационные у</w:t>
      </w:r>
      <w:r w:rsidR="004B1474" w:rsidRPr="00616E0D">
        <w:rPr>
          <w:rFonts w:asciiTheme="majorHAnsi" w:hAnsiTheme="majorHAnsi" w:cstheme="majorHAnsi"/>
          <w:sz w:val="24"/>
          <w:szCs w:val="24"/>
          <w:lang w:val="ru-MD"/>
        </w:rPr>
        <w:t xml:space="preserve">слуги </w:t>
      </w:r>
      <w:r w:rsidRPr="00616E0D">
        <w:rPr>
          <w:rFonts w:asciiTheme="majorHAnsi" w:hAnsiTheme="majorHAnsi" w:cstheme="majorHAnsi"/>
          <w:sz w:val="24"/>
          <w:szCs w:val="24"/>
          <w:lang w:val="ru-MD"/>
        </w:rPr>
        <w:t>управлени</w:t>
      </w:r>
      <w:r w:rsidR="0022169E">
        <w:rPr>
          <w:rFonts w:asciiTheme="majorHAnsi" w:hAnsiTheme="majorHAnsi" w:cstheme="majorHAnsi"/>
          <w:sz w:val="24"/>
          <w:szCs w:val="24"/>
          <w:lang w:val="ru-MD"/>
        </w:rPr>
        <w:t>я</w:t>
      </w:r>
      <w:r w:rsidRPr="00616E0D">
        <w:rPr>
          <w:rFonts w:asciiTheme="majorHAnsi" w:hAnsiTheme="majorHAnsi" w:cstheme="majorHAnsi"/>
          <w:sz w:val="24"/>
          <w:szCs w:val="24"/>
          <w:lang w:val="ru-MD"/>
        </w:rPr>
        <w:t>, поддержани</w:t>
      </w:r>
      <w:r w:rsidR="0022169E">
        <w:rPr>
          <w:rFonts w:asciiTheme="majorHAnsi" w:hAnsiTheme="majorHAnsi" w:cstheme="majorHAnsi"/>
          <w:sz w:val="24"/>
          <w:szCs w:val="24"/>
          <w:lang w:val="ru-MD"/>
        </w:rPr>
        <w:t>я</w:t>
      </w:r>
      <w:r w:rsidRPr="00616E0D">
        <w:rPr>
          <w:rFonts w:asciiTheme="majorHAnsi" w:hAnsiTheme="majorHAnsi" w:cstheme="majorHAnsi"/>
          <w:sz w:val="24"/>
          <w:szCs w:val="24"/>
          <w:lang w:val="ru-MD"/>
        </w:rPr>
        <w:t>, развити</w:t>
      </w:r>
      <w:r w:rsidR="0022169E">
        <w:rPr>
          <w:rFonts w:asciiTheme="majorHAnsi" w:hAnsiTheme="majorHAnsi" w:cstheme="majorHAnsi"/>
          <w:sz w:val="24"/>
          <w:szCs w:val="24"/>
          <w:lang w:val="ru-MD"/>
        </w:rPr>
        <w:t>я</w:t>
      </w:r>
      <w:r w:rsidRPr="00616E0D">
        <w:rPr>
          <w:rFonts w:asciiTheme="majorHAnsi" w:hAnsiTheme="majorHAnsi" w:cstheme="majorHAnsi"/>
          <w:sz w:val="24"/>
          <w:szCs w:val="24"/>
          <w:lang w:val="ru-MD"/>
        </w:rPr>
        <w:t xml:space="preserve"> и обеспечени</w:t>
      </w:r>
      <w:r w:rsidR="0022169E">
        <w:rPr>
          <w:rFonts w:asciiTheme="majorHAnsi" w:hAnsiTheme="majorHAnsi" w:cstheme="majorHAnsi"/>
          <w:sz w:val="24"/>
          <w:szCs w:val="24"/>
          <w:lang w:val="ru-MD"/>
        </w:rPr>
        <w:t>я</w:t>
      </w:r>
      <w:r w:rsidRPr="00616E0D">
        <w:rPr>
          <w:rFonts w:asciiTheme="majorHAnsi" w:hAnsiTheme="majorHAnsi" w:cstheme="majorHAnsi"/>
          <w:sz w:val="24"/>
          <w:szCs w:val="24"/>
          <w:lang w:val="ru-MD"/>
        </w:rPr>
        <w:t xml:space="preserve"> функционирования информационной системы </w:t>
      </w:r>
      <w:r w:rsidR="0022169E">
        <w:rPr>
          <w:rFonts w:asciiTheme="majorHAnsi" w:hAnsiTheme="majorHAnsi" w:cstheme="majorHAnsi"/>
          <w:sz w:val="24"/>
          <w:szCs w:val="24"/>
          <w:lang w:val="ru-MD"/>
        </w:rPr>
        <w:t xml:space="preserve">по </w:t>
      </w:r>
      <w:r w:rsidRPr="00616E0D">
        <w:rPr>
          <w:rFonts w:asciiTheme="majorHAnsi" w:hAnsiTheme="majorHAnsi" w:cstheme="majorHAnsi"/>
          <w:sz w:val="24"/>
          <w:szCs w:val="24"/>
          <w:lang w:val="ru-MD"/>
        </w:rPr>
        <w:t>администрировани</w:t>
      </w:r>
      <w:r w:rsidR="0022169E">
        <w:rPr>
          <w:rFonts w:asciiTheme="majorHAnsi" w:hAnsiTheme="majorHAnsi" w:cstheme="majorHAnsi"/>
          <w:sz w:val="24"/>
          <w:szCs w:val="24"/>
          <w:lang w:val="ru-MD"/>
        </w:rPr>
        <w:t>ю</w:t>
      </w:r>
      <w:r w:rsidRPr="00616E0D">
        <w:rPr>
          <w:rFonts w:asciiTheme="majorHAnsi" w:hAnsiTheme="majorHAnsi" w:cstheme="majorHAnsi"/>
          <w:sz w:val="24"/>
          <w:szCs w:val="24"/>
          <w:lang w:val="ru-MD"/>
        </w:rPr>
        <w:t xml:space="preserve"> публичных финансов</w:t>
      </w:r>
      <w:r w:rsidR="004B1474" w:rsidRPr="00616E0D">
        <w:rPr>
          <w:rFonts w:asciiTheme="majorHAnsi" w:hAnsiTheme="majorHAnsi" w:cstheme="majorHAnsi"/>
          <w:sz w:val="24"/>
          <w:szCs w:val="24"/>
          <w:lang w:val="ru-MD"/>
        </w:rPr>
        <w:t xml:space="preserve"> </w:t>
      </w:r>
      <w:r w:rsidRPr="00616E0D">
        <w:rPr>
          <w:rFonts w:asciiTheme="majorHAnsi" w:hAnsiTheme="majorHAnsi" w:cstheme="majorHAnsi"/>
          <w:sz w:val="24"/>
          <w:szCs w:val="24"/>
          <w:lang w:val="ru-MD"/>
        </w:rPr>
        <w:t>закуп</w:t>
      </w:r>
      <w:r w:rsidR="004B1474" w:rsidRPr="00616E0D">
        <w:rPr>
          <w:rFonts w:asciiTheme="majorHAnsi" w:hAnsiTheme="majorHAnsi" w:cstheme="majorHAnsi"/>
          <w:sz w:val="24"/>
          <w:szCs w:val="24"/>
          <w:lang w:val="ru-MD"/>
        </w:rPr>
        <w:t xml:space="preserve">аются </w:t>
      </w:r>
      <w:r w:rsidRPr="00616E0D">
        <w:rPr>
          <w:rFonts w:asciiTheme="majorHAnsi" w:hAnsiTheme="majorHAnsi" w:cstheme="majorHAnsi"/>
          <w:sz w:val="24"/>
          <w:szCs w:val="24"/>
          <w:lang w:val="ru-MD"/>
        </w:rPr>
        <w:t xml:space="preserve">ежегодно </w:t>
      </w:r>
      <w:r w:rsidR="004B1474" w:rsidRPr="00616E0D">
        <w:rPr>
          <w:rFonts w:asciiTheme="majorHAnsi" w:hAnsiTheme="majorHAnsi" w:cstheme="majorHAnsi"/>
          <w:sz w:val="24"/>
          <w:szCs w:val="24"/>
          <w:lang w:val="ru-MD"/>
        </w:rPr>
        <w:t xml:space="preserve">у </w:t>
      </w:r>
      <w:r w:rsidRPr="00616E0D">
        <w:rPr>
          <w:rFonts w:asciiTheme="majorHAnsi" w:hAnsiTheme="majorHAnsi" w:cstheme="majorHAnsi"/>
          <w:sz w:val="24"/>
          <w:szCs w:val="24"/>
          <w:lang w:val="ru-MD"/>
        </w:rPr>
        <w:t>ГУ</w:t>
      </w:r>
      <w:r w:rsidR="004B1474" w:rsidRPr="00616E0D">
        <w:rPr>
          <w:rFonts w:asciiTheme="majorHAnsi" w:hAnsiTheme="majorHAnsi" w:cstheme="majorHAnsi"/>
          <w:sz w:val="24"/>
          <w:szCs w:val="24"/>
          <w:lang w:val="ru-MD"/>
        </w:rPr>
        <w:t xml:space="preserve"> </w:t>
      </w:r>
      <w:r w:rsidRPr="00616E0D">
        <w:rPr>
          <w:rFonts w:asciiTheme="majorHAnsi" w:hAnsiTheme="majorHAnsi" w:cstheme="majorHAnsi"/>
          <w:i/>
          <w:lang w:val="ru-MD"/>
        </w:rPr>
        <w:t>„</w:t>
      </w:r>
      <w:r w:rsidR="004B1474" w:rsidRPr="00616E0D">
        <w:rPr>
          <w:rFonts w:asciiTheme="majorHAnsi" w:hAnsiTheme="majorHAnsi" w:cstheme="majorHAnsi"/>
          <w:sz w:val="24"/>
          <w:szCs w:val="24"/>
          <w:lang w:val="ru-MD"/>
        </w:rPr>
        <w:t xml:space="preserve">Центр информационных технологий в </w:t>
      </w:r>
      <w:r w:rsidR="004D79AE" w:rsidRPr="00616E0D">
        <w:rPr>
          <w:rFonts w:asciiTheme="majorHAnsi" w:hAnsiTheme="majorHAnsi" w:cstheme="majorHAnsi"/>
          <w:sz w:val="24"/>
          <w:szCs w:val="24"/>
          <w:lang w:val="ru-MD"/>
        </w:rPr>
        <w:t>ф</w:t>
      </w:r>
      <w:r w:rsidR="004B1474" w:rsidRPr="00616E0D">
        <w:rPr>
          <w:rFonts w:asciiTheme="majorHAnsi" w:hAnsiTheme="majorHAnsi" w:cstheme="majorHAnsi"/>
          <w:sz w:val="24"/>
          <w:szCs w:val="24"/>
          <w:lang w:val="ru-MD"/>
        </w:rPr>
        <w:t>инанс</w:t>
      </w:r>
      <w:r w:rsidR="004D79AE" w:rsidRPr="00616E0D">
        <w:rPr>
          <w:rFonts w:asciiTheme="majorHAnsi" w:hAnsiTheme="majorHAnsi" w:cstheme="majorHAnsi"/>
          <w:sz w:val="24"/>
          <w:szCs w:val="24"/>
          <w:lang w:val="ru-MD"/>
        </w:rPr>
        <w:t>ах</w:t>
      </w:r>
      <w:r w:rsidR="004B1474" w:rsidRPr="00616E0D">
        <w:rPr>
          <w:rFonts w:asciiTheme="majorHAnsi" w:hAnsiTheme="majorHAnsi" w:cstheme="majorHAnsi"/>
          <w:sz w:val="24"/>
          <w:szCs w:val="24"/>
          <w:lang w:val="ru-MD"/>
        </w:rPr>
        <w:t>”</w:t>
      </w:r>
      <w:r w:rsidR="004D79AE" w:rsidRPr="00616E0D">
        <w:rPr>
          <w:rFonts w:asciiTheme="majorHAnsi" w:hAnsiTheme="majorHAnsi" w:cstheme="majorHAnsi"/>
          <w:sz w:val="24"/>
          <w:szCs w:val="24"/>
          <w:vertAlign w:val="superscript"/>
          <w:lang w:val="ru-MD"/>
        </w:rPr>
        <w:footnoteReference w:id="21"/>
      </w:r>
      <w:r w:rsidRPr="00616E0D">
        <w:rPr>
          <w:rFonts w:asciiTheme="majorHAnsi" w:hAnsiTheme="majorHAnsi" w:cstheme="majorHAnsi"/>
          <w:sz w:val="24"/>
          <w:szCs w:val="24"/>
          <w:lang w:val="ru-MD"/>
        </w:rPr>
        <w:t xml:space="preserve">. </w:t>
      </w:r>
      <w:r w:rsidR="004B1474" w:rsidRPr="00616E0D">
        <w:rPr>
          <w:rFonts w:asciiTheme="majorHAnsi" w:hAnsiTheme="majorHAnsi" w:cstheme="majorHAnsi"/>
          <w:sz w:val="24"/>
          <w:szCs w:val="24"/>
          <w:lang w:val="ru-MD"/>
        </w:rPr>
        <w:t xml:space="preserve">Аудит отмечает, что МФ </w:t>
      </w:r>
      <w:r w:rsidR="00E045BD" w:rsidRPr="00616E0D">
        <w:rPr>
          <w:rFonts w:asciiTheme="majorHAnsi" w:hAnsiTheme="majorHAnsi" w:cstheme="majorHAnsi"/>
          <w:sz w:val="24"/>
          <w:szCs w:val="24"/>
          <w:lang w:val="ru-MD"/>
        </w:rPr>
        <w:t xml:space="preserve">применяет </w:t>
      </w:r>
      <w:r w:rsidR="004B1474" w:rsidRPr="00616E0D">
        <w:rPr>
          <w:rFonts w:asciiTheme="majorHAnsi" w:hAnsiTheme="majorHAnsi" w:cstheme="majorHAnsi"/>
          <w:sz w:val="24"/>
          <w:szCs w:val="24"/>
          <w:lang w:val="ru-MD"/>
        </w:rPr>
        <w:t>политику информационной безопасности, утвержденную Приказом МФ №147 от 21 ноября 2016 года, котор</w:t>
      </w:r>
      <w:r w:rsidR="00285D44" w:rsidRPr="00616E0D">
        <w:rPr>
          <w:rFonts w:asciiTheme="majorHAnsi" w:hAnsiTheme="majorHAnsi" w:cstheme="majorHAnsi"/>
          <w:sz w:val="24"/>
          <w:szCs w:val="24"/>
          <w:lang w:val="ru-MD"/>
        </w:rPr>
        <w:t>ая требует ко</w:t>
      </w:r>
      <w:r w:rsidR="00616E0D">
        <w:rPr>
          <w:rFonts w:asciiTheme="majorHAnsi" w:hAnsiTheme="majorHAnsi" w:cstheme="majorHAnsi"/>
          <w:sz w:val="24"/>
          <w:szCs w:val="24"/>
          <w:lang w:val="ru-MD"/>
        </w:rPr>
        <w:t>р</w:t>
      </w:r>
      <w:r w:rsidR="00285D44" w:rsidRPr="00616E0D">
        <w:rPr>
          <w:rFonts w:asciiTheme="majorHAnsi" w:hAnsiTheme="majorHAnsi" w:cstheme="majorHAnsi"/>
          <w:sz w:val="24"/>
          <w:szCs w:val="24"/>
          <w:lang w:val="ru-MD"/>
        </w:rPr>
        <w:t>ректировки с учетом</w:t>
      </w:r>
      <w:r w:rsidR="004B1474" w:rsidRPr="00616E0D">
        <w:rPr>
          <w:rFonts w:asciiTheme="majorHAnsi" w:hAnsiTheme="majorHAnsi" w:cstheme="majorHAnsi"/>
          <w:sz w:val="24"/>
          <w:szCs w:val="24"/>
          <w:lang w:val="ru-MD"/>
        </w:rPr>
        <w:t xml:space="preserve"> </w:t>
      </w:r>
      <w:r w:rsidR="00285D44" w:rsidRPr="00616E0D">
        <w:rPr>
          <w:rFonts w:asciiTheme="majorHAnsi" w:hAnsiTheme="majorHAnsi" w:cstheme="majorHAnsi"/>
          <w:sz w:val="24"/>
          <w:szCs w:val="24"/>
          <w:lang w:val="ru-MD"/>
        </w:rPr>
        <w:t xml:space="preserve">установленных </w:t>
      </w:r>
      <w:r w:rsidR="004B1474" w:rsidRPr="00616E0D">
        <w:rPr>
          <w:rFonts w:asciiTheme="majorHAnsi" w:hAnsiTheme="majorHAnsi" w:cstheme="majorHAnsi"/>
          <w:sz w:val="24"/>
          <w:szCs w:val="24"/>
          <w:lang w:val="ru-MD"/>
        </w:rPr>
        <w:t>процесс</w:t>
      </w:r>
      <w:r w:rsidR="00285D44" w:rsidRPr="00616E0D">
        <w:rPr>
          <w:rFonts w:asciiTheme="majorHAnsi" w:hAnsiTheme="majorHAnsi" w:cstheme="majorHAnsi"/>
          <w:sz w:val="24"/>
          <w:szCs w:val="24"/>
          <w:lang w:val="ru-MD"/>
        </w:rPr>
        <w:t>ов</w:t>
      </w:r>
      <w:r w:rsidR="004B1474" w:rsidRPr="00616E0D">
        <w:rPr>
          <w:rFonts w:asciiTheme="majorHAnsi" w:hAnsiTheme="majorHAnsi" w:cstheme="majorHAnsi"/>
          <w:sz w:val="24"/>
          <w:szCs w:val="24"/>
          <w:lang w:val="ru-MD"/>
        </w:rPr>
        <w:t xml:space="preserve"> в области кибербезопасности. В 2020 году МФ предоставил</w:t>
      </w:r>
      <w:r w:rsidR="00285D44" w:rsidRPr="00616E0D">
        <w:rPr>
          <w:rFonts w:asciiTheme="majorHAnsi" w:hAnsiTheme="majorHAnsi" w:cstheme="majorHAnsi"/>
          <w:sz w:val="24"/>
          <w:szCs w:val="24"/>
          <w:lang w:val="ru-MD"/>
        </w:rPr>
        <w:t>о</w:t>
      </w:r>
      <w:r w:rsidR="004B1474" w:rsidRPr="00616E0D">
        <w:rPr>
          <w:rFonts w:asciiTheme="majorHAnsi" w:hAnsiTheme="majorHAnsi" w:cstheme="majorHAnsi"/>
          <w:sz w:val="24"/>
          <w:szCs w:val="24"/>
          <w:lang w:val="ru-MD"/>
        </w:rPr>
        <w:t xml:space="preserve"> </w:t>
      </w:r>
      <w:r w:rsidR="00285D44" w:rsidRPr="00616E0D">
        <w:rPr>
          <w:rFonts w:asciiTheme="majorHAnsi" w:hAnsiTheme="majorHAnsi" w:cstheme="majorHAnsi"/>
          <w:sz w:val="24"/>
          <w:szCs w:val="24"/>
          <w:lang w:val="ru-MD"/>
        </w:rPr>
        <w:t xml:space="preserve">аудиторской группе </w:t>
      </w:r>
      <w:r w:rsidR="004B1474" w:rsidRPr="00616E0D">
        <w:rPr>
          <w:rFonts w:asciiTheme="majorHAnsi" w:hAnsiTheme="majorHAnsi" w:cstheme="majorHAnsi"/>
          <w:sz w:val="24"/>
          <w:szCs w:val="24"/>
          <w:lang w:val="ru-MD"/>
        </w:rPr>
        <w:lastRenderedPageBreak/>
        <w:t xml:space="preserve">частичный доступ к некоторым отчетам и документам </w:t>
      </w:r>
      <w:r w:rsidR="00285D44" w:rsidRPr="00616E0D">
        <w:rPr>
          <w:rFonts w:asciiTheme="majorHAnsi" w:hAnsiTheme="majorHAnsi" w:cstheme="majorHAnsi"/>
          <w:sz w:val="24"/>
          <w:szCs w:val="24"/>
          <w:lang w:val="ru-MD"/>
        </w:rPr>
        <w:t xml:space="preserve">о платежах </w:t>
      </w:r>
      <w:r w:rsidR="004B1474" w:rsidRPr="00616E0D">
        <w:rPr>
          <w:rFonts w:asciiTheme="majorHAnsi" w:hAnsiTheme="majorHAnsi" w:cstheme="majorHAnsi"/>
          <w:sz w:val="24"/>
          <w:szCs w:val="24"/>
          <w:lang w:val="ru-MD"/>
        </w:rPr>
        <w:t>и поступления</w:t>
      </w:r>
      <w:r w:rsidR="00285D44" w:rsidRPr="00616E0D">
        <w:rPr>
          <w:rFonts w:asciiTheme="majorHAnsi" w:hAnsiTheme="majorHAnsi" w:cstheme="majorHAnsi"/>
          <w:sz w:val="24"/>
          <w:szCs w:val="24"/>
          <w:lang w:val="ru-MD"/>
        </w:rPr>
        <w:t>х</w:t>
      </w:r>
      <w:r w:rsidR="004B1474" w:rsidRPr="00616E0D">
        <w:rPr>
          <w:rFonts w:asciiTheme="majorHAnsi" w:hAnsiTheme="majorHAnsi" w:cstheme="majorHAnsi"/>
          <w:sz w:val="24"/>
          <w:szCs w:val="24"/>
          <w:lang w:val="ru-MD"/>
        </w:rPr>
        <w:t xml:space="preserve"> </w:t>
      </w:r>
      <w:r w:rsidR="00285D44" w:rsidRPr="00616E0D">
        <w:rPr>
          <w:rFonts w:asciiTheme="majorHAnsi" w:hAnsiTheme="majorHAnsi" w:cstheme="majorHAnsi"/>
          <w:sz w:val="24"/>
          <w:szCs w:val="24"/>
          <w:lang w:val="ru-MD"/>
        </w:rPr>
        <w:t>от</w:t>
      </w:r>
      <w:r w:rsidR="004B1474" w:rsidRPr="00616E0D">
        <w:rPr>
          <w:rFonts w:asciiTheme="majorHAnsi" w:hAnsiTheme="majorHAnsi" w:cstheme="majorHAnsi"/>
          <w:sz w:val="24"/>
          <w:szCs w:val="24"/>
          <w:lang w:val="ru-MD"/>
        </w:rPr>
        <w:t xml:space="preserve"> информационной системы, мотивируя тем, что в </w:t>
      </w:r>
      <w:r w:rsidR="00285D44" w:rsidRPr="00616E0D">
        <w:rPr>
          <w:rFonts w:asciiTheme="majorHAnsi" w:hAnsiTheme="majorHAnsi" w:cstheme="majorHAnsi"/>
          <w:sz w:val="24"/>
          <w:szCs w:val="24"/>
          <w:lang w:val="ru-MD"/>
        </w:rPr>
        <w:t xml:space="preserve">ИС необходимо </w:t>
      </w:r>
      <w:proofErr w:type="gramStart"/>
      <w:r w:rsidR="00285D44" w:rsidRPr="00616E0D">
        <w:rPr>
          <w:rFonts w:asciiTheme="majorHAnsi" w:hAnsiTheme="majorHAnsi" w:cstheme="majorHAnsi"/>
          <w:sz w:val="24"/>
          <w:szCs w:val="24"/>
          <w:lang w:val="ru-MD"/>
        </w:rPr>
        <w:t xml:space="preserve">расширить </w:t>
      </w:r>
      <w:r w:rsidR="004B1474" w:rsidRPr="00616E0D">
        <w:rPr>
          <w:rFonts w:asciiTheme="majorHAnsi" w:hAnsiTheme="majorHAnsi" w:cstheme="majorHAnsi"/>
          <w:sz w:val="24"/>
          <w:szCs w:val="24"/>
          <w:lang w:val="ru-MD"/>
        </w:rPr>
        <w:t xml:space="preserve"> </w:t>
      </w:r>
      <w:r w:rsidR="00285D44" w:rsidRPr="00616E0D">
        <w:rPr>
          <w:rFonts w:asciiTheme="majorHAnsi" w:hAnsiTheme="majorHAnsi" w:cstheme="majorHAnsi"/>
          <w:sz w:val="24"/>
          <w:szCs w:val="24"/>
          <w:lang w:val="ru-MD"/>
        </w:rPr>
        <w:t>функции</w:t>
      </w:r>
      <w:proofErr w:type="gramEnd"/>
      <w:r w:rsidR="00285D44" w:rsidRPr="00616E0D">
        <w:rPr>
          <w:rFonts w:asciiTheme="majorHAnsi" w:hAnsiTheme="majorHAnsi" w:cstheme="majorHAnsi"/>
          <w:sz w:val="24"/>
          <w:szCs w:val="24"/>
          <w:lang w:val="ru-MD"/>
        </w:rPr>
        <w:t xml:space="preserve"> для доступа </w:t>
      </w:r>
      <w:r w:rsidR="004B1474" w:rsidRPr="00616E0D">
        <w:rPr>
          <w:rFonts w:asciiTheme="majorHAnsi" w:hAnsiTheme="majorHAnsi" w:cstheme="majorHAnsi"/>
          <w:sz w:val="24"/>
          <w:szCs w:val="24"/>
          <w:lang w:val="ru-MD"/>
        </w:rPr>
        <w:t>аудиторской групп</w:t>
      </w:r>
      <w:r w:rsidR="00285D44" w:rsidRPr="00616E0D">
        <w:rPr>
          <w:rFonts w:asciiTheme="majorHAnsi" w:hAnsiTheme="majorHAnsi" w:cstheme="majorHAnsi"/>
          <w:sz w:val="24"/>
          <w:szCs w:val="24"/>
          <w:lang w:val="ru-MD"/>
        </w:rPr>
        <w:t>ы</w:t>
      </w:r>
      <w:r w:rsidR="00B332D0" w:rsidRPr="00616E0D">
        <w:rPr>
          <w:rFonts w:asciiTheme="majorHAnsi" w:eastAsia="Times New Roman" w:hAnsiTheme="majorHAnsi" w:cstheme="majorHAnsi"/>
          <w:sz w:val="24"/>
          <w:szCs w:val="24"/>
          <w:lang w:val="ru-MD"/>
        </w:rPr>
        <w:t>.</w:t>
      </w:r>
    </w:p>
    <w:p w:rsidR="00C77062" w:rsidRPr="00616E0D" w:rsidRDefault="00C77062" w:rsidP="008E4D74">
      <w:pPr>
        <w:spacing w:after="0" w:line="276" w:lineRule="auto"/>
        <w:rPr>
          <w:rFonts w:ascii="Calibri Light" w:hAnsi="Calibri Light" w:cstheme="majorHAnsi"/>
          <w:b/>
          <w:sz w:val="24"/>
          <w:szCs w:val="24"/>
          <w:lang w:val="ru-MD"/>
        </w:rPr>
      </w:pPr>
      <w:r w:rsidRPr="00616E0D">
        <w:rPr>
          <w:rFonts w:asciiTheme="majorHAnsi" w:hAnsiTheme="majorHAnsi" w:cstheme="majorHAnsi"/>
          <w:b/>
          <w:sz w:val="24"/>
          <w:szCs w:val="24"/>
          <w:lang w:val="ru-MD"/>
        </w:rPr>
        <w:t xml:space="preserve">6.2. </w:t>
      </w:r>
      <w:r w:rsidR="008E4D74" w:rsidRPr="00616E0D">
        <w:rPr>
          <w:rFonts w:ascii="Calibri Light" w:eastAsia="Times New Roman" w:hAnsi="Calibri Light" w:cstheme="majorHAnsi"/>
          <w:b/>
          <w:sz w:val="24"/>
          <w:szCs w:val="24"/>
          <w:lang w:val="ru-MD"/>
        </w:rPr>
        <w:t>В</w:t>
      </w:r>
      <w:r w:rsidR="008E4D74" w:rsidRPr="00616E0D">
        <w:rPr>
          <w:rFonts w:ascii="Calibri Light" w:hAnsi="Calibri Light" w:cstheme="majorHAnsi"/>
          <w:b/>
          <w:sz w:val="24"/>
          <w:szCs w:val="24"/>
          <w:lang w:val="ru-MD"/>
        </w:rPr>
        <w:t>нутренний аудит оценил лишь один процесс по исполнению средств из ГБ</w:t>
      </w:r>
      <w:r w:rsidR="00926C1C" w:rsidRPr="00616E0D">
        <w:rPr>
          <w:rFonts w:asciiTheme="majorHAnsi" w:hAnsiTheme="majorHAnsi" w:cstheme="majorHAnsi"/>
          <w:b/>
          <w:sz w:val="24"/>
          <w:szCs w:val="24"/>
          <w:lang w:val="ru-MD"/>
        </w:rPr>
        <w:t>.</w:t>
      </w:r>
    </w:p>
    <w:p w:rsidR="00952637" w:rsidRPr="00616E0D" w:rsidRDefault="008E4D74" w:rsidP="00A158CE">
      <w:pPr>
        <w:spacing w:after="0"/>
        <w:rPr>
          <w:rFonts w:asciiTheme="majorHAnsi" w:hAnsiTheme="majorHAnsi" w:cstheme="majorHAnsi"/>
          <w:sz w:val="24"/>
          <w:szCs w:val="24"/>
          <w:lang w:val="ru-MD"/>
        </w:rPr>
      </w:pPr>
      <w:r w:rsidRPr="00616E0D">
        <w:rPr>
          <w:rFonts w:asciiTheme="majorHAnsi" w:hAnsiTheme="majorHAnsi" w:cstheme="majorHAnsi"/>
          <w:sz w:val="24"/>
          <w:szCs w:val="24"/>
          <w:lang w:val="ru-MD"/>
        </w:rPr>
        <w:t xml:space="preserve">Согласно </w:t>
      </w:r>
      <w:r w:rsidR="00285D44" w:rsidRPr="00616E0D">
        <w:rPr>
          <w:rFonts w:asciiTheme="majorHAnsi" w:hAnsiTheme="majorHAnsi" w:cstheme="majorHAnsi"/>
          <w:sz w:val="24"/>
          <w:szCs w:val="24"/>
          <w:lang w:val="ru-MD"/>
        </w:rPr>
        <w:t>О</w:t>
      </w:r>
      <w:r w:rsidRPr="00616E0D">
        <w:rPr>
          <w:rFonts w:asciiTheme="majorHAnsi" w:hAnsiTheme="majorHAnsi" w:cstheme="majorHAnsi"/>
          <w:sz w:val="24"/>
          <w:szCs w:val="24"/>
          <w:lang w:val="ru-MD"/>
        </w:rPr>
        <w:t xml:space="preserve">тчету о деятельности внутреннего аудита </w:t>
      </w:r>
      <w:r w:rsidR="00285D44" w:rsidRPr="00616E0D">
        <w:rPr>
          <w:rFonts w:asciiTheme="majorHAnsi" w:hAnsiTheme="majorHAnsi" w:cstheme="majorHAnsi"/>
          <w:sz w:val="24"/>
          <w:szCs w:val="24"/>
          <w:lang w:val="ru-MD"/>
        </w:rPr>
        <w:t>з</w:t>
      </w:r>
      <w:r w:rsidRPr="00616E0D">
        <w:rPr>
          <w:rFonts w:asciiTheme="majorHAnsi" w:hAnsiTheme="majorHAnsi" w:cstheme="majorHAnsi"/>
          <w:sz w:val="24"/>
          <w:szCs w:val="24"/>
          <w:lang w:val="ru-MD"/>
        </w:rPr>
        <w:t xml:space="preserve">а 2020 год, </w:t>
      </w:r>
      <w:r w:rsidR="00285D44" w:rsidRPr="00616E0D">
        <w:rPr>
          <w:rFonts w:asciiTheme="majorHAnsi" w:hAnsiTheme="majorHAnsi" w:cstheme="majorHAnsi"/>
          <w:sz w:val="24"/>
          <w:szCs w:val="24"/>
          <w:lang w:val="ru-MD"/>
        </w:rPr>
        <w:t>СВА МФ</w:t>
      </w:r>
      <w:r w:rsidRPr="00616E0D">
        <w:rPr>
          <w:rFonts w:asciiTheme="majorHAnsi" w:hAnsiTheme="majorHAnsi" w:cstheme="majorHAnsi"/>
          <w:sz w:val="24"/>
          <w:szCs w:val="24"/>
          <w:lang w:val="ru-MD"/>
        </w:rPr>
        <w:t xml:space="preserve"> провела 6 аудиторских миссий: </w:t>
      </w:r>
      <w:r w:rsidR="00285D44" w:rsidRPr="00616E0D">
        <w:rPr>
          <w:rFonts w:asciiTheme="majorHAnsi" w:hAnsiTheme="majorHAnsi" w:cstheme="majorHAnsi"/>
          <w:sz w:val="24"/>
          <w:szCs w:val="24"/>
          <w:lang w:val="ru-MD"/>
        </w:rPr>
        <w:t xml:space="preserve">один финансовый </w:t>
      </w:r>
      <w:r w:rsidRPr="00616E0D">
        <w:rPr>
          <w:rFonts w:asciiTheme="majorHAnsi" w:hAnsiTheme="majorHAnsi" w:cstheme="majorHAnsi"/>
          <w:sz w:val="24"/>
          <w:szCs w:val="24"/>
          <w:lang w:val="ru-MD"/>
        </w:rPr>
        <w:t>аудит, 3</w:t>
      </w:r>
      <w:r w:rsidR="00285D44" w:rsidRPr="00616E0D">
        <w:rPr>
          <w:rFonts w:asciiTheme="majorHAnsi" w:hAnsiTheme="majorHAnsi" w:cstheme="majorHAnsi"/>
          <w:sz w:val="24"/>
          <w:szCs w:val="24"/>
          <w:lang w:val="ru-MD"/>
        </w:rPr>
        <w:t xml:space="preserve"> </w:t>
      </w:r>
      <w:r w:rsidRPr="00616E0D">
        <w:rPr>
          <w:rFonts w:asciiTheme="majorHAnsi" w:hAnsiTheme="majorHAnsi" w:cstheme="majorHAnsi"/>
          <w:sz w:val="24"/>
          <w:szCs w:val="24"/>
          <w:lang w:val="ru-MD"/>
        </w:rPr>
        <w:t>систем</w:t>
      </w:r>
      <w:r w:rsidR="00285D44" w:rsidRPr="00616E0D">
        <w:rPr>
          <w:rFonts w:asciiTheme="majorHAnsi" w:hAnsiTheme="majorHAnsi" w:cstheme="majorHAnsi"/>
          <w:sz w:val="24"/>
          <w:szCs w:val="24"/>
          <w:lang w:val="ru-MD"/>
        </w:rPr>
        <w:t>н</w:t>
      </w:r>
      <w:r w:rsidRPr="00616E0D">
        <w:rPr>
          <w:rFonts w:asciiTheme="majorHAnsi" w:hAnsiTheme="majorHAnsi" w:cstheme="majorHAnsi"/>
          <w:sz w:val="24"/>
          <w:szCs w:val="24"/>
          <w:lang w:val="ru-MD"/>
        </w:rPr>
        <w:t>ы</w:t>
      </w:r>
      <w:r w:rsidR="00285D44" w:rsidRPr="00616E0D">
        <w:rPr>
          <w:rFonts w:asciiTheme="majorHAnsi" w:hAnsiTheme="majorHAnsi" w:cstheme="majorHAnsi"/>
          <w:sz w:val="24"/>
          <w:szCs w:val="24"/>
          <w:lang w:val="ru-MD"/>
        </w:rPr>
        <w:t>х аудита</w:t>
      </w:r>
      <w:r w:rsidRPr="00616E0D">
        <w:rPr>
          <w:rFonts w:asciiTheme="majorHAnsi" w:hAnsiTheme="majorHAnsi" w:cstheme="majorHAnsi"/>
          <w:sz w:val="24"/>
          <w:szCs w:val="24"/>
          <w:lang w:val="ru-MD"/>
        </w:rPr>
        <w:t>, и 2-консульт</w:t>
      </w:r>
      <w:r w:rsidR="00285D44" w:rsidRPr="00616E0D">
        <w:rPr>
          <w:rFonts w:asciiTheme="majorHAnsi" w:hAnsiTheme="majorHAnsi" w:cstheme="majorHAnsi"/>
          <w:sz w:val="24"/>
          <w:szCs w:val="24"/>
          <w:lang w:val="ru-MD"/>
        </w:rPr>
        <w:t>ативные</w:t>
      </w:r>
      <w:r w:rsidRPr="00616E0D">
        <w:rPr>
          <w:rFonts w:asciiTheme="majorHAnsi" w:hAnsiTheme="majorHAnsi" w:cstheme="majorHAnsi"/>
          <w:sz w:val="24"/>
          <w:szCs w:val="24"/>
          <w:lang w:val="ru-MD"/>
        </w:rPr>
        <w:t>. Так, были оценены риски, с</w:t>
      </w:r>
      <w:r w:rsidR="00116772" w:rsidRPr="00616E0D">
        <w:rPr>
          <w:rFonts w:asciiTheme="majorHAnsi" w:hAnsiTheme="majorHAnsi" w:cstheme="majorHAnsi"/>
          <w:sz w:val="24"/>
          <w:szCs w:val="24"/>
          <w:lang w:val="ru-MD"/>
        </w:rPr>
        <w:t>опутствующие</w:t>
      </w:r>
      <w:r w:rsidRPr="00616E0D">
        <w:rPr>
          <w:rFonts w:asciiTheme="majorHAnsi" w:hAnsiTheme="majorHAnsi" w:cstheme="majorHAnsi"/>
          <w:sz w:val="24"/>
          <w:szCs w:val="24"/>
          <w:lang w:val="ru-MD"/>
        </w:rPr>
        <w:t xml:space="preserve"> операционным процессам, связанным с государственными закупками, </w:t>
      </w:r>
      <w:r w:rsidR="00116772" w:rsidRPr="00616E0D">
        <w:rPr>
          <w:rFonts w:asciiTheme="majorHAnsi" w:hAnsiTheme="majorHAnsi" w:cstheme="majorHAnsi"/>
          <w:sz w:val="24"/>
          <w:szCs w:val="24"/>
          <w:lang w:val="ru-MD"/>
        </w:rPr>
        <w:t>о</w:t>
      </w:r>
      <w:r w:rsidRPr="00616E0D">
        <w:rPr>
          <w:rFonts w:asciiTheme="majorHAnsi" w:hAnsiTheme="majorHAnsi" w:cstheme="majorHAnsi"/>
          <w:sz w:val="24"/>
          <w:szCs w:val="24"/>
          <w:lang w:val="ru-MD"/>
        </w:rPr>
        <w:t>платой</w:t>
      </w:r>
      <w:r w:rsidR="00116772" w:rsidRPr="00616E0D">
        <w:rPr>
          <w:rFonts w:asciiTheme="majorHAnsi" w:hAnsiTheme="majorHAnsi" w:cstheme="majorHAnsi"/>
          <w:sz w:val="24"/>
          <w:szCs w:val="24"/>
          <w:lang w:val="ru-MD"/>
        </w:rPr>
        <w:t xml:space="preserve"> труда</w:t>
      </w:r>
      <w:r w:rsidRPr="00616E0D">
        <w:rPr>
          <w:rFonts w:asciiTheme="majorHAnsi" w:hAnsiTheme="majorHAnsi" w:cstheme="majorHAnsi"/>
          <w:sz w:val="24"/>
          <w:szCs w:val="24"/>
          <w:lang w:val="ru-MD"/>
        </w:rPr>
        <w:t>, служебны</w:t>
      </w:r>
      <w:r w:rsidR="00116772" w:rsidRPr="00616E0D">
        <w:rPr>
          <w:rFonts w:asciiTheme="majorHAnsi" w:hAnsiTheme="majorHAnsi" w:cstheme="majorHAnsi"/>
          <w:sz w:val="24"/>
          <w:szCs w:val="24"/>
          <w:lang w:val="ru-MD"/>
        </w:rPr>
        <w:t>ми командировками</w:t>
      </w:r>
      <w:r w:rsidRPr="00616E0D">
        <w:rPr>
          <w:rFonts w:asciiTheme="majorHAnsi" w:hAnsiTheme="majorHAnsi" w:cstheme="majorHAnsi"/>
          <w:sz w:val="24"/>
          <w:szCs w:val="24"/>
          <w:lang w:val="ru-MD"/>
        </w:rPr>
        <w:t xml:space="preserve"> сотрудников МФ и процессом продвижения нормативных актов структурными подразделениями МФ. Аудит</w:t>
      </w:r>
      <w:r w:rsidR="00116772" w:rsidRPr="00616E0D">
        <w:rPr>
          <w:rFonts w:asciiTheme="majorHAnsi" w:hAnsiTheme="majorHAnsi" w:cstheme="majorHAnsi"/>
          <w:sz w:val="24"/>
          <w:szCs w:val="24"/>
          <w:lang w:val="ru-MD"/>
        </w:rPr>
        <w:t>ом установлено</w:t>
      </w:r>
      <w:r w:rsidRPr="00616E0D">
        <w:rPr>
          <w:rFonts w:asciiTheme="majorHAnsi" w:hAnsiTheme="majorHAnsi" w:cstheme="majorHAnsi"/>
          <w:sz w:val="24"/>
          <w:szCs w:val="24"/>
          <w:lang w:val="ru-MD"/>
        </w:rPr>
        <w:t xml:space="preserve">, что третий год подряд </w:t>
      </w:r>
      <w:r w:rsidR="00116772" w:rsidRPr="00616E0D">
        <w:rPr>
          <w:rFonts w:asciiTheme="majorHAnsi" w:hAnsiTheme="majorHAnsi" w:cstheme="majorHAnsi"/>
          <w:sz w:val="24"/>
          <w:szCs w:val="24"/>
          <w:lang w:val="ru-MD"/>
        </w:rPr>
        <w:t>СВА</w:t>
      </w:r>
      <w:r w:rsidRPr="00616E0D">
        <w:rPr>
          <w:rFonts w:asciiTheme="majorHAnsi" w:hAnsiTheme="majorHAnsi" w:cstheme="majorHAnsi"/>
          <w:sz w:val="24"/>
          <w:szCs w:val="24"/>
          <w:lang w:val="ru-MD"/>
        </w:rPr>
        <w:t xml:space="preserve"> не п</w:t>
      </w:r>
      <w:r w:rsidR="00116772" w:rsidRPr="00616E0D">
        <w:rPr>
          <w:rFonts w:asciiTheme="majorHAnsi" w:hAnsiTheme="majorHAnsi" w:cstheme="majorHAnsi"/>
          <w:sz w:val="24"/>
          <w:szCs w:val="24"/>
          <w:lang w:val="ru-MD"/>
        </w:rPr>
        <w:t>одвергает</w:t>
      </w:r>
      <w:r w:rsidRPr="00616E0D">
        <w:rPr>
          <w:rFonts w:asciiTheme="majorHAnsi" w:hAnsiTheme="majorHAnsi" w:cstheme="majorHAnsi"/>
          <w:sz w:val="24"/>
          <w:szCs w:val="24"/>
          <w:lang w:val="ru-MD"/>
        </w:rPr>
        <w:t xml:space="preserve"> аудит</w:t>
      </w:r>
      <w:r w:rsidR="00116772" w:rsidRPr="00616E0D">
        <w:rPr>
          <w:rFonts w:asciiTheme="majorHAnsi" w:hAnsiTheme="majorHAnsi" w:cstheme="majorHAnsi"/>
          <w:sz w:val="24"/>
          <w:szCs w:val="24"/>
          <w:lang w:val="ru-MD"/>
        </w:rPr>
        <w:t>у</w:t>
      </w:r>
      <w:r w:rsidRPr="00616E0D">
        <w:rPr>
          <w:rFonts w:asciiTheme="majorHAnsi" w:hAnsiTheme="majorHAnsi" w:cstheme="majorHAnsi"/>
          <w:sz w:val="24"/>
          <w:szCs w:val="24"/>
          <w:lang w:val="ru-MD"/>
        </w:rPr>
        <w:t xml:space="preserve"> процесс</w:t>
      </w:r>
      <w:r w:rsidR="00116772" w:rsidRPr="00616E0D">
        <w:rPr>
          <w:rFonts w:asciiTheme="majorHAnsi" w:hAnsiTheme="majorHAnsi" w:cstheme="majorHAnsi"/>
          <w:sz w:val="24"/>
          <w:szCs w:val="24"/>
          <w:lang w:val="ru-MD"/>
        </w:rPr>
        <w:t>ы</w:t>
      </w:r>
      <w:r w:rsidRPr="00616E0D">
        <w:rPr>
          <w:rFonts w:asciiTheme="majorHAnsi" w:hAnsiTheme="majorHAnsi" w:cstheme="majorHAnsi"/>
          <w:sz w:val="24"/>
          <w:szCs w:val="24"/>
          <w:lang w:val="ru-MD"/>
        </w:rPr>
        <w:t>, связанны</w:t>
      </w:r>
      <w:r w:rsidR="00116772" w:rsidRPr="00616E0D">
        <w:rPr>
          <w:rFonts w:asciiTheme="majorHAnsi" w:hAnsiTheme="majorHAnsi" w:cstheme="majorHAnsi"/>
          <w:sz w:val="24"/>
          <w:szCs w:val="24"/>
          <w:lang w:val="ru-MD"/>
        </w:rPr>
        <w:t>е</w:t>
      </w:r>
      <w:r w:rsidRPr="00616E0D">
        <w:rPr>
          <w:rFonts w:asciiTheme="majorHAnsi" w:hAnsiTheme="majorHAnsi" w:cstheme="majorHAnsi"/>
          <w:sz w:val="24"/>
          <w:szCs w:val="24"/>
          <w:lang w:val="ru-MD"/>
        </w:rPr>
        <w:t xml:space="preserve"> с планированием/исполнением/отчетностью </w:t>
      </w:r>
      <w:r w:rsidR="00116772" w:rsidRPr="00616E0D">
        <w:rPr>
          <w:rFonts w:asciiTheme="majorHAnsi" w:hAnsiTheme="majorHAnsi" w:cstheme="majorHAnsi"/>
          <w:sz w:val="24"/>
          <w:szCs w:val="24"/>
          <w:lang w:val="ru-MD"/>
        </w:rPr>
        <w:t>ГБ</w:t>
      </w:r>
      <w:r w:rsidRPr="00616E0D">
        <w:rPr>
          <w:rFonts w:asciiTheme="majorHAnsi" w:hAnsiTheme="majorHAnsi" w:cstheme="majorHAnsi"/>
          <w:sz w:val="24"/>
          <w:szCs w:val="24"/>
          <w:lang w:val="ru-MD"/>
        </w:rPr>
        <w:t xml:space="preserve">, хотя, согласно </w:t>
      </w:r>
      <w:r w:rsidR="00116772" w:rsidRPr="00616E0D">
        <w:rPr>
          <w:rFonts w:asciiTheme="majorHAnsi" w:hAnsiTheme="majorHAnsi" w:cstheme="majorHAnsi"/>
          <w:sz w:val="24"/>
          <w:szCs w:val="24"/>
          <w:lang w:val="ru-MD"/>
        </w:rPr>
        <w:t>Карте</w:t>
      </w:r>
      <w:r w:rsidRPr="00616E0D">
        <w:rPr>
          <w:rFonts w:asciiTheme="majorHAnsi" w:hAnsiTheme="majorHAnsi" w:cstheme="majorHAnsi"/>
          <w:sz w:val="24"/>
          <w:szCs w:val="24"/>
          <w:lang w:val="ru-MD"/>
        </w:rPr>
        <w:t xml:space="preserve"> внутреннего аудита, </w:t>
      </w:r>
      <w:r w:rsidR="00116772" w:rsidRPr="00616E0D">
        <w:rPr>
          <w:rFonts w:asciiTheme="majorHAnsi" w:hAnsiTheme="majorHAnsi" w:cstheme="majorHAnsi"/>
          <w:sz w:val="24"/>
          <w:szCs w:val="24"/>
          <w:lang w:val="ru-MD"/>
        </w:rPr>
        <w:t>СВА</w:t>
      </w:r>
      <w:r w:rsidRPr="00616E0D">
        <w:rPr>
          <w:rFonts w:asciiTheme="majorHAnsi" w:hAnsiTheme="majorHAnsi" w:cstheme="majorHAnsi"/>
          <w:sz w:val="24"/>
          <w:szCs w:val="24"/>
          <w:lang w:val="ru-MD"/>
        </w:rPr>
        <w:t xml:space="preserve"> </w:t>
      </w:r>
      <w:r w:rsidR="00116772" w:rsidRPr="00616E0D">
        <w:rPr>
          <w:rFonts w:asciiTheme="majorHAnsi" w:hAnsiTheme="majorHAnsi" w:cstheme="majorHAnsi"/>
          <w:sz w:val="24"/>
          <w:szCs w:val="24"/>
          <w:lang w:val="ru-MD"/>
        </w:rPr>
        <w:t>облад</w:t>
      </w:r>
      <w:r w:rsidRPr="00616E0D">
        <w:rPr>
          <w:rFonts w:asciiTheme="majorHAnsi" w:hAnsiTheme="majorHAnsi" w:cstheme="majorHAnsi"/>
          <w:sz w:val="24"/>
          <w:szCs w:val="24"/>
          <w:lang w:val="ru-MD"/>
        </w:rPr>
        <w:t xml:space="preserve">ает всеми необходимыми инструментами для оценки этих процессов. Таким образом, аудит считает целесообразным </w:t>
      </w:r>
      <w:r w:rsidR="00116772" w:rsidRPr="00616E0D">
        <w:rPr>
          <w:rFonts w:asciiTheme="majorHAnsi" w:hAnsiTheme="majorHAnsi" w:cstheme="majorHAnsi"/>
          <w:sz w:val="24"/>
          <w:szCs w:val="24"/>
          <w:lang w:val="ru-MD"/>
        </w:rPr>
        <w:t xml:space="preserve">для СВА проводить </w:t>
      </w:r>
      <w:r w:rsidRPr="00616E0D">
        <w:rPr>
          <w:rFonts w:asciiTheme="majorHAnsi" w:hAnsiTheme="majorHAnsi" w:cstheme="majorHAnsi"/>
          <w:sz w:val="24"/>
          <w:szCs w:val="24"/>
          <w:lang w:val="ru-MD"/>
        </w:rPr>
        <w:t>оцен</w:t>
      </w:r>
      <w:r w:rsidR="00116772" w:rsidRPr="00616E0D">
        <w:rPr>
          <w:rFonts w:asciiTheme="majorHAnsi" w:hAnsiTheme="majorHAnsi" w:cstheme="majorHAnsi"/>
          <w:sz w:val="24"/>
          <w:szCs w:val="24"/>
          <w:lang w:val="ru-MD"/>
        </w:rPr>
        <w:t>ку</w:t>
      </w:r>
      <w:r w:rsidRPr="00616E0D">
        <w:rPr>
          <w:rFonts w:asciiTheme="majorHAnsi" w:hAnsiTheme="majorHAnsi" w:cstheme="majorHAnsi"/>
          <w:sz w:val="24"/>
          <w:szCs w:val="24"/>
          <w:lang w:val="ru-MD"/>
        </w:rPr>
        <w:t xml:space="preserve"> процесс</w:t>
      </w:r>
      <w:r w:rsidR="00116772" w:rsidRPr="00616E0D">
        <w:rPr>
          <w:rFonts w:asciiTheme="majorHAnsi" w:hAnsiTheme="majorHAnsi" w:cstheme="majorHAnsi"/>
          <w:sz w:val="24"/>
          <w:szCs w:val="24"/>
          <w:lang w:val="ru-MD"/>
        </w:rPr>
        <w:t>ов</w:t>
      </w:r>
      <w:r w:rsidRPr="00616E0D">
        <w:rPr>
          <w:rFonts w:asciiTheme="majorHAnsi" w:hAnsiTheme="majorHAnsi" w:cstheme="majorHAnsi"/>
          <w:sz w:val="24"/>
          <w:szCs w:val="24"/>
          <w:lang w:val="ru-MD"/>
        </w:rPr>
        <w:t xml:space="preserve"> по бухгалтерскому учету кассового исполнения средств </w:t>
      </w:r>
      <w:r w:rsidR="00116772" w:rsidRPr="00616E0D">
        <w:rPr>
          <w:rFonts w:asciiTheme="majorHAnsi" w:hAnsiTheme="majorHAnsi" w:cstheme="majorHAnsi"/>
          <w:sz w:val="24"/>
          <w:szCs w:val="24"/>
          <w:lang w:val="ru-MD"/>
        </w:rPr>
        <w:t>ГБ, исходя из</w:t>
      </w:r>
      <w:r w:rsidRPr="00616E0D">
        <w:rPr>
          <w:rFonts w:asciiTheme="majorHAnsi" w:hAnsiTheme="majorHAnsi" w:cstheme="majorHAnsi"/>
          <w:sz w:val="24"/>
          <w:szCs w:val="24"/>
          <w:lang w:val="ru-MD"/>
        </w:rPr>
        <w:t xml:space="preserve"> положений </w:t>
      </w:r>
      <w:r w:rsidR="00116772" w:rsidRPr="00616E0D">
        <w:rPr>
          <w:rFonts w:asciiTheme="majorHAnsi" w:hAnsiTheme="majorHAnsi" w:cstheme="majorHAnsi"/>
          <w:sz w:val="24"/>
          <w:szCs w:val="24"/>
          <w:lang w:val="ru-MD"/>
        </w:rPr>
        <w:t>Карты</w:t>
      </w:r>
      <w:r w:rsidRPr="00616E0D">
        <w:rPr>
          <w:rFonts w:asciiTheme="majorHAnsi" w:hAnsiTheme="majorHAnsi" w:cstheme="majorHAnsi"/>
          <w:sz w:val="24"/>
          <w:szCs w:val="24"/>
          <w:lang w:val="ru-MD"/>
        </w:rPr>
        <w:t xml:space="preserve"> внутреннего аудита, </w:t>
      </w:r>
      <w:r w:rsidR="00116772" w:rsidRPr="00616E0D">
        <w:rPr>
          <w:rFonts w:asciiTheme="majorHAnsi" w:hAnsiTheme="majorHAnsi" w:cstheme="majorHAnsi"/>
          <w:sz w:val="24"/>
          <w:szCs w:val="24"/>
          <w:lang w:val="ru-MD"/>
        </w:rPr>
        <w:t xml:space="preserve">устанавливающих, </w:t>
      </w:r>
      <w:r w:rsidRPr="00616E0D">
        <w:rPr>
          <w:rFonts w:asciiTheme="majorHAnsi" w:hAnsiTheme="majorHAnsi" w:cstheme="majorHAnsi"/>
          <w:sz w:val="24"/>
          <w:szCs w:val="24"/>
          <w:lang w:val="ru-MD"/>
        </w:rPr>
        <w:t xml:space="preserve">что не реже одного раза в три года </w:t>
      </w:r>
      <w:r w:rsidR="00116772" w:rsidRPr="00616E0D">
        <w:rPr>
          <w:rFonts w:asciiTheme="majorHAnsi" w:hAnsiTheme="majorHAnsi" w:cstheme="majorHAnsi"/>
          <w:sz w:val="24"/>
          <w:szCs w:val="24"/>
          <w:lang w:val="ru-MD"/>
        </w:rPr>
        <w:t xml:space="preserve">необходимо </w:t>
      </w:r>
      <w:r w:rsidRPr="00616E0D">
        <w:rPr>
          <w:rFonts w:asciiTheme="majorHAnsi" w:hAnsiTheme="majorHAnsi" w:cstheme="majorHAnsi"/>
          <w:sz w:val="24"/>
          <w:szCs w:val="24"/>
          <w:lang w:val="ru-MD"/>
        </w:rPr>
        <w:t xml:space="preserve">оценивать процессы с высоким риском для финансово-бухгалтерской области и цели, поставленной в </w:t>
      </w:r>
      <w:r w:rsidR="00116772" w:rsidRPr="00616E0D">
        <w:rPr>
          <w:rFonts w:asciiTheme="majorHAnsi" w:hAnsiTheme="majorHAnsi" w:cstheme="majorHAnsi"/>
          <w:sz w:val="24"/>
          <w:szCs w:val="24"/>
          <w:lang w:val="ru-MD"/>
        </w:rPr>
        <w:t>С</w:t>
      </w:r>
      <w:r w:rsidRPr="00616E0D">
        <w:rPr>
          <w:rFonts w:asciiTheme="majorHAnsi" w:hAnsiTheme="majorHAnsi" w:cstheme="majorHAnsi"/>
          <w:sz w:val="24"/>
          <w:szCs w:val="24"/>
          <w:lang w:val="ru-MD"/>
        </w:rPr>
        <w:t>тратегическом плане на 2019-2021 годы</w:t>
      </w:r>
      <w:r w:rsidR="00952637" w:rsidRPr="00616E0D">
        <w:rPr>
          <w:rStyle w:val="FootnoteReference"/>
          <w:rFonts w:asciiTheme="majorHAnsi" w:hAnsiTheme="majorHAnsi" w:cstheme="majorHAnsi"/>
          <w:sz w:val="24"/>
          <w:szCs w:val="24"/>
          <w:lang w:val="ru-MD"/>
        </w:rPr>
        <w:footnoteReference w:id="22"/>
      </w:r>
      <w:r w:rsidR="00952637" w:rsidRPr="00616E0D">
        <w:rPr>
          <w:rFonts w:asciiTheme="majorHAnsi" w:hAnsiTheme="majorHAnsi" w:cstheme="majorHAnsi"/>
          <w:sz w:val="24"/>
          <w:szCs w:val="24"/>
          <w:lang w:val="ru-MD"/>
        </w:rPr>
        <w:t>.</w:t>
      </w:r>
    </w:p>
    <w:p w:rsidR="00C77062" w:rsidRPr="00E97D2C" w:rsidRDefault="00C77062" w:rsidP="00C77062">
      <w:pPr>
        <w:tabs>
          <w:tab w:val="left" w:pos="426"/>
        </w:tabs>
        <w:spacing w:after="0" w:line="276" w:lineRule="auto"/>
        <w:contextualSpacing/>
        <w:jc w:val="left"/>
        <w:outlineLvl w:val="0"/>
        <w:rPr>
          <w:rFonts w:asciiTheme="majorHAnsi" w:hAnsiTheme="majorHAnsi" w:cstheme="majorHAnsi"/>
          <w:b/>
          <w:szCs w:val="28"/>
          <w:lang w:val="ru-MD"/>
        </w:rPr>
      </w:pPr>
      <w:r w:rsidRPr="00F55BA6">
        <w:rPr>
          <w:rFonts w:asciiTheme="majorHAnsi" w:hAnsiTheme="majorHAnsi" w:cstheme="majorHAnsi"/>
          <w:b/>
          <w:sz w:val="24"/>
          <w:szCs w:val="24"/>
          <w:lang w:val="ro-RO"/>
        </w:rPr>
        <w:t xml:space="preserve">6.3. </w:t>
      </w:r>
      <w:r w:rsidR="008E4D74" w:rsidRPr="00E97D2C">
        <w:rPr>
          <w:rFonts w:asciiTheme="majorHAnsi" w:hAnsiTheme="majorHAnsi" w:cstheme="majorHAnsi"/>
          <w:b/>
          <w:sz w:val="24"/>
          <w:szCs w:val="24"/>
          <w:lang w:val="ru-MD"/>
        </w:rPr>
        <w:t>Частичное выполнение рекомендаций предыдущих аудиторских миссий</w:t>
      </w:r>
    </w:p>
    <w:p w:rsidR="00D24FA0" w:rsidRPr="008D7DE1" w:rsidRDefault="00037C1C" w:rsidP="00D24FA0">
      <w:pPr>
        <w:spacing w:after="0" w:line="276" w:lineRule="auto"/>
        <w:rPr>
          <w:rFonts w:ascii="Calibri Light" w:eastAsia="Calibri" w:hAnsi="Calibri Light" w:cs="Calibri Light"/>
          <w:sz w:val="24"/>
          <w:szCs w:val="24"/>
          <w:lang w:val="ru-MD"/>
        </w:rPr>
      </w:pPr>
      <w:r w:rsidRPr="00E97D2C">
        <w:rPr>
          <w:rFonts w:asciiTheme="majorHAnsi" w:hAnsiTheme="majorHAnsi" w:cs="Times New Roman"/>
          <w:sz w:val="24"/>
          <w:szCs w:val="24"/>
          <w:lang w:val="ru-MD"/>
        </w:rPr>
        <w:t xml:space="preserve">Постановлением </w:t>
      </w:r>
      <w:r w:rsidR="0009467A" w:rsidRPr="00E97D2C">
        <w:rPr>
          <w:rFonts w:asciiTheme="majorHAnsi" w:hAnsiTheme="majorHAnsi" w:cs="Times New Roman"/>
          <w:sz w:val="24"/>
          <w:szCs w:val="24"/>
          <w:lang w:val="ru-MD"/>
        </w:rPr>
        <w:t>Счетной палаты №38 от 28.07.2020</w:t>
      </w:r>
      <w:r w:rsidRPr="00E97D2C">
        <w:rPr>
          <w:rFonts w:asciiTheme="majorHAnsi" w:hAnsiTheme="majorHAnsi" w:cs="Times New Roman"/>
          <w:sz w:val="24"/>
          <w:szCs w:val="24"/>
          <w:vertAlign w:val="superscript"/>
          <w:lang w:val="ru-MD"/>
        </w:rPr>
        <w:footnoteReference w:id="23"/>
      </w:r>
      <w:r w:rsidR="0009467A" w:rsidRPr="00E97D2C">
        <w:rPr>
          <w:rFonts w:asciiTheme="majorHAnsi" w:hAnsiTheme="majorHAnsi" w:cs="Times New Roman"/>
          <w:sz w:val="24"/>
          <w:szCs w:val="24"/>
          <w:lang w:val="ru-MD"/>
        </w:rPr>
        <w:t xml:space="preserve"> МФ было </w:t>
      </w:r>
      <w:r w:rsidRPr="00E97D2C">
        <w:rPr>
          <w:rFonts w:asciiTheme="majorHAnsi" w:hAnsiTheme="majorHAnsi" w:cs="Times New Roman"/>
          <w:sz w:val="24"/>
          <w:szCs w:val="24"/>
          <w:lang w:val="ru-MD"/>
        </w:rPr>
        <w:t>направлен</w:t>
      </w:r>
      <w:r w:rsidR="0009467A" w:rsidRPr="00E97D2C">
        <w:rPr>
          <w:rFonts w:asciiTheme="majorHAnsi" w:hAnsiTheme="majorHAnsi" w:cs="Times New Roman"/>
          <w:sz w:val="24"/>
          <w:szCs w:val="24"/>
          <w:lang w:val="ru-MD"/>
        </w:rPr>
        <w:t xml:space="preserve">о 10 рекомендаций (в том числе </w:t>
      </w:r>
      <w:r w:rsidRPr="00E97D2C">
        <w:rPr>
          <w:rFonts w:asciiTheme="majorHAnsi" w:hAnsiTheme="majorHAnsi" w:cs="Times New Roman"/>
          <w:sz w:val="24"/>
          <w:szCs w:val="24"/>
          <w:lang w:val="ru-MD"/>
        </w:rPr>
        <w:t xml:space="preserve">повторно </w:t>
      </w:r>
      <w:r w:rsidR="0009467A" w:rsidRPr="00E97D2C">
        <w:rPr>
          <w:rFonts w:asciiTheme="majorHAnsi" w:hAnsiTheme="majorHAnsi" w:cs="Times New Roman"/>
          <w:sz w:val="24"/>
          <w:szCs w:val="24"/>
          <w:lang w:val="ru-MD"/>
        </w:rPr>
        <w:t xml:space="preserve">4 рекомендации предыдущего года), из которых 5 были </w:t>
      </w:r>
      <w:r w:rsidRPr="00E97D2C">
        <w:rPr>
          <w:rFonts w:asciiTheme="majorHAnsi" w:hAnsiTheme="majorHAnsi" w:cs="Times New Roman"/>
          <w:sz w:val="24"/>
          <w:szCs w:val="24"/>
          <w:lang w:val="ru-MD"/>
        </w:rPr>
        <w:t>выполне</w:t>
      </w:r>
      <w:r w:rsidR="0009467A" w:rsidRPr="00E97D2C">
        <w:rPr>
          <w:rFonts w:asciiTheme="majorHAnsi" w:hAnsiTheme="majorHAnsi" w:cs="Times New Roman"/>
          <w:sz w:val="24"/>
          <w:szCs w:val="24"/>
          <w:lang w:val="ru-MD"/>
        </w:rPr>
        <w:t xml:space="preserve">ны и 5 частично реализованы. Рекомендации были оценены аудитом как частично </w:t>
      </w:r>
      <w:r w:rsidRPr="00E97D2C">
        <w:rPr>
          <w:rFonts w:asciiTheme="majorHAnsi" w:hAnsiTheme="majorHAnsi" w:cs="Times New Roman"/>
          <w:sz w:val="24"/>
          <w:szCs w:val="24"/>
          <w:lang w:val="ru-MD"/>
        </w:rPr>
        <w:t>выполне</w:t>
      </w:r>
      <w:r w:rsidR="0009467A" w:rsidRPr="00E97D2C">
        <w:rPr>
          <w:rFonts w:asciiTheme="majorHAnsi" w:hAnsiTheme="majorHAnsi" w:cs="Times New Roman"/>
          <w:sz w:val="24"/>
          <w:szCs w:val="24"/>
          <w:lang w:val="ru-MD"/>
        </w:rPr>
        <w:t xml:space="preserve">нные, </w:t>
      </w:r>
      <w:r w:rsidRPr="00E97D2C">
        <w:rPr>
          <w:rFonts w:asciiTheme="majorHAnsi" w:hAnsiTheme="majorHAnsi" w:cs="Times New Roman"/>
          <w:sz w:val="24"/>
          <w:szCs w:val="24"/>
          <w:lang w:val="ru-MD"/>
        </w:rPr>
        <w:t xml:space="preserve">поскольку, согласно </w:t>
      </w:r>
      <w:proofErr w:type="gramStart"/>
      <w:r w:rsidR="0009467A" w:rsidRPr="00E97D2C">
        <w:rPr>
          <w:rFonts w:asciiTheme="majorHAnsi" w:hAnsiTheme="majorHAnsi" w:cs="Times New Roman"/>
          <w:sz w:val="24"/>
          <w:szCs w:val="24"/>
          <w:lang w:val="ru-MD"/>
        </w:rPr>
        <w:t>ответ</w:t>
      </w:r>
      <w:r w:rsidRPr="00E97D2C">
        <w:rPr>
          <w:rFonts w:asciiTheme="majorHAnsi" w:hAnsiTheme="majorHAnsi" w:cs="Times New Roman"/>
          <w:sz w:val="24"/>
          <w:szCs w:val="24"/>
          <w:lang w:val="ru-MD"/>
        </w:rPr>
        <w:t>у</w:t>
      </w:r>
      <w:proofErr w:type="gramEnd"/>
      <w:r w:rsidR="0009467A" w:rsidRPr="00E97D2C">
        <w:rPr>
          <w:rFonts w:asciiTheme="majorHAnsi" w:hAnsiTheme="majorHAnsi" w:cs="Times New Roman"/>
          <w:sz w:val="24"/>
          <w:szCs w:val="24"/>
          <w:lang w:val="ru-MD"/>
        </w:rPr>
        <w:t xml:space="preserve"> на запрос аудиторской группы о внедрени</w:t>
      </w:r>
      <w:r w:rsidRPr="00E97D2C">
        <w:rPr>
          <w:rFonts w:asciiTheme="majorHAnsi" w:hAnsiTheme="majorHAnsi" w:cs="Times New Roman"/>
          <w:sz w:val="24"/>
          <w:szCs w:val="24"/>
          <w:lang w:val="ru-MD"/>
        </w:rPr>
        <w:t>и</w:t>
      </w:r>
      <w:r w:rsidR="0009467A" w:rsidRPr="00E97D2C">
        <w:rPr>
          <w:rFonts w:asciiTheme="majorHAnsi" w:hAnsiTheme="majorHAnsi" w:cs="Times New Roman"/>
          <w:sz w:val="24"/>
          <w:szCs w:val="24"/>
          <w:lang w:val="ru-MD"/>
        </w:rPr>
        <w:t xml:space="preserve"> рекомендаций</w:t>
      </w:r>
      <w:r w:rsidRPr="00E97D2C">
        <w:rPr>
          <w:rFonts w:asciiTheme="majorHAnsi" w:hAnsiTheme="majorHAnsi" w:cs="Times New Roman"/>
          <w:sz w:val="24"/>
          <w:szCs w:val="24"/>
          <w:lang w:val="ru-MD"/>
        </w:rPr>
        <w:t>,</w:t>
      </w:r>
      <w:r w:rsidR="0009467A" w:rsidRPr="00E97D2C">
        <w:rPr>
          <w:rFonts w:asciiTheme="majorHAnsi" w:hAnsiTheme="majorHAnsi" w:cs="Times New Roman"/>
          <w:sz w:val="24"/>
          <w:szCs w:val="24"/>
          <w:lang w:val="ru-MD"/>
        </w:rPr>
        <w:t xml:space="preserve"> МФ разработал</w:t>
      </w:r>
      <w:r w:rsidRPr="00E97D2C">
        <w:rPr>
          <w:rFonts w:asciiTheme="majorHAnsi" w:hAnsiTheme="majorHAnsi" w:cs="Times New Roman"/>
          <w:sz w:val="24"/>
          <w:szCs w:val="24"/>
          <w:lang w:val="ru-MD"/>
        </w:rPr>
        <w:t>о</w:t>
      </w:r>
      <w:r w:rsidR="0009467A" w:rsidRPr="00E97D2C">
        <w:rPr>
          <w:rFonts w:asciiTheme="majorHAnsi" w:hAnsiTheme="majorHAnsi" w:cs="Times New Roman"/>
          <w:sz w:val="24"/>
          <w:szCs w:val="24"/>
          <w:lang w:val="ru-MD"/>
        </w:rPr>
        <w:t xml:space="preserve"> ряд проектов нормативных актов, которые до </w:t>
      </w:r>
      <w:r w:rsidR="00E97D2C" w:rsidRPr="00E97D2C">
        <w:rPr>
          <w:rFonts w:asciiTheme="majorHAnsi" w:hAnsiTheme="majorHAnsi" w:cs="Times New Roman"/>
          <w:sz w:val="24"/>
          <w:szCs w:val="24"/>
          <w:lang w:val="ru-MD"/>
        </w:rPr>
        <w:t>настоящего времени</w:t>
      </w:r>
      <w:r w:rsidR="0009467A" w:rsidRPr="00E97D2C">
        <w:rPr>
          <w:rFonts w:asciiTheme="majorHAnsi" w:hAnsiTheme="majorHAnsi" w:cs="Times New Roman"/>
          <w:sz w:val="24"/>
          <w:szCs w:val="24"/>
          <w:lang w:val="ru-MD"/>
        </w:rPr>
        <w:t xml:space="preserve"> не были доработаны и находятся на </w:t>
      </w:r>
      <w:r w:rsidR="00E97D2C" w:rsidRPr="00E97D2C">
        <w:rPr>
          <w:rFonts w:asciiTheme="majorHAnsi" w:hAnsiTheme="majorHAnsi" w:cs="Times New Roman"/>
          <w:sz w:val="24"/>
          <w:szCs w:val="24"/>
          <w:lang w:val="ru-MD"/>
        </w:rPr>
        <w:t>этапе</w:t>
      </w:r>
      <w:r w:rsidR="0009467A" w:rsidRPr="00E97D2C">
        <w:rPr>
          <w:rFonts w:asciiTheme="majorHAnsi" w:hAnsiTheme="majorHAnsi" w:cs="Times New Roman"/>
          <w:sz w:val="24"/>
          <w:szCs w:val="24"/>
          <w:lang w:val="ru-MD"/>
        </w:rPr>
        <w:t xml:space="preserve"> разработки или </w:t>
      </w:r>
      <w:r w:rsidR="00E97D2C" w:rsidRPr="00E97D2C">
        <w:rPr>
          <w:rFonts w:asciiTheme="majorHAnsi" w:hAnsiTheme="majorHAnsi" w:cs="Times New Roman"/>
          <w:sz w:val="24"/>
          <w:szCs w:val="24"/>
          <w:lang w:val="ru-MD"/>
        </w:rPr>
        <w:t>согласования</w:t>
      </w:r>
      <w:r w:rsidR="0009467A" w:rsidRPr="00E97D2C">
        <w:rPr>
          <w:rFonts w:asciiTheme="majorHAnsi" w:hAnsiTheme="majorHAnsi" w:cs="Times New Roman"/>
          <w:sz w:val="24"/>
          <w:szCs w:val="24"/>
          <w:lang w:val="ru-MD"/>
        </w:rPr>
        <w:t xml:space="preserve"> в МФ.</w:t>
      </w:r>
      <w:r w:rsidR="00D94803" w:rsidRPr="00F55BA6">
        <w:rPr>
          <w:rFonts w:ascii="Calibri Light" w:eastAsia="Calibri" w:hAnsi="Calibri Light" w:cs="Calibri Light"/>
          <w:sz w:val="24"/>
          <w:szCs w:val="24"/>
          <w:lang w:val="ro-RO"/>
        </w:rPr>
        <w:t xml:space="preserve"> </w:t>
      </w:r>
      <w:r w:rsidR="009A025F" w:rsidRPr="008D7DE1">
        <w:rPr>
          <w:rFonts w:ascii="Calibri Light" w:eastAsia="Calibri" w:hAnsi="Calibri Light" w:cs="Calibri Light"/>
          <w:sz w:val="24"/>
          <w:szCs w:val="24"/>
          <w:lang w:val="ru-MD"/>
        </w:rPr>
        <w:t>Вместе с тем</w:t>
      </w:r>
      <w:r w:rsidR="0009467A" w:rsidRPr="008D7DE1">
        <w:rPr>
          <w:rFonts w:ascii="Calibri Light" w:eastAsia="Calibri" w:hAnsi="Calibri Light" w:cs="Calibri Light"/>
          <w:sz w:val="24"/>
          <w:szCs w:val="24"/>
          <w:lang w:val="ru-MD"/>
        </w:rPr>
        <w:t>, что касается рекомендации аудита</w:t>
      </w:r>
      <w:r w:rsidR="009A025F" w:rsidRPr="008D7DE1">
        <w:rPr>
          <w:rFonts w:ascii="Calibri Light" w:eastAsia="Calibri" w:hAnsi="Calibri Light" w:cs="Calibri Light"/>
          <w:sz w:val="24"/>
          <w:szCs w:val="24"/>
          <w:lang w:val="ru-MD"/>
        </w:rPr>
        <w:t xml:space="preserve"> „</w:t>
      </w:r>
      <w:r w:rsidR="009A025F" w:rsidRPr="008D7DE1">
        <w:rPr>
          <w:rFonts w:ascii="Calibri Light" w:eastAsia="Times New Roman" w:hAnsi="Calibri Light" w:cstheme="majorHAnsi"/>
          <w:sz w:val="24"/>
          <w:szCs w:val="24"/>
          <w:lang w:val="ru-MD"/>
        </w:rPr>
        <w:t>Регламентировать порядок ведения Регистра дебиторов и порядок учета исполнения санкций и штрафов</w:t>
      </w:r>
      <w:r w:rsidR="009A025F" w:rsidRPr="008D7DE1">
        <w:rPr>
          <w:rFonts w:ascii="Calibri Light" w:eastAsia="Calibri" w:hAnsi="Calibri Light" w:cs="Calibri Light"/>
          <w:sz w:val="24"/>
          <w:szCs w:val="24"/>
          <w:lang w:val="ru-MD"/>
        </w:rPr>
        <w:t>”</w:t>
      </w:r>
      <w:r w:rsidR="0009467A" w:rsidRPr="008D7DE1">
        <w:rPr>
          <w:rFonts w:ascii="Calibri Light" w:eastAsia="Calibri" w:hAnsi="Calibri Light" w:cs="Calibri Light"/>
          <w:sz w:val="24"/>
          <w:szCs w:val="24"/>
          <w:lang w:val="ru-MD"/>
        </w:rPr>
        <w:t xml:space="preserve">, отмечается, что </w:t>
      </w:r>
      <w:r w:rsidR="009A025F" w:rsidRPr="008D7DE1">
        <w:rPr>
          <w:rFonts w:ascii="Calibri Light" w:eastAsia="Calibri" w:hAnsi="Calibri Light" w:cs="Calibri Light"/>
          <w:sz w:val="24"/>
          <w:szCs w:val="24"/>
          <w:lang w:val="ru-MD"/>
        </w:rPr>
        <w:t xml:space="preserve">было принято ПП </w:t>
      </w:r>
      <w:r w:rsidR="0009467A" w:rsidRPr="008D7DE1">
        <w:rPr>
          <w:rFonts w:ascii="Calibri Light" w:eastAsia="Calibri" w:hAnsi="Calibri Light" w:cs="Calibri Light"/>
          <w:sz w:val="24"/>
          <w:szCs w:val="24"/>
          <w:lang w:val="ru-MD"/>
        </w:rPr>
        <w:t>№746/2020 „</w:t>
      </w:r>
      <w:r w:rsidR="009A025F" w:rsidRPr="008D7DE1">
        <w:rPr>
          <w:rFonts w:ascii="Calibri Light" w:eastAsia="Calibri" w:hAnsi="Calibri Light" w:cs="Calibri Light"/>
          <w:bCs/>
          <w:sz w:val="24"/>
          <w:szCs w:val="24"/>
          <w:lang w:val="ru-MD"/>
        </w:rPr>
        <w:t>О порядке представления информации о штрафах за правонарушения в Государственную налоговую службу</w:t>
      </w:r>
      <w:r w:rsidR="0009467A" w:rsidRPr="008D7DE1">
        <w:rPr>
          <w:rFonts w:ascii="Calibri Light" w:eastAsia="Calibri" w:hAnsi="Calibri Light" w:cs="Calibri Light"/>
          <w:sz w:val="24"/>
          <w:szCs w:val="24"/>
          <w:lang w:val="ru-MD"/>
        </w:rPr>
        <w:t>” (в силу с 1 января 2021 года). В 2020 году были на</w:t>
      </w:r>
      <w:r w:rsidR="009A025F" w:rsidRPr="008D7DE1">
        <w:rPr>
          <w:rFonts w:ascii="Calibri Light" w:eastAsia="Calibri" w:hAnsi="Calibri Light" w:cs="Calibri Light"/>
          <w:sz w:val="24"/>
          <w:szCs w:val="24"/>
          <w:lang w:val="ru-MD"/>
        </w:rPr>
        <w:t>коп</w:t>
      </w:r>
      <w:r w:rsidR="0009467A" w:rsidRPr="008D7DE1">
        <w:rPr>
          <w:rFonts w:ascii="Calibri Light" w:eastAsia="Calibri" w:hAnsi="Calibri Light" w:cs="Calibri Light"/>
          <w:sz w:val="24"/>
          <w:szCs w:val="24"/>
          <w:lang w:val="ru-MD"/>
        </w:rPr>
        <w:t xml:space="preserve">лены доходы от штрафов и санкций в размере 276,7 млн. леев, которые были реализованы </w:t>
      </w:r>
      <w:r w:rsidR="009A025F" w:rsidRPr="008D7DE1">
        <w:rPr>
          <w:rFonts w:ascii="Calibri Light" w:eastAsia="Calibri" w:hAnsi="Calibri Light" w:cs="Calibri Light"/>
          <w:sz w:val="24"/>
          <w:szCs w:val="24"/>
          <w:lang w:val="ru-MD"/>
        </w:rPr>
        <w:t>по</w:t>
      </w:r>
      <w:r w:rsidR="0009467A" w:rsidRPr="008D7DE1">
        <w:rPr>
          <w:rFonts w:ascii="Calibri Light" w:eastAsia="Calibri" w:hAnsi="Calibri Light" w:cs="Calibri Light"/>
          <w:sz w:val="24"/>
          <w:szCs w:val="24"/>
          <w:lang w:val="ru-MD"/>
        </w:rPr>
        <w:t xml:space="preserve"> </w:t>
      </w:r>
      <w:r w:rsidR="009A025F" w:rsidRPr="008D7DE1">
        <w:rPr>
          <w:rFonts w:ascii="Calibri Light" w:eastAsia="Calibri" w:hAnsi="Calibri Light" w:cs="Calibri Light"/>
          <w:sz w:val="24"/>
          <w:szCs w:val="24"/>
          <w:lang w:val="ru-MD"/>
        </w:rPr>
        <w:t>отношению к</w:t>
      </w:r>
      <w:r w:rsidR="0009467A" w:rsidRPr="008D7DE1">
        <w:rPr>
          <w:rFonts w:ascii="Calibri Light" w:eastAsia="Calibri" w:hAnsi="Calibri Light" w:cs="Calibri Light"/>
          <w:sz w:val="24"/>
          <w:szCs w:val="24"/>
          <w:lang w:val="ru-MD"/>
        </w:rPr>
        <w:t xml:space="preserve"> годов</w:t>
      </w:r>
      <w:r w:rsidR="009A025F" w:rsidRPr="008D7DE1">
        <w:rPr>
          <w:rFonts w:ascii="Calibri Light" w:eastAsia="Calibri" w:hAnsi="Calibri Light" w:cs="Calibri Light"/>
          <w:sz w:val="24"/>
          <w:szCs w:val="24"/>
          <w:lang w:val="ru-MD"/>
        </w:rPr>
        <w:t>ому</w:t>
      </w:r>
      <w:r w:rsidR="0009467A" w:rsidRPr="008D7DE1">
        <w:rPr>
          <w:rFonts w:ascii="Calibri Light" w:eastAsia="Calibri" w:hAnsi="Calibri Light" w:cs="Calibri Light"/>
          <w:sz w:val="24"/>
          <w:szCs w:val="24"/>
          <w:lang w:val="ru-MD"/>
        </w:rPr>
        <w:t xml:space="preserve"> </w:t>
      </w:r>
      <w:r w:rsidR="009A025F" w:rsidRPr="008D7DE1">
        <w:rPr>
          <w:rFonts w:ascii="Calibri Light" w:eastAsia="Calibri" w:hAnsi="Calibri Light" w:cs="Calibri Light"/>
          <w:sz w:val="24"/>
          <w:szCs w:val="24"/>
          <w:lang w:val="ru-MD"/>
        </w:rPr>
        <w:t>прогнозу</w:t>
      </w:r>
      <w:r w:rsidR="0009467A" w:rsidRPr="008D7DE1">
        <w:rPr>
          <w:rFonts w:ascii="Calibri Light" w:eastAsia="Calibri" w:hAnsi="Calibri Light" w:cs="Calibri Light"/>
          <w:sz w:val="24"/>
          <w:szCs w:val="24"/>
          <w:lang w:val="ru-MD"/>
        </w:rPr>
        <w:t xml:space="preserve"> на уровне 105,6%. По сравнению с 2019 годом они сократились на 88,6 млн. леев в результате введенного моратория на все проверки (налоговые, финансовые) до 1 июня 2020 года. </w:t>
      </w:r>
      <w:r w:rsidR="0009467A" w:rsidRPr="008D7DE1">
        <w:rPr>
          <w:rFonts w:ascii="Calibri Light" w:eastAsia="Calibri" w:hAnsi="Calibri Light" w:cs="Calibri Light"/>
          <w:i/>
          <w:sz w:val="24"/>
          <w:szCs w:val="24"/>
          <w:lang w:val="ru-MD"/>
        </w:rPr>
        <w:t xml:space="preserve">Результаты проведенных проверок, а также информация, представленная МФ </w:t>
      </w:r>
      <w:r w:rsidR="009A025F" w:rsidRPr="008D7DE1">
        <w:rPr>
          <w:rFonts w:ascii="Calibri Light" w:eastAsia="Calibri" w:hAnsi="Calibri Light" w:cs="Calibri Light"/>
          <w:i/>
          <w:sz w:val="24"/>
          <w:szCs w:val="24"/>
          <w:lang w:val="ru-MD"/>
        </w:rPr>
        <w:t>о</w:t>
      </w:r>
      <w:r w:rsidR="0009467A" w:rsidRPr="008D7DE1">
        <w:rPr>
          <w:rFonts w:ascii="Calibri Light" w:eastAsia="Calibri" w:hAnsi="Calibri Light" w:cs="Calibri Light"/>
          <w:i/>
          <w:sz w:val="24"/>
          <w:szCs w:val="24"/>
          <w:lang w:val="ru-MD"/>
        </w:rPr>
        <w:t xml:space="preserve"> выполнени</w:t>
      </w:r>
      <w:r w:rsidR="009A025F" w:rsidRPr="008D7DE1">
        <w:rPr>
          <w:rFonts w:ascii="Calibri Light" w:eastAsia="Calibri" w:hAnsi="Calibri Light" w:cs="Calibri Light"/>
          <w:i/>
          <w:sz w:val="24"/>
          <w:szCs w:val="24"/>
          <w:lang w:val="ru-MD"/>
        </w:rPr>
        <w:t>и</w:t>
      </w:r>
      <w:r w:rsidR="0009467A" w:rsidRPr="008D7DE1">
        <w:rPr>
          <w:rFonts w:ascii="Calibri Light" w:eastAsia="Calibri" w:hAnsi="Calibri Light" w:cs="Calibri Light"/>
          <w:i/>
          <w:sz w:val="24"/>
          <w:szCs w:val="24"/>
          <w:lang w:val="ru-MD"/>
        </w:rPr>
        <w:t xml:space="preserve"> рекомендаций </w:t>
      </w:r>
      <w:r w:rsidR="009A025F" w:rsidRPr="008D7DE1">
        <w:rPr>
          <w:rFonts w:ascii="Calibri Light" w:eastAsia="Calibri" w:hAnsi="Calibri Light" w:cs="Calibri Light"/>
          <w:i/>
          <w:sz w:val="24"/>
          <w:szCs w:val="24"/>
          <w:lang w:val="ru-MD"/>
        </w:rPr>
        <w:t xml:space="preserve">из ПСП </w:t>
      </w:r>
      <w:r w:rsidR="0009467A" w:rsidRPr="008D7DE1">
        <w:rPr>
          <w:rFonts w:ascii="Calibri Light" w:eastAsia="Calibri" w:hAnsi="Calibri Light" w:cs="Calibri Light"/>
          <w:i/>
          <w:sz w:val="24"/>
          <w:szCs w:val="24"/>
          <w:lang w:val="ru-MD"/>
        </w:rPr>
        <w:t xml:space="preserve">№38 </w:t>
      </w:r>
      <w:r w:rsidR="008D7DE1" w:rsidRPr="008D7DE1">
        <w:rPr>
          <w:rFonts w:ascii="Calibri Light" w:eastAsia="Calibri" w:hAnsi="Calibri Light" w:cs="Calibri Light"/>
          <w:i/>
          <w:sz w:val="24"/>
          <w:szCs w:val="24"/>
          <w:lang w:val="ru-MD"/>
        </w:rPr>
        <w:t>от</w:t>
      </w:r>
      <w:r w:rsidR="0009467A" w:rsidRPr="008D7DE1">
        <w:rPr>
          <w:rFonts w:ascii="Calibri Light" w:eastAsia="Calibri" w:hAnsi="Calibri Light" w:cs="Calibri Light"/>
          <w:i/>
          <w:sz w:val="24"/>
          <w:szCs w:val="24"/>
          <w:lang w:val="ru-MD"/>
        </w:rPr>
        <w:t xml:space="preserve"> 28.07.2020</w:t>
      </w:r>
      <w:r w:rsidR="008D7DE1" w:rsidRPr="008D7DE1">
        <w:rPr>
          <w:rFonts w:ascii="Calibri Light" w:eastAsia="Calibri" w:hAnsi="Calibri Light" w:cs="Calibri Light"/>
          <w:i/>
          <w:sz w:val="24"/>
          <w:szCs w:val="24"/>
          <w:lang w:val="ru-MD"/>
        </w:rPr>
        <w:t>,</w:t>
      </w:r>
      <w:r w:rsidR="0009467A" w:rsidRPr="008D7DE1">
        <w:rPr>
          <w:rFonts w:ascii="Calibri Light" w:eastAsia="Calibri" w:hAnsi="Calibri Light" w:cs="Calibri Light"/>
          <w:i/>
          <w:sz w:val="24"/>
          <w:szCs w:val="24"/>
          <w:lang w:val="ru-MD"/>
        </w:rPr>
        <w:t xml:space="preserve"> подробно изложен</w:t>
      </w:r>
      <w:r w:rsidR="008D7DE1" w:rsidRPr="008D7DE1">
        <w:rPr>
          <w:rFonts w:ascii="Calibri Light" w:eastAsia="Calibri" w:hAnsi="Calibri Light" w:cs="Calibri Light"/>
          <w:i/>
          <w:sz w:val="24"/>
          <w:szCs w:val="24"/>
          <w:lang w:val="ru-MD"/>
        </w:rPr>
        <w:t>ы</w:t>
      </w:r>
      <w:r w:rsidR="0009467A" w:rsidRPr="008D7DE1">
        <w:rPr>
          <w:rFonts w:ascii="Calibri Light" w:eastAsia="Calibri" w:hAnsi="Calibri Light" w:cs="Calibri Light"/>
          <w:i/>
          <w:sz w:val="24"/>
          <w:szCs w:val="24"/>
          <w:lang w:val="ru-MD"/>
        </w:rPr>
        <w:t xml:space="preserve"> в </w:t>
      </w:r>
      <w:r w:rsidR="008D7DE1" w:rsidRPr="008D7DE1">
        <w:rPr>
          <w:rFonts w:ascii="Calibri Light" w:eastAsia="Calibri" w:hAnsi="Calibri Light" w:cs="Calibri Light"/>
          <w:i/>
          <w:sz w:val="24"/>
          <w:szCs w:val="24"/>
          <w:lang w:val="ru-MD"/>
        </w:rPr>
        <w:t>П</w:t>
      </w:r>
      <w:r w:rsidR="0009467A" w:rsidRPr="008D7DE1">
        <w:rPr>
          <w:rFonts w:ascii="Calibri Light" w:eastAsia="Calibri" w:hAnsi="Calibri Light" w:cs="Calibri Light"/>
          <w:i/>
          <w:sz w:val="24"/>
          <w:szCs w:val="24"/>
          <w:lang w:val="ru-MD"/>
        </w:rPr>
        <w:t xml:space="preserve">риложении </w:t>
      </w:r>
      <w:r w:rsidR="008D7DE1" w:rsidRPr="008D7DE1">
        <w:rPr>
          <w:rFonts w:ascii="Calibri Light" w:eastAsia="Calibri" w:hAnsi="Calibri Light" w:cs="Calibri Light"/>
          <w:i/>
          <w:sz w:val="24"/>
          <w:szCs w:val="24"/>
          <w:lang w:val="ru-MD"/>
        </w:rPr>
        <w:t>№</w:t>
      </w:r>
      <w:r w:rsidR="0009467A" w:rsidRPr="008D7DE1">
        <w:rPr>
          <w:rFonts w:ascii="Calibri Light" w:eastAsia="Calibri" w:hAnsi="Calibri Light" w:cs="Calibri Light"/>
          <w:i/>
          <w:sz w:val="24"/>
          <w:szCs w:val="24"/>
          <w:lang w:val="ru-MD"/>
        </w:rPr>
        <w:t xml:space="preserve">3 </w:t>
      </w:r>
      <w:r w:rsidR="008D7DE1" w:rsidRPr="008D7DE1">
        <w:rPr>
          <w:rFonts w:ascii="Calibri Light" w:eastAsia="Calibri" w:hAnsi="Calibri Light" w:cs="Calibri Light"/>
          <w:i/>
          <w:sz w:val="24"/>
          <w:szCs w:val="24"/>
          <w:lang w:val="ru-MD"/>
        </w:rPr>
        <w:t>к</w:t>
      </w:r>
      <w:r w:rsidR="0009467A" w:rsidRPr="008D7DE1">
        <w:rPr>
          <w:rFonts w:ascii="Calibri Light" w:eastAsia="Calibri" w:hAnsi="Calibri Light" w:cs="Calibri Light"/>
          <w:i/>
          <w:sz w:val="24"/>
          <w:szCs w:val="24"/>
          <w:lang w:val="ru-MD"/>
        </w:rPr>
        <w:t xml:space="preserve"> настоящем</w:t>
      </w:r>
      <w:r w:rsidR="008D7DE1" w:rsidRPr="008D7DE1">
        <w:rPr>
          <w:rFonts w:ascii="Calibri Light" w:eastAsia="Calibri" w:hAnsi="Calibri Light" w:cs="Calibri Light"/>
          <w:i/>
          <w:sz w:val="24"/>
          <w:szCs w:val="24"/>
          <w:lang w:val="ru-MD"/>
        </w:rPr>
        <w:t>у</w:t>
      </w:r>
      <w:r w:rsidR="0009467A" w:rsidRPr="008D7DE1">
        <w:rPr>
          <w:rFonts w:ascii="Calibri Light" w:eastAsia="Calibri" w:hAnsi="Calibri Light" w:cs="Calibri Light"/>
          <w:i/>
          <w:sz w:val="24"/>
          <w:szCs w:val="24"/>
          <w:lang w:val="ru-MD"/>
        </w:rPr>
        <w:t xml:space="preserve"> </w:t>
      </w:r>
      <w:r w:rsidR="008D7DE1" w:rsidRPr="008D7DE1">
        <w:rPr>
          <w:rFonts w:ascii="Calibri Light" w:eastAsia="Calibri" w:hAnsi="Calibri Light" w:cs="Calibri Light"/>
          <w:i/>
          <w:sz w:val="24"/>
          <w:szCs w:val="24"/>
          <w:lang w:val="ru-MD"/>
        </w:rPr>
        <w:t>О</w:t>
      </w:r>
      <w:r w:rsidR="0009467A" w:rsidRPr="008D7DE1">
        <w:rPr>
          <w:rFonts w:ascii="Calibri Light" w:eastAsia="Calibri" w:hAnsi="Calibri Light" w:cs="Calibri Light"/>
          <w:i/>
          <w:sz w:val="24"/>
          <w:szCs w:val="24"/>
          <w:lang w:val="ru-MD"/>
        </w:rPr>
        <w:t>тчет</w:t>
      </w:r>
      <w:r w:rsidR="008D7DE1" w:rsidRPr="008D7DE1">
        <w:rPr>
          <w:rFonts w:ascii="Calibri Light" w:eastAsia="Calibri" w:hAnsi="Calibri Light" w:cs="Calibri Light"/>
          <w:i/>
          <w:sz w:val="24"/>
          <w:szCs w:val="24"/>
          <w:lang w:val="ru-MD"/>
        </w:rPr>
        <w:t>у</w:t>
      </w:r>
      <w:r w:rsidR="0009467A" w:rsidRPr="008D7DE1">
        <w:rPr>
          <w:rFonts w:ascii="Calibri Light" w:eastAsia="Calibri" w:hAnsi="Calibri Light" w:cs="Calibri Light"/>
          <w:i/>
          <w:sz w:val="24"/>
          <w:szCs w:val="24"/>
          <w:lang w:val="ru-MD"/>
        </w:rPr>
        <w:t xml:space="preserve"> аудита</w:t>
      </w:r>
      <w:r w:rsidR="0034721A" w:rsidRPr="008D7DE1">
        <w:rPr>
          <w:rFonts w:ascii="Calibri Light" w:eastAsia="Calibri" w:hAnsi="Calibri Light" w:cs="Calibri Light"/>
          <w:sz w:val="24"/>
          <w:szCs w:val="24"/>
          <w:lang w:val="ru-MD"/>
        </w:rPr>
        <w:t>.</w:t>
      </w:r>
      <w:r w:rsidR="00ED26C6" w:rsidRPr="008D7DE1">
        <w:rPr>
          <w:rFonts w:ascii="Calibri Light" w:eastAsia="Calibri" w:hAnsi="Calibri Light" w:cs="Calibri Light"/>
          <w:sz w:val="24"/>
          <w:szCs w:val="24"/>
          <w:lang w:val="ru-MD"/>
        </w:rPr>
        <w:t xml:space="preserve"> </w:t>
      </w:r>
    </w:p>
    <w:p w:rsidR="000A4C3C" w:rsidRPr="001B60F4" w:rsidRDefault="001B60F4" w:rsidP="000471DC">
      <w:pPr>
        <w:spacing w:after="0" w:line="276" w:lineRule="auto"/>
        <w:rPr>
          <w:rFonts w:asciiTheme="majorHAnsi" w:hAnsiTheme="majorHAnsi" w:cstheme="majorHAnsi"/>
          <w:i/>
          <w:sz w:val="24"/>
          <w:szCs w:val="24"/>
          <w:lang w:val="ru-MD"/>
        </w:rPr>
      </w:pPr>
      <w:r w:rsidRPr="001B60F4">
        <w:rPr>
          <w:rFonts w:asciiTheme="majorHAnsi" w:hAnsiTheme="majorHAnsi" w:cs="Times New Roman"/>
          <w:sz w:val="24"/>
          <w:szCs w:val="24"/>
          <w:lang w:val="ru-MD"/>
        </w:rPr>
        <w:lastRenderedPageBreak/>
        <w:t>Постановлением Счетной палаты №</w:t>
      </w:r>
      <w:r w:rsidR="00FE466C" w:rsidRPr="001B60F4">
        <w:rPr>
          <w:rFonts w:asciiTheme="majorHAnsi" w:hAnsiTheme="majorHAnsi" w:cs="Times New Roman"/>
          <w:sz w:val="24"/>
          <w:szCs w:val="24"/>
          <w:lang w:val="ru-MD"/>
        </w:rPr>
        <w:t xml:space="preserve">24 </w:t>
      </w:r>
      <w:r w:rsidRPr="001B60F4">
        <w:rPr>
          <w:rFonts w:asciiTheme="majorHAnsi" w:hAnsiTheme="majorHAnsi" w:cs="Times New Roman"/>
          <w:sz w:val="24"/>
          <w:szCs w:val="24"/>
          <w:lang w:val="ru-MD"/>
        </w:rPr>
        <w:t>от</w:t>
      </w:r>
      <w:r w:rsidR="00FE466C" w:rsidRPr="001B60F4">
        <w:rPr>
          <w:rFonts w:asciiTheme="majorHAnsi" w:hAnsiTheme="majorHAnsi" w:cs="Times New Roman"/>
          <w:sz w:val="24"/>
          <w:szCs w:val="24"/>
          <w:lang w:val="ru-MD"/>
        </w:rPr>
        <w:t xml:space="preserve"> 28.05.2018</w:t>
      </w:r>
      <w:r w:rsidR="00FE466C" w:rsidRPr="001B60F4">
        <w:rPr>
          <w:rFonts w:asciiTheme="majorHAnsi" w:hAnsiTheme="majorHAnsi" w:cs="Times New Roman"/>
          <w:sz w:val="24"/>
          <w:szCs w:val="24"/>
          <w:vertAlign w:val="superscript"/>
          <w:lang w:val="ru-MD"/>
        </w:rPr>
        <w:footnoteReference w:id="24"/>
      </w:r>
      <w:r w:rsidR="00FE466C" w:rsidRPr="001B60F4">
        <w:rPr>
          <w:rFonts w:asciiTheme="majorHAnsi" w:hAnsiTheme="majorHAnsi" w:cs="Times New Roman"/>
          <w:sz w:val="24"/>
          <w:szCs w:val="24"/>
          <w:lang w:val="ru-MD"/>
        </w:rPr>
        <w:t xml:space="preserve">, </w:t>
      </w:r>
      <w:r w:rsidRPr="001B60F4">
        <w:rPr>
          <w:rFonts w:asciiTheme="majorHAnsi" w:hAnsiTheme="majorHAnsi" w:cs="Times New Roman"/>
          <w:sz w:val="24"/>
          <w:szCs w:val="24"/>
          <w:lang w:val="ru-MD"/>
        </w:rPr>
        <w:t>МФ были направлены 3 требования и 6 рекомендаций, из которых 6 были выполнены, 2 - частично выполнены и одна не выполнена. Рекомендации аудита, оцененные аудитом как частично выполненные и не выполненные, следующие</w:t>
      </w:r>
      <w:r w:rsidR="00057316" w:rsidRPr="001B60F4">
        <w:rPr>
          <w:rFonts w:ascii="Calibri Light" w:eastAsia="Calibri" w:hAnsi="Calibri Light" w:cs="Calibri Light"/>
          <w:sz w:val="24"/>
          <w:szCs w:val="24"/>
          <w:lang w:val="ru-MD"/>
        </w:rPr>
        <w:t xml:space="preserve">: </w:t>
      </w:r>
      <w:r w:rsidR="00057316" w:rsidRPr="001B60F4">
        <w:rPr>
          <w:rFonts w:ascii="Calibri Light" w:eastAsia="Calibri" w:hAnsi="Calibri Light" w:cs="Calibri Light"/>
          <w:i/>
          <w:sz w:val="24"/>
          <w:szCs w:val="24"/>
          <w:lang w:val="ru-MD"/>
        </w:rPr>
        <w:t>(i)</w:t>
      </w:r>
      <w:r w:rsidR="00057316" w:rsidRPr="001B60F4">
        <w:rPr>
          <w:rFonts w:ascii="Calibri Light" w:eastAsia="Calibri" w:hAnsi="Calibri Light" w:cs="Calibri Light"/>
          <w:sz w:val="24"/>
          <w:szCs w:val="24"/>
          <w:lang w:val="ru-MD"/>
        </w:rPr>
        <w:t xml:space="preserve"> </w:t>
      </w:r>
      <w:r w:rsidR="00CC5F81" w:rsidRPr="001B60F4">
        <w:rPr>
          <w:rFonts w:ascii="Calibri Light" w:eastAsia="Calibri" w:hAnsi="Calibri Light" w:cs="Calibri Light"/>
          <w:i/>
          <w:sz w:val="24"/>
          <w:szCs w:val="24"/>
          <w:lang w:val="ru-MD"/>
        </w:rPr>
        <w:t xml:space="preserve">обеспечить включение и наличие в составе и формате форм Годового отчета об исполнении государственного бюджета консолидированной </w:t>
      </w:r>
      <w:r w:rsidR="00CC5F81" w:rsidRPr="001B60F4">
        <w:rPr>
          <w:rFonts w:ascii="Calibri Light" w:eastAsia="Calibri" w:hAnsi="Calibri Light" w:cs="Calibri Light"/>
          <w:bCs/>
          <w:i/>
          <w:sz w:val="24"/>
          <w:szCs w:val="24"/>
          <w:lang w:val="ru-MD"/>
        </w:rPr>
        <w:t>информации, связанной с финансовыми отчетами ЦПО и АТЕ, в частности, имущественных ситуаций, отраженных в ,,Бухгалтерском балансе</w:t>
      </w:r>
      <w:r w:rsidR="00CC5F81" w:rsidRPr="001B60F4">
        <w:rPr>
          <w:rFonts w:ascii="Calibri Light" w:eastAsia="Calibri" w:hAnsi="Calibri Light" w:cs="Calibri Light"/>
          <w:i/>
          <w:sz w:val="24"/>
          <w:szCs w:val="24"/>
          <w:lang w:val="ru-MD"/>
        </w:rPr>
        <w:t>”</w:t>
      </w:r>
      <w:r w:rsidR="00037F41" w:rsidRPr="001B60F4">
        <w:rPr>
          <w:rFonts w:asciiTheme="majorHAnsi" w:hAnsiTheme="majorHAnsi" w:cstheme="majorHAnsi"/>
          <w:i/>
          <w:sz w:val="24"/>
          <w:szCs w:val="24"/>
          <w:lang w:val="ru-MD"/>
        </w:rPr>
        <w:t>; (ii)</w:t>
      </w:r>
      <w:r w:rsidR="0022215D" w:rsidRPr="001B60F4">
        <w:rPr>
          <w:rFonts w:asciiTheme="majorHAnsi" w:hAnsiTheme="majorHAnsi" w:cstheme="majorHAnsi"/>
          <w:i/>
          <w:sz w:val="24"/>
          <w:szCs w:val="24"/>
          <w:lang w:val="ru-MD"/>
        </w:rPr>
        <w:t xml:space="preserve"> </w:t>
      </w:r>
      <w:r w:rsidRPr="001B60F4">
        <w:rPr>
          <w:rFonts w:asciiTheme="majorHAnsi" w:hAnsiTheme="majorHAnsi" w:cstheme="majorHAnsi"/>
          <w:i/>
          <w:sz w:val="24"/>
          <w:szCs w:val="24"/>
          <w:lang w:val="ru-MD"/>
        </w:rPr>
        <w:t>обеспечить функциональность рабочей группы по</w:t>
      </w:r>
      <w:r w:rsidR="00914BB1">
        <w:rPr>
          <w:rFonts w:asciiTheme="majorHAnsi" w:hAnsiTheme="majorHAnsi" w:cstheme="majorHAnsi"/>
          <w:i/>
          <w:sz w:val="24"/>
          <w:szCs w:val="24"/>
          <w:lang w:val="ru-MD"/>
        </w:rPr>
        <w:t xml:space="preserve"> </w:t>
      </w:r>
      <w:r w:rsidRPr="001B60F4">
        <w:rPr>
          <w:rFonts w:asciiTheme="majorHAnsi" w:hAnsiTheme="majorHAnsi" w:cstheme="majorHAnsi"/>
          <w:i/>
          <w:sz w:val="24"/>
          <w:szCs w:val="24"/>
          <w:lang w:val="ru-MD"/>
        </w:rPr>
        <w:t>капитальным инвестициям с целью соблюдения процесса включения и осуществления мониторинга объектов капитальных вложений</w:t>
      </w:r>
      <w:r w:rsidR="0022215D" w:rsidRPr="001B60F4">
        <w:rPr>
          <w:rFonts w:asciiTheme="majorHAnsi" w:hAnsiTheme="majorHAnsi" w:cstheme="majorHAnsi"/>
          <w:i/>
          <w:sz w:val="24"/>
          <w:szCs w:val="24"/>
          <w:lang w:val="ru-MD"/>
        </w:rPr>
        <w:t xml:space="preserve">; </w:t>
      </w:r>
      <w:r w:rsidRPr="001B60F4">
        <w:rPr>
          <w:rFonts w:asciiTheme="majorHAnsi" w:hAnsiTheme="majorHAnsi" w:cstheme="majorHAnsi"/>
          <w:i/>
          <w:sz w:val="24"/>
          <w:szCs w:val="24"/>
          <w:lang w:val="ru-MD"/>
        </w:rPr>
        <w:t>и</w:t>
      </w:r>
      <w:r w:rsidR="00057316" w:rsidRPr="001B60F4">
        <w:rPr>
          <w:rFonts w:asciiTheme="majorHAnsi" w:hAnsiTheme="majorHAnsi" w:cstheme="majorHAnsi"/>
          <w:i/>
          <w:sz w:val="24"/>
          <w:szCs w:val="24"/>
          <w:lang w:val="ru-MD"/>
        </w:rPr>
        <w:t xml:space="preserve"> </w:t>
      </w:r>
      <w:r w:rsidR="0022215D" w:rsidRPr="001B60F4">
        <w:rPr>
          <w:rFonts w:asciiTheme="majorHAnsi" w:hAnsiTheme="majorHAnsi" w:cstheme="majorHAnsi"/>
          <w:i/>
          <w:sz w:val="24"/>
          <w:szCs w:val="24"/>
          <w:lang w:val="ru-MD"/>
        </w:rPr>
        <w:t>(iii)</w:t>
      </w:r>
      <w:r w:rsidR="00037F41" w:rsidRPr="001B60F4">
        <w:rPr>
          <w:rFonts w:asciiTheme="majorHAnsi" w:hAnsiTheme="majorHAnsi" w:cstheme="majorHAnsi"/>
          <w:i/>
          <w:sz w:val="24"/>
          <w:szCs w:val="24"/>
          <w:lang w:val="ru-MD"/>
        </w:rPr>
        <w:t xml:space="preserve"> </w:t>
      </w:r>
      <w:r w:rsidRPr="001B60F4">
        <w:rPr>
          <w:rFonts w:asciiTheme="majorHAnsi" w:hAnsiTheme="majorHAnsi" w:cstheme="majorHAnsi"/>
          <w:i/>
          <w:sz w:val="24"/>
          <w:szCs w:val="24"/>
          <w:lang w:val="ru-MD"/>
        </w:rPr>
        <w:t xml:space="preserve">обеспечить соблюдение </w:t>
      </w:r>
      <w:r w:rsidRPr="001B60F4">
        <w:rPr>
          <w:rFonts w:asciiTheme="majorHAnsi" w:hAnsiTheme="majorHAnsi" w:cstheme="majorHAnsi"/>
          <w:bCs/>
          <w:i/>
          <w:sz w:val="24"/>
          <w:szCs w:val="24"/>
          <w:lang w:val="ru-MD"/>
        </w:rPr>
        <w:t>регламентирован</w:t>
      </w:r>
      <w:r w:rsidRPr="001B60F4">
        <w:rPr>
          <w:rFonts w:asciiTheme="majorHAnsi" w:hAnsiTheme="majorHAnsi" w:cstheme="majorHAnsi"/>
          <w:i/>
          <w:sz w:val="24"/>
          <w:szCs w:val="24"/>
          <w:lang w:val="ru-MD"/>
        </w:rPr>
        <w:t>ных положений касательно процесса рассмотрения и подтверждения права на участие в подаче предложений к проектам для капитальных вложений, соблюдая принципы приоритетности и соответствия их с документами национального и секторного стратегического планирования</w:t>
      </w:r>
      <w:r w:rsidR="0022215D" w:rsidRPr="001B60F4">
        <w:rPr>
          <w:rFonts w:asciiTheme="majorHAnsi" w:hAnsiTheme="majorHAnsi" w:cstheme="majorHAnsi"/>
          <w:sz w:val="24"/>
          <w:szCs w:val="24"/>
          <w:lang w:val="ru-MD"/>
        </w:rPr>
        <w:t>.</w:t>
      </w:r>
      <w:r w:rsidR="00057316" w:rsidRPr="001B60F4">
        <w:rPr>
          <w:rFonts w:asciiTheme="majorHAnsi" w:hAnsiTheme="majorHAnsi" w:cs="Times New Roman"/>
          <w:sz w:val="24"/>
          <w:szCs w:val="24"/>
          <w:lang w:val="ru-MD"/>
        </w:rPr>
        <w:t xml:space="preserve"> </w:t>
      </w:r>
      <w:r w:rsidRPr="001B60F4">
        <w:rPr>
          <w:rFonts w:asciiTheme="majorHAnsi" w:hAnsiTheme="majorHAnsi" w:cs="Times New Roman"/>
          <w:i/>
          <w:sz w:val="24"/>
          <w:szCs w:val="24"/>
          <w:lang w:val="ru-MD"/>
        </w:rPr>
        <w:t>Результаты проведенных проверок, а также информация, представленная МФ о выполнении рекомендаций из ПСП №24 от 28.05.2018, подробно представлены в Приложении № 4 к настоящему Отчету аудита</w:t>
      </w:r>
      <w:r w:rsidRPr="001B60F4">
        <w:rPr>
          <w:rFonts w:asciiTheme="majorHAnsi" w:hAnsiTheme="majorHAnsi" w:cs="Times New Roman"/>
          <w:sz w:val="24"/>
          <w:szCs w:val="24"/>
          <w:lang w:val="ru-MD"/>
        </w:rPr>
        <w:t>.</w:t>
      </w:r>
    </w:p>
    <w:p w:rsidR="00F01EE2" w:rsidRPr="00A82027" w:rsidRDefault="00914BB1" w:rsidP="000471DC">
      <w:pPr>
        <w:spacing w:after="0" w:line="276" w:lineRule="auto"/>
        <w:rPr>
          <w:rFonts w:asciiTheme="majorHAnsi" w:hAnsiTheme="majorHAnsi" w:cstheme="majorHAnsi"/>
          <w:sz w:val="24"/>
          <w:szCs w:val="24"/>
          <w:lang w:val="ru-MD"/>
        </w:rPr>
      </w:pPr>
      <w:r w:rsidRPr="00A82027">
        <w:rPr>
          <w:rFonts w:asciiTheme="majorHAnsi" w:hAnsiTheme="majorHAnsi" w:cstheme="majorHAnsi"/>
          <w:sz w:val="24"/>
          <w:szCs w:val="24"/>
          <w:lang w:val="ru-MD"/>
        </w:rPr>
        <w:t xml:space="preserve">Хотя </w:t>
      </w:r>
      <w:r w:rsidR="00A82027" w:rsidRPr="00A82027">
        <w:rPr>
          <w:rFonts w:asciiTheme="majorHAnsi" w:hAnsiTheme="majorHAnsi" w:cstheme="majorHAnsi"/>
          <w:sz w:val="24"/>
          <w:szCs w:val="24"/>
          <w:lang w:val="ru-MD"/>
        </w:rPr>
        <w:t>МФ</w:t>
      </w:r>
      <w:r w:rsidRPr="00A82027">
        <w:rPr>
          <w:rFonts w:asciiTheme="majorHAnsi" w:hAnsiTheme="majorHAnsi" w:cstheme="majorHAnsi"/>
          <w:sz w:val="24"/>
          <w:szCs w:val="24"/>
          <w:lang w:val="ru-MD"/>
        </w:rPr>
        <w:t xml:space="preserve"> инициировал</w:t>
      </w:r>
      <w:r w:rsidR="00A82027" w:rsidRPr="00A82027">
        <w:rPr>
          <w:rFonts w:asciiTheme="majorHAnsi" w:hAnsiTheme="majorHAnsi" w:cstheme="majorHAnsi"/>
          <w:sz w:val="24"/>
          <w:szCs w:val="24"/>
          <w:lang w:val="ru-MD"/>
        </w:rPr>
        <w:t>о</w:t>
      </w:r>
      <w:r w:rsidRPr="00A82027">
        <w:rPr>
          <w:rFonts w:asciiTheme="majorHAnsi" w:hAnsiTheme="majorHAnsi" w:cstheme="majorHAnsi"/>
          <w:sz w:val="24"/>
          <w:szCs w:val="24"/>
          <w:lang w:val="ru-MD"/>
        </w:rPr>
        <w:t xml:space="preserve"> некоторые действия, включив </w:t>
      </w:r>
      <w:r w:rsidR="00A82027" w:rsidRPr="00A82027">
        <w:rPr>
          <w:rFonts w:asciiTheme="majorHAnsi" w:hAnsiTheme="majorHAnsi" w:cstheme="majorHAnsi"/>
          <w:sz w:val="24"/>
          <w:szCs w:val="24"/>
          <w:lang w:val="ru-MD"/>
        </w:rPr>
        <w:t xml:space="preserve">их </w:t>
      </w:r>
      <w:r w:rsidRPr="00A82027">
        <w:rPr>
          <w:rFonts w:asciiTheme="majorHAnsi" w:hAnsiTheme="majorHAnsi" w:cstheme="majorHAnsi"/>
          <w:sz w:val="24"/>
          <w:szCs w:val="24"/>
          <w:lang w:val="ru-MD"/>
        </w:rPr>
        <w:t xml:space="preserve">в </w:t>
      </w:r>
      <w:r w:rsidR="00A82027" w:rsidRPr="00A82027">
        <w:rPr>
          <w:rFonts w:asciiTheme="majorHAnsi" w:hAnsiTheme="majorHAnsi" w:cstheme="majorHAnsi"/>
          <w:sz w:val="24"/>
          <w:szCs w:val="24"/>
          <w:lang w:val="ru-MD"/>
        </w:rPr>
        <w:t xml:space="preserve">Пояснительную записку к </w:t>
      </w:r>
      <w:r w:rsidRPr="00A82027">
        <w:rPr>
          <w:rFonts w:asciiTheme="majorHAnsi" w:hAnsiTheme="majorHAnsi" w:cstheme="majorHAnsi"/>
          <w:sz w:val="24"/>
          <w:szCs w:val="24"/>
          <w:lang w:val="ru-MD"/>
        </w:rPr>
        <w:t>отчет</w:t>
      </w:r>
      <w:r w:rsidR="00A82027" w:rsidRPr="00A82027">
        <w:rPr>
          <w:rFonts w:asciiTheme="majorHAnsi" w:hAnsiTheme="majorHAnsi" w:cstheme="majorHAnsi"/>
          <w:sz w:val="24"/>
          <w:szCs w:val="24"/>
          <w:lang w:val="ru-MD"/>
        </w:rPr>
        <w:t>у</w:t>
      </w:r>
      <w:r w:rsidRPr="00A82027">
        <w:rPr>
          <w:rFonts w:asciiTheme="majorHAnsi" w:hAnsiTheme="majorHAnsi" w:cstheme="majorHAnsi"/>
          <w:sz w:val="24"/>
          <w:szCs w:val="24"/>
          <w:lang w:val="ru-MD"/>
        </w:rPr>
        <w:t xml:space="preserve"> о имущественных ситуациях, этот аспект </w:t>
      </w:r>
      <w:r w:rsidR="00A82027">
        <w:rPr>
          <w:rFonts w:asciiTheme="majorHAnsi" w:hAnsiTheme="majorHAnsi" w:cstheme="majorHAnsi"/>
          <w:sz w:val="24"/>
          <w:szCs w:val="24"/>
          <w:lang w:val="ru-MD"/>
        </w:rPr>
        <w:t>отмеча</w:t>
      </w:r>
      <w:r w:rsidRPr="00A82027">
        <w:rPr>
          <w:rFonts w:asciiTheme="majorHAnsi" w:hAnsiTheme="majorHAnsi" w:cstheme="majorHAnsi"/>
          <w:sz w:val="24"/>
          <w:szCs w:val="24"/>
          <w:lang w:val="ru-MD"/>
        </w:rPr>
        <w:t xml:space="preserve">ется как первостепенный в контексте многочисленных аудиторских </w:t>
      </w:r>
      <w:r w:rsidR="00A82027" w:rsidRPr="00A82027">
        <w:rPr>
          <w:rFonts w:asciiTheme="majorHAnsi" w:hAnsiTheme="majorHAnsi" w:cstheme="majorHAnsi"/>
          <w:sz w:val="24"/>
          <w:szCs w:val="24"/>
          <w:lang w:val="ru-MD"/>
        </w:rPr>
        <w:t>констатаций</w:t>
      </w:r>
      <w:r w:rsidRPr="00A82027">
        <w:rPr>
          <w:rFonts w:asciiTheme="majorHAnsi" w:hAnsiTheme="majorHAnsi" w:cstheme="majorHAnsi"/>
          <w:sz w:val="24"/>
          <w:szCs w:val="24"/>
          <w:lang w:val="ru-MD"/>
        </w:rPr>
        <w:t xml:space="preserve"> по имущественным ситуациям, о</w:t>
      </w:r>
      <w:r w:rsidR="00A82027" w:rsidRPr="00A82027">
        <w:rPr>
          <w:rFonts w:asciiTheme="majorHAnsi" w:hAnsiTheme="majorHAnsi" w:cstheme="majorHAnsi"/>
          <w:sz w:val="24"/>
          <w:szCs w:val="24"/>
          <w:lang w:val="ru-MD"/>
        </w:rPr>
        <w:t>траженным в</w:t>
      </w:r>
      <w:r w:rsidRPr="00A82027">
        <w:rPr>
          <w:rFonts w:asciiTheme="majorHAnsi" w:hAnsiTheme="majorHAnsi" w:cstheme="majorHAnsi"/>
          <w:sz w:val="24"/>
          <w:szCs w:val="24"/>
          <w:lang w:val="ru-MD"/>
        </w:rPr>
        <w:t xml:space="preserve"> 2020 году, а также в предыдущие годы в </w:t>
      </w:r>
      <w:r w:rsidR="00A82027" w:rsidRPr="00A82027">
        <w:rPr>
          <w:rFonts w:asciiTheme="majorHAnsi" w:hAnsiTheme="majorHAnsi" w:cstheme="majorHAnsi"/>
          <w:sz w:val="24"/>
          <w:szCs w:val="24"/>
          <w:lang w:val="ru-MD"/>
        </w:rPr>
        <w:t>О</w:t>
      </w:r>
      <w:r w:rsidRPr="00A82027">
        <w:rPr>
          <w:rFonts w:asciiTheme="majorHAnsi" w:hAnsiTheme="majorHAnsi" w:cstheme="majorHAnsi"/>
          <w:sz w:val="24"/>
          <w:szCs w:val="24"/>
          <w:lang w:val="ru-MD"/>
        </w:rPr>
        <w:t xml:space="preserve">тчетах Счетной палаты. Таким образом, в этом аспекте </w:t>
      </w:r>
      <w:r w:rsidR="00A82027" w:rsidRPr="00A82027">
        <w:rPr>
          <w:rFonts w:asciiTheme="majorHAnsi" w:hAnsiTheme="majorHAnsi" w:cstheme="majorHAnsi"/>
          <w:sz w:val="24"/>
          <w:szCs w:val="24"/>
          <w:lang w:val="ru-MD"/>
        </w:rPr>
        <w:t>приводятся в пример следующие установ</w:t>
      </w:r>
      <w:r w:rsidRPr="00A82027">
        <w:rPr>
          <w:rFonts w:asciiTheme="majorHAnsi" w:hAnsiTheme="majorHAnsi" w:cstheme="majorHAnsi"/>
          <w:sz w:val="24"/>
          <w:szCs w:val="24"/>
          <w:lang w:val="ru-MD"/>
        </w:rPr>
        <w:t>ленные ситуации</w:t>
      </w:r>
      <w:r w:rsidR="00A0547B" w:rsidRPr="00A82027">
        <w:rPr>
          <w:rFonts w:asciiTheme="majorHAnsi" w:hAnsiTheme="majorHAnsi" w:cstheme="majorHAnsi"/>
          <w:sz w:val="24"/>
          <w:szCs w:val="24"/>
          <w:lang w:val="ru-MD"/>
        </w:rPr>
        <w:t>:</w:t>
      </w:r>
    </w:p>
    <w:p w:rsidR="008D21D6" w:rsidRPr="0010033A" w:rsidRDefault="00A82027" w:rsidP="008D21D6">
      <w:pPr>
        <w:spacing w:after="0" w:line="276" w:lineRule="auto"/>
        <w:rPr>
          <w:rFonts w:asciiTheme="majorHAnsi" w:hAnsiTheme="majorHAnsi" w:cstheme="majorHAnsi"/>
          <w:b/>
          <w:i/>
          <w:sz w:val="24"/>
          <w:szCs w:val="24"/>
          <w:lang w:val="ru-MD"/>
        </w:rPr>
      </w:pPr>
      <w:r>
        <w:rPr>
          <w:rFonts w:asciiTheme="majorHAnsi" w:hAnsiTheme="majorHAnsi" w:cstheme="majorHAnsi"/>
          <w:b/>
          <w:sz w:val="24"/>
          <w:szCs w:val="24"/>
          <w:lang w:val="ru-RU"/>
        </w:rPr>
        <w:t>в МЮ</w:t>
      </w:r>
      <w:r w:rsidR="00C52364" w:rsidRPr="00914BB1">
        <w:rPr>
          <w:rFonts w:asciiTheme="majorHAnsi" w:hAnsiTheme="majorHAnsi" w:cstheme="majorHAnsi"/>
          <w:b/>
          <w:sz w:val="24"/>
          <w:szCs w:val="24"/>
          <w:lang w:val="ro-RO"/>
        </w:rPr>
        <w:t xml:space="preserve">: </w:t>
      </w:r>
      <w:r w:rsidR="00914BB1" w:rsidRPr="0010033A">
        <w:rPr>
          <w:rFonts w:asciiTheme="majorHAnsi" w:hAnsiTheme="majorHAnsi" w:cstheme="majorHAnsi"/>
          <w:sz w:val="24"/>
          <w:szCs w:val="24"/>
          <w:lang w:val="ru-MD"/>
        </w:rPr>
        <w:t>не</w:t>
      </w:r>
      <w:r w:rsidRPr="0010033A">
        <w:rPr>
          <w:rFonts w:asciiTheme="majorHAnsi" w:hAnsiTheme="majorHAnsi" w:cstheme="majorHAnsi"/>
          <w:sz w:val="24"/>
          <w:szCs w:val="24"/>
          <w:lang w:val="ru-MD"/>
        </w:rPr>
        <w:t>примен</w:t>
      </w:r>
      <w:r w:rsidR="00914BB1" w:rsidRPr="0010033A">
        <w:rPr>
          <w:rFonts w:asciiTheme="majorHAnsi" w:hAnsiTheme="majorHAnsi" w:cstheme="majorHAnsi"/>
          <w:sz w:val="24"/>
          <w:szCs w:val="24"/>
          <w:lang w:val="ru-MD"/>
        </w:rPr>
        <w:t xml:space="preserve">ение правил капитализации стоимости капитальных ремонтных работ </w:t>
      </w:r>
      <w:r w:rsidRPr="0010033A">
        <w:rPr>
          <w:rFonts w:asciiTheme="majorHAnsi" w:hAnsiTheme="majorHAnsi" w:cstheme="majorHAnsi"/>
          <w:sz w:val="24"/>
          <w:szCs w:val="24"/>
          <w:lang w:val="ru-MD"/>
        </w:rPr>
        <w:t>обуслови</w:t>
      </w:r>
      <w:r w:rsidR="00914BB1" w:rsidRPr="0010033A">
        <w:rPr>
          <w:rFonts w:asciiTheme="majorHAnsi" w:hAnsiTheme="majorHAnsi" w:cstheme="majorHAnsi"/>
          <w:sz w:val="24"/>
          <w:szCs w:val="24"/>
          <w:lang w:val="ru-MD"/>
        </w:rPr>
        <w:t xml:space="preserve">ло </w:t>
      </w:r>
      <w:r w:rsidRPr="0010033A">
        <w:rPr>
          <w:rFonts w:asciiTheme="majorHAnsi" w:hAnsiTheme="majorHAnsi" w:cstheme="majorHAnsi"/>
          <w:sz w:val="24"/>
          <w:szCs w:val="24"/>
          <w:lang w:val="ru-MD"/>
        </w:rPr>
        <w:t>невключение в установленном порядке</w:t>
      </w:r>
      <w:r w:rsidRPr="0010033A">
        <w:rPr>
          <w:rFonts w:asciiTheme="majorHAnsi" w:hAnsiTheme="majorHAnsi" w:cstheme="majorHAnsi"/>
          <w:sz w:val="24"/>
          <w:szCs w:val="24"/>
          <w:vertAlign w:val="superscript"/>
          <w:lang w:val="ru-MD"/>
        </w:rPr>
        <w:footnoteReference w:id="25"/>
      </w:r>
      <w:r w:rsidR="00914BB1" w:rsidRPr="0010033A">
        <w:rPr>
          <w:rFonts w:asciiTheme="majorHAnsi" w:hAnsiTheme="majorHAnsi" w:cstheme="majorHAnsi"/>
          <w:sz w:val="24"/>
          <w:szCs w:val="24"/>
          <w:lang w:val="ru-MD"/>
        </w:rPr>
        <w:t xml:space="preserve"> стоимости</w:t>
      </w:r>
      <w:r w:rsidRPr="0010033A">
        <w:rPr>
          <w:rFonts w:asciiTheme="majorHAnsi" w:hAnsiTheme="majorHAnsi" w:cstheme="majorHAnsi"/>
          <w:sz w:val="24"/>
          <w:szCs w:val="24"/>
          <w:lang w:val="ru-MD"/>
        </w:rPr>
        <w:t xml:space="preserve"> некоторых</w:t>
      </w:r>
      <w:r w:rsidR="00914BB1" w:rsidRPr="0010033A">
        <w:rPr>
          <w:rFonts w:asciiTheme="majorHAnsi" w:hAnsiTheme="majorHAnsi" w:cstheme="majorHAnsi"/>
          <w:sz w:val="24"/>
          <w:szCs w:val="24"/>
          <w:lang w:val="ru-MD"/>
        </w:rPr>
        <w:t xml:space="preserve"> работ </w:t>
      </w:r>
      <w:r w:rsidRPr="0010033A">
        <w:rPr>
          <w:rFonts w:asciiTheme="majorHAnsi" w:hAnsiTheme="majorHAnsi" w:cstheme="majorHAnsi"/>
          <w:sz w:val="24"/>
          <w:szCs w:val="24"/>
          <w:lang w:val="ru-MD"/>
        </w:rPr>
        <w:t xml:space="preserve">в сумме </w:t>
      </w:r>
      <w:r w:rsidR="00914BB1" w:rsidRPr="0010033A">
        <w:rPr>
          <w:rFonts w:asciiTheme="majorHAnsi" w:hAnsiTheme="majorHAnsi" w:cstheme="majorHAnsi"/>
          <w:sz w:val="24"/>
          <w:szCs w:val="24"/>
          <w:lang w:val="ru-MD"/>
        </w:rPr>
        <w:t>37,6 млн.</w:t>
      </w:r>
      <w:r w:rsidRPr="0010033A">
        <w:rPr>
          <w:rFonts w:asciiTheme="majorHAnsi" w:hAnsiTheme="majorHAnsi" w:cstheme="majorHAnsi"/>
          <w:sz w:val="24"/>
          <w:szCs w:val="24"/>
          <w:lang w:val="ru-MD"/>
        </w:rPr>
        <w:t xml:space="preserve"> леев </w:t>
      </w:r>
      <w:r w:rsidR="00914BB1" w:rsidRPr="0010033A">
        <w:rPr>
          <w:rFonts w:asciiTheme="majorHAnsi" w:hAnsiTheme="majorHAnsi" w:cstheme="majorHAnsi"/>
          <w:sz w:val="24"/>
          <w:szCs w:val="24"/>
          <w:lang w:val="ru-MD"/>
        </w:rPr>
        <w:t xml:space="preserve">в стоимость </w:t>
      </w:r>
      <w:r w:rsidR="0010033A" w:rsidRPr="0010033A">
        <w:rPr>
          <w:rFonts w:asciiTheme="majorHAnsi" w:hAnsiTheme="majorHAnsi" w:cstheme="majorHAnsi"/>
          <w:sz w:val="24"/>
          <w:szCs w:val="24"/>
          <w:lang w:val="ru-MD"/>
        </w:rPr>
        <w:t>восстановле</w:t>
      </w:r>
      <w:r w:rsidR="00914BB1" w:rsidRPr="0010033A">
        <w:rPr>
          <w:rFonts w:asciiTheme="majorHAnsi" w:hAnsiTheme="majorHAnsi" w:cstheme="majorHAnsi"/>
          <w:sz w:val="24"/>
          <w:szCs w:val="24"/>
          <w:lang w:val="ru-MD"/>
        </w:rPr>
        <w:t xml:space="preserve">нных/отремонтированных </w:t>
      </w:r>
      <w:r w:rsidR="0010033A" w:rsidRPr="0010033A">
        <w:rPr>
          <w:rFonts w:asciiTheme="majorHAnsi" w:hAnsiTheme="majorHAnsi" w:cstheme="majorHAnsi"/>
          <w:sz w:val="24"/>
          <w:szCs w:val="24"/>
          <w:lang w:val="ru-MD"/>
        </w:rPr>
        <w:t xml:space="preserve">зданий в рамках </w:t>
      </w:r>
      <w:r w:rsidR="00914BB1" w:rsidRPr="0010033A">
        <w:rPr>
          <w:rFonts w:asciiTheme="majorHAnsi" w:hAnsiTheme="majorHAnsi" w:cstheme="majorHAnsi"/>
          <w:sz w:val="24"/>
          <w:szCs w:val="24"/>
          <w:lang w:val="ru-MD"/>
        </w:rPr>
        <w:t>12 пенитенциарны</w:t>
      </w:r>
      <w:r w:rsidR="0010033A" w:rsidRPr="0010033A">
        <w:rPr>
          <w:rFonts w:asciiTheme="majorHAnsi" w:hAnsiTheme="majorHAnsi" w:cstheme="majorHAnsi"/>
          <w:sz w:val="24"/>
          <w:szCs w:val="24"/>
          <w:lang w:val="ru-MD"/>
        </w:rPr>
        <w:t>х</w:t>
      </w:r>
      <w:r w:rsidR="00914BB1" w:rsidRPr="0010033A">
        <w:rPr>
          <w:rFonts w:asciiTheme="majorHAnsi" w:hAnsiTheme="majorHAnsi" w:cstheme="majorHAnsi"/>
          <w:sz w:val="24"/>
          <w:szCs w:val="24"/>
          <w:lang w:val="ru-MD"/>
        </w:rPr>
        <w:t xml:space="preserve"> учреждени</w:t>
      </w:r>
      <w:r w:rsidR="0010033A" w:rsidRPr="0010033A">
        <w:rPr>
          <w:rFonts w:asciiTheme="majorHAnsi" w:hAnsiTheme="majorHAnsi" w:cstheme="majorHAnsi"/>
          <w:sz w:val="24"/>
          <w:szCs w:val="24"/>
          <w:lang w:val="ru-MD"/>
        </w:rPr>
        <w:t>й</w:t>
      </w:r>
      <w:r w:rsidR="0010033A" w:rsidRPr="0010033A">
        <w:rPr>
          <w:rFonts w:asciiTheme="majorHAnsi" w:hAnsiTheme="majorHAnsi" w:cstheme="majorHAnsi"/>
          <w:sz w:val="24"/>
          <w:szCs w:val="24"/>
          <w:vertAlign w:val="superscript"/>
          <w:lang w:val="ru-MD"/>
        </w:rPr>
        <w:footnoteReference w:id="26"/>
      </w:r>
      <w:r w:rsidR="00914BB1" w:rsidRPr="0010033A">
        <w:rPr>
          <w:rFonts w:asciiTheme="majorHAnsi" w:hAnsiTheme="majorHAnsi" w:cstheme="majorHAnsi"/>
          <w:sz w:val="24"/>
          <w:szCs w:val="24"/>
          <w:lang w:val="ru-MD"/>
        </w:rPr>
        <w:t xml:space="preserve">, </w:t>
      </w:r>
      <w:r w:rsidR="0010033A" w:rsidRPr="0010033A">
        <w:rPr>
          <w:rFonts w:asciiTheme="majorHAnsi" w:hAnsiTheme="majorHAnsi" w:cstheme="majorHAnsi"/>
          <w:sz w:val="24"/>
          <w:szCs w:val="24"/>
          <w:lang w:val="ru-MD"/>
        </w:rPr>
        <w:t xml:space="preserve">что </w:t>
      </w:r>
      <w:r w:rsidR="00914BB1" w:rsidRPr="0010033A">
        <w:rPr>
          <w:rFonts w:asciiTheme="majorHAnsi" w:hAnsiTheme="majorHAnsi" w:cstheme="majorHAnsi"/>
          <w:sz w:val="24"/>
          <w:szCs w:val="24"/>
          <w:lang w:val="ru-MD"/>
        </w:rPr>
        <w:t>прив</w:t>
      </w:r>
      <w:r w:rsidR="0010033A" w:rsidRPr="0010033A">
        <w:rPr>
          <w:rFonts w:asciiTheme="majorHAnsi" w:hAnsiTheme="majorHAnsi" w:cstheme="majorHAnsi"/>
          <w:sz w:val="24"/>
          <w:szCs w:val="24"/>
          <w:lang w:val="ru-MD"/>
        </w:rPr>
        <w:t>ело к существенному</w:t>
      </w:r>
      <w:r w:rsidR="00914BB1" w:rsidRPr="0010033A">
        <w:rPr>
          <w:rFonts w:asciiTheme="majorHAnsi" w:hAnsiTheme="majorHAnsi" w:cstheme="majorHAnsi"/>
          <w:sz w:val="24"/>
          <w:szCs w:val="24"/>
          <w:lang w:val="ru-MD"/>
        </w:rPr>
        <w:t xml:space="preserve"> искажению балансовой стоимости основных средств на указанную сумму, </w:t>
      </w:r>
      <w:r w:rsidR="0010033A" w:rsidRPr="0010033A">
        <w:rPr>
          <w:rFonts w:asciiTheme="majorHAnsi" w:hAnsiTheme="majorHAnsi" w:cstheme="majorHAnsi"/>
          <w:sz w:val="24"/>
          <w:szCs w:val="24"/>
          <w:lang w:val="ru-MD"/>
        </w:rPr>
        <w:t>с занижением остатка</w:t>
      </w:r>
      <w:r w:rsidR="00914BB1" w:rsidRPr="0010033A">
        <w:rPr>
          <w:rFonts w:asciiTheme="majorHAnsi" w:hAnsiTheme="majorHAnsi" w:cstheme="majorHAnsi"/>
          <w:sz w:val="24"/>
          <w:szCs w:val="24"/>
          <w:lang w:val="ru-MD"/>
        </w:rPr>
        <w:t xml:space="preserve"> группы счетов 311 </w:t>
      </w:r>
      <w:r w:rsidR="0010033A" w:rsidRPr="0010033A">
        <w:rPr>
          <w:rFonts w:asciiTheme="majorHAnsi" w:hAnsiTheme="majorHAnsi" w:cstheme="majorHAnsi"/>
          <w:sz w:val="24"/>
          <w:szCs w:val="24"/>
          <w:lang w:val="ru-MD"/>
        </w:rPr>
        <w:t>„Здания”</w:t>
      </w:r>
      <w:r w:rsidR="00914BB1" w:rsidRPr="0010033A">
        <w:rPr>
          <w:rFonts w:asciiTheme="majorHAnsi" w:hAnsiTheme="majorHAnsi" w:cstheme="majorHAnsi"/>
          <w:sz w:val="24"/>
          <w:szCs w:val="24"/>
          <w:lang w:val="ru-MD"/>
        </w:rPr>
        <w:t xml:space="preserve"> на 37,6 млн.</w:t>
      </w:r>
      <w:r w:rsidR="0010033A" w:rsidRPr="0010033A">
        <w:rPr>
          <w:rFonts w:asciiTheme="majorHAnsi" w:hAnsiTheme="majorHAnsi" w:cstheme="majorHAnsi"/>
          <w:sz w:val="24"/>
          <w:szCs w:val="24"/>
          <w:lang w:val="ru-MD"/>
        </w:rPr>
        <w:t xml:space="preserve"> </w:t>
      </w:r>
      <w:r w:rsidR="00914BB1" w:rsidRPr="0010033A">
        <w:rPr>
          <w:rFonts w:asciiTheme="majorHAnsi" w:hAnsiTheme="majorHAnsi" w:cstheme="majorHAnsi"/>
          <w:sz w:val="24"/>
          <w:szCs w:val="24"/>
          <w:lang w:val="ru-MD"/>
        </w:rPr>
        <w:t xml:space="preserve">леев и </w:t>
      </w:r>
      <w:r w:rsidR="0010033A" w:rsidRPr="0010033A">
        <w:rPr>
          <w:rFonts w:asciiTheme="majorHAnsi" w:hAnsiTheme="majorHAnsi" w:cstheme="majorHAnsi"/>
          <w:sz w:val="24"/>
          <w:szCs w:val="24"/>
          <w:lang w:val="ru-MD"/>
        </w:rPr>
        <w:t xml:space="preserve">завышением </w:t>
      </w:r>
      <w:r w:rsidR="00914BB1" w:rsidRPr="0010033A">
        <w:rPr>
          <w:rFonts w:asciiTheme="majorHAnsi" w:hAnsiTheme="majorHAnsi" w:cstheme="majorHAnsi"/>
          <w:sz w:val="24"/>
          <w:szCs w:val="24"/>
          <w:lang w:val="ru-MD"/>
        </w:rPr>
        <w:t>остат</w:t>
      </w:r>
      <w:r w:rsidR="0010033A" w:rsidRPr="0010033A">
        <w:rPr>
          <w:rFonts w:asciiTheme="majorHAnsi" w:hAnsiTheme="majorHAnsi" w:cstheme="majorHAnsi"/>
          <w:sz w:val="24"/>
          <w:szCs w:val="24"/>
          <w:lang w:val="ru-MD"/>
        </w:rPr>
        <w:t>ка</w:t>
      </w:r>
      <w:r w:rsidR="00914BB1" w:rsidRPr="0010033A">
        <w:rPr>
          <w:rFonts w:asciiTheme="majorHAnsi" w:hAnsiTheme="majorHAnsi" w:cstheme="majorHAnsi"/>
          <w:sz w:val="24"/>
          <w:szCs w:val="24"/>
          <w:lang w:val="ru-MD"/>
        </w:rPr>
        <w:t xml:space="preserve"> группы счетов </w:t>
      </w:r>
      <w:r w:rsidR="0010033A" w:rsidRPr="0010033A">
        <w:rPr>
          <w:rFonts w:asciiTheme="majorHAnsi" w:hAnsiTheme="majorHAnsi" w:cstheme="majorHAnsi"/>
          <w:sz w:val="24"/>
          <w:szCs w:val="24"/>
          <w:lang w:val="ru-MD"/>
        </w:rPr>
        <w:t xml:space="preserve">„Незавершенные </w:t>
      </w:r>
      <w:r w:rsidR="00914BB1" w:rsidRPr="0010033A">
        <w:rPr>
          <w:rFonts w:asciiTheme="majorHAnsi" w:hAnsiTheme="majorHAnsi" w:cstheme="majorHAnsi"/>
          <w:sz w:val="24"/>
          <w:szCs w:val="24"/>
          <w:lang w:val="ru-MD"/>
        </w:rPr>
        <w:t>капитальные инвестиции в активы</w:t>
      </w:r>
      <w:r w:rsidR="0010033A" w:rsidRPr="0010033A">
        <w:rPr>
          <w:rFonts w:asciiTheme="majorHAnsi" w:hAnsiTheme="majorHAnsi" w:cstheme="majorHAnsi"/>
          <w:sz w:val="24"/>
          <w:szCs w:val="24"/>
          <w:lang w:val="ru-MD"/>
        </w:rPr>
        <w:t>”</w:t>
      </w:r>
      <w:r w:rsidR="00914BB1" w:rsidRPr="0010033A">
        <w:rPr>
          <w:rFonts w:asciiTheme="majorHAnsi" w:hAnsiTheme="majorHAnsi" w:cstheme="majorHAnsi"/>
          <w:sz w:val="24"/>
          <w:szCs w:val="24"/>
          <w:lang w:val="ru-MD"/>
        </w:rPr>
        <w:t xml:space="preserve"> на 31,0 млн. ле</w:t>
      </w:r>
      <w:r w:rsidR="0010033A" w:rsidRPr="0010033A">
        <w:rPr>
          <w:rFonts w:asciiTheme="majorHAnsi" w:hAnsiTheme="majorHAnsi" w:cstheme="majorHAnsi"/>
          <w:sz w:val="24"/>
          <w:szCs w:val="24"/>
          <w:lang w:val="ru-MD"/>
        </w:rPr>
        <w:t>ев</w:t>
      </w:r>
      <w:r w:rsidR="004C657F" w:rsidRPr="0010033A">
        <w:rPr>
          <w:rFonts w:asciiTheme="majorHAnsi" w:hAnsiTheme="majorHAnsi" w:cstheme="majorHAnsi"/>
          <w:sz w:val="24"/>
          <w:szCs w:val="24"/>
          <w:lang w:val="ru-MD"/>
        </w:rPr>
        <w:t>;</w:t>
      </w:r>
    </w:p>
    <w:p w:rsidR="00C52364" w:rsidRPr="000A281B" w:rsidRDefault="0010033A" w:rsidP="00BC379C">
      <w:pPr>
        <w:spacing w:after="0" w:line="276" w:lineRule="auto"/>
        <w:rPr>
          <w:rFonts w:asciiTheme="majorHAnsi" w:hAnsiTheme="majorHAnsi" w:cstheme="majorHAnsi"/>
          <w:b/>
          <w:i/>
          <w:sz w:val="24"/>
          <w:szCs w:val="24"/>
          <w:lang w:val="ru-MD"/>
        </w:rPr>
      </w:pPr>
      <w:r>
        <w:rPr>
          <w:rFonts w:asciiTheme="majorHAnsi" w:hAnsiTheme="majorHAnsi" w:cstheme="majorHAnsi"/>
          <w:b/>
          <w:sz w:val="24"/>
          <w:szCs w:val="24"/>
          <w:lang w:val="ru-RU"/>
        </w:rPr>
        <w:t>в МВД</w:t>
      </w:r>
      <w:r w:rsidR="00A0547B" w:rsidRPr="00973E5B">
        <w:rPr>
          <w:rFonts w:asciiTheme="majorHAnsi" w:hAnsiTheme="majorHAnsi" w:cstheme="majorHAnsi"/>
          <w:b/>
          <w:sz w:val="24"/>
          <w:szCs w:val="24"/>
          <w:lang w:val="ro-RO"/>
        </w:rPr>
        <w:t>:</w:t>
      </w:r>
      <w:r w:rsidR="008D21D6" w:rsidRPr="00B05CFC">
        <w:rPr>
          <w:rFonts w:ascii="Calibri Light" w:hAnsi="Calibri Light" w:cs="Calibri Light"/>
          <w:color w:val="000000"/>
          <w:sz w:val="22"/>
          <w:lang w:val="ro-RO" w:eastAsia="zh-CN"/>
        </w:rPr>
        <w:t xml:space="preserve"> </w:t>
      </w:r>
      <w:r w:rsidR="00914BB1" w:rsidRPr="000A281B">
        <w:rPr>
          <w:rFonts w:ascii="Calibri Light" w:hAnsi="Calibri Light" w:cs="Calibri Light"/>
          <w:color w:val="000000"/>
          <w:sz w:val="24"/>
          <w:szCs w:val="24"/>
          <w:lang w:val="ru-MD" w:eastAsia="zh-CN"/>
        </w:rPr>
        <w:t>не</w:t>
      </w:r>
      <w:r w:rsidR="0077574D" w:rsidRPr="000A281B">
        <w:rPr>
          <w:rFonts w:ascii="Calibri Light" w:hAnsi="Calibri Light" w:cs="Calibri Light"/>
          <w:color w:val="000000"/>
          <w:sz w:val="24"/>
          <w:szCs w:val="24"/>
          <w:lang w:val="ru-MD" w:eastAsia="zh-CN"/>
        </w:rPr>
        <w:t xml:space="preserve">проведение </w:t>
      </w:r>
      <w:r w:rsidR="00914BB1" w:rsidRPr="000A281B">
        <w:rPr>
          <w:rFonts w:ascii="Calibri Light" w:hAnsi="Calibri Light" w:cs="Calibri Light"/>
          <w:color w:val="000000"/>
          <w:sz w:val="24"/>
          <w:szCs w:val="24"/>
          <w:lang w:val="ru-MD" w:eastAsia="zh-CN"/>
        </w:rPr>
        <w:t>оценк</w:t>
      </w:r>
      <w:r w:rsidR="0077574D" w:rsidRPr="000A281B">
        <w:rPr>
          <w:rFonts w:ascii="Calibri Light" w:hAnsi="Calibri Light" w:cs="Calibri Light"/>
          <w:color w:val="000000"/>
          <w:sz w:val="24"/>
          <w:szCs w:val="24"/>
          <w:lang w:val="ru-MD" w:eastAsia="zh-CN"/>
        </w:rPr>
        <w:t>и</w:t>
      </w:r>
      <w:r w:rsidR="00914BB1" w:rsidRPr="000A281B">
        <w:rPr>
          <w:rFonts w:ascii="Calibri Light" w:hAnsi="Calibri Light" w:cs="Calibri Light"/>
          <w:color w:val="000000"/>
          <w:sz w:val="24"/>
          <w:szCs w:val="24"/>
          <w:lang w:val="ru-MD" w:eastAsia="zh-CN"/>
        </w:rPr>
        <w:t xml:space="preserve"> и не</w:t>
      </w:r>
      <w:r w:rsidR="0077574D" w:rsidRPr="000A281B">
        <w:rPr>
          <w:rFonts w:ascii="Calibri Light" w:hAnsi="Calibri Light" w:cs="Calibri Light"/>
          <w:color w:val="000000"/>
          <w:sz w:val="24"/>
          <w:szCs w:val="24"/>
          <w:lang w:val="ru-MD" w:eastAsia="zh-CN"/>
        </w:rPr>
        <w:t xml:space="preserve">регистрация в бухгалтерском учете </w:t>
      </w:r>
      <w:r w:rsidR="00914BB1" w:rsidRPr="000A281B">
        <w:rPr>
          <w:rFonts w:ascii="Calibri Light" w:hAnsi="Calibri Light" w:cs="Calibri Light"/>
          <w:color w:val="000000"/>
          <w:sz w:val="24"/>
          <w:szCs w:val="24"/>
          <w:lang w:val="ru-MD" w:eastAsia="zh-CN"/>
        </w:rPr>
        <w:t xml:space="preserve">недвижимого имущества, остаток на счете группы 311 </w:t>
      </w:r>
      <w:r w:rsidR="0077574D" w:rsidRPr="000A281B">
        <w:rPr>
          <w:rFonts w:ascii="Calibri Light" w:hAnsi="Calibri Light" w:cs="Calibri Light"/>
          <w:color w:val="000000"/>
          <w:sz w:val="24"/>
          <w:szCs w:val="24"/>
          <w:lang w:val="ru-MD" w:eastAsia="zh-CN"/>
        </w:rPr>
        <w:t>„Здания</w:t>
      </w:r>
      <w:r w:rsidR="0077574D" w:rsidRPr="000A281B">
        <w:rPr>
          <w:rFonts w:asciiTheme="majorHAnsi" w:hAnsiTheme="majorHAnsi" w:cstheme="majorHAnsi"/>
          <w:sz w:val="24"/>
          <w:szCs w:val="24"/>
          <w:lang w:val="ru-MD"/>
        </w:rPr>
        <w:t>”</w:t>
      </w:r>
      <w:r w:rsidR="00914BB1" w:rsidRPr="000A281B">
        <w:rPr>
          <w:rFonts w:ascii="Calibri Light" w:hAnsi="Calibri Light" w:cs="Calibri Light"/>
          <w:color w:val="000000"/>
          <w:sz w:val="24"/>
          <w:szCs w:val="24"/>
          <w:lang w:val="ru-MD" w:eastAsia="zh-CN"/>
        </w:rPr>
        <w:t xml:space="preserve"> </w:t>
      </w:r>
      <w:r w:rsidR="0077574D" w:rsidRPr="000A281B">
        <w:rPr>
          <w:rFonts w:ascii="Calibri Light" w:hAnsi="Calibri Light" w:cs="Calibri Light"/>
          <w:color w:val="000000"/>
          <w:sz w:val="24"/>
          <w:szCs w:val="24"/>
          <w:lang w:val="ru-MD" w:eastAsia="zh-CN"/>
        </w:rPr>
        <w:t>заниж</w:t>
      </w:r>
      <w:r w:rsidR="00914BB1" w:rsidRPr="000A281B">
        <w:rPr>
          <w:rFonts w:ascii="Calibri Light" w:hAnsi="Calibri Light" w:cs="Calibri Light"/>
          <w:color w:val="000000"/>
          <w:sz w:val="24"/>
          <w:szCs w:val="24"/>
          <w:lang w:val="ru-MD" w:eastAsia="zh-CN"/>
        </w:rPr>
        <w:t xml:space="preserve">ен на 156,0 млн. </w:t>
      </w:r>
      <w:r w:rsidR="0077574D" w:rsidRPr="000A281B">
        <w:rPr>
          <w:rFonts w:ascii="Calibri Light" w:hAnsi="Calibri Light" w:cs="Calibri Light"/>
          <w:color w:val="000000"/>
          <w:sz w:val="24"/>
          <w:szCs w:val="24"/>
          <w:lang w:val="ru-MD" w:eastAsia="zh-CN"/>
        </w:rPr>
        <w:t>леев</w:t>
      </w:r>
      <w:r w:rsidR="00914BB1" w:rsidRPr="000A281B">
        <w:rPr>
          <w:rFonts w:ascii="Calibri Light" w:hAnsi="Calibri Light" w:cs="Calibri Light"/>
          <w:color w:val="000000"/>
          <w:sz w:val="24"/>
          <w:szCs w:val="24"/>
          <w:lang w:val="ru-MD" w:eastAsia="zh-CN"/>
        </w:rPr>
        <w:t xml:space="preserve">. </w:t>
      </w:r>
      <w:r w:rsidR="000A281B" w:rsidRPr="000A281B">
        <w:rPr>
          <w:rFonts w:ascii="Calibri Light" w:hAnsi="Calibri Light" w:cs="Calibri Light"/>
          <w:color w:val="000000"/>
          <w:sz w:val="24"/>
          <w:szCs w:val="24"/>
          <w:lang w:val="ru-MD" w:eastAsia="zh-CN"/>
        </w:rPr>
        <w:t>На о</w:t>
      </w:r>
      <w:r w:rsidR="00914BB1" w:rsidRPr="000A281B">
        <w:rPr>
          <w:rFonts w:ascii="Calibri Light" w:hAnsi="Calibri Light" w:cs="Calibri Light"/>
          <w:color w:val="000000"/>
          <w:sz w:val="24"/>
          <w:szCs w:val="24"/>
          <w:lang w:val="ru-MD" w:eastAsia="zh-CN"/>
        </w:rPr>
        <w:t xml:space="preserve">статки счетов, </w:t>
      </w:r>
      <w:r w:rsidR="000A281B" w:rsidRPr="000A281B">
        <w:rPr>
          <w:rFonts w:ascii="Calibri Light" w:hAnsi="Calibri Light" w:cs="Calibri Light"/>
          <w:color w:val="000000"/>
          <w:sz w:val="24"/>
          <w:szCs w:val="24"/>
          <w:lang w:val="ru-MD" w:eastAsia="zh-CN"/>
        </w:rPr>
        <w:t>зарегистрирова</w:t>
      </w:r>
      <w:r w:rsidR="00914BB1" w:rsidRPr="000A281B">
        <w:rPr>
          <w:rFonts w:ascii="Calibri Light" w:hAnsi="Calibri Light" w:cs="Calibri Light"/>
          <w:color w:val="000000"/>
          <w:sz w:val="24"/>
          <w:szCs w:val="24"/>
          <w:lang w:val="ru-MD" w:eastAsia="zh-CN"/>
        </w:rPr>
        <w:t xml:space="preserve">нные в консолидированном бухгалтерском балансе на 31.12.2020, </w:t>
      </w:r>
      <w:r w:rsidR="000A281B" w:rsidRPr="000A281B">
        <w:rPr>
          <w:rFonts w:ascii="Calibri Light" w:hAnsi="Calibri Light" w:cs="Calibri Light"/>
          <w:color w:val="000000"/>
          <w:sz w:val="24"/>
          <w:szCs w:val="24"/>
          <w:lang w:val="ru-MD" w:eastAsia="zh-CN"/>
        </w:rPr>
        <w:t>влияет</w:t>
      </w:r>
      <w:r w:rsidR="00914BB1" w:rsidRPr="000A281B">
        <w:rPr>
          <w:rFonts w:ascii="Calibri Light" w:hAnsi="Calibri Light" w:cs="Calibri Light"/>
          <w:color w:val="000000"/>
          <w:sz w:val="24"/>
          <w:szCs w:val="24"/>
          <w:lang w:val="ru-MD" w:eastAsia="zh-CN"/>
        </w:rPr>
        <w:t xml:space="preserve"> наличи</w:t>
      </w:r>
      <w:r w:rsidR="000A281B" w:rsidRPr="000A281B">
        <w:rPr>
          <w:rFonts w:ascii="Calibri Light" w:hAnsi="Calibri Light" w:cs="Calibri Light"/>
          <w:color w:val="000000"/>
          <w:sz w:val="24"/>
          <w:szCs w:val="24"/>
          <w:lang w:val="ru-MD" w:eastAsia="zh-CN"/>
        </w:rPr>
        <w:t>е</w:t>
      </w:r>
      <w:r w:rsidR="00914BB1" w:rsidRPr="000A281B">
        <w:rPr>
          <w:rFonts w:ascii="Calibri Light" w:hAnsi="Calibri Light" w:cs="Calibri Light"/>
          <w:color w:val="000000"/>
          <w:sz w:val="24"/>
          <w:szCs w:val="24"/>
          <w:lang w:val="ru-MD" w:eastAsia="zh-CN"/>
        </w:rPr>
        <w:t xml:space="preserve"> на балансе </w:t>
      </w:r>
      <w:r w:rsidR="000A281B" w:rsidRPr="000A281B">
        <w:rPr>
          <w:rFonts w:ascii="Calibri Light" w:hAnsi="Calibri Light" w:cs="Calibri Light"/>
          <w:color w:val="000000"/>
          <w:sz w:val="24"/>
          <w:szCs w:val="24"/>
          <w:lang w:val="ru-MD" w:eastAsia="zh-CN"/>
        </w:rPr>
        <w:t xml:space="preserve">морально </w:t>
      </w:r>
      <w:r w:rsidR="00914BB1" w:rsidRPr="000A281B">
        <w:rPr>
          <w:rFonts w:ascii="Calibri Light" w:hAnsi="Calibri Light" w:cs="Calibri Light"/>
          <w:color w:val="000000"/>
          <w:sz w:val="24"/>
          <w:szCs w:val="24"/>
          <w:lang w:val="ru-MD" w:eastAsia="zh-CN"/>
        </w:rPr>
        <w:t xml:space="preserve">устаревших, полностью изношенных и неиспользованных в операционном процессе </w:t>
      </w:r>
      <w:r w:rsidR="000A281B" w:rsidRPr="000A281B">
        <w:rPr>
          <w:rFonts w:ascii="Calibri Light" w:hAnsi="Calibri Light" w:cs="Calibri Light"/>
          <w:color w:val="000000"/>
          <w:sz w:val="24"/>
          <w:szCs w:val="24"/>
          <w:lang w:val="ru-MD" w:eastAsia="zh-CN"/>
        </w:rPr>
        <w:t xml:space="preserve">активов </w:t>
      </w:r>
      <w:r w:rsidR="00914BB1" w:rsidRPr="000A281B">
        <w:rPr>
          <w:rFonts w:ascii="Calibri Light" w:hAnsi="Calibri Light" w:cs="Calibri Light"/>
          <w:color w:val="000000"/>
          <w:sz w:val="24"/>
          <w:szCs w:val="24"/>
          <w:lang w:val="ru-MD" w:eastAsia="zh-CN"/>
        </w:rPr>
        <w:t xml:space="preserve">за последние 3 года, </w:t>
      </w:r>
      <w:r w:rsidR="000A281B" w:rsidRPr="000A281B">
        <w:rPr>
          <w:rFonts w:ascii="Calibri Light" w:hAnsi="Calibri Light" w:cs="Calibri Light"/>
          <w:color w:val="000000"/>
          <w:sz w:val="24"/>
          <w:szCs w:val="24"/>
          <w:lang w:val="ru-MD" w:eastAsia="zh-CN"/>
        </w:rPr>
        <w:t>стоимость которых завышена</w:t>
      </w:r>
      <w:r w:rsidR="00914BB1" w:rsidRPr="000A281B">
        <w:rPr>
          <w:rFonts w:ascii="Calibri Light" w:hAnsi="Calibri Light" w:cs="Calibri Light"/>
          <w:color w:val="000000"/>
          <w:sz w:val="24"/>
          <w:szCs w:val="24"/>
          <w:lang w:val="ru-MD" w:eastAsia="zh-CN"/>
        </w:rPr>
        <w:t xml:space="preserve"> на 151,7</w:t>
      </w:r>
      <w:r w:rsidR="00914BB1" w:rsidRPr="00914BB1">
        <w:rPr>
          <w:rFonts w:ascii="Calibri Light" w:hAnsi="Calibri Light" w:cs="Calibri Light"/>
          <w:color w:val="000000"/>
          <w:sz w:val="24"/>
          <w:szCs w:val="24"/>
          <w:lang w:val="ro-RO" w:eastAsia="zh-CN"/>
        </w:rPr>
        <w:t xml:space="preserve"> </w:t>
      </w:r>
      <w:r w:rsidR="00914BB1" w:rsidRPr="000A281B">
        <w:rPr>
          <w:rFonts w:ascii="Calibri Light" w:hAnsi="Calibri Light" w:cs="Calibri Light"/>
          <w:color w:val="000000"/>
          <w:sz w:val="24"/>
          <w:szCs w:val="24"/>
          <w:lang w:val="ru-MD" w:eastAsia="zh-CN"/>
        </w:rPr>
        <w:lastRenderedPageBreak/>
        <w:t xml:space="preserve">млн. леев, в том числе </w:t>
      </w:r>
      <w:r w:rsidR="000A281B" w:rsidRPr="000A281B">
        <w:rPr>
          <w:rFonts w:ascii="Calibri Light" w:hAnsi="Calibri Light" w:cs="Calibri Light"/>
          <w:color w:val="000000"/>
          <w:sz w:val="24"/>
          <w:szCs w:val="24"/>
          <w:lang w:val="ru-MD" w:eastAsia="zh-CN"/>
        </w:rPr>
        <w:t xml:space="preserve">по </w:t>
      </w:r>
      <w:r w:rsidR="00914BB1" w:rsidRPr="000A281B">
        <w:rPr>
          <w:rFonts w:ascii="Calibri Light" w:hAnsi="Calibri Light" w:cs="Calibri Light"/>
          <w:color w:val="000000"/>
          <w:sz w:val="24"/>
          <w:szCs w:val="24"/>
          <w:lang w:val="ru-MD" w:eastAsia="zh-CN"/>
        </w:rPr>
        <w:t>подкласс</w:t>
      </w:r>
      <w:r w:rsidR="000A281B" w:rsidRPr="000A281B">
        <w:rPr>
          <w:rFonts w:ascii="Calibri Light" w:hAnsi="Calibri Light" w:cs="Calibri Light"/>
          <w:color w:val="000000"/>
          <w:sz w:val="24"/>
          <w:szCs w:val="24"/>
          <w:lang w:val="ru-MD" w:eastAsia="zh-CN"/>
        </w:rPr>
        <w:t>у</w:t>
      </w:r>
      <w:r w:rsidR="00914BB1" w:rsidRPr="000A281B">
        <w:rPr>
          <w:rFonts w:ascii="Calibri Light" w:hAnsi="Calibri Light" w:cs="Calibri Light"/>
          <w:color w:val="000000"/>
          <w:sz w:val="24"/>
          <w:szCs w:val="24"/>
          <w:lang w:val="ru-MD" w:eastAsia="zh-CN"/>
        </w:rPr>
        <w:t xml:space="preserve"> 31 „</w:t>
      </w:r>
      <w:r w:rsidR="0077574D" w:rsidRPr="000A281B">
        <w:rPr>
          <w:rFonts w:ascii="Calibri Light" w:hAnsi="Calibri Light" w:cs="Calibri Light"/>
          <w:color w:val="000000"/>
          <w:sz w:val="24"/>
          <w:szCs w:val="24"/>
          <w:lang w:val="ru-MD" w:eastAsia="zh-CN"/>
        </w:rPr>
        <w:t>О</w:t>
      </w:r>
      <w:r w:rsidR="00914BB1" w:rsidRPr="000A281B">
        <w:rPr>
          <w:rFonts w:ascii="Calibri Light" w:hAnsi="Calibri Light" w:cs="Calibri Light"/>
          <w:color w:val="000000"/>
          <w:sz w:val="24"/>
          <w:szCs w:val="24"/>
          <w:lang w:val="ru-MD" w:eastAsia="zh-CN"/>
        </w:rPr>
        <w:t xml:space="preserve">сновные средства” – на 149,4 млн. леев, </w:t>
      </w:r>
      <w:r w:rsidR="000A281B" w:rsidRPr="000A281B">
        <w:rPr>
          <w:rFonts w:ascii="Calibri Light" w:hAnsi="Calibri Light" w:cs="Calibri Light"/>
          <w:color w:val="000000"/>
          <w:sz w:val="24"/>
          <w:szCs w:val="24"/>
          <w:lang w:val="ru-MD" w:eastAsia="zh-CN"/>
        </w:rPr>
        <w:t xml:space="preserve">по </w:t>
      </w:r>
      <w:r w:rsidR="00914BB1" w:rsidRPr="000A281B">
        <w:rPr>
          <w:rFonts w:ascii="Calibri Light" w:hAnsi="Calibri Light" w:cs="Calibri Light"/>
          <w:color w:val="000000"/>
          <w:sz w:val="24"/>
          <w:szCs w:val="24"/>
          <w:lang w:val="ru-MD" w:eastAsia="zh-CN"/>
        </w:rPr>
        <w:t>подкласс</w:t>
      </w:r>
      <w:r w:rsidR="000A281B" w:rsidRPr="000A281B">
        <w:rPr>
          <w:rFonts w:ascii="Calibri Light" w:hAnsi="Calibri Light" w:cs="Calibri Light"/>
          <w:color w:val="000000"/>
          <w:sz w:val="24"/>
          <w:szCs w:val="24"/>
          <w:lang w:val="ru-MD" w:eastAsia="zh-CN"/>
        </w:rPr>
        <w:t>у</w:t>
      </w:r>
      <w:r w:rsidR="00914BB1" w:rsidRPr="000A281B">
        <w:rPr>
          <w:rFonts w:ascii="Calibri Light" w:hAnsi="Calibri Light" w:cs="Calibri Light"/>
          <w:color w:val="000000"/>
          <w:sz w:val="24"/>
          <w:szCs w:val="24"/>
          <w:lang w:val="ru-MD" w:eastAsia="zh-CN"/>
        </w:rPr>
        <w:t xml:space="preserve"> 33 </w:t>
      </w:r>
      <w:r w:rsidR="0077574D" w:rsidRPr="000A281B">
        <w:rPr>
          <w:rFonts w:asciiTheme="majorHAnsi" w:hAnsiTheme="majorHAnsi" w:cstheme="majorHAnsi"/>
          <w:sz w:val="24"/>
          <w:szCs w:val="24"/>
          <w:lang w:val="ru-MD"/>
        </w:rPr>
        <w:t>„З</w:t>
      </w:r>
      <w:r w:rsidR="00914BB1" w:rsidRPr="000A281B">
        <w:rPr>
          <w:rFonts w:ascii="Calibri Light" w:hAnsi="Calibri Light" w:cs="Calibri Light"/>
          <w:color w:val="000000"/>
          <w:sz w:val="24"/>
          <w:szCs w:val="24"/>
          <w:lang w:val="ru-MD" w:eastAsia="zh-CN"/>
        </w:rPr>
        <w:t xml:space="preserve">апасы </w:t>
      </w:r>
      <w:r w:rsidR="0077574D" w:rsidRPr="000A281B">
        <w:rPr>
          <w:rFonts w:ascii="Calibri Light" w:hAnsi="Calibri Light" w:cs="Calibri Light"/>
          <w:color w:val="000000"/>
          <w:sz w:val="24"/>
          <w:szCs w:val="24"/>
          <w:lang w:val="ru-MD" w:eastAsia="zh-CN"/>
        </w:rPr>
        <w:t>оборотных</w:t>
      </w:r>
      <w:r w:rsidR="00914BB1" w:rsidRPr="000A281B">
        <w:rPr>
          <w:rFonts w:ascii="Calibri Light" w:hAnsi="Calibri Light" w:cs="Calibri Light"/>
          <w:color w:val="000000"/>
          <w:sz w:val="24"/>
          <w:szCs w:val="24"/>
          <w:lang w:val="ru-MD" w:eastAsia="zh-CN"/>
        </w:rPr>
        <w:t xml:space="preserve"> материалов</w:t>
      </w:r>
      <w:r w:rsidR="0077574D" w:rsidRPr="000A281B">
        <w:rPr>
          <w:rFonts w:asciiTheme="majorHAnsi" w:hAnsiTheme="majorHAnsi" w:cstheme="majorHAnsi"/>
          <w:sz w:val="24"/>
          <w:szCs w:val="24"/>
          <w:lang w:val="ru-MD"/>
        </w:rPr>
        <w:t>”</w:t>
      </w:r>
      <w:r w:rsidR="00914BB1" w:rsidRPr="000A281B">
        <w:rPr>
          <w:rFonts w:ascii="Calibri Light" w:hAnsi="Calibri Light" w:cs="Calibri Light"/>
          <w:color w:val="000000"/>
          <w:sz w:val="24"/>
          <w:szCs w:val="24"/>
          <w:lang w:val="ru-MD" w:eastAsia="zh-CN"/>
        </w:rPr>
        <w:t xml:space="preserve"> - на 2,3 млн.</w:t>
      </w:r>
      <w:r w:rsidR="0077574D" w:rsidRPr="000A281B">
        <w:rPr>
          <w:rFonts w:ascii="Calibri Light" w:hAnsi="Calibri Light" w:cs="Calibri Light"/>
          <w:color w:val="000000"/>
          <w:sz w:val="24"/>
          <w:szCs w:val="24"/>
          <w:lang w:val="ru-MD" w:eastAsia="zh-CN"/>
        </w:rPr>
        <w:t xml:space="preserve"> </w:t>
      </w:r>
      <w:r w:rsidR="00914BB1" w:rsidRPr="000A281B">
        <w:rPr>
          <w:rFonts w:ascii="Calibri Light" w:hAnsi="Calibri Light" w:cs="Calibri Light"/>
          <w:color w:val="000000"/>
          <w:sz w:val="24"/>
          <w:szCs w:val="24"/>
          <w:lang w:val="ru-MD" w:eastAsia="zh-CN"/>
        </w:rPr>
        <w:t>ле</w:t>
      </w:r>
      <w:r w:rsidR="0077574D" w:rsidRPr="000A281B">
        <w:rPr>
          <w:rFonts w:ascii="Calibri Light" w:hAnsi="Calibri Light" w:cs="Calibri Light"/>
          <w:color w:val="000000"/>
          <w:sz w:val="24"/>
          <w:szCs w:val="24"/>
          <w:lang w:val="ru-MD" w:eastAsia="zh-CN"/>
        </w:rPr>
        <w:t>ев</w:t>
      </w:r>
      <w:r w:rsidR="004C657F" w:rsidRPr="000A281B">
        <w:rPr>
          <w:rFonts w:asciiTheme="majorHAnsi" w:hAnsiTheme="majorHAnsi" w:cstheme="majorHAnsi"/>
          <w:sz w:val="24"/>
          <w:szCs w:val="24"/>
          <w:lang w:val="ru-MD"/>
        </w:rPr>
        <w:t>;</w:t>
      </w:r>
    </w:p>
    <w:p w:rsidR="00F01EE2" w:rsidRPr="000A281B" w:rsidRDefault="000A281B" w:rsidP="000471DC">
      <w:pPr>
        <w:spacing w:after="0" w:line="276" w:lineRule="auto"/>
        <w:rPr>
          <w:rFonts w:asciiTheme="majorHAnsi" w:hAnsiTheme="majorHAnsi" w:cstheme="majorHAnsi"/>
          <w:b/>
          <w:sz w:val="24"/>
          <w:szCs w:val="24"/>
          <w:lang w:val="ru-MD"/>
        </w:rPr>
      </w:pPr>
      <w:r w:rsidRPr="000A281B">
        <w:rPr>
          <w:rFonts w:asciiTheme="majorHAnsi" w:hAnsiTheme="majorHAnsi" w:cstheme="majorHAnsi"/>
          <w:b/>
          <w:sz w:val="24"/>
          <w:szCs w:val="24"/>
          <w:lang w:val="ru-MD"/>
        </w:rPr>
        <w:t>в МФ</w:t>
      </w:r>
      <w:r w:rsidR="00EB0ED3" w:rsidRPr="000A281B">
        <w:rPr>
          <w:rFonts w:asciiTheme="majorHAnsi" w:hAnsiTheme="majorHAnsi" w:cstheme="majorHAnsi"/>
          <w:b/>
          <w:sz w:val="24"/>
          <w:szCs w:val="24"/>
          <w:lang w:val="ru-MD"/>
        </w:rPr>
        <w:t xml:space="preserve"> </w:t>
      </w:r>
      <w:r w:rsidR="00914BB1" w:rsidRPr="000A281B">
        <w:rPr>
          <w:rFonts w:asciiTheme="majorHAnsi" w:hAnsiTheme="majorHAnsi" w:cstheme="majorHAnsi"/>
          <w:sz w:val="24"/>
          <w:szCs w:val="24"/>
          <w:lang w:val="ru-MD"/>
        </w:rPr>
        <w:t xml:space="preserve">был </w:t>
      </w:r>
      <w:r w:rsidRPr="000A281B">
        <w:rPr>
          <w:rFonts w:asciiTheme="majorHAnsi" w:hAnsiTheme="majorHAnsi" w:cstheme="majorHAnsi"/>
          <w:sz w:val="24"/>
          <w:szCs w:val="24"/>
          <w:lang w:val="ru-MD"/>
        </w:rPr>
        <w:t>искажен</w:t>
      </w:r>
      <w:r w:rsidR="00914BB1" w:rsidRPr="000A281B">
        <w:rPr>
          <w:rFonts w:asciiTheme="majorHAnsi" w:hAnsiTheme="majorHAnsi" w:cstheme="majorHAnsi"/>
          <w:sz w:val="24"/>
          <w:szCs w:val="24"/>
          <w:lang w:val="ru-MD"/>
        </w:rPr>
        <w:t xml:space="preserve"> консолидированный финансовый отчет </w:t>
      </w:r>
      <w:r w:rsidRPr="000A281B">
        <w:rPr>
          <w:rFonts w:asciiTheme="majorHAnsi" w:hAnsiTheme="majorHAnsi" w:cstheme="majorHAnsi"/>
          <w:sz w:val="24"/>
          <w:szCs w:val="24"/>
          <w:lang w:val="ru-MD"/>
        </w:rPr>
        <w:t>по</w:t>
      </w:r>
      <w:r w:rsidR="00914BB1" w:rsidRPr="000A281B">
        <w:rPr>
          <w:rFonts w:asciiTheme="majorHAnsi" w:hAnsiTheme="majorHAnsi" w:cstheme="majorHAnsi"/>
          <w:sz w:val="24"/>
          <w:szCs w:val="24"/>
          <w:lang w:val="ru-MD"/>
        </w:rPr>
        <w:t xml:space="preserve"> подкласс</w:t>
      </w:r>
      <w:r w:rsidRPr="000A281B">
        <w:rPr>
          <w:rFonts w:asciiTheme="majorHAnsi" w:hAnsiTheme="majorHAnsi" w:cstheme="majorHAnsi"/>
          <w:sz w:val="24"/>
          <w:szCs w:val="24"/>
          <w:lang w:val="ru-MD"/>
        </w:rPr>
        <w:t>у</w:t>
      </w:r>
      <w:r w:rsidR="00914BB1" w:rsidRPr="000A281B">
        <w:rPr>
          <w:rFonts w:asciiTheme="majorHAnsi" w:hAnsiTheme="majorHAnsi" w:cstheme="majorHAnsi"/>
          <w:sz w:val="24"/>
          <w:szCs w:val="24"/>
          <w:lang w:val="ru-MD"/>
        </w:rPr>
        <w:t xml:space="preserve"> 31 </w:t>
      </w:r>
      <w:r w:rsidRPr="000A281B">
        <w:rPr>
          <w:rFonts w:ascii="Calibri Light" w:hAnsi="Calibri Light" w:cs="Calibri Light"/>
          <w:color w:val="000000"/>
          <w:sz w:val="24"/>
          <w:szCs w:val="24"/>
          <w:lang w:val="ru-MD" w:eastAsia="zh-CN"/>
        </w:rPr>
        <w:t>„Основные средства”</w:t>
      </w:r>
      <w:r w:rsidR="00914BB1" w:rsidRPr="000A281B">
        <w:rPr>
          <w:rFonts w:asciiTheme="majorHAnsi" w:hAnsiTheme="majorHAnsi" w:cstheme="majorHAnsi"/>
          <w:sz w:val="24"/>
          <w:szCs w:val="24"/>
          <w:lang w:val="ru-MD"/>
        </w:rPr>
        <w:t xml:space="preserve"> и подкласс</w:t>
      </w:r>
      <w:r w:rsidRPr="000A281B">
        <w:rPr>
          <w:rFonts w:asciiTheme="majorHAnsi" w:hAnsiTheme="majorHAnsi" w:cstheme="majorHAnsi"/>
          <w:sz w:val="24"/>
          <w:szCs w:val="24"/>
          <w:lang w:val="ru-MD"/>
        </w:rPr>
        <w:t>у</w:t>
      </w:r>
      <w:r w:rsidR="00914BB1" w:rsidRPr="000A281B">
        <w:rPr>
          <w:rFonts w:asciiTheme="majorHAnsi" w:hAnsiTheme="majorHAnsi" w:cstheme="majorHAnsi"/>
          <w:sz w:val="24"/>
          <w:szCs w:val="24"/>
          <w:lang w:val="ru-MD"/>
        </w:rPr>
        <w:t xml:space="preserve"> 33 </w:t>
      </w:r>
      <w:r w:rsidRPr="000A281B">
        <w:rPr>
          <w:rFonts w:asciiTheme="majorHAnsi" w:hAnsiTheme="majorHAnsi" w:cstheme="majorHAnsi"/>
          <w:sz w:val="24"/>
          <w:szCs w:val="24"/>
          <w:lang w:val="ru-MD"/>
        </w:rPr>
        <w:t>„З</w:t>
      </w:r>
      <w:r w:rsidRPr="000A281B">
        <w:rPr>
          <w:rFonts w:ascii="Calibri Light" w:hAnsi="Calibri Light" w:cs="Calibri Light"/>
          <w:color w:val="000000"/>
          <w:sz w:val="24"/>
          <w:szCs w:val="24"/>
          <w:lang w:val="ru-MD" w:eastAsia="zh-CN"/>
        </w:rPr>
        <w:t>апасы оборотных материалов</w:t>
      </w:r>
      <w:r w:rsidRPr="000A281B">
        <w:rPr>
          <w:rFonts w:asciiTheme="majorHAnsi" w:hAnsiTheme="majorHAnsi" w:cstheme="majorHAnsi"/>
          <w:sz w:val="24"/>
          <w:szCs w:val="24"/>
          <w:lang w:val="ru-MD"/>
        </w:rPr>
        <w:t>”</w:t>
      </w:r>
      <w:r w:rsidR="00914BB1" w:rsidRPr="000A281B">
        <w:rPr>
          <w:rFonts w:asciiTheme="majorHAnsi" w:hAnsiTheme="majorHAnsi" w:cstheme="majorHAnsi"/>
          <w:sz w:val="24"/>
          <w:szCs w:val="24"/>
          <w:lang w:val="ru-MD"/>
        </w:rPr>
        <w:t xml:space="preserve"> на сумму 2,4 млн.</w:t>
      </w:r>
      <w:r w:rsidRPr="000A281B">
        <w:rPr>
          <w:rFonts w:asciiTheme="majorHAnsi" w:hAnsiTheme="majorHAnsi" w:cstheme="majorHAnsi"/>
          <w:sz w:val="24"/>
          <w:szCs w:val="24"/>
          <w:lang w:val="ru-MD"/>
        </w:rPr>
        <w:t xml:space="preserve"> </w:t>
      </w:r>
      <w:r w:rsidR="00914BB1" w:rsidRPr="000A281B">
        <w:rPr>
          <w:rFonts w:asciiTheme="majorHAnsi" w:hAnsiTheme="majorHAnsi" w:cstheme="majorHAnsi"/>
          <w:sz w:val="24"/>
          <w:szCs w:val="24"/>
          <w:lang w:val="ru-MD"/>
        </w:rPr>
        <w:t>ле</w:t>
      </w:r>
      <w:r w:rsidRPr="000A281B">
        <w:rPr>
          <w:rFonts w:asciiTheme="majorHAnsi" w:hAnsiTheme="majorHAnsi" w:cstheme="majorHAnsi"/>
          <w:sz w:val="24"/>
          <w:szCs w:val="24"/>
          <w:lang w:val="ru-MD"/>
        </w:rPr>
        <w:t>ев</w:t>
      </w:r>
      <w:r w:rsidR="00EB0ED3" w:rsidRPr="000A281B">
        <w:rPr>
          <w:rFonts w:asciiTheme="majorHAnsi" w:eastAsia="Times New Roman" w:hAnsiTheme="majorHAnsi" w:cstheme="majorHAnsi"/>
          <w:sz w:val="24"/>
          <w:szCs w:val="24"/>
          <w:lang w:val="ru-MD"/>
        </w:rPr>
        <w:t>.</w:t>
      </w:r>
    </w:p>
    <w:p w:rsidR="00B72D16" w:rsidRPr="00736447" w:rsidRDefault="000A281B" w:rsidP="000A281B">
      <w:pPr>
        <w:numPr>
          <w:ilvl w:val="1"/>
          <w:numId w:val="1"/>
        </w:numPr>
        <w:tabs>
          <w:tab w:val="left" w:pos="426"/>
        </w:tabs>
        <w:spacing w:after="0" w:line="276" w:lineRule="auto"/>
        <w:ind w:left="0" w:firstLine="0"/>
        <w:contextualSpacing/>
        <w:outlineLvl w:val="0"/>
        <w:rPr>
          <w:rFonts w:asciiTheme="majorHAnsi" w:hAnsiTheme="majorHAnsi" w:cstheme="majorHAnsi"/>
          <w:b/>
          <w:sz w:val="24"/>
          <w:szCs w:val="24"/>
          <w:lang w:val="ru-MD"/>
        </w:rPr>
      </w:pPr>
      <w:r w:rsidRPr="00736447">
        <w:rPr>
          <w:rFonts w:asciiTheme="majorHAnsi" w:hAnsiTheme="majorHAnsi" w:cstheme="majorHAnsi"/>
          <w:b/>
          <w:sz w:val="24"/>
          <w:szCs w:val="24"/>
          <w:lang w:val="ru-MD"/>
        </w:rPr>
        <w:t xml:space="preserve">При разработке и утверждении ГБ на 2020 год не был соблюден бюджетный календарь, а CBTM не был </w:t>
      </w:r>
      <w:r w:rsidR="0028351C" w:rsidRPr="00736447">
        <w:rPr>
          <w:rFonts w:asciiTheme="majorHAnsi" w:hAnsiTheme="majorHAnsi" w:cstheme="majorHAnsi"/>
          <w:b/>
          <w:sz w:val="24"/>
          <w:szCs w:val="24"/>
          <w:lang w:val="ru-MD"/>
        </w:rPr>
        <w:t>утвержд</w:t>
      </w:r>
      <w:r w:rsidRPr="00736447">
        <w:rPr>
          <w:rFonts w:asciiTheme="majorHAnsi" w:hAnsiTheme="majorHAnsi" w:cstheme="majorHAnsi"/>
          <w:b/>
          <w:sz w:val="24"/>
          <w:szCs w:val="24"/>
          <w:lang w:val="ru-MD"/>
        </w:rPr>
        <w:t xml:space="preserve">ен </w:t>
      </w:r>
      <w:r w:rsidR="0028351C" w:rsidRPr="00736447">
        <w:rPr>
          <w:rFonts w:asciiTheme="majorHAnsi" w:hAnsiTheme="majorHAnsi" w:cstheme="majorHAnsi"/>
          <w:b/>
          <w:sz w:val="24"/>
          <w:szCs w:val="24"/>
          <w:lang w:val="ru-MD"/>
        </w:rPr>
        <w:t>П</w:t>
      </w:r>
      <w:r w:rsidRPr="00736447">
        <w:rPr>
          <w:rFonts w:asciiTheme="majorHAnsi" w:hAnsiTheme="majorHAnsi" w:cstheme="majorHAnsi"/>
          <w:b/>
          <w:sz w:val="24"/>
          <w:szCs w:val="24"/>
          <w:lang w:val="ru-MD"/>
        </w:rPr>
        <w:t xml:space="preserve">равительством, чтобы служить </w:t>
      </w:r>
      <w:r w:rsidR="0028351C" w:rsidRPr="00736447">
        <w:rPr>
          <w:rFonts w:asciiTheme="majorHAnsi" w:hAnsiTheme="majorHAnsi" w:cstheme="majorHAnsi"/>
          <w:b/>
          <w:sz w:val="24"/>
          <w:szCs w:val="24"/>
          <w:lang w:val="ru-MD"/>
        </w:rPr>
        <w:t xml:space="preserve">исходным </w:t>
      </w:r>
      <w:r w:rsidR="00736447" w:rsidRPr="00736447">
        <w:rPr>
          <w:rFonts w:asciiTheme="majorHAnsi" w:hAnsiTheme="majorHAnsi" w:cstheme="majorHAnsi"/>
          <w:b/>
          <w:sz w:val="24"/>
          <w:szCs w:val="24"/>
          <w:lang w:val="ru-MD"/>
        </w:rPr>
        <w:t>показателем</w:t>
      </w:r>
      <w:r w:rsidRPr="00736447">
        <w:rPr>
          <w:rFonts w:asciiTheme="majorHAnsi" w:hAnsiTheme="majorHAnsi" w:cstheme="majorHAnsi"/>
          <w:b/>
          <w:sz w:val="24"/>
          <w:szCs w:val="24"/>
          <w:lang w:val="ru-MD"/>
        </w:rPr>
        <w:t xml:space="preserve"> в оценке базовой линии бюджетного цикла</w:t>
      </w:r>
      <w:r w:rsidR="004C657F" w:rsidRPr="00736447">
        <w:rPr>
          <w:rFonts w:asciiTheme="majorHAnsi" w:hAnsiTheme="majorHAnsi" w:cstheme="majorHAnsi"/>
          <w:b/>
          <w:sz w:val="24"/>
          <w:szCs w:val="24"/>
          <w:lang w:val="ru-MD"/>
        </w:rPr>
        <w:t>.</w:t>
      </w:r>
    </w:p>
    <w:p w:rsidR="00325584" w:rsidRPr="00973E5B" w:rsidRDefault="0028351C" w:rsidP="00325584">
      <w:pPr>
        <w:shd w:val="clear" w:color="auto" w:fill="FFFFFF" w:themeFill="background1"/>
        <w:spacing w:after="0" w:line="276" w:lineRule="auto"/>
        <w:contextualSpacing/>
        <w:rPr>
          <w:rFonts w:asciiTheme="majorHAnsi" w:hAnsiTheme="majorHAnsi" w:cstheme="majorHAnsi"/>
          <w:sz w:val="24"/>
          <w:szCs w:val="24"/>
          <w:lang w:val="ro-RO"/>
        </w:rPr>
      </w:pPr>
      <w:r w:rsidRPr="00736447">
        <w:rPr>
          <w:rFonts w:ascii="Calibri Light" w:hAnsi="Calibri Light" w:cstheme="majorHAnsi"/>
          <w:sz w:val="24"/>
          <w:szCs w:val="24"/>
          <w:lang w:val="ru-MD"/>
        </w:rPr>
        <w:t>Ежегодно, в соответствии с бюджетным календарем, ССПБ</w:t>
      </w:r>
      <w:r w:rsidRPr="00736447">
        <w:rPr>
          <w:rFonts w:asciiTheme="majorHAnsi" w:hAnsiTheme="majorHAnsi" w:cstheme="majorHAnsi"/>
          <w:sz w:val="24"/>
          <w:szCs w:val="24"/>
          <w:vertAlign w:val="superscript"/>
          <w:lang w:val="ru-MD"/>
        </w:rPr>
        <w:footnoteReference w:id="27"/>
      </w:r>
      <w:r w:rsidRPr="00736447">
        <w:rPr>
          <w:rFonts w:asciiTheme="majorHAnsi" w:hAnsiTheme="majorHAnsi" w:cstheme="majorHAnsi"/>
          <w:sz w:val="24"/>
          <w:szCs w:val="24"/>
          <w:lang w:val="ru-MD"/>
        </w:rPr>
        <w:t xml:space="preserve"> </w:t>
      </w:r>
      <w:r w:rsidRPr="00736447">
        <w:rPr>
          <w:rFonts w:ascii="Calibri Light" w:hAnsi="Calibri Light" w:cstheme="majorHAnsi"/>
          <w:sz w:val="24"/>
          <w:szCs w:val="24"/>
          <w:lang w:val="ru-MD"/>
        </w:rPr>
        <w:t xml:space="preserve"> разрабатывается </w:t>
      </w:r>
      <w:r w:rsidRPr="00736447">
        <w:rPr>
          <w:rFonts w:ascii="Calibri Light" w:eastAsia="Times New Roman" w:hAnsi="Calibri Light" w:cstheme="majorHAnsi"/>
          <w:sz w:val="24"/>
          <w:szCs w:val="24"/>
          <w:lang w:val="ru-MD"/>
        </w:rPr>
        <w:t>МФ совместно с другими ответственными органами, в соответствии с установленными налогово-бюджетными принципами и правилами, и представляется Правительству</w:t>
      </w:r>
      <w:r w:rsidRPr="00736447">
        <w:rPr>
          <w:rFonts w:asciiTheme="majorHAnsi" w:eastAsia="Times New Roman" w:hAnsiTheme="majorHAnsi" w:cstheme="majorHAnsi"/>
          <w:sz w:val="24"/>
          <w:szCs w:val="24"/>
          <w:vertAlign w:val="superscript"/>
          <w:lang w:val="ru-MD"/>
        </w:rPr>
        <w:footnoteReference w:id="28"/>
      </w:r>
      <w:r w:rsidRPr="00736447">
        <w:rPr>
          <w:rFonts w:ascii="Calibri Light" w:eastAsia="Times New Roman" w:hAnsi="Calibri Light" w:cstheme="majorHAnsi"/>
          <w:sz w:val="24"/>
          <w:szCs w:val="24"/>
          <w:lang w:val="ru-MD"/>
        </w:rPr>
        <w:t xml:space="preserve"> на утверждение, а Правительство его утверждает и представляет для информирования Парламенту</w:t>
      </w:r>
      <w:r w:rsidRPr="00736447">
        <w:rPr>
          <w:rFonts w:asciiTheme="majorHAnsi" w:hAnsiTheme="majorHAnsi" w:cstheme="majorHAnsi"/>
          <w:sz w:val="24"/>
          <w:szCs w:val="24"/>
          <w:vertAlign w:val="superscript"/>
          <w:lang w:val="ru-MD"/>
        </w:rPr>
        <w:footnoteReference w:id="29"/>
      </w:r>
      <w:r w:rsidRPr="00736447">
        <w:rPr>
          <w:rFonts w:ascii="Calibri Light" w:eastAsia="Times New Roman" w:hAnsi="Calibri Light" w:cstheme="majorHAnsi"/>
          <w:sz w:val="24"/>
          <w:szCs w:val="24"/>
          <w:lang w:val="ru-MD"/>
        </w:rPr>
        <w:t>. Согласно ст</w:t>
      </w:r>
      <w:r w:rsidR="00325584" w:rsidRPr="00736447">
        <w:rPr>
          <w:rFonts w:asciiTheme="majorHAnsi" w:hAnsiTheme="majorHAnsi" w:cstheme="majorHAnsi"/>
          <w:sz w:val="24"/>
          <w:szCs w:val="24"/>
          <w:lang w:val="ru-MD"/>
        </w:rPr>
        <w:t xml:space="preserve">.15 (2) </w:t>
      </w:r>
      <w:r w:rsidRPr="00736447">
        <w:rPr>
          <w:rFonts w:asciiTheme="majorHAnsi" w:hAnsiTheme="majorHAnsi" w:cstheme="majorHAnsi"/>
          <w:sz w:val="24"/>
          <w:szCs w:val="24"/>
          <w:lang w:val="ru-MD"/>
        </w:rPr>
        <w:t>Закона №</w:t>
      </w:r>
      <w:r w:rsidR="00325584" w:rsidRPr="00736447">
        <w:rPr>
          <w:rFonts w:asciiTheme="majorHAnsi" w:hAnsiTheme="majorHAnsi" w:cstheme="majorHAnsi"/>
          <w:sz w:val="24"/>
          <w:szCs w:val="24"/>
          <w:lang w:val="ru-MD"/>
        </w:rPr>
        <w:t xml:space="preserve">181 </w:t>
      </w:r>
      <w:r w:rsidRPr="00736447">
        <w:rPr>
          <w:rFonts w:asciiTheme="majorHAnsi" w:hAnsiTheme="majorHAnsi" w:cstheme="majorHAnsi"/>
          <w:sz w:val="24"/>
          <w:szCs w:val="24"/>
          <w:lang w:val="ru-MD"/>
        </w:rPr>
        <w:t>от</w:t>
      </w:r>
      <w:r w:rsidR="00325584" w:rsidRPr="00736447">
        <w:rPr>
          <w:rFonts w:asciiTheme="majorHAnsi" w:hAnsiTheme="majorHAnsi" w:cstheme="majorHAnsi"/>
          <w:sz w:val="24"/>
          <w:szCs w:val="24"/>
          <w:lang w:val="ru-MD"/>
        </w:rPr>
        <w:t xml:space="preserve"> 25.07.2014, </w:t>
      </w:r>
      <w:r w:rsidRPr="00736447">
        <w:rPr>
          <w:rFonts w:asciiTheme="majorHAnsi" w:hAnsiTheme="majorHAnsi" w:cstheme="majorHAnsi"/>
          <w:sz w:val="24"/>
          <w:szCs w:val="24"/>
          <w:lang w:val="ru-MD"/>
        </w:rPr>
        <w:t xml:space="preserve">при определении приоритетов политик ответственные органы обеспечивают последовательность и преемственность задач, принимаемых в рамках </w:t>
      </w:r>
      <w:r w:rsidRPr="00736447">
        <w:rPr>
          <w:rFonts w:ascii="Calibri Light" w:hAnsi="Calibri Light" w:cstheme="majorHAnsi"/>
          <w:sz w:val="24"/>
          <w:szCs w:val="24"/>
          <w:lang w:val="ru-MD"/>
        </w:rPr>
        <w:t>ССПБ</w:t>
      </w:r>
      <w:r w:rsidR="00996B7B" w:rsidRPr="00F55BA6">
        <w:rPr>
          <w:rFonts w:asciiTheme="majorHAnsi" w:hAnsiTheme="majorHAnsi" w:cstheme="majorHAnsi"/>
          <w:sz w:val="24"/>
          <w:szCs w:val="24"/>
          <w:lang w:val="ro-RO"/>
        </w:rPr>
        <w:t xml:space="preserve">. </w:t>
      </w:r>
      <w:r w:rsidR="00736447" w:rsidRPr="00211B90">
        <w:rPr>
          <w:rFonts w:asciiTheme="majorHAnsi" w:hAnsiTheme="majorHAnsi" w:cstheme="majorHAnsi"/>
          <w:sz w:val="24"/>
          <w:szCs w:val="24"/>
          <w:lang w:val="ru-MD"/>
        </w:rPr>
        <w:t>Аудит проверил соблюдение бюджетного календаря, и установил следующее</w:t>
      </w:r>
      <w:r w:rsidR="00325584" w:rsidRPr="00973E5B">
        <w:rPr>
          <w:rFonts w:asciiTheme="majorHAnsi" w:hAnsiTheme="majorHAnsi" w:cstheme="majorHAnsi"/>
          <w:sz w:val="24"/>
          <w:szCs w:val="24"/>
          <w:lang w:val="ro-RO"/>
        </w:rPr>
        <w:t>:</w:t>
      </w:r>
    </w:p>
    <w:p w:rsidR="00325584" w:rsidRPr="00F568CA" w:rsidRDefault="00211B90" w:rsidP="00736447">
      <w:pPr>
        <w:numPr>
          <w:ilvl w:val="0"/>
          <w:numId w:val="14"/>
        </w:numPr>
        <w:shd w:val="clear" w:color="auto" w:fill="FFFFFF" w:themeFill="background1"/>
        <w:tabs>
          <w:tab w:val="left" w:pos="284"/>
        </w:tabs>
        <w:spacing w:after="0" w:line="276" w:lineRule="auto"/>
        <w:ind w:left="0" w:firstLine="0"/>
        <w:contextualSpacing/>
        <w:rPr>
          <w:rFonts w:asciiTheme="majorHAnsi" w:hAnsiTheme="majorHAnsi" w:cstheme="majorHAnsi"/>
          <w:sz w:val="24"/>
          <w:szCs w:val="24"/>
          <w:lang w:val="ru-MD"/>
        </w:rPr>
      </w:pPr>
      <w:r w:rsidRPr="00F568CA">
        <w:rPr>
          <w:rFonts w:asciiTheme="majorHAnsi" w:hAnsiTheme="majorHAnsi" w:cstheme="majorHAnsi"/>
          <w:sz w:val="24"/>
          <w:szCs w:val="24"/>
          <w:lang w:val="ru-MD"/>
        </w:rPr>
        <w:t>ССПБ</w:t>
      </w:r>
      <w:r w:rsidR="00736447" w:rsidRPr="00F568CA">
        <w:rPr>
          <w:rFonts w:asciiTheme="majorHAnsi" w:hAnsiTheme="majorHAnsi" w:cstheme="majorHAnsi"/>
          <w:sz w:val="24"/>
          <w:szCs w:val="24"/>
          <w:lang w:val="ru-MD"/>
        </w:rPr>
        <w:t xml:space="preserve"> не был </w:t>
      </w:r>
      <w:r w:rsidR="00F568CA" w:rsidRPr="00F568CA">
        <w:rPr>
          <w:rFonts w:asciiTheme="majorHAnsi" w:hAnsiTheme="majorHAnsi" w:cstheme="majorHAnsi"/>
          <w:sz w:val="24"/>
          <w:szCs w:val="24"/>
          <w:lang w:val="ru-MD"/>
        </w:rPr>
        <w:t>утвержд</w:t>
      </w:r>
      <w:r w:rsidR="00736447" w:rsidRPr="00F568CA">
        <w:rPr>
          <w:rFonts w:asciiTheme="majorHAnsi" w:hAnsiTheme="majorHAnsi" w:cstheme="majorHAnsi"/>
          <w:sz w:val="24"/>
          <w:szCs w:val="24"/>
          <w:lang w:val="ru-MD"/>
        </w:rPr>
        <w:t xml:space="preserve">ен </w:t>
      </w:r>
      <w:r w:rsidR="00F568CA" w:rsidRPr="00F568CA">
        <w:rPr>
          <w:rFonts w:asciiTheme="majorHAnsi" w:hAnsiTheme="majorHAnsi" w:cstheme="majorHAnsi"/>
          <w:sz w:val="24"/>
          <w:szCs w:val="24"/>
          <w:lang w:val="ru-MD"/>
        </w:rPr>
        <w:t>в 2019 году П</w:t>
      </w:r>
      <w:r w:rsidR="00736447" w:rsidRPr="00F568CA">
        <w:rPr>
          <w:rFonts w:asciiTheme="majorHAnsi" w:hAnsiTheme="majorHAnsi" w:cstheme="majorHAnsi"/>
          <w:sz w:val="24"/>
          <w:szCs w:val="24"/>
          <w:lang w:val="ru-MD"/>
        </w:rPr>
        <w:t xml:space="preserve">равительством на 2020 год из-за изменений на политическом уровне (последующая отставка </w:t>
      </w:r>
      <w:r w:rsidR="00F568CA" w:rsidRPr="00F568CA">
        <w:rPr>
          <w:rFonts w:asciiTheme="majorHAnsi" w:hAnsiTheme="majorHAnsi" w:cstheme="majorHAnsi"/>
          <w:sz w:val="24"/>
          <w:szCs w:val="24"/>
          <w:lang w:val="ru-MD"/>
        </w:rPr>
        <w:t>П</w:t>
      </w:r>
      <w:r w:rsidR="00736447" w:rsidRPr="00F568CA">
        <w:rPr>
          <w:rFonts w:asciiTheme="majorHAnsi" w:hAnsiTheme="majorHAnsi" w:cstheme="majorHAnsi"/>
          <w:sz w:val="24"/>
          <w:szCs w:val="24"/>
          <w:lang w:val="ru-MD"/>
        </w:rPr>
        <w:t xml:space="preserve">равительства и утверждение нового </w:t>
      </w:r>
      <w:r w:rsidR="00F568CA" w:rsidRPr="00F568CA">
        <w:rPr>
          <w:rFonts w:asciiTheme="majorHAnsi" w:hAnsiTheme="majorHAnsi" w:cstheme="majorHAnsi"/>
          <w:sz w:val="24"/>
          <w:szCs w:val="24"/>
          <w:lang w:val="ru-MD"/>
        </w:rPr>
        <w:t>П</w:t>
      </w:r>
      <w:r w:rsidR="00736447" w:rsidRPr="00F568CA">
        <w:rPr>
          <w:rFonts w:asciiTheme="majorHAnsi" w:hAnsiTheme="majorHAnsi" w:cstheme="majorHAnsi"/>
          <w:sz w:val="24"/>
          <w:szCs w:val="24"/>
          <w:lang w:val="ru-MD"/>
        </w:rPr>
        <w:t>равительства в ноябре</w:t>
      </w:r>
      <w:r w:rsidR="00F568CA" w:rsidRPr="00F568CA">
        <w:rPr>
          <w:rFonts w:asciiTheme="majorHAnsi" w:hAnsiTheme="majorHAnsi" w:cstheme="majorHAnsi"/>
          <w:sz w:val="24"/>
          <w:szCs w:val="24"/>
          <w:lang w:val="ru-MD"/>
        </w:rPr>
        <w:t xml:space="preserve"> месяце</w:t>
      </w:r>
      <w:r w:rsidR="00736447" w:rsidRPr="00F568CA">
        <w:rPr>
          <w:rFonts w:asciiTheme="majorHAnsi" w:hAnsiTheme="majorHAnsi" w:cstheme="majorHAnsi"/>
          <w:sz w:val="24"/>
          <w:szCs w:val="24"/>
          <w:lang w:val="ru-MD"/>
        </w:rPr>
        <w:t xml:space="preserve">), </w:t>
      </w:r>
      <w:r w:rsidR="00F568CA" w:rsidRPr="00F568CA">
        <w:rPr>
          <w:rFonts w:asciiTheme="majorHAnsi" w:hAnsiTheme="majorHAnsi" w:cstheme="majorHAnsi"/>
          <w:sz w:val="24"/>
          <w:szCs w:val="24"/>
          <w:lang w:val="ru-MD"/>
        </w:rPr>
        <w:t xml:space="preserve">в результате которых </w:t>
      </w:r>
      <w:r w:rsidR="00736447" w:rsidRPr="00F568CA">
        <w:rPr>
          <w:rFonts w:asciiTheme="majorHAnsi" w:hAnsiTheme="majorHAnsi" w:cstheme="majorHAnsi"/>
          <w:sz w:val="24"/>
          <w:szCs w:val="24"/>
          <w:lang w:val="ru-MD"/>
        </w:rPr>
        <w:t xml:space="preserve">процесс разработки документа на этапе доработки и утверждения был приостановлен. Таким образом, синтез предложений </w:t>
      </w:r>
      <w:r w:rsidR="00F568CA" w:rsidRPr="00F568CA">
        <w:rPr>
          <w:rFonts w:asciiTheme="majorHAnsi" w:hAnsiTheme="majorHAnsi" w:cstheme="majorHAnsi"/>
          <w:sz w:val="24"/>
          <w:szCs w:val="24"/>
          <w:lang w:val="ru-MD"/>
        </w:rPr>
        <w:t xml:space="preserve">по </w:t>
      </w:r>
      <w:r w:rsidR="00736447" w:rsidRPr="00F568CA">
        <w:rPr>
          <w:rFonts w:asciiTheme="majorHAnsi" w:hAnsiTheme="majorHAnsi" w:cstheme="majorHAnsi"/>
          <w:sz w:val="24"/>
          <w:szCs w:val="24"/>
          <w:lang w:val="ru-MD"/>
        </w:rPr>
        <w:t>политик</w:t>
      </w:r>
      <w:r w:rsidR="00F568CA" w:rsidRPr="00F568CA">
        <w:rPr>
          <w:rFonts w:asciiTheme="majorHAnsi" w:hAnsiTheme="majorHAnsi" w:cstheme="majorHAnsi"/>
          <w:sz w:val="24"/>
          <w:szCs w:val="24"/>
          <w:lang w:val="ru-MD"/>
        </w:rPr>
        <w:t>ам</w:t>
      </w:r>
      <w:r w:rsidR="00736447" w:rsidRPr="00F568CA">
        <w:rPr>
          <w:rFonts w:asciiTheme="majorHAnsi" w:hAnsiTheme="majorHAnsi" w:cstheme="majorHAnsi"/>
          <w:sz w:val="24"/>
          <w:szCs w:val="24"/>
          <w:lang w:val="ru-MD"/>
        </w:rPr>
        <w:t xml:space="preserve">, </w:t>
      </w:r>
      <w:r w:rsidR="00F568CA" w:rsidRPr="00F568CA">
        <w:rPr>
          <w:rFonts w:asciiTheme="majorHAnsi" w:hAnsiTheme="majorHAnsi" w:cstheme="majorHAnsi"/>
          <w:sz w:val="24"/>
          <w:szCs w:val="24"/>
          <w:lang w:val="ru-MD"/>
        </w:rPr>
        <w:t>одобренным</w:t>
      </w:r>
      <w:r w:rsidR="00736447" w:rsidRPr="00F568CA">
        <w:rPr>
          <w:rFonts w:asciiTheme="majorHAnsi" w:hAnsiTheme="majorHAnsi" w:cstheme="majorHAnsi"/>
          <w:sz w:val="24"/>
          <w:szCs w:val="24"/>
          <w:lang w:val="ru-MD"/>
        </w:rPr>
        <w:t xml:space="preserve"> на период </w:t>
      </w:r>
      <w:r w:rsidRPr="00F568CA">
        <w:rPr>
          <w:rFonts w:asciiTheme="majorHAnsi" w:hAnsiTheme="majorHAnsi" w:cstheme="majorHAnsi"/>
          <w:sz w:val="24"/>
          <w:szCs w:val="24"/>
          <w:lang w:val="ru-MD"/>
        </w:rPr>
        <w:t>ССПБ</w:t>
      </w:r>
      <w:r w:rsidR="00F568CA" w:rsidRPr="00F568CA">
        <w:rPr>
          <w:rFonts w:asciiTheme="majorHAnsi" w:hAnsiTheme="majorHAnsi" w:cstheme="majorHAnsi"/>
          <w:sz w:val="24"/>
          <w:szCs w:val="24"/>
          <w:lang w:val="ru-MD"/>
        </w:rPr>
        <w:t>,</w:t>
      </w:r>
      <w:r w:rsidR="00736447" w:rsidRPr="00F568CA">
        <w:rPr>
          <w:rFonts w:asciiTheme="majorHAnsi" w:hAnsiTheme="majorHAnsi" w:cstheme="majorHAnsi"/>
          <w:sz w:val="24"/>
          <w:szCs w:val="24"/>
          <w:lang w:val="ru-MD"/>
        </w:rPr>
        <w:t xml:space="preserve"> и </w:t>
      </w:r>
      <w:r w:rsidR="00F568CA" w:rsidRPr="00F568CA">
        <w:rPr>
          <w:rFonts w:asciiTheme="majorHAnsi" w:hAnsiTheme="majorHAnsi" w:cstheme="majorHAnsi"/>
          <w:sz w:val="24"/>
          <w:szCs w:val="24"/>
          <w:lang w:val="ru-MD"/>
        </w:rPr>
        <w:t>лимиты</w:t>
      </w:r>
      <w:r w:rsidR="00736447" w:rsidRPr="00F568CA">
        <w:rPr>
          <w:rFonts w:asciiTheme="majorHAnsi" w:hAnsiTheme="majorHAnsi" w:cstheme="majorHAnsi"/>
          <w:sz w:val="24"/>
          <w:szCs w:val="24"/>
          <w:lang w:val="ru-MD"/>
        </w:rPr>
        <w:t xml:space="preserve"> секторальных расходов был</w:t>
      </w:r>
      <w:r w:rsidR="00F568CA" w:rsidRPr="00F568CA">
        <w:rPr>
          <w:rFonts w:asciiTheme="majorHAnsi" w:hAnsiTheme="majorHAnsi" w:cstheme="majorHAnsi"/>
          <w:sz w:val="24"/>
          <w:szCs w:val="24"/>
          <w:lang w:val="ru-MD"/>
        </w:rPr>
        <w:t>и</w:t>
      </w:r>
      <w:r w:rsidR="00736447" w:rsidRPr="00F568CA">
        <w:rPr>
          <w:rFonts w:asciiTheme="majorHAnsi" w:hAnsiTheme="majorHAnsi" w:cstheme="majorHAnsi"/>
          <w:sz w:val="24"/>
          <w:szCs w:val="24"/>
          <w:lang w:val="ru-MD"/>
        </w:rPr>
        <w:t xml:space="preserve"> представлен</w:t>
      </w:r>
      <w:r w:rsidR="00F568CA" w:rsidRPr="00F568CA">
        <w:rPr>
          <w:rFonts w:asciiTheme="majorHAnsi" w:hAnsiTheme="majorHAnsi" w:cstheme="majorHAnsi"/>
          <w:sz w:val="24"/>
          <w:szCs w:val="24"/>
          <w:lang w:val="ru-MD"/>
        </w:rPr>
        <w:t>а</w:t>
      </w:r>
      <w:r w:rsidR="00736447" w:rsidRPr="00F568CA">
        <w:rPr>
          <w:rFonts w:asciiTheme="majorHAnsi" w:hAnsiTheme="majorHAnsi" w:cstheme="majorHAnsi"/>
          <w:sz w:val="24"/>
          <w:szCs w:val="24"/>
          <w:lang w:val="ru-MD"/>
        </w:rPr>
        <w:t xml:space="preserve"> МФ в составе бюджетной документации к проекту </w:t>
      </w:r>
      <w:r w:rsidR="00F568CA" w:rsidRPr="00F568CA">
        <w:rPr>
          <w:rFonts w:asciiTheme="majorHAnsi" w:hAnsiTheme="majorHAnsi" w:cstheme="majorHAnsi"/>
          <w:sz w:val="24"/>
          <w:szCs w:val="24"/>
          <w:lang w:val="ru-MD"/>
        </w:rPr>
        <w:t>З</w:t>
      </w:r>
      <w:r w:rsidR="00736447" w:rsidRPr="00F568CA">
        <w:rPr>
          <w:rFonts w:asciiTheme="majorHAnsi" w:hAnsiTheme="majorHAnsi" w:cstheme="majorHAnsi"/>
          <w:sz w:val="24"/>
          <w:szCs w:val="24"/>
          <w:lang w:val="ru-MD"/>
        </w:rPr>
        <w:t xml:space="preserve">акона </w:t>
      </w:r>
      <w:r w:rsidR="00F568CA" w:rsidRPr="00F568CA">
        <w:rPr>
          <w:rFonts w:asciiTheme="majorHAnsi" w:hAnsiTheme="majorHAnsi" w:cstheme="majorHAnsi"/>
          <w:sz w:val="24"/>
          <w:szCs w:val="24"/>
          <w:lang w:val="ru-MD"/>
        </w:rPr>
        <w:t>о</w:t>
      </w:r>
      <w:r w:rsidR="00736447" w:rsidRPr="00F568CA">
        <w:rPr>
          <w:rFonts w:asciiTheme="majorHAnsi" w:hAnsiTheme="majorHAnsi" w:cstheme="majorHAnsi"/>
          <w:sz w:val="24"/>
          <w:szCs w:val="24"/>
          <w:lang w:val="ru-MD"/>
        </w:rPr>
        <w:t xml:space="preserve"> государственном бюджете на 2020 год</w:t>
      </w:r>
      <w:r w:rsidR="00BE64A4" w:rsidRPr="00F568CA">
        <w:rPr>
          <w:rFonts w:asciiTheme="majorHAnsi" w:hAnsiTheme="majorHAnsi" w:cstheme="majorHAnsi"/>
          <w:sz w:val="24"/>
          <w:szCs w:val="24"/>
          <w:lang w:val="ru-MD"/>
        </w:rPr>
        <w:t>;</w:t>
      </w:r>
    </w:p>
    <w:p w:rsidR="00325584" w:rsidRPr="008262C3" w:rsidRDefault="00736447" w:rsidP="00736447">
      <w:pPr>
        <w:numPr>
          <w:ilvl w:val="0"/>
          <w:numId w:val="15"/>
        </w:numPr>
        <w:shd w:val="clear" w:color="auto" w:fill="FFFFFF" w:themeFill="background1"/>
        <w:tabs>
          <w:tab w:val="left" w:pos="284"/>
          <w:tab w:val="left" w:pos="993"/>
        </w:tabs>
        <w:spacing w:after="0" w:line="276" w:lineRule="auto"/>
        <w:ind w:left="0" w:firstLine="0"/>
        <w:contextualSpacing/>
        <w:rPr>
          <w:rFonts w:asciiTheme="majorHAnsi" w:eastAsia="Times New Roman" w:hAnsiTheme="majorHAnsi" w:cstheme="majorHAnsi"/>
          <w:b/>
          <w:sz w:val="24"/>
          <w:szCs w:val="24"/>
          <w:lang w:val="ru-MD"/>
        </w:rPr>
      </w:pPr>
      <w:r w:rsidRPr="008262C3">
        <w:rPr>
          <w:rFonts w:asciiTheme="majorHAnsi" w:hAnsiTheme="majorHAnsi" w:cstheme="majorHAnsi"/>
          <w:sz w:val="24"/>
          <w:szCs w:val="24"/>
          <w:lang w:val="ru-MD"/>
        </w:rPr>
        <w:t>МФ направил</w:t>
      </w:r>
      <w:r w:rsidR="00F568CA" w:rsidRPr="008262C3">
        <w:rPr>
          <w:rFonts w:asciiTheme="majorHAnsi" w:hAnsiTheme="majorHAnsi" w:cstheme="majorHAnsi"/>
          <w:sz w:val="24"/>
          <w:szCs w:val="24"/>
          <w:lang w:val="ru-MD"/>
        </w:rPr>
        <w:t>о</w:t>
      </w:r>
      <w:r w:rsidRPr="008262C3">
        <w:rPr>
          <w:rFonts w:asciiTheme="majorHAnsi" w:hAnsiTheme="majorHAnsi" w:cstheme="majorHAnsi"/>
          <w:sz w:val="24"/>
          <w:szCs w:val="24"/>
          <w:lang w:val="ru-MD"/>
        </w:rPr>
        <w:t xml:space="preserve"> </w:t>
      </w:r>
      <w:r w:rsidR="00F568CA" w:rsidRPr="008262C3">
        <w:rPr>
          <w:rFonts w:asciiTheme="majorHAnsi" w:hAnsiTheme="majorHAnsi" w:cstheme="majorHAnsi"/>
          <w:sz w:val="24"/>
          <w:szCs w:val="24"/>
          <w:lang w:val="ru-MD"/>
        </w:rPr>
        <w:t>П</w:t>
      </w:r>
      <w:r w:rsidRPr="008262C3">
        <w:rPr>
          <w:rFonts w:asciiTheme="majorHAnsi" w:hAnsiTheme="majorHAnsi" w:cstheme="majorHAnsi"/>
          <w:sz w:val="24"/>
          <w:szCs w:val="24"/>
          <w:lang w:val="ru-MD"/>
        </w:rPr>
        <w:t xml:space="preserve">равительству на рассмотрение и утверждение проект </w:t>
      </w:r>
      <w:r w:rsidR="00F568CA" w:rsidRPr="008262C3">
        <w:rPr>
          <w:rFonts w:asciiTheme="majorHAnsi" w:hAnsiTheme="majorHAnsi" w:cstheme="majorHAnsi"/>
          <w:sz w:val="24"/>
          <w:szCs w:val="24"/>
          <w:lang w:val="ru-MD"/>
        </w:rPr>
        <w:t>З</w:t>
      </w:r>
      <w:r w:rsidRPr="008262C3">
        <w:rPr>
          <w:rFonts w:asciiTheme="majorHAnsi" w:hAnsiTheme="majorHAnsi" w:cstheme="majorHAnsi"/>
          <w:sz w:val="24"/>
          <w:szCs w:val="24"/>
          <w:lang w:val="ru-MD"/>
        </w:rPr>
        <w:t xml:space="preserve">акона </w:t>
      </w:r>
      <w:r w:rsidR="00F568CA" w:rsidRPr="008262C3">
        <w:rPr>
          <w:rFonts w:asciiTheme="majorHAnsi" w:hAnsiTheme="majorHAnsi" w:cstheme="majorHAnsi"/>
          <w:sz w:val="24"/>
          <w:szCs w:val="24"/>
          <w:lang w:val="ru-MD"/>
        </w:rPr>
        <w:t>о</w:t>
      </w:r>
      <w:r w:rsidRPr="008262C3">
        <w:rPr>
          <w:rFonts w:asciiTheme="majorHAnsi" w:hAnsiTheme="majorHAnsi" w:cstheme="majorHAnsi"/>
          <w:sz w:val="24"/>
          <w:szCs w:val="24"/>
          <w:lang w:val="ru-MD"/>
        </w:rPr>
        <w:t xml:space="preserve"> государственном бюджете на 2020 год с опозданием, 27.11.2019, на 73 дня позже, соответственно, </w:t>
      </w:r>
      <w:r w:rsidR="00F568CA" w:rsidRPr="008262C3">
        <w:rPr>
          <w:rFonts w:asciiTheme="majorHAnsi" w:hAnsiTheme="majorHAnsi" w:cstheme="majorHAnsi"/>
          <w:sz w:val="24"/>
          <w:szCs w:val="24"/>
          <w:lang w:val="ru-MD"/>
        </w:rPr>
        <w:t xml:space="preserve">он был </w:t>
      </w:r>
      <w:r w:rsidRPr="008262C3">
        <w:rPr>
          <w:rFonts w:asciiTheme="majorHAnsi" w:hAnsiTheme="majorHAnsi" w:cstheme="majorHAnsi"/>
          <w:sz w:val="24"/>
          <w:szCs w:val="24"/>
          <w:lang w:val="ru-MD"/>
        </w:rPr>
        <w:t>утвержден</w:t>
      </w:r>
      <w:r w:rsidR="00F568CA" w:rsidRPr="008262C3">
        <w:rPr>
          <w:rFonts w:asciiTheme="majorHAnsi" w:hAnsiTheme="majorHAnsi" w:cstheme="majorHAnsi"/>
          <w:sz w:val="24"/>
          <w:szCs w:val="24"/>
          <w:vertAlign w:val="superscript"/>
          <w:lang w:val="ru-MD"/>
        </w:rPr>
        <w:footnoteReference w:id="30"/>
      </w:r>
      <w:r w:rsidRPr="008262C3">
        <w:rPr>
          <w:rFonts w:asciiTheme="majorHAnsi" w:hAnsiTheme="majorHAnsi" w:cstheme="majorHAnsi"/>
          <w:sz w:val="24"/>
          <w:szCs w:val="24"/>
          <w:lang w:val="ru-MD"/>
        </w:rPr>
        <w:t xml:space="preserve"> </w:t>
      </w:r>
      <w:r w:rsidR="00F568CA" w:rsidRPr="008262C3">
        <w:rPr>
          <w:rFonts w:asciiTheme="majorHAnsi" w:hAnsiTheme="majorHAnsi" w:cstheme="majorHAnsi"/>
          <w:sz w:val="24"/>
          <w:szCs w:val="24"/>
          <w:lang w:val="ru-MD"/>
        </w:rPr>
        <w:t xml:space="preserve">на </w:t>
      </w:r>
      <w:r w:rsidRPr="008262C3">
        <w:rPr>
          <w:rFonts w:asciiTheme="majorHAnsi" w:hAnsiTheme="majorHAnsi" w:cstheme="majorHAnsi"/>
          <w:sz w:val="24"/>
          <w:szCs w:val="24"/>
          <w:lang w:val="ru-MD"/>
        </w:rPr>
        <w:t xml:space="preserve">43 дня позже. </w:t>
      </w:r>
      <w:r w:rsidR="00F568CA" w:rsidRPr="008262C3">
        <w:rPr>
          <w:rFonts w:asciiTheme="majorHAnsi" w:hAnsiTheme="majorHAnsi" w:cstheme="majorHAnsi"/>
          <w:sz w:val="24"/>
          <w:szCs w:val="24"/>
          <w:lang w:val="ru-MD"/>
        </w:rPr>
        <w:t>К тому же, П</w:t>
      </w:r>
      <w:r w:rsidRPr="008262C3">
        <w:rPr>
          <w:rFonts w:asciiTheme="majorHAnsi" w:hAnsiTheme="majorHAnsi" w:cstheme="majorHAnsi"/>
          <w:sz w:val="24"/>
          <w:szCs w:val="24"/>
          <w:lang w:val="ru-MD"/>
        </w:rPr>
        <w:t xml:space="preserve">арламент принял </w:t>
      </w:r>
      <w:r w:rsidR="00F568CA" w:rsidRPr="008262C3">
        <w:rPr>
          <w:rFonts w:asciiTheme="majorHAnsi" w:hAnsiTheme="majorHAnsi" w:cstheme="majorHAnsi"/>
          <w:sz w:val="24"/>
          <w:szCs w:val="24"/>
          <w:lang w:val="ru-MD"/>
        </w:rPr>
        <w:t>З</w:t>
      </w:r>
      <w:r w:rsidRPr="008262C3">
        <w:rPr>
          <w:rFonts w:asciiTheme="majorHAnsi" w:hAnsiTheme="majorHAnsi" w:cstheme="majorHAnsi"/>
          <w:sz w:val="24"/>
          <w:szCs w:val="24"/>
          <w:lang w:val="ru-MD"/>
        </w:rPr>
        <w:t xml:space="preserve">акон </w:t>
      </w:r>
      <w:r w:rsidR="00F568CA" w:rsidRPr="008262C3">
        <w:rPr>
          <w:rFonts w:asciiTheme="majorHAnsi" w:hAnsiTheme="majorHAnsi" w:cstheme="majorHAnsi"/>
          <w:sz w:val="24"/>
          <w:szCs w:val="24"/>
          <w:lang w:val="ru-MD"/>
        </w:rPr>
        <w:t>о</w:t>
      </w:r>
      <w:r w:rsidRPr="008262C3">
        <w:rPr>
          <w:rFonts w:asciiTheme="majorHAnsi" w:hAnsiTheme="majorHAnsi" w:cstheme="majorHAnsi"/>
          <w:sz w:val="24"/>
          <w:szCs w:val="24"/>
          <w:lang w:val="ru-MD"/>
        </w:rPr>
        <w:t xml:space="preserve"> государственном бюджете на 2020 год</w:t>
      </w:r>
      <w:r w:rsidR="00F568CA" w:rsidRPr="008262C3">
        <w:rPr>
          <w:rFonts w:asciiTheme="majorHAnsi" w:hAnsiTheme="majorHAnsi" w:cstheme="majorHAnsi"/>
          <w:sz w:val="24"/>
          <w:szCs w:val="24"/>
          <w:lang w:val="ru-MD"/>
        </w:rPr>
        <w:t>,</w:t>
      </w:r>
      <w:r w:rsidRPr="008262C3">
        <w:rPr>
          <w:rFonts w:asciiTheme="majorHAnsi" w:hAnsiTheme="majorHAnsi" w:cstheme="majorHAnsi"/>
          <w:sz w:val="24"/>
          <w:szCs w:val="24"/>
          <w:lang w:val="ru-MD"/>
        </w:rPr>
        <w:t xml:space="preserve"> 19.12.2019</w:t>
      </w:r>
      <w:r w:rsidR="00325584" w:rsidRPr="008262C3">
        <w:rPr>
          <w:rFonts w:asciiTheme="majorHAnsi" w:hAnsiTheme="majorHAnsi" w:cstheme="majorHAnsi"/>
          <w:sz w:val="24"/>
          <w:szCs w:val="24"/>
          <w:vertAlign w:val="superscript"/>
          <w:lang w:val="ru-MD"/>
        </w:rPr>
        <w:footnoteReference w:id="31"/>
      </w:r>
      <w:r w:rsidR="00325584" w:rsidRPr="008262C3">
        <w:rPr>
          <w:rFonts w:asciiTheme="majorHAnsi" w:hAnsiTheme="majorHAnsi" w:cstheme="majorHAnsi"/>
          <w:sz w:val="24"/>
          <w:szCs w:val="24"/>
          <w:lang w:val="ru-MD"/>
        </w:rPr>
        <w:t>;</w:t>
      </w:r>
    </w:p>
    <w:p w:rsidR="00325584" w:rsidRPr="0072354B" w:rsidRDefault="0072354B" w:rsidP="00736447">
      <w:pPr>
        <w:numPr>
          <w:ilvl w:val="0"/>
          <w:numId w:val="14"/>
        </w:numPr>
        <w:shd w:val="clear" w:color="auto" w:fill="FFFFFF" w:themeFill="background1"/>
        <w:tabs>
          <w:tab w:val="left" w:pos="284"/>
          <w:tab w:val="left" w:pos="851"/>
          <w:tab w:val="left" w:pos="993"/>
        </w:tabs>
        <w:spacing w:after="0" w:line="276" w:lineRule="auto"/>
        <w:ind w:left="0" w:firstLine="0"/>
        <w:contextualSpacing/>
        <w:rPr>
          <w:rFonts w:asciiTheme="majorHAnsi" w:hAnsiTheme="majorHAnsi" w:cstheme="majorHAnsi"/>
          <w:sz w:val="24"/>
          <w:szCs w:val="24"/>
          <w:lang w:val="ru-MD"/>
        </w:rPr>
      </w:pPr>
      <w:r w:rsidRPr="0072354B">
        <w:rPr>
          <w:rFonts w:asciiTheme="majorHAnsi" w:hAnsiTheme="majorHAnsi" w:cstheme="majorHAnsi"/>
          <w:i/>
          <w:sz w:val="24"/>
          <w:szCs w:val="24"/>
          <w:lang w:val="ru-MD"/>
        </w:rPr>
        <w:t xml:space="preserve">4 </w:t>
      </w:r>
      <w:r w:rsidR="008262C3" w:rsidRPr="0072354B">
        <w:rPr>
          <w:rFonts w:asciiTheme="majorHAnsi" w:hAnsiTheme="majorHAnsi" w:cstheme="majorHAnsi"/>
          <w:i/>
          <w:sz w:val="24"/>
          <w:szCs w:val="24"/>
          <w:lang w:val="ru-MD"/>
        </w:rPr>
        <w:t>уточ</w:t>
      </w:r>
      <w:r w:rsidR="00736447" w:rsidRPr="0072354B">
        <w:rPr>
          <w:rFonts w:asciiTheme="majorHAnsi" w:hAnsiTheme="majorHAnsi" w:cstheme="majorHAnsi"/>
          <w:i/>
          <w:sz w:val="24"/>
          <w:szCs w:val="24"/>
          <w:lang w:val="ru-MD"/>
        </w:rPr>
        <w:t>нени</w:t>
      </w:r>
      <w:r>
        <w:rPr>
          <w:rFonts w:asciiTheme="majorHAnsi" w:hAnsiTheme="majorHAnsi" w:cstheme="majorHAnsi"/>
          <w:i/>
          <w:sz w:val="24"/>
          <w:szCs w:val="24"/>
          <w:lang w:val="ru-MD"/>
        </w:rPr>
        <w:t>я</w:t>
      </w:r>
      <w:r w:rsidR="00736447" w:rsidRPr="0072354B">
        <w:rPr>
          <w:rFonts w:asciiTheme="majorHAnsi" w:hAnsiTheme="majorHAnsi" w:cstheme="majorHAnsi"/>
          <w:i/>
          <w:sz w:val="24"/>
          <w:szCs w:val="24"/>
          <w:lang w:val="ru-MD"/>
        </w:rPr>
        <w:t xml:space="preserve"> </w:t>
      </w:r>
      <w:r w:rsidR="007071A4">
        <w:rPr>
          <w:rFonts w:asciiTheme="majorHAnsi" w:hAnsiTheme="majorHAnsi" w:cstheme="majorHAnsi"/>
          <w:i/>
          <w:sz w:val="24"/>
          <w:szCs w:val="24"/>
          <w:lang w:val="ru-MD"/>
        </w:rPr>
        <w:t>годового закона о  бюджете</w:t>
      </w:r>
      <w:r w:rsidR="008262C3" w:rsidRPr="0072354B">
        <w:rPr>
          <w:rFonts w:asciiTheme="majorHAnsi" w:hAnsiTheme="majorHAnsi" w:cstheme="majorHAnsi"/>
          <w:i/>
          <w:sz w:val="24"/>
          <w:szCs w:val="24"/>
          <w:lang w:val="ru-MD"/>
        </w:rPr>
        <w:t xml:space="preserve"> </w:t>
      </w:r>
      <w:r w:rsidR="007071A4">
        <w:rPr>
          <w:rFonts w:asciiTheme="majorHAnsi" w:hAnsiTheme="majorHAnsi" w:cstheme="majorHAnsi"/>
          <w:i/>
          <w:sz w:val="24"/>
          <w:szCs w:val="24"/>
          <w:lang w:val="ru-MD"/>
        </w:rPr>
        <w:t>на</w:t>
      </w:r>
      <w:r w:rsidR="00736447" w:rsidRPr="0072354B">
        <w:rPr>
          <w:rFonts w:asciiTheme="majorHAnsi" w:hAnsiTheme="majorHAnsi" w:cstheme="majorHAnsi"/>
          <w:i/>
          <w:sz w:val="24"/>
          <w:szCs w:val="24"/>
          <w:lang w:val="ru-MD"/>
        </w:rPr>
        <w:t xml:space="preserve"> 2020 </w:t>
      </w:r>
      <w:r w:rsidR="007071A4">
        <w:rPr>
          <w:rFonts w:asciiTheme="majorHAnsi" w:hAnsiTheme="majorHAnsi" w:cstheme="majorHAnsi"/>
          <w:i/>
          <w:sz w:val="24"/>
          <w:szCs w:val="24"/>
          <w:lang w:val="ru-MD"/>
        </w:rPr>
        <w:t xml:space="preserve"> </w:t>
      </w:r>
      <w:r w:rsidR="00736447" w:rsidRPr="0072354B">
        <w:rPr>
          <w:rFonts w:asciiTheme="majorHAnsi" w:hAnsiTheme="majorHAnsi" w:cstheme="majorHAnsi"/>
          <w:i/>
          <w:sz w:val="24"/>
          <w:szCs w:val="24"/>
          <w:lang w:val="ru-MD"/>
        </w:rPr>
        <w:t xml:space="preserve">год, из которых 3 </w:t>
      </w:r>
      <w:r w:rsidR="008262C3" w:rsidRPr="0072354B">
        <w:rPr>
          <w:rFonts w:asciiTheme="majorHAnsi" w:hAnsiTheme="majorHAnsi" w:cstheme="majorHAnsi"/>
          <w:i/>
          <w:sz w:val="24"/>
          <w:szCs w:val="24"/>
          <w:lang w:val="ru-MD"/>
        </w:rPr>
        <w:t>уточ</w:t>
      </w:r>
      <w:r w:rsidR="00FB00CD" w:rsidRPr="0072354B">
        <w:rPr>
          <w:rFonts w:asciiTheme="majorHAnsi" w:hAnsiTheme="majorHAnsi" w:cstheme="majorHAnsi"/>
          <w:i/>
          <w:sz w:val="24"/>
          <w:szCs w:val="24"/>
          <w:lang w:val="ru-MD"/>
        </w:rPr>
        <w:t xml:space="preserve">нения </w:t>
      </w:r>
      <w:r w:rsidR="008262C3" w:rsidRPr="0072354B">
        <w:rPr>
          <w:rFonts w:asciiTheme="majorHAnsi" w:hAnsiTheme="majorHAnsi" w:cstheme="majorHAnsi"/>
          <w:i/>
          <w:sz w:val="24"/>
          <w:szCs w:val="24"/>
          <w:lang w:val="ru-MD"/>
        </w:rPr>
        <w:t xml:space="preserve">- </w:t>
      </w:r>
      <w:r w:rsidR="00F568CA" w:rsidRPr="0072354B">
        <w:rPr>
          <w:rFonts w:asciiTheme="majorHAnsi" w:hAnsiTheme="majorHAnsi" w:cstheme="majorHAnsi"/>
          <w:i/>
          <w:sz w:val="24"/>
          <w:szCs w:val="24"/>
          <w:lang w:val="ru-MD"/>
        </w:rPr>
        <w:t>по</w:t>
      </w:r>
      <w:r w:rsidR="00736447" w:rsidRPr="0072354B">
        <w:rPr>
          <w:rFonts w:asciiTheme="majorHAnsi" w:hAnsiTheme="majorHAnsi" w:cstheme="majorHAnsi"/>
          <w:i/>
          <w:sz w:val="24"/>
          <w:szCs w:val="24"/>
          <w:lang w:val="ru-MD"/>
        </w:rPr>
        <w:t xml:space="preserve"> доходам и расходам, </w:t>
      </w:r>
      <w:r w:rsidR="00FB00CD" w:rsidRPr="0072354B">
        <w:rPr>
          <w:rFonts w:asciiTheme="majorHAnsi" w:hAnsiTheme="majorHAnsi" w:cstheme="majorHAnsi"/>
          <w:sz w:val="24"/>
          <w:szCs w:val="24"/>
          <w:lang w:val="ru-MD"/>
        </w:rPr>
        <w:t xml:space="preserve">при этом, </w:t>
      </w:r>
      <w:r w:rsidR="00736447" w:rsidRPr="0072354B">
        <w:rPr>
          <w:rFonts w:asciiTheme="majorHAnsi" w:hAnsiTheme="majorHAnsi" w:cstheme="majorHAnsi"/>
          <w:sz w:val="24"/>
          <w:szCs w:val="24"/>
          <w:lang w:val="ru-MD"/>
        </w:rPr>
        <w:t xml:space="preserve">3 раза </w:t>
      </w:r>
      <w:r w:rsidR="008262C3" w:rsidRPr="0072354B">
        <w:rPr>
          <w:rFonts w:asciiTheme="majorHAnsi" w:hAnsiTheme="majorHAnsi" w:cstheme="majorHAnsi"/>
          <w:sz w:val="24"/>
          <w:szCs w:val="24"/>
          <w:lang w:val="ru-MD"/>
        </w:rPr>
        <w:t>уточ</w:t>
      </w:r>
      <w:r w:rsidR="00736447" w:rsidRPr="0072354B">
        <w:rPr>
          <w:rFonts w:asciiTheme="majorHAnsi" w:hAnsiTheme="majorHAnsi" w:cstheme="majorHAnsi"/>
          <w:sz w:val="24"/>
          <w:szCs w:val="24"/>
          <w:lang w:val="ru-MD"/>
        </w:rPr>
        <w:t>н</w:t>
      </w:r>
      <w:r w:rsidR="008262C3" w:rsidRPr="0072354B">
        <w:rPr>
          <w:rFonts w:asciiTheme="majorHAnsi" w:hAnsiTheme="majorHAnsi" w:cstheme="majorHAnsi"/>
          <w:sz w:val="24"/>
          <w:szCs w:val="24"/>
          <w:lang w:val="ru-MD"/>
        </w:rPr>
        <w:t>ения вносились</w:t>
      </w:r>
      <w:r w:rsidR="00736447" w:rsidRPr="0072354B">
        <w:rPr>
          <w:rFonts w:asciiTheme="majorHAnsi" w:hAnsiTheme="majorHAnsi" w:cstheme="majorHAnsi"/>
          <w:sz w:val="24"/>
          <w:szCs w:val="24"/>
          <w:lang w:val="ru-MD"/>
        </w:rPr>
        <w:t xml:space="preserve"> до 16 июля</w:t>
      </w:r>
      <w:r w:rsidR="00736447" w:rsidRPr="0072354B">
        <w:rPr>
          <w:rFonts w:asciiTheme="majorHAnsi" w:hAnsiTheme="majorHAnsi" w:cstheme="majorHAnsi"/>
          <w:i/>
          <w:sz w:val="24"/>
          <w:szCs w:val="24"/>
          <w:lang w:val="ru-MD"/>
        </w:rPr>
        <w:t xml:space="preserve">, </w:t>
      </w:r>
      <w:r w:rsidR="00736447" w:rsidRPr="0072354B">
        <w:rPr>
          <w:rFonts w:asciiTheme="majorHAnsi" w:hAnsiTheme="majorHAnsi" w:cstheme="majorHAnsi"/>
          <w:sz w:val="24"/>
          <w:szCs w:val="24"/>
          <w:lang w:val="ru-MD"/>
        </w:rPr>
        <w:t>хотя МФ должн</w:t>
      </w:r>
      <w:r w:rsidR="00F568CA" w:rsidRPr="0072354B">
        <w:rPr>
          <w:rFonts w:asciiTheme="majorHAnsi" w:hAnsiTheme="majorHAnsi" w:cstheme="majorHAnsi"/>
          <w:sz w:val="24"/>
          <w:szCs w:val="24"/>
          <w:lang w:val="ru-MD"/>
        </w:rPr>
        <w:t>о</w:t>
      </w:r>
      <w:r w:rsidR="00736447" w:rsidRPr="0072354B">
        <w:rPr>
          <w:rFonts w:asciiTheme="majorHAnsi" w:hAnsiTheme="majorHAnsi" w:cstheme="majorHAnsi"/>
          <w:sz w:val="24"/>
          <w:szCs w:val="24"/>
          <w:lang w:val="ru-MD"/>
        </w:rPr>
        <w:t xml:space="preserve"> обеспечи</w:t>
      </w:r>
      <w:r w:rsidR="00F568CA" w:rsidRPr="0072354B">
        <w:rPr>
          <w:rFonts w:asciiTheme="majorHAnsi" w:hAnsiTheme="majorHAnsi" w:cstheme="majorHAnsi"/>
          <w:sz w:val="24"/>
          <w:szCs w:val="24"/>
          <w:lang w:val="ru-MD"/>
        </w:rPr>
        <w:t>ва</w:t>
      </w:r>
      <w:r w:rsidR="00736447" w:rsidRPr="0072354B">
        <w:rPr>
          <w:rFonts w:asciiTheme="majorHAnsi" w:hAnsiTheme="majorHAnsi" w:cstheme="majorHAnsi"/>
          <w:sz w:val="24"/>
          <w:szCs w:val="24"/>
          <w:lang w:val="ru-MD"/>
        </w:rPr>
        <w:t>ть мониторинг</w:t>
      </w:r>
      <w:r w:rsidR="00736447" w:rsidRPr="0072354B">
        <w:rPr>
          <w:rFonts w:asciiTheme="majorHAnsi" w:hAnsiTheme="majorHAnsi" w:cstheme="majorHAnsi"/>
          <w:i/>
          <w:sz w:val="24"/>
          <w:szCs w:val="24"/>
          <w:lang w:val="ru-MD"/>
        </w:rPr>
        <w:t xml:space="preserve"> </w:t>
      </w:r>
      <w:r w:rsidR="00736447" w:rsidRPr="0072354B">
        <w:rPr>
          <w:rFonts w:asciiTheme="majorHAnsi" w:hAnsiTheme="majorHAnsi" w:cstheme="majorHAnsi"/>
          <w:sz w:val="24"/>
          <w:szCs w:val="24"/>
          <w:lang w:val="ru-MD"/>
        </w:rPr>
        <w:t xml:space="preserve">бюджета и </w:t>
      </w:r>
      <w:r w:rsidR="008262C3" w:rsidRPr="0072354B">
        <w:rPr>
          <w:rFonts w:asciiTheme="majorHAnsi" w:hAnsiTheme="majorHAnsi" w:cstheme="majorHAnsi"/>
          <w:sz w:val="24"/>
          <w:szCs w:val="24"/>
          <w:lang w:val="ru-MD"/>
        </w:rPr>
        <w:t>производит</w:t>
      </w:r>
      <w:r w:rsidR="00736447" w:rsidRPr="0072354B">
        <w:rPr>
          <w:rFonts w:asciiTheme="majorHAnsi" w:hAnsiTheme="majorHAnsi" w:cstheme="majorHAnsi"/>
          <w:sz w:val="24"/>
          <w:szCs w:val="24"/>
          <w:lang w:val="ru-MD"/>
        </w:rPr>
        <w:t xml:space="preserve">ь процедуры </w:t>
      </w:r>
      <w:r w:rsidR="008262C3" w:rsidRPr="0072354B">
        <w:rPr>
          <w:rFonts w:asciiTheme="majorHAnsi" w:hAnsiTheme="majorHAnsi" w:cstheme="majorHAnsi"/>
          <w:sz w:val="24"/>
          <w:szCs w:val="24"/>
          <w:lang w:val="ru-MD"/>
        </w:rPr>
        <w:t>по уточ</w:t>
      </w:r>
      <w:r w:rsidR="00736447" w:rsidRPr="0072354B">
        <w:rPr>
          <w:rFonts w:asciiTheme="majorHAnsi" w:hAnsiTheme="majorHAnsi" w:cstheme="majorHAnsi"/>
          <w:sz w:val="24"/>
          <w:szCs w:val="24"/>
          <w:lang w:val="ru-MD"/>
        </w:rPr>
        <w:t>нени</w:t>
      </w:r>
      <w:r w:rsidR="008262C3" w:rsidRPr="0072354B">
        <w:rPr>
          <w:rFonts w:asciiTheme="majorHAnsi" w:hAnsiTheme="majorHAnsi" w:cstheme="majorHAnsi"/>
          <w:sz w:val="24"/>
          <w:szCs w:val="24"/>
          <w:lang w:val="ru-MD"/>
        </w:rPr>
        <w:t>ю</w:t>
      </w:r>
      <w:r w:rsidR="00736447" w:rsidRPr="0072354B">
        <w:rPr>
          <w:rFonts w:asciiTheme="majorHAnsi" w:hAnsiTheme="majorHAnsi" w:cstheme="majorHAnsi"/>
          <w:sz w:val="24"/>
          <w:szCs w:val="24"/>
          <w:lang w:val="ru-MD"/>
        </w:rPr>
        <w:t xml:space="preserve"> </w:t>
      </w:r>
      <w:r w:rsidR="008262C3" w:rsidRPr="0072354B">
        <w:rPr>
          <w:rFonts w:asciiTheme="majorHAnsi" w:hAnsiTheme="majorHAnsi" w:cstheme="majorHAnsi"/>
          <w:sz w:val="24"/>
          <w:szCs w:val="24"/>
          <w:lang w:val="ru-MD"/>
        </w:rPr>
        <w:t>ежегодного</w:t>
      </w:r>
      <w:r w:rsidR="00736447" w:rsidRPr="0072354B">
        <w:rPr>
          <w:rFonts w:asciiTheme="majorHAnsi" w:hAnsiTheme="majorHAnsi" w:cstheme="majorHAnsi"/>
          <w:sz w:val="24"/>
          <w:szCs w:val="24"/>
          <w:lang w:val="ru-MD"/>
        </w:rPr>
        <w:t xml:space="preserve"> </w:t>
      </w:r>
      <w:r w:rsidR="007071A4">
        <w:rPr>
          <w:rFonts w:asciiTheme="majorHAnsi" w:hAnsiTheme="majorHAnsi" w:cstheme="majorHAnsi"/>
          <w:sz w:val="24"/>
          <w:szCs w:val="24"/>
          <w:lang w:val="ru-MD"/>
        </w:rPr>
        <w:t xml:space="preserve"> закона о бюджете</w:t>
      </w:r>
      <w:r w:rsidR="00736447" w:rsidRPr="0072354B">
        <w:rPr>
          <w:rFonts w:asciiTheme="majorHAnsi" w:hAnsiTheme="majorHAnsi" w:cstheme="majorHAnsi"/>
          <w:sz w:val="24"/>
          <w:szCs w:val="24"/>
          <w:lang w:val="ru-MD"/>
        </w:rPr>
        <w:t xml:space="preserve">, как правило, не более двух раз в год, </w:t>
      </w:r>
      <w:r w:rsidR="008262C3" w:rsidRPr="0072354B">
        <w:rPr>
          <w:rFonts w:asciiTheme="majorHAnsi" w:hAnsiTheme="majorHAnsi" w:cstheme="majorHAnsi"/>
          <w:sz w:val="24"/>
          <w:szCs w:val="24"/>
          <w:lang w:val="ru-MD"/>
        </w:rPr>
        <w:t>не ранее 1</w:t>
      </w:r>
      <w:r w:rsidRPr="0072354B">
        <w:rPr>
          <w:rFonts w:asciiTheme="majorHAnsi" w:hAnsiTheme="majorHAnsi" w:cstheme="majorHAnsi"/>
          <w:sz w:val="24"/>
          <w:szCs w:val="24"/>
          <w:lang w:val="ru-MD"/>
        </w:rPr>
        <w:t>5</w:t>
      </w:r>
      <w:r w:rsidR="008262C3" w:rsidRPr="0072354B">
        <w:rPr>
          <w:rFonts w:asciiTheme="majorHAnsi" w:hAnsiTheme="majorHAnsi" w:cstheme="majorHAnsi"/>
          <w:sz w:val="24"/>
          <w:szCs w:val="24"/>
          <w:lang w:val="ru-MD"/>
        </w:rPr>
        <w:t xml:space="preserve"> июля и не позднее 15 ноября </w:t>
      </w:r>
      <w:r w:rsidR="00736447" w:rsidRPr="0072354B">
        <w:rPr>
          <w:rFonts w:asciiTheme="majorHAnsi" w:hAnsiTheme="majorHAnsi" w:cstheme="majorHAnsi"/>
          <w:sz w:val="24"/>
          <w:szCs w:val="24"/>
          <w:lang w:val="ru-MD"/>
        </w:rPr>
        <w:t>бюджетного года</w:t>
      </w:r>
      <w:r w:rsidRPr="0072354B">
        <w:rPr>
          <w:rFonts w:asciiTheme="majorHAnsi" w:hAnsiTheme="majorHAnsi" w:cstheme="majorHAnsi"/>
          <w:sz w:val="24"/>
          <w:szCs w:val="24"/>
          <w:vertAlign w:val="superscript"/>
          <w:lang w:val="ru-MD"/>
        </w:rPr>
        <w:footnoteReference w:id="32"/>
      </w:r>
      <w:r w:rsidR="00736447" w:rsidRPr="0072354B">
        <w:rPr>
          <w:rFonts w:asciiTheme="majorHAnsi" w:hAnsiTheme="majorHAnsi" w:cstheme="majorHAnsi"/>
          <w:sz w:val="24"/>
          <w:szCs w:val="24"/>
          <w:lang w:val="ru-MD"/>
        </w:rPr>
        <w:t xml:space="preserve">. Основным фактором, определяющим изменения, внесенные в </w:t>
      </w:r>
      <w:r w:rsidRPr="0072354B">
        <w:rPr>
          <w:rFonts w:asciiTheme="majorHAnsi" w:hAnsiTheme="majorHAnsi" w:cstheme="majorHAnsi"/>
          <w:sz w:val="24"/>
          <w:szCs w:val="24"/>
          <w:lang w:val="ru-MD"/>
        </w:rPr>
        <w:t>ГБ</w:t>
      </w:r>
      <w:r w:rsidR="00736447" w:rsidRPr="0072354B">
        <w:rPr>
          <w:rFonts w:asciiTheme="majorHAnsi" w:hAnsiTheme="majorHAnsi" w:cstheme="majorHAnsi"/>
          <w:sz w:val="24"/>
          <w:szCs w:val="24"/>
          <w:lang w:val="ru-MD"/>
        </w:rPr>
        <w:t xml:space="preserve"> за 2020 год п</w:t>
      </w:r>
      <w:r w:rsidR="008A1506">
        <w:rPr>
          <w:rFonts w:asciiTheme="majorHAnsi" w:hAnsiTheme="majorHAnsi" w:cstheme="majorHAnsi"/>
          <w:sz w:val="24"/>
          <w:szCs w:val="24"/>
          <w:lang w:val="ru-MD"/>
        </w:rPr>
        <w:t>о</w:t>
      </w:r>
      <w:r w:rsidR="00736447" w:rsidRPr="0072354B">
        <w:rPr>
          <w:rFonts w:asciiTheme="majorHAnsi" w:hAnsiTheme="majorHAnsi" w:cstheme="majorHAnsi"/>
          <w:sz w:val="24"/>
          <w:szCs w:val="24"/>
          <w:lang w:val="ru-MD"/>
        </w:rPr>
        <w:t xml:space="preserve"> </w:t>
      </w:r>
      <w:r w:rsidRPr="0072354B">
        <w:rPr>
          <w:rFonts w:asciiTheme="majorHAnsi" w:hAnsiTheme="majorHAnsi" w:cstheme="majorHAnsi"/>
          <w:sz w:val="24"/>
          <w:szCs w:val="24"/>
          <w:lang w:val="ru-MD"/>
        </w:rPr>
        <w:t>уточнени</w:t>
      </w:r>
      <w:r w:rsidR="008A1506">
        <w:rPr>
          <w:rFonts w:asciiTheme="majorHAnsi" w:hAnsiTheme="majorHAnsi" w:cstheme="majorHAnsi"/>
          <w:sz w:val="24"/>
          <w:szCs w:val="24"/>
          <w:lang w:val="ru-MD"/>
        </w:rPr>
        <w:t>ю</w:t>
      </w:r>
      <w:r w:rsidR="00736447" w:rsidRPr="0072354B">
        <w:rPr>
          <w:rFonts w:asciiTheme="majorHAnsi" w:hAnsiTheme="majorHAnsi" w:cstheme="majorHAnsi"/>
          <w:sz w:val="24"/>
          <w:szCs w:val="24"/>
          <w:lang w:val="ru-MD"/>
        </w:rPr>
        <w:t xml:space="preserve"> бюджетных показателей доходов, расходов и бюджетного баланса (дефицита), был</w:t>
      </w:r>
      <w:r w:rsidRPr="0072354B">
        <w:rPr>
          <w:rFonts w:asciiTheme="majorHAnsi" w:hAnsiTheme="majorHAnsi" w:cstheme="majorHAnsi"/>
          <w:sz w:val="24"/>
          <w:szCs w:val="24"/>
          <w:lang w:val="ru-MD"/>
        </w:rPr>
        <w:t>а</w:t>
      </w:r>
      <w:r w:rsidR="00736447" w:rsidRPr="0072354B">
        <w:rPr>
          <w:rFonts w:asciiTheme="majorHAnsi" w:hAnsiTheme="majorHAnsi" w:cstheme="majorHAnsi"/>
          <w:sz w:val="24"/>
          <w:szCs w:val="24"/>
          <w:lang w:val="ru-MD"/>
        </w:rPr>
        <w:t xml:space="preserve"> </w:t>
      </w:r>
      <w:r w:rsidRPr="0072354B">
        <w:rPr>
          <w:rFonts w:asciiTheme="majorHAnsi" w:hAnsiTheme="majorHAnsi" w:cstheme="majorHAnsi"/>
          <w:sz w:val="24"/>
          <w:szCs w:val="24"/>
          <w:lang w:val="ru-MD"/>
        </w:rPr>
        <w:t>эволюция</w:t>
      </w:r>
      <w:r w:rsidR="00736447" w:rsidRPr="0072354B">
        <w:rPr>
          <w:rFonts w:asciiTheme="majorHAnsi" w:hAnsiTheme="majorHAnsi" w:cstheme="majorHAnsi"/>
          <w:sz w:val="24"/>
          <w:szCs w:val="24"/>
          <w:lang w:val="ru-MD"/>
        </w:rPr>
        <w:t xml:space="preserve"> национальной экономики под давлением последствий пандемии COVID-19</w:t>
      </w:r>
      <w:r w:rsidR="00325584" w:rsidRPr="0072354B">
        <w:rPr>
          <w:rFonts w:asciiTheme="majorHAnsi" w:hAnsiTheme="majorHAnsi" w:cstheme="majorHAnsi"/>
          <w:sz w:val="24"/>
          <w:szCs w:val="24"/>
          <w:lang w:val="ru-MD"/>
        </w:rPr>
        <w:t>;</w:t>
      </w:r>
    </w:p>
    <w:p w:rsidR="00325584" w:rsidRPr="00B05CFC" w:rsidRDefault="00736447" w:rsidP="00736447">
      <w:pPr>
        <w:numPr>
          <w:ilvl w:val="0"/>
          <w:numId w:val="15"/>
        </w:numPr>
        <w:shd w:val="clear" w:color="auto" w:fill="FFFFFF" w:themeFill="background1"/>
        <w:tabs>
          <w:tab w:val="left" w:pos="284"/>
          <w:tab w:val="left" w:pos="993"/>
        </w:tabs>
        <w:spacing w:after="0" w:line="276" w:lineRule="auto"/>
        <w:ind w:left="0" w:firstLine="0"/>
        <w:contextualSpacing/>
        <w:rPr>
          <w:rFonts w:asciiTheme="majorHAnsi" w:eastAsia="Times New Roman" w:hAnsiTheme="majorHAnsi" w:cstheme="majorHAnsi"/>
          <w:sz w:val="24"/>
          <w:szCs w:val="24"/>
          <w:lang w:val="ro-RO"/>
        </w:rPr>
      </w:pPr>
      <w:r w:rsidRPr="008A1506">
        <w:rPr>
          <w:rFonts w:asciiTheme="majorHAnsi" w:eastAsia="Times New Roman" w:hAnsiTheme="majorHAnsi" w:cstheme="majorHAnsi"/>
          <w:sz w:val="24"/>
          <w:szCs w:val="24"/>
          <w:lang w:val="ru-MD"/>
        </w:rPr>
        <w:lastRenderedPageBreak/>
        <w:t xml:space="preserve">в течение года были разработаны и приняты 3 Постановления Правительства о перераспределении и распределении ассигнований, предусмотренных </w:t>
      </w:r>
      <w:r w:rsidR="008A1506" w:rsidRPr="008A1506">
        <w:rPr>
          <w:rFonts w:asciiTheme="majorHAnsi" w:eastAsia="Times New Roman" w:hAnsiTheme="majorHAnsi" w:cstheme="majorHAnsi"/>
          <w:sz w:val="24"/>
          <w:szCs w:val="24"/>
          <w:lang w:val="ru-MD"/>
        </w:rPr>
        <w:t>З</w:t>
      </w:r>
      <w:r w:rsidRPr="008A1506">
        <w:rPr>
          <w:rFonts w:asciiTheme="majorHAnsi" w:eastAsia="Times New Roman" w:hAnsiTheme="majorHAnsi" w:cstheme="majorHAnsi"/>
          <w:sz w:val="24"/>
          <w:szCs w:val="24"/>
          <w:lang w:val="ru-MD"/>
        </w:rPr>
        <w:t xml:space="preserve">аконом </w:t>
      </w:r>
      <w:r w:rsidR="008A1506" w:rsidRPr="008A1506">
        <w:rPr>
          <w:rFonts w:asciiTheme="majorHAnsi" w:eastAsia="Times New Roman" w:hAnsiTheme="majorHAnsi" w:cstheme="majorHAnsi"/>
          <w:sz w:val="24"/>
          <w:szCs w:val="24"/>
          <w:lang w:val="ru-MD"/>
        </w:rPr>
        <w:t>о</w:t>
      </w:r>
      <w:r w:rsidRPr="008A1506">
        <w:rPr>
          <w:rFonts w:asciiTheme="majorHAnsi" w:eastAsia="Times New Roman" w:hAnsiTheme="majorHAnsi" w:cstheme="majorHAnsi"/>
          <w:sz w:val="24"/>
          <w:szCs w:val="24"/>
          <w:lang w:val="ru-MD"/>
        </w:rPr>
        <w:t xml:space="preserve"> государственном бюджете на 2020 год, а в модуле „е-</w:t>
      </w:r>
      <w:r w:rsidR="008A1506" w:rsidRPr="008A1506">
        <w:rPr>
          <w:rFonts w:asciiTheme="majorHAnsi" w:eastAsia="Times New Roman" w:hAnsiTheme="majorHAnsi" w:cstheme="majorHAnsi"/>
          <w:sz w:val="24"/>
          <w:szCs w:val="24"/>
          <w:lang w:val="ru-MD"/>
        </w:rPr>
        <w:t>А</w:t>
      </w:r>
      <w:r w:rsidRPr="008A1506">
        <w:rPr>
          <w:rFonts w:asciiTheme="majorHAnsi" w:eastAsia="Times New Roman" w:hAnsiTheme="majorHAnsi" w:cstheme="majorHAnsi"/>
          <w:sz w:val="24"/>
          <w:szCs w:val="24"/>
          <w:lang w:val="ru-MD"/>
        </w:rPr>
        <w:t xml:space="preserve">ссигнования” </w:t>
      </w:r>
      <w:r w:rsidR="008A1506" w:rsidRPr="008A1506">
        <w:rPr>
          <w:rFonts w:asciiTheme="majorHAnsi" w:eastAsia="Times New Roman" w:hAnsiTheme="majorHAnsi" w:cstheme="majorHAnsi"/>
          <w:sz w:val="24"/>
          <w:szCs w:val="24"/>
          <w:lang w:val="ru-MD"/>
        </w:rPr>
        <w:t>за</w:t>
      </w:r>
      <w:r w:rsidRPr="008A1506">
        <w:rPr>
          <w:rFonts w:asciiTheme="majorHAnsi" w:eastAsia="Times New Roman" w:hAnsiTheme="majorHAnsi" w:cstheme="majorHAnsi"/>
          <w:sz w:val="24"/>
          <w:szCs w:val="24"/>
          <w:lang w:val="ru-MD"/>
        </w:rPr>
        <w:t>регистрир</w:t>
      </w:r>
      <w:r w:rsidR="008A1506" w:rsidRPr="008A1506">
        <w:rPr>
          <w:rFonts w:asciiTheme="majorHAnsi" w:eastAsia="Times New Roman" w:hAnsiTheme="majorHAnsi" w:cstheme="majorHAnsi"/>
          <w:sz w:val="24"/>
          <w:szCs w:val="24"/>
          <w:lang w:val="ru-MD"/>
        </w:rPr>
        <w:t>ованы</w:t>
      </w:r>
      <w:r w:rsidRPr="008A1506">
        <w:rPr>
          <w:rFonts w:asciiTheme="majorHAnsi" w:eastAsia="Times New Roman" w:hAnsiTheme="majorHAnsi" w:cstheme="majorHAnsi"/>
          <w:sz w:val="24"/>
          <w:szCs w:val="24"/>
          <w:lang w:val="ru-MD"/>
        </w:rPr>
        <w:t xml:space="preserve"> 1001 изменени</w:t>
      </w:r>
      <w:r w:rsidR="008A1506" w:rsidRPr="008A1506">
        <w:rPr>
          <w:rFonts w:asciiTheme="majorHAnsi" w:eastAsia="Times New Roman" w:hAnsiTheme="majorHAnsi" w:cstheme="majorHAnsi"/>
          <w:sz w:val="24"/>
          <w:szCs w:val="24"/>
          <w:lang w:val="ru-MD"/>
        </w:rPr>
        <w:t>е</w:t>
      </w:r>
      <w:r w:rsidRPr="008A1506">
        <w:rPr>
          <w:rFonts w:asciiTheme="majorHAnsi" w:eastAsia="Times New Roman" w:hAnsiTheme="majorHAnsi" w:cstheme="majorHAnsi"/>
          <w:sz w:val="24"/>
          <w:szCs w:val="24"/>
          <w:lang w:val="ru-MD"/>
        </w:rPr>
        <w:t>, инициированн</w:t>
      </w:r>
      <w:r w:rsidR="008A1506" w:rsidRPr="008A1506">
        <w:rPr>
          <w:rFonts w:asciiTheme="majorHAnsi" w:eastAsia="Times New Roman" w:hAnsiTheme="majorHAnsi" w:cstheme="majorHAnsi"/>
          <w:sz w:val="24"/>
          <w:szCs w:val="24"/>
          <w:lang w:val="ru-MD"/>
        </w:rPr>
        <w:t>о</w:t>
      </w:r>
      <w:r w:rsidRPr="008A1506">
        <w:rPr>
          <w:rFonts w:asciiTheme="majorHAnsi" w:eastAsia="Times New Roman" w:hAnsiTheme="majorHAnsi" w:cstheme="majorHAnsi"/>
          <w:sz w:val="24"/>
          <w:szCs w:val="24"/>
          <w:lang w:val="ru-MD"/>
        </w:rPr>
        <w:t>е МФ в качестве администратора бюджета. Согласно ст.60 (4) Закона</w:t>
      </w:r>
      <w:r w:rsidR="008A1506" w:rsidRPr="008A1506">
        <w:rPr>
          <w:rFonts w:asciiTheme="majorHAnsi" w:eastAsia="Times New Roman" w:hAnsiTheme="majorHAnsi" w:cstheme="majorHAnsi"/>
          <w:sz w:val="24"/>
          <w:szCs w:val="24"/>
          <w:lang w:val="ru-MD"/>
        </w:rPr>
        <w:t xml:space="preserve"> </w:t>
      </w:r>
      <w:r w:rsidRPr="008A1506">
        <w:rPr>
          <w:rFonts w:asciiTheme="majorHAnsi" w:eastAsia="Times New Roman" w:hAnsiTheme="majorHAnsi" w:cstheme="majorHAnsi"/>
          <w:sz w:val="24"/>
          <w:szCs w:val="24"/>
          <w:lang w:val="ru-MD"/>
        </w:rPr>
        <w:t xml:space="preserve">№181 от 25.07.2014, перераспределение бюджетных ассигнований осуществляется до 30 ноября бюджетного года, однако проверки аудита </w:t>
      </w:r>
      <w:r w:rsidR="0034550B">
        <w:rPr>
          <w:rFonts w:asciiTheme="majorHAnsi" w:eastAsia="Times New Roman" w:hAnsiTheme="majorHAnsi" w:cstheme="majorHAnsi"/>
          <w:sz w:val="24"/>
          <w:szCs w:val="24"/>
          <w:lang w:val="ru-MD"/>
        </w:rPr>
        <w:t>установи</w:t>
      </w:r>
      <w:r w:rsidRPr="008A1506">
        <w:rPr>
          <w:rFonts w:asciiTheme="majorHAnsi" w:eastAsia="Times New Roman" w:hAnsiTheme="majorHAnsi" w:cstheme="majorHAnsi"/>
          <w:sz w:val="24"/>
          <w:szCs w:val="24"/>
          <w:lang w:val="ru-MD"/>
        </w:rPr>
        <w:t xml:space="preserve">ли, что в декабре были перераспределены ассигнования с согласия </w:t>
      </w:r>
      <w:r w:rsidR="008A1506" w:rsidRPr="008A1506">
        <w:rPr>
          <w:rFonts w:asciiTheme="majorHAnsi" w:eastAsia="Times New Roman" w:hAnsiTheme="majorHAnsi" w:cstheme="majorHAnsi"/>
          <w:sz w:val="24"/>
          <w:szCs w:val="24"/>
          <w:lang w:val="ru-MD"/>
        </w:rPr>
        <w:t>П</w:t>
      </w:r>
      <w:r w:rsidRPr="008A1506">
        <w:rPr>
          <w:rFonts w:asciiTheme="majorHAnsi" w:eastAsia="Times New Roman" w:hAnsiTheme="majorHAnsi" w:cstheme="majorHAnsi"/>
          <w:sz w:val="24"/>
          <w:szCs w:val="24"/>
          <w:lang w:val="ru-MD"/>
        </w:rPr>
        <w:t>равительства (</w:t>
      </w:r>
      <w:r w:rsidR="008A1506" w:rsidRPr="008A1506">
        <w:rPr>
          <w:rFonts w:asciiTheme="majorHAnsi" w:eastAsia="Times New Roman" w:hAnsiTheme="majorHAnsi" w:cstheme="majorHAnsi"/>
          <w:sz w:val="24"/>
          <w:szCs w:val="24"/>
          <w:lang w:val="ru-MD"/>
        </w:rPr>
        <w:t>П</w:t>
      </w:r>
      <w:r w:rsidRPr="008A1506">
        <w:rPr>
          <w:rFonts w:asciiTheme="majorHAnsi" w:eastAsia="Times New Roman" w:hAnsiTheme="majorHAnsi" w:cstheme="majorHAnsi"/>
          <w:sz w:val="24"/>
          <w:szCs w:val="24"/>
          <w:lang w:val="ru-MD"/>
        </w:rPr>
        <w:t>П №896 от 14.12.2020) и с согласия МФ</w:t>
      </w:r>
      <w:r w:rsidR="00325584" w:rsidRPr="00973E5B">
        <w:rPr>
          <w:rFonts w:asciiTheme="majorHAnsi" w:hAnsiTheme="majorHAnsi" w:cstheme="majorHAnsi"/>
          <w:sz w:val="24"/>
          <w:szCs w:val="24"/>
          <w:lang w:val="ro-RO"/>
        </w:rPr>
        <w:t xml:space="preserve">; </w:t>
      </w:r>
    </w:p>
    <w:p w:rsidR="00044DBB" w:rsidRPr="00973E5B" w:rsidRDefault="00736447" w:rsidP="00736447">
      <w:pPr>
        <w:numPr>
          <w:ilvl w:val="0"/>
          <w:numId w:val="14"/>
        </w:numPr>
        <w:shd w:val="clear" w:color="auto" w:fill="FFFFFF" w:themeFill="background1"/>
        <w:tabs>
          <w:tab w:val="left" w:pos="284"/>
        </w:tabs>
        <w:spacing w:after="0" w:line="276" w:lineRule="auto"/>
        <w:ind w:left="0" w:firstLine="0"/>
        <w:contextualSpacing/>
        <w:rPr>
          <w:rFonts w:asciiTheme="majorHAnsi" w:hAnsiTheme="majorHAnsi" w:cstheme="majorHAnsi"/>
          <w:sz w:val="24"/>
          <w:szCs w:val="24"/>
          <w:lang w:val="ro-RO"/>
        </w:rPr>
      </w:pPr>
      <w:r w:rsidRPr="00E42A03">
        <w:rPr>
          <w:rFonts w:asciiTheme="majorHAnsi" w:hAnsiTheme="majorHAnsi" w:cstheme="majorHAnsi"/>
          <w:sz w:val="24"/>
          <w:szCs w:val="24"/>
          <w:lang w:val="ru-MD"/>
        </w:rPr>
        <w:t>Приказ МФ №209 от 24.12.2015</w:t>
      </w:r>
      <w:r w:rsidR="008A1506" w:rsidRPr="00E42A03">
        <w:rPr>
          <w:rFonts w:asciiTheme="majorHAnsi" w:hAnsiTheme="majorHAnsi" w:cstheme="majorHAnsi"/>
          <w:sz w:val="24"/>
          <w:szCs w:val="24"/>
          <w:vertAlign w:val="superscript"/>
          <w:lang w:val="ru-MD"/>
        </w:rPr>
        <w:footnoteReference w:id="33"/>
      </w:r>
      <w:r w:rsidRPr="00E42A03">
        <w:rPr>
          <w:rFonts w:asciiTheme="majorHAnsi" w:hAnsiTheme="majorHAnsi" w:cstheme="majorHAnsi"/>
          <w:sz w:val="24"/>
          <w:szCs w:val="24"/>
          <w:lang w:val="ru-MD"/>
        </w:rPr>
        <w:t xml:space="preserve"> не </w:t>
      </w:r>
      <w:r w:rsidR="008A1506" w:rsidRPr="00E42A03">
        <w:rPr>
          <w:rFonts w:asciiTheme="majorHAnsi" w:hAnsiTheme="majorHAnsi" w:cstheme="majorHAnsi"/>
          <w:sz w:val="24"/>
          <w:szCs w:val="24"/>
          <w:lang w:val="ru-MD"/>
        </w:rPr>
        <w:t xml:space="preserve">был </w:t>
      </w:r>
      <w:r w:rsidRPr="00E42A03">
        <w:rPr>
          <w:rFonts w:asciiTheme="majorHAnsi" w:hAnsiTheme="majorHAnsi" w:cstheme="majorHAnsi"/>
          <w:sz w:val="24"/>
          <w:szCs w:val="24"/>
          <w:lang w:val="ru-MD"/>
        </w:rPr>
        <w:t>измен</w:t>
      </w:r>
      <w:r w:rsidR="008A1506" w:rsidRPr="00E42A03">
        <w:rPr>
          <w:rFonts w:asciiTheme="majorHAnsi" w:hAnsiTheme="majorHAnsi" w:cstheme="majorHAnsi"/>
          <w:sz w:val="24"/>
          <w:szCs w:val="24"/>
          <w:lang w:val="ru-MD"/>
        </w:rPr>
        <w:t>ен</w:t>
      </w:r>
      <w:r w:rsidRPr="00E42A03">
        <w:rPr>
          <w:rFonts w:asciiTheme="majorHAnsi" w:hAnsiTheme="majorHAnsi" w:cstheme="majorHAnsi"/>
          <w:sz w:val="24"/>
          <w:szCs w:val="24"/>
          <w:lang w:val="ru-MD"/>
        </w:rPr>
        <w:t xml:space="preserve"> </w:t>
      </w:r>
      <w:r w:rsidR="00582AA4">
        <w:rPr>
          <w:rFonts w:asciiTheme="majorHAnsi" w:hAnsiTheme="majorHAnsi" w:cstheme="majorHAnsi"/>
          <w:sz w:val="24"/>
          <w:szCs w:val="24"/>
          <w:lang w:val="ru-MD"/>
        </w:rPr>
        <w:t>с учетом положений</w:t>
      </w:r>
      <w:r w:rsidRPr="00E42A03">
        <w:rPr>
          <w:rFonts w:asciiTheme="majorHAnsi" w:hAnsiTheme="majorHAnsi" w:cstheme="majorHAnsi"/>
          <w:sz w:val="24"/>
          <w:szCs w:val="24"/>
          <w:lang w:val="ru-MD"/>
        </w:rPr>
        <w:t xml:space="preserve"> дей</w:t>
      </w:r>
      <w:r w:rsidR="008A1506" w:rsidRPr="00E42A03">
        <w:rPr>
          <w:rFonts w:asciiTheme="majorHAnsi" w:hAnsiTheme="majorHAnsi" w:cstheme="majorHAnsi"/>
          <w:sz w:val="24"/>
          <w:szCs w:val="24"/>
          <w:lang w:val="ru-MD"/>
        </w:rPr>
        <w:t xml:space="preserve">ствующей </w:t>
      </w:r>
      <w:r w:rsidR="004A784D">
        <w:rPr>
          <w:rFonts w:asciiTheme="majorHAnsi" w:hAnsiTheme="majorHAnsi" w:cstheme="majorHAnsi"/>
          <w:sz w:val="24"/>
          <w:szCs w:val="24"/>
          <w:lang w:val="ru-MD"/>
        </w:rPr>
        <w:t>законодательной базы</w:t>
      </w:r>
      <w:r w:rsidR="00325584" w:rsidRPr="000C5521">
        <w:rPr>
          <w:rFonts w:asciiTheme="majorHAnsi" w:hAnsiTheme="majorHAnsi" w:cstheme="majorHAnsi"/>
          <w:sz w:val="24"/>
          <w:szCs w:val="24"/>
          <w:lang w:val="ro-RO"/>
        </w:rPr>
        <w:t>;</w:t>
      </w:r>
    </w:p>
    <w:p w:rsidR="00B72D16" w:rsidRPr="00E4517B" w:rsidRDefault="00736447" w:rsidP="00736447">
      <w:pPr>
        <w:numPr>
          <w:ilvl w:val="0"/>
          <w:numId w:val="15"/>
        </w:numPr>
        <w:shd w:val="clear" w:color="auto" w:fill="FFFFFF" w:themeFill="background1"/>
        <w:tabs>
          <w:tab w:val="left" w:pos="284"/>
          <w:tab w:val="left" w:pos="993"/>
        </w:tabs>
        <w:spacing w:after="0" w:line="276" w:lineRule="auto"/>
        <w:ind w:left="0" w:firstLine="0"/>
        <w:contextualSpacing/>
        <w:rPr>
          <w:rFonts w:asciiTheme="majorHAnsi" w:eastAsia="Times New Roman" w:hAnsiTheme="majorHAnsi" w:cstheme="majorHAnsi"/>
          <w:sz w:val="24"/>
          <w:szCs w:val="24"/>
          <w:lang w:val="ro-RO"/>
        </w:rPr>
      </w:pPr>
      <w:r w:rsidRPr="00E42A03">
        <w:rPr>
          <w:rFonts w:asciiTheme="majorHAnsi" w:eastAsia="Times New Roman" w:hAnsiTheme="majorHAnsi" w:cstheme="majorHAnsi"/>
          <w:sz w:val="24"/>
          <w:szCs w:val="24"/>
          <w:lang w:val="ru-MD"/>
        </w:rPr>
        <w:t xml:space="preserve">согласно ст.47 (1) f) </w:t>
      </w:r>
      <w:r w:rsidR="0048438C" w:rsidRPr="00E42A03">
        <w:rPr>
          <w:rFonts w:asciiTheme="majorHAnsi" w:eastAsia="Times New Roman" w:hAnsiTheme="majorHAnsi" w:cstheme="majorHAnsi"/>
          <w:sz w:val="24"/>
          <w:szCs w:val="24"/>
          <w:lang w:val="ru-MD"/>
        </w:rPr>
        <w:t>З</w:t>
      </w:r>
      <w:r w:rsidRPr="00E42A03">
        <w:rPr>
          <w:rFonts w:asciiTheme="majorHAnsi" w:eastAsia="Times New Roman" w:hAnsiTheme="majorHAnsi" w:cstheme="majorHAnsi"/>
          <w:sz w:val="24"/>
          <w:szCs w:val="24"/>
          <w:lang w:val="ru-MD"/>
        </w:rPr>
        <w:t>акона</w:t>
      </w:r>
      <w:r w:rsidR="0048438C" w:rsidRPr="00E42A03">
        <w:rPr>
          <w:rFonts w:asciiTheme="majorHAnsi" w:eastAsia="Times New Roman" w:hAnsiTheme="majorHAnsi" w:cstheme="majorHAnsi"/>
          <w:sz w:val="24"/>
          <w:szCs w:val="24"/>
          <w:lang w:val="ru-MD"/>
        </w:rPr>
        <w:t xml:space="preserve"> </w:t>
      </w:r>
      <w:r w:rsidRPr="00E42A03">
        <w:rPr>
          <w:rFonts w:asciiTheme="majorHAnsi" w:eastAsia="Times New Roman" w:hAnsiTheme="majorHAnsi" w:cstheme="majorHAnsi"/>
          <w:sz w:val="24"/>
          <w:szCs w:val="24"/>
          <w:lang w:val="ru-MD"/>
        </w:rPr>
        <w:t xml:space="preserve">№181 от 25.07.2014, МФ составляет и представляет </w:t>
      </w:r>
      <w:r w:rsidR="00DC3BF7">
        <w:rPr>
          <w:rFonts w:asciiTheme="majorHAnsi" w:eastAsia="Times New Roman" w:hAnsiTheme="majorHAnsi" w:cstheme="majorHAnsi"/>
          <w:sz w:val="24"/>
          <w:szCs w:val="24"/>
          <w:lang w:val="ru-MD"/>
        </w:rPr>
        <w:t>на</w:t>
      </w:r>
      <w:r w:rsidRPr="00E42A03">
        <w:rPr>
          <w:rFonts w:asciiTheme="majorHAnsi" w:eastAsia="Times New Roman" w:hAnsiTheme="majorHAnsi" w:cstheme="majorHAnsi"/>
          <w:sz w:val="24"/>
          <w:szCs w:val="24"/>
          <w:lang w:val="ru-MD"/>
        </w:rPr>
        <w:t xml:space="preserve"> ауди</w:t>
      </w:r>
      <w:r w:rsidR="00DC3BF7">
        <w:rPr>
          <w:rFonts w:asciiTheme="majorHAnsi" w:eastAsia="Times New Roman" w:hAnsiTheme="majorHAnsi" w:cstheme="majorHAnsi"/>
          <w:sz w:val="24"/>
          <w:szCs w:val="24"/>
          <w:lang w:val="ru-MD"/>
        </w:rPr>
        <w:t>рование</w:t>
      </w:r>
      <w:r w:rsidRPr="00E42A03">
        <w:rPr>
          <w:rFonts w:asciiTheme="majorHAnsi" w:eastAsia="Times New Roman" w:hAnsiTheme="majorHAnsi" w:cstheme="majorHAnsi"/>
          <w:sz w:val="24"/>
          <w:szCs w:val="24"/>
          <w:lang w:val="ru-MD"/>
        </w:rPr>
        <w:t xml:space="preserve"> Счетной палате годовой отчет об исполнении </w:t>
      </w:r>
      <w:r w:rsidR="00E42A03" w:rsidRPr="00E42A03">
        <w:rPr>
          <w:rFonts w:asciiTheme="majorHAnsi" w:eastAsia="Times New Roman" w:hAnsiTheme="majorHAnsi" w:cstheme="majorHAnsi"/>
          <w:sz w:val="24"/>
          <w:szCs w:val="24"/>
          <w:lang w:val="ru-MD"/>
        </w:rPr>
        <w:t>ГБ</w:t>
      </w:r>
      <w:r w:rsidRPr="00E42A03">
        <w:rPr>
          <w:rFonts w:asciiTheme="majorHAnsi" w:eastAsia="Times New Roman" w:hAnsiTheme="majorHAnsi" w:cstheme="majorHAnsi"/>
          <w:sz w:val="24"/>
          <w:szCs w:val="24"/>
          <w:lang w:val="ru-MD"/>
        </w:rPr>
        <w:t xml:space="preserve"> до 15 апреля </w:t>
      </w:r>
      <w:r w:rsidR="00DC3BF7">
        <w:rPr>
          <w:rFonts w:asciiTheme="majorHAnsi" w:eastAsia="Times New Roman" w:hAnsiTheme="majorHAnsi" w:cstheme="majorHAnsi"/>
          <w:sz w:val="24"/>
          <w:szCs w:val="24"/>
          <w:lang w:val="ru-MD"/>
        </w:rPr>
        <w:t xml:space="preserve">года, </w:t>
      </w:r>
      <w:r w:rsidRPr="00E42A03">
        <w:rPr>
          <w:rFonts w:asciiTheme="majorHAnsi" w:eastAsia="Times New Roman" w:hAnsiTheme="majorHAnsi" w:cstheme="majorHAnsi"/>
          <w:sz w:val="24"/>
          <w:szCs w:val="24"/>
          <w:lang w:val="ru-MD"/>
        </w:rPr>
        <w:t xml:space="preserve">следующего </w:t>
      </w:r>
      <w:r w:rsidR="00DC3BF7">
        <w:rPr>
          <w:rFonts w:asciiTheme="majorHAnsi" w:eastAsia="Times New Roman" w:hAnsiTheme="majorHAnsi" w:cstheme="majorHAnsi"/>
          <w:sz w:val="24"/>
          <w:szCs w:val="24"/>
          <w:lang w:val="ru-MD"/>
        </w:rPr>
        <w:t>за</w:t>
      </w:r>
      <w:r w:rsidRPr="00E42A03">
        <w:rPr>
          <w:rFonts w:asciiTheme="majorHAnsi" w:eastAsia="Times New Roman" w:hAnsiTheme="majorHAnsi" w:cstheme="majorHAnsi"/>
          <w:sz w:val="24"/>
          <w:szCs w:val="24"/>
          <w:lang w:val="ru-MD"/>
        </w:rPr>
        <w:t xml:space="preserve"> </w:t>
      </w:r>
      <w:r w:rsidR="00DC3BF7">
        <w:rPr>
          <w:rFonts w:asciiTheme="majorHAnsi" w:eastAsia="Times New Roman" w:hAnsiTheme="majorHAnsi" w:cstheme="majorHAnsi"/>
          <w:sz w:val="24"/>
          <w:szCs w:val="24"/>
          <w:lang w:val="ru-MD"/>
        </w:rPr>
        <w:t xml:space="preserve">истекшим </w:t>
      </w:r>
      <w:r w:rsidRPr="00E42A03">
        <w:rPr>
          <w:rFonts w:asciiTheme="majorHAnsi" w:eastAsia="Times New Roman" w:hAnsiTheme="majorHAnsi" w:cstheme="majorHAnsi"/>
          <w:sz w:val="24"/>
          <w:szCs w:val="24"/>
          <w:lang w:val="ru-MD"/>
        </w:rPr>
        <w:t>бюджетн</w:t>
      </w:r>
      <w:r w:rsidR="00DC3BF7">
        <w:rPr>
          <w:rFonts w:asciiTheme="majorHAnsi" w:eastAsia="Times New Roman" w:hAnsiTheme="majorHAnsi" w:cstheme="majorHAnsi"/>
          <w:sz w:val="24"/>
          <w:szCs w:val="24"/>
          <w:lang w:val="ru-MD"/>
        </w:rPr>
        <w:t>ым</w:t>
      </w:r>
      <w:r w:rsidRPr="00E42A03">
        <w:rPr>
          <w:rFonts w:asciiTheme="majorHAnsi" w:eastAsia="Times New Roman" w:hAnsiTheme="majorHAnsi" w:cstheme="majorHAnsi"/>
          <w:sz w:val="24"/>
          <w:szCs w:val="24"/>
          <w:lang w:val="ru-MD"/>
        </w:rPr>
        <w:t xml:space="preserve"> год</w:t>
      </w:r>
      <w:r w:rsidR="00DC3BF7">
        <w:rPr>
          <w:rFonts w:asciiTheme="majorHAnsi" w:eastAsia="Times New Roman" w:hAnsiTheme="majorHAnsi" w:cstheme="majorHAnsi"/>
          <w:sz w:val="24"/>
          <w:szCs w:val="24"/>
          <w:lang w:val="ru-MD"/>
        </w:rPr>
        <w:t>ом</w:t>
      </w:r>
      <w:r w:rsidRPr="00E42A03">
        <w:rPr>
          <w:rFonts w:asciiTheme="majorHAnsi" w:eastAsia="Times New Roman" w:hAnsiTheme="majorHAnsi" w:cstheme="majorHAnsi"/>
          <w:sz w:val="24"/>
          <w:szCs w:val="24"/>
          <w:lang w:val="ru-MD"/>
        </w:rPr>
        <w:t xml:space="preserve">. В условиях пандемии срок представления </w:t>
      </w:r>
      <w:r w:rsidR="00DC3BF7">
        <w:rPr>
          <w:rFonts w:asciiTheme="majorHAnsi" w:eastAsia="Times New Roman" w:hAnsiTheme="majorHAnsi" w:cstheme="majorHAnsi"/>
          <w:sz w:val="24"/>
          <w:szCs w:val="24"/>
          <w:lang w:val="ru-MD"/>
        </w:rPr>
        <w:t>Отчета</w:t>
      </w:r>
      <w:r w:rsidRPr="00E42A03">
        <w:rPr>
          <w:rFonts w:asciiTheme="majorHAnsi" w:eastAsia="Times New Roman" w:hAnsiTheme="majorHAnsi" w:cstheme="majorHAnsi"/>
          <w:sz w:val="24"/>
          <w:szCs w:val="24"/>
          <w:lang w:val="ru-MD"/>
        </w:rPr>
        <w:t xml:space="preserve"> </w:t>
      </w:r>
      <w:r w:rsidR="00DC3BF7">
        <w:rPr>
          <w:rFonts w:asciiTheme="majorHAnsi" w:eastAsia="Times New Roman" w:hAnsiTheme="majorHAnsi" w:cstheme="majorHAnsi"/>
          <w:sz w:val="24"/>
          <w:szCs w:val="24"/>
          <w:lang w:val="ru-MD"/>
        </w:rPr>
        <w:t xml:space="preserve">был </w:t>
      </w:r>
      <w:r w:rsidR="00DC3BF7" w:rsidRPr="00E42A03">
        <w:rPr>
          <w:rFonts w:asciiTheme="majorHAnsi" w:eastAsia="Times New Roman" w:hAnsiTheme="majorHAnsi" w:cstheme="majorHAnsi"/>
          <w:sz w:val="24"/>
          <w:szCs w:val="24"/>
          <w:lang w:val="ru-MD"/>
        </w:rPr>
        <w:t xml:space="preserve">продлен </w:t>
      </w:r>
      <w:r w:rsidRPr="00E42A03">
        <w:rPr>
          <w:rFonts w:asciiTheme="majorHAnsi" w:eastAsia="Times New Roman" w:hAnsiTheme="majorHAnsi" w:cstheme="majorHAnsi"/>
          <w:sz w:val="24"/>
          <w:szCs w:val="24"/>
          <w:lang w:val="ru-MD"/>
        </w:rPr>
        <w:t>до 17 мая 2021 года. Таким образом, МФ представил</w:t>
      </w:r>
      <w:r w:rsidR="00DC3BF7">
        <w:rPr>
          <w:rFonts w:asciiTheme="majorHAnsi" w:eastAsia="Times New Roman" w:hAnsiTheme="majorHAnsi" w:cstheme="majorHAnsi"/>
          <w:sz w:val="24"/>
          <w:szCs w:val="24"/>
          <w:lang w:val="ru-MD"/>
        </w:rPr>
        <w:t>о</w:t>
      </w:r>
      <w:r w:rsidRPr="00E42A03">
        <w:rPr>
          <w:rFonts w:asciiTheme="majorHAnsi" w:eastAsia="Times New Roman" w:hAnsiTheme="majorHAnsi" w:cstheme="majorHAnsi"/>
          <w:sz w:val="24"/>
          <w:szCs w:val="24"/>
          <w:lang w:val="ru-MD"/>
        </w:rPr>
        <w:t xml:space="preserve"> Счетной палате</w:t>
      </w:r>
      <w:r w:rsidR="0034550B" w:rsidRPr="0034550B">
        <w:rPr>
          <w:rFonts w:asciiTheme="majorHAnsi" w:eastAsia="Times New Roman" w:hAnsiTheme="majorHAnsi" w:cstheme="majorHAnsi"/>
          <w:sz w:val="24"/>
          <w:szCs w:val="24"/>
          <w:lang w:val="ru-MD"/>
        </w:rPr>
        <w:t xml:space="preserve"> </w:t>
      </w:r>
      <w:r w:rsidR="0034550B">
        <w:rPr>
          <w:rFonts w:asciiTheme="majorHAnsi" w:eastAsia="Times New Roman" w:hAnsiTheme="majorHAnsi" w:cstheme="majorHAnsi"/>
          <w:sz w:val="24"/>
          <w:szCs w:val="24"/>
          <w:lang w:val="ru-MD"/>
        </w:rPr>
        <w:t>О</w:t>
      </w:r>
      <w:r w:rsidR="0034550B" w:rsidRPr="00E42A03">
        <w:rPr>
          <w:rFonts w:asciiTheme="majorHAnsi" w:eastAsia="Times New Roman" w:hAnsiTheme="majorHAnsi" w:cstheme="majorHAnsi"/>
          <w:sz w:val="24"/>
          <w:szCs w:val="24"/>
          <w:lang w:val="ru-MD"/>
        </w:rPr>
        <w:t>тчет</w:t>
      </w:r>
      <w:r w:rsidR="0034550B" w:rsidRPr="0034550B">
        <w:rPr>
          <w:rFonts w:asciiTheme="majorHAnsi" w:eastAsia="Times New Roman" w:hAnsiTheme="majorHAnsi" w:cstheme="majorHAnsi"/>
          <w:sz w:val="24"/>
          <w:szCs w:val="24"/>
          <w:lang w:val="ru-MD"/>
        </w:rPr>
        <w:t xml:space="preserve"> </w:t>
      </w:r>
      <w:r w:rsidR="0034550B" w:rsidRPr="00E42A03">
        <w:rPr>
          <w:rFonts w:asciiTheme="majorHAnsi" w:eastAsia="Times New Roman" w:hAnsiTheme="majorHAnsi" w:cstheme="majorHAnsi"/>
          <w:sz w:val="24"/>
          <w:szCs w:val="24"/>
          <w:lang w:val="ru-MD"/>
        </w:rPr>
        <w:t>в срок</w:t>
      </w:r>
      <w:r w:rsidR="00DC3BF7">
        <w:rPr>
          <w:rFonts w:asciiTheme="majorHAnsi" w:eastAsia="Times New Roman" w:hAnsiTheme="majorHAnsi" w:cstheme="majorHAnsi"/>
          <w:sz w:val="24"/>
          <w:szCs w:val="24"/>
          <w:lang w:val="ru-MD"/>
        </w:rPr>
        <w:t>,</w:t>
      </w:r>
      <w:r w:rsidRPr="00E42A03">
        <w:rPr>
          <w:rFonts w:asciiTheme="majorHAnsi" w:eastAsia="Times New Roman" w:hAnsiTheme="majorHAnsi" w:cstheme="majorHAnsi"/>
          <w:sz w:val="24"/>
          <w:szCs w:val="24"/>
          <w:lang w:val="ru-MD"/>
        </w:rPr>
        <w:t xml:space="preserve"> 12.05.2021</w:t>
      </w:r>
      <w:r w:rsidR="00A74616" w:rsidRPr="00F55BA6">
        <w:rPr>
          <w:rFonts w:asciiTheme="majorHAnsi" w:eastAsia="Times New Roman" w:hAnsiTheme="majorHAnsi" w:cstheme="majorHAnsi"/>
          <w:sz w:val="24"/>
          <w:szCs w:val="24"/>
          <w:lang w:val="ro-RO"/>
        </w:rPr>
        <w:t>;</w:t>
      </w:r>
    </w:p>
    <w:p w:rsidR="00ED1629" w:rsidRPr="00051701" w:rsidRDefault="00736447" w:rsidP="00736447">
      <w:pPr>
        <w:numPr>
          <w:ilvl w:val="0"/>
          <w:numId w:val="15"/>
        </w:numPr>
        <w:shd w:val="clear" w:color="auto" w:fill="FFFFFF" w:themeFill="background1"/>
        <w:tabs>
          <w:tab w:val="left" w:pos="284"/>
          <w:tab w:val="left" w:pos="993"/>
        </w:tabs>
        <w:spacing w:after="0" w:line="276" w:lineRule="auto"/>
        <w:ind w:left="0" w:firstLine="0"/>
        <w:contextualSpacing/>
        <w:rPr>
          <w:rFonts w:asciiTheme="majorHAnsi" w:eastAsia="Times New Roman" w:hAnsiTheme="majorHAnsi" w:cstheme="majorHAnsi"/>
          <w:sz w:val="24"/>
          <w:szCs w:val="24"/>
          <w:lang w:val="ro-RO"/>
        </w:rPr>
      </w:pPr>
      <w:r w:rsidRPr="00DC3BF7">
        <w:rPr>
          <w:rFonts w:asciiTheme="majorHAnsi" w:eastAsia="Times New Roman" w:hAnsiTheme="majorHAnsi" w:cstheme="majorHAnsi"/>
          <w:sz w:val="24"/>
          <w:szCs w:val="24"/>
          <w:lang w:val="ru-MD" w:bidi="ro-RO"/>
        </w:rPr>
        <w:t xml:space="preserve">в соответствии с положениями </w:t>
      </w:r>
      <w:r w:rsidR="004251AC" w:rsidRPr="00DC3BF7">
        <w:rPr>
          <w:rFonts w:asciiTheme="majorHAnsi" w:eastAsia="Times New Roman" w:hAnsiTheme="majorHAnsi" w:cstheme="majorHAnsi"/>
          <w:sz w:val="24"/>
          <w:szCs w:val="24"/>
          <w:lang w:val="ru-MD" w:bidi="ro-RO"/>
        </w:rPr>
        <w:t>П</w:t>
      </w:r>
      <w:r w:rsidRPr="00DC3BF7">
        <w:rPr>
          <w:rFonts w:asciiTheme="majorHAnsi" w:eastAsia="Times New Roman" w:hAnsiTheme="majorHAnsi" w:cstheme="majorHAnsi"/>
          <w:sz w:val="24"/>
          <w:szCs w:val="24"/>
          <w:lang w:val="ru-MD" w:bidi="ro-RO"/>
        </w:rPr>
        <w:t>риказа МФ</w:t>
      </w:r>
      <w:r w:rsidR="004251AC" w:rsidRPr="00DC3BF7">
        <w:rPr>
          <w:rFonts w:asciiTheme="majorHAnsi" w:eastAsia="Times New Roman" w:hAnsiTheme="majorHAnsi" w:cstheme="majorHAnsi"/>
          <w:sz w:val="24"/>
          <w:szCs w:val="24"/>
          <w:lang w:val="ru-MD" w:bidi="ro-RO"/>
        </w:rPr>
        <w:t xml:space="preserve"> </w:t>
      </w:r>
      <w:r w:rsidRPr="00DC3BF7">
        <w:rPr>
          <w:rFonts w:asciiTheme="majorHAnsi" w:eastAsia="Times New Roman" w:hAnsiTheme="majorHAnsi" w:cstheme="majorHAnsi"/>
          <w:sz w:val="24"/>
          <w:szCs w:val="24"/>
          <w:lang w:val="ru-MD" w:bidi="ro-RO"/>
        </w:rPr>
        <w:t xml:space="preserve">№168/2020 „Об утверждении сроков представления финансовых отчетов </w:t>
      </w:r>
      <w:r w:rsidR="004251AC" w:rsidRPr="00DC3BF7">
        <w:rPr>
          <w:rFonts w:asciiTheme="majorHAnsi" w:eastAsia="Times New Roman" w:hAnsiTheme="majorHAnsi" w:cstheme="majorHAnsi"/>
          <w:sz w:val="24"/>
          <w:szCs w:val="24"/>
          <w:lang w:val="ru-MD" w:bidi="ro-RO"/>
        </w:rPr>
        <w:t>з</w:t>
      </w:r>
      <w:r w:rsidRPr="00DC3BF7">
        <w:rPr>
          <w:rFonts w:asciiTheme="majorHAnsi" w:eastAsia="Times New Roman" w:hAnsiTheme="majorHAnsi" w:cstheme="majorHAnsi"/>
          <w:sz w:val="24"/>
          <w:szCs w:val="24"/>
          <w:lang w:val="ru-MD" w:bidi="ro-RO"/>
        </w:rPr>
        <w:t xml:space="preserve">а 2020 год” </w:t>
      </w:r>
      <w:r w:rsidR="004251AC" w:rsidRPr="00DC3BF7">
        <w:rPr>
          <w:rFonts w:asciiTheme="majorHAnsi" w:eastAsia="Times New Roman" w:hAnsiTheme="majorHAnsi" w:cstheme="majorHAnsi"/>
          <w:sz w:val="24"/>
          <w:szCs w:val="24"/>
          <w:lang w:val="ru-MD" w:bidi="ro-RO"/>
        </w:rPr>
        <w:t>бюджетные органы</w:t>
      </w:r>
      <w:r w:rsidRPr="00DC3BF7">
        <w:rPr>
          <w:rFonts w:asciiTheme="majorHAnsi" w:eastAsia="Times New Roman" w:hAnsiTheme="majorHAnsi" w:cstheme="majorHAnsi"/>
          <w:sz w:val="24"/>
          <w:szCs w:val="24"/>
          <w:lang w:val="ru-MD" w:bidi="ro-RO"/>
        </w:rPr>
        <w:t xml:space="preserve">/ учреждения представили в установленные сроки финансовые отчеты </w:t>
      </w:r>
      <w:r w:rsidR="004251AC" w:rsidRPr="00DC3BF7">
        <w:rPr>
          <w:rFonts w:asciiTheme="majorHAnsi" w:eastAsia="Times New Roman" w:hAnsiTheme="majorHAnsi" w:cstheme="majorHAnsi"/>
          <w:sz w:val="24"/>
          <w:szCs w:val="24"/>
          <w:lang w:val="ru-MD" w:bidi="ro-RO"/>
        </w:rPr>
        <w:t>з</w:t>
      </w:r>
      <w:r w:rsidRPr="00DC3BF7">
        <w:rPr>
          <w:rFonts w:asciiTheme="majorHAnsi" w:eastAsia="Times New Roman" w:hAnsiTheme="majorHAnsi" w:cstheme="majorHAnsi"/>
          <w:sz w:val="24"/>
          <w:szCs w:val="24"/>
          <w:lang w:val="ru-MD" w:bidi="ro-RO"/>
        </w:rPr>
        <w:t xml:space="preserve">а 2020 год, за исключением 4 органов, а именно: </w:t>
      </w:r>
      <w:r w:rsidR="00F37D26" w:rsidRPr="00DC3BF7">
        <w:rPr>
          <w:rFonts w:asciiTheme="majorHAnsi" w:eastAsia="Times New Roman" w:hAnsiTheme="majorHAnsi" w:cstheme="majorHAnsi"/>
          <w:i/>
          <w:sz w:val="24"/>
          <w:szCs w:val="24"/>
          <w:lang w:val="ru-MD" w:bidi="ro-RO"/>
        </w:rPr>
        <w:t>Аген</w:t>
      </w:r>
      <w:r w:rsidR="00DC3BF7">
        <w:rPr>
          <w:rFonts w:asciiTheme="majorHAnsi" w:eastAsia="Times New Roman" w:hAnsiTheme="majorHAnsi" w:cstheme="majorHAnsi"/>
          <w:i/>
          <w:sz w:val="24"/>
          <w:szCs w:val="24"/>
          <w:lang w:val="ru-MD" w:bidi="ro-RO"/>
        </w:rPr>
        <w:t>т</w:t>
      </w:r>
      <w:r w:rsidR="00F37D26" w:rsidRPr="00DC3BF7">
        <w:rPr>
          <w:rFonts w:asciiTheme="majorHAnsi" w:eastAsia="Times New Roman" w:hAnsiTheme="majorHAnsi" w:cstheme="majorHAnsi"/>
          <w:i/>
          <w:sz w:val="24"/>
          <w:szCs w:val="24"/>
          <w:lang w:val="ru-MD" w:bidi="ro-RO"/>
        </w:rPr>
        <w:t>ств</w:t>
      </w:r>
      <w:r w:rsidR="00DC3BF7" w:rsidRPr="00DC3BF7">
        <w:rPr>
          <w:rFonts w:asciiTheme="majorHAnsi" w:eastAsia="Times New Roman" w:hAnsiTheme="majorHAnsi" w:cstheme="majorHAnsi"/>
          <w:i/>
          <w:sz w:val="24"/>
          <w:szCs w:val="24"/>
          <w:lang w:val="ru-MD" w:bidi="ro-RO"/>
        </w:rPr>
        <w:t>а</w:t>
      </w:r>
      <w:r w:rsidR="00F37D26" w:rsidRPr="00DC3BF7">
        <w:rPr>
          <w:rFonts w:asciiTheme="majorHAnsi" w:eastAsia="Times New Roman" w:hAnsiTheme="majorHAnsi" w:cstheme="majorHAnsi"/>
          <w:i/>
          <w:sz w:val="24"/>
          <w:szCs w:val="24"/>
          <w:lang w:val="ru-MD" w:bidi="ro-RO"/>
        </w:rPr>
        <w:t xml:space="preserve"> по </w:t>
      </w:r>
      <w:r w:rsidR="00DC3BF7" w:rsidRPr="00DC3BF7">
        <w:rPr>
          <w:rFonts w:asciiTheme="majorHAnsi" w:eastAsia="Times New Roman" w:hAnsiTheme="majorHAnsi" w:cstheme="majorHAnsi"/>
          <w:i/>
          <w:sz w:val="24"/>
          <w:szCs w:val="24"/>
          <w:lang w:val="ru-MD" w:bidi="ro-RO"/>
        </w:rPr>
        <w:t>инвестициям</w:t>
      </w:r>
      <w:r w:rsidRPr="00DC3BF7">
        <w:rPr>
          <w:rFonts w:asciiTheme="majorHAnsi" w:eastAsia="Times New Roman" w:hAnsiTheme="majorHAnsi" w:cstheme="majorHAnsi"/>
          <w:i/>
          <w:sz w:val="24"/>
          <w:szCs w:val="24"/>
          <w:lang w:val="ru-MD" w:bidi="ro-RO"/>
        </w:rPr>
        <w:t xml:space="preserve">, </w:t>
      </w:r>
      <w:r w:rsidR="00F37D26" w:rsidRPr="00DC3BF7">
        <w:rPr>
          <w:rFonts w:asciiTheme="majorHAnsi" w:eastAsia="Times New Roman" w:hAnsiTheme="majorHAnsi" w:cstheme="majorHAnsi"/>
          <w:i/>
          <w:sz w:val="24"/>
          <w:szCs w:val="24"/>
          <w:lang w:val="ru-MD" w:bidi="ro-RO"/>
        </w:rPr>
        <w:t>МСХРРОС</w:t>
      </w:r>
      <w:r w:rsidRPr="00DC3BF7">
        <w:rPr>
          <w:rFonts w:asciiTheme="majorHAnsi" w:eastAsia="Times New Roman" w:hAnsiTheme="majorHAnsi" w:cstheme="majorHAnsi"/>
          <w:i/>
          <w:sz w:val="24"/>
          <w:szCs w:val="24"/>
          <w:lang w:val="ru-MD" w:bidi="ro-RO"/>
        </w:rPr>
        <w:t xml:space="preserve">, </w:t>
      </w:r>
      <w:r w:rsidR="00F37D26" w:rsidRPr="00DC3BF7">
        <w:rPr>
          <w:rFonts w:asciiTheme="majorHAnsi" w:eastAsia="Times New Roman" w:hAnsiTheme="majorHAnsi" w:cstheme="majorHAnsi"/>
          <w:i/>
          <w:sz w:val="24"/>
          <w:szCs w:val="24"/>
          <w:lang w:val="ru-MD" w:bidi="ro-RO"/>
        </w:rPr>
        <w:t>МОКИ</w:t>
      </w:r>
      <w:r w:rsidRPr="00DC3BF7">
        <w:rPr>
          <w:rFonts w:asciiTheme="majorHAnsi" w:eastAsia="Times New Roman" w:hAnsiTheme="majorHAnsi" w:cstheme="majorHAnsi"/>
          <w:i/>
          <w:sz w:val="24"/>
          <w:szCs w:val="24"/>
          <w:lang w:val="ru-MD" w:bidi="ro-RO"/>
        </w:rPr>
        <w:t xml:space="preserve">, </w:t>
      </w:r>
      <w:r w:rsidR="00F37D26" w:rsidRPr="00DC3BF7">
        <w:rPr>
          <w:rFonts w:asciiTheme="majorHAnsi" w:eastAsia="Times New Roman" w:hAnsiTheme="majorHAnsi" w:cstheme="majorHAnsi"/>
          <w:i/>
          <w:sz w:val="24"/>
          <w:szCs w:val="24"/>
          <w:lang w:val="ru-MD" w:bidi="ro-RO"/>
        </w:rPr>
        <w:t>С</w:t>
      </w:r>
      <w:r w:rsidRPr="00DC3BF7">
        <w:rPr>
          <w:rFonts w:asciiTheme="majorHAnsi" w:eastAsia="Times New Roman" w:hAnsiTheme="majorHAnsi" w:cstheme="majorHAnsi"/>
          <w:i/>
          <w:sz w:val="24"/>
          <w:szCs w:val="24"/>
          <w:lang w:val="ru-MD" w:bidi="ro-RO"/>
        </w:rPr>
        <w:t>лужбы по предупреждению и борьбе с отмыванием денег</w:t>
      </w:r>
      <w:r w:rsidRPr="00DC3BF7">
        <w:rPr>
          <w:rFonts w:asciiTheme="majorHAnsi" w:eastAsia="Times New Roman" w:hAnsiTheme="majorHAnsi" w:cstheme="majorHAnsi"/>
          <w:sz w:val="24"/>
          <w:szCs w:val="24"/>
          <w:lang w:val="ru-MD" w:bidi="ro-RO"/>
        </w:rPr>
        <w:t xml:space="preserve">, которые </w:t>
      </w:r>
      <w:r w:rsidR="004251AC" w:rsidRPr="00DC3BF7">
        <w:rPr>
          <w:rFonts w:asciiTheme="majorHAnsi" w:eastAsia="Times New Roman" w:hAnsiTheme="majorHAnsi" w:cstheme="majorHAnsi"/>
          <w:sz w:val="24"/>
          <w:szCs w:val="24"/>
          <w:lang w:val="ru-MD" w:bidi="ro-RO"/>
        </w:rPr>
        <w:t>запроси</w:t>
      </w:r>
      <w:r w:rsidRPr="00DC3BF7">
        <w:rPr>
          <w:rFonts w:asciiTheme="majorHAnsi" w:eastAsia="Times New Roman" w:hAnsiTheme="majorHAnsi" w:cstheme="majorHAnsi"/>
          <w:sz w:val="24"/>
          <w:szCs w:val="24"/>
          <w:lang w:val="ru-MD" w:bidi="ro-RO"/>
        </w:rPr>
        <w:t>ли продл</w:t>
      </w:r>
      <w:r w:rsidR="004251AC" w:rsidRPr="00DC3BF7">
        <w:rPr>
          <w:rFonts w:asciiTheme="majorHAnsi" w:eastAsia="Times New Roman" w:hAnsiTheme="majorHAnsi" w:cstheme="majorHAnsi"/>
          <w:sz w:val="24"/>
          <w:szCs w:val="24"/>
          <w:lang w:val="ru-MD" w:bidi="ro-RO"/>
        </w:rPr>
        <w:t>ение</w:t>
      </w:r>
      <w:r w:rsidRPr="00DC3BF7">
        <w:rPr>
          <w:rFonts w:asciiTheme="majorHAnsi" w:eastAsia="Times New Roman" w:hAnsiTheme="majorHAnsi" w:cstheme="majorHAnsi"/>
          <w:sz w:val="24"/>
          <w:szCs w:val="24"/>
          <w:lang w:val="ru-MD" w:bidi="ro-RO"/>
        </w:rPr>
        <w:t xml:space="preserve"> срок</w:t>
      </w:r>
      <w:r w:rsidR="004251AC" w:rsidRPr="00DC3BF7">
        <w:rPr>
          <w:rFonts w:asciiTheme="majorHAnsi" w:eastAsia="Times New Roman" w:hAnsiTheme="majorHAnsi" w:cstheme="majorHAnsi"/>
          <w:sz w:val="24"/>
          <w:szCs w:val="24"/>
          <w:lang w:val="ru-MD" w:bidi="ro-RO"/>
        </w:rPr>
        <w:t>а</w:t>
      </w:r>
      <w:r w:rsidRPr="00DC3BF7">
        <w:rPr>
          <w:rFonts w:asciiTheme="majorHAnsi" w:eastAsia="Times New Roman" w:hAnsiTheme="majorHAnsi" w:cstheme="majorHAnsi"/>
          <w:sz w:val="24"/>
          <w:szCs w:val="24"/>
          <w:lang w:val="ru-MD" w:bidi="ro-RO"/>
        </w:rPr>
        <w:t xml:space="preserve"> представления отчет</w:t>
      </w:r>
      <w:r w:rsidR="004251AC" w:rsidRPr="00DC3BF7">
        <w:rPr>
          <w:rFonts w:asciiTheme="majorHAnsi" w:eastAsia="Times New Roman" w:hAnsiTheme="majorHAnsi" w:cstheme="majorHAnsi"/>
          <w:sz w:val="24"/>
          <w:szCs w:val="24"/>
          <w:lang w:val="ru-MD" w:bidi="ro-RO"/>
        </w:rPr>
        <w:t>ов</w:t>
      </w:r>
      <w:r w:rsidRPr="00DC3BF7">
        <w:rPr>
          <w:rFonts w:asciiTheme="majorHAnsi" w:eastAsia="Times New Roman" w:hAnsiTheme="majorHAnsi" w:cstheme="majorHAnsi"/>
          <w:sz w:val="24"/>
          <w:szCs w:val="24"/>
          <w:lang w:val="ru-MD" w:bidi="ro-RO"/>
        </w:rPr>
        <w:t xml:space="preserve">. </w:t>
      </w:r>
      <w:r w:rsidR="004251AC" w:rsidRPr="00DC3BF7">
        <w:rPr>
          <w:rFonts w:asciiTheme="majorHAnsi" w:eastAsia="Times New Roman" w:hAnsiTheme="majorHAnsi" w:cstheme="majorHAnsi"/>
          <w:sz w:val="24"/>
          <w:szCs w:val="24"/>
          <w:lang w:val="ru-MD" w:bidi="ro-RO"/>
        </w:rPr>
        <w:t>П</w:t>
      </w:r>
      <w:r w:rsidRPr="00DC3BF7">
        <w:rPr>
          <w:rFonts w:asciiTheme="majorHAnsi" w:eastAsia="Times New Roman" w:hAnsiTheme="majorHAnsi" w:cstheme="majorHAnsi"/>
          <w:sz w:val="24"/>
          <w:szCs w:val="24"/>
          <w:lang w:val="ru-MD" w:bidi="ro-RO"/>
        </w:rPr>
        <w:t xml:space="preserve">осле проверки отчетов, некоторые из них были неоднократно отклонены </w:t>
      </w:r>
      <w:r w:rsidR="004251AC" w:rsidRPr="00DC3BF7">
        <w:rPr>
          <w:rFonts w:asciiTheme="majorHAnsi" w:eastAsia="Times New Roman" w:hAnsiTheme="majorHAnsi" w:cstheme="majorHAnsi"/>
          <w:sz w:val="24"/>
          <w:szCs w:val="24"/>
          <w:lang w:val="ru-MD" w:bidi="ro-RO"/>
        </w:rPr>
        <w:t xml:space="preserve">МФ, </w:t>
      </w:r>
      <w:r w:rsidRPr="00DC3BF7">
        <w:rPr>
          <w:rFonts w:asciiTheme="majorHAnsi" w:eastAsia="Times New Roman" w:hAnsiTheme="majorHAnsi" w:cstheme="majorHAnsi"/>
          <w:sz w:val="24"/>
          <w:szCs w:val="24"/>
          <w:lang w:val="ru-MD" w:bidi="ro-RO"/>
        </w:rPr>
        <w:t>для исправления ошибок</w:t>
      </w:r>
      <w:r w:rsidR="004251AC" w:rsidRPr="00DC3BF7">
        <w:rPr>
          <w:rFonts w:asciiTheme="majorHAnsi" w:eastAsia="Times New Roman" w:hAnsiTheme="majorHAnsi" w:cstheme="majorHAnsi"/>
          <w:sz w:val="24"/>
          <w:szCs w:val="24"/>
          <w:lang w:val="ru-MD" w:bidi="ro-RO"/>
        </w:rPr>
        <w:t xml:space="preserve"> до их утверждения</w:t>
      </w:r>
      <w:r w:rsidR="004251AC" w:rsidRPr="004251AC">
        <w:rPr>
          <w:rFonts w:asciiTheme="majorHAnsi" w:eastAsia="Times New Roman" w:hAnsiTheme="majorHAnsi" w:cstheme="majorHAnsi"/>
          <w:sz w:val="24"/>
          <w:szCs w:val="24"/>
          <w:lang w:val="ro-RO" w:bidi="ro-RO"/>
        </w:rPr>
        <w:t>.</w:t>
      </w:r>
    </w:p>
    <w:p w:rsidR="00C77062" w:rsidRPr="003F362D" w:rsidRDefault="00C77062" w:rsidP="00FA4B76">
      <w:pPr>
        <w:tabs>
          <w:tab w:val="left" w:pos="426"/>
        </w:tabs>
        <w:spacing w:after="0" w:line="276" w:lineRule="auto"/>
        <w:contextualSpacing/>
        <w:outlineLvl w:val="0"/>
        <w:rPr>
          <w:rFonts w:asciiTheme="majorHAnsi" w:hAnsiTheme="majorHAnsi" w:cstheme="majorHAnsi"/>
          <w:b/>
          <w:szCs w:val="28"/>
          <w:lang w:val="ru-MD"/>
        </w:rPr>
      </w:pPr>
      <w:r w:rsidRPr="00F55BA6">
        <w:rPr>
          <w:rFonts w:asciiTheme="majorHAnsi" w:hAnsiTheme="majorHAnsi" w:cstheme="majorHAnsi"/>
          <w:b/>
          <w:sz w:val="24"/>
          <w:szCs w:val="24"/>
          <w:lang w:val="ro-RO"/>
        </w:rPr>
        <w:t xml:space="preserve">6.5. </w:t>
      </w:r>
      <w:r w:rsidR="00FA4B76" w:rsidRPr="003F362D">
        <w:rPr>
          <w:rFonts w:asciiTheme="majorHAnsi" w:hAnsiTheme="majorHAnsi" w:cstheme="majorHAnsi"/>
          <w:b/>
          <w:sz w:val="24"/>
          <w:szCs w:val="24"/>
          <w:lang w:val="ru-MD"/>
        </w:rPr>
        <w:t>Бухгалтерский учет кассового исполнения средств ГБ обеспеч</w:t>
      </w:r>
      <w:r w:rsidR="00DC3BF7" w:rsidRPr="003F362D">
        <w:rPr>
          <w:rFonts w:asciiTheme="majorHAnsi" w:hAnsiTheme="majorHAnsi" w:cstheme="majorHAnsi"/>
          <w:b/>
          <w:sz w:val="24"/>
          <w:szCs w:val="24"/>
          <w:lang w:val="ru-MD"/>
        </w:rPr>
        <w:t>ивался</w:t>
      </w:r>
      <w:r w:rsidR="00FA4B76" w:rsidRPr="003F362D">
        <w:rPr>
          <w:rFonts w:asciiTheme="majorHAnsi" w:hAnsiTheme="majorHAnsi" w:cstheme="majorHAnsi"/>
          <w:b/>
          <w:sz w:val="24"/>
          <w:szCs w:val="24"/>
          <w:lang w:val="ru-MD"/>
        </w:rPr>
        <w:t xml:space="preserve"> с некоторыми нарушениями/отклонениями от положений нормативной базы</w:t>
      </w:r>
      <w:r w:rsidR="00FD2D68" w:rsidRPr="003F362D">
        <w:rPr>
          <w:rFonts w:asciiTheme="majorHAnsi" w:hAnsiTheme="majorHAnsi" w:cstheme="majorHAnsi"/>
          <w:b/>
          <w:sz w:val="24"/>
          <w:szCs w:val="24"/>
          <w:lang w:val="ru-MD"/>
        </w:rPr>
        <w:t>.</w:t>
      </w:r>
    </w:p>
    <w:p w:rsidR="0059639C" w:rsidRPr="00B3261A" w:rsidRDefault="00B3261A" w:rsidP="00353740">
      <w:pPr>
        <w:spacing w:line="276" w:lineRule="auto"/>
        <w:ind w:right="45"/>
        <w:rPr>
          <w:rFonts w:asciiTheme="majorHAnsi" w:eastAsia="Times New Roman" w:hAnsiTheme="majorHAnsi" w:cstheme="majorHAnsi"/>
          <w:sz w:val="24"/>
          <w:szCs w:val="24"/>
          <w:lang w:val="ro-RO"/>
        </w:rPr>
      </w:pPr>
      <w:r w:rsidRPr="003F362D">
        <w:rPr>
          <w:rFonts w:asciiTheme="majorHAnsi" w:eastAsia="Times New Roman" w:hAnsiTheme="majorHAnsi" w:cstheme="majorHAnsi"/>
          <w:sz w:val="24"/>
          <w:szCs w:val="24"/>
          <w:lang w:val="ru-MD" w:eastAsia="ru-RU"/>
        </w:rPr>
        <w:t>Миссией МФ является осуществление менеджмента государственных финансов</w:t>
      </w:r>
      <w:r w:rsidR="0059639C" w:rsidRPr="003F362D">
        <w:rPr>
          <w:rFonts w:asciiTheme="majorHAnsi" w:eastAsia="Times New Roman" w:hAnsiTheme="majorHAnsi" w:cstheme="majorHAnsi"/>
          <w:sz w:val="24"/>
          <w:szCs w:val="24"/>
          <w:vertAlign w:val="superscript"/>
          <w:lang w:val="ru-MD" w:eastAsia="ru-RU"/>
        </w:rPr>
        <w:footnoteReference w:id="34"/>
      </w:r>
      <w:r w:rsidRPr="003F362D">
        <w:rPr>
          <w:rFonts w:asciiTheme="majorHAnsi" w:eastAsia="Times New Roman" w:hAnsiTheme="majorHAnsi" w:cstheme="majorHAnsi"/>
          <w:sz w:val="24"/>
          <w:szCs w:val="24"/>
          <w:lang w:val="ru-MD" w:eastAsia="ru-RU"/>
        </w:rPr>
        <w:t xml:space="preserve"> и администрирование государственного бюджета</w:t>
      </w:r>
      <w:r w:rsidR="0059639C" w:rsidRPr="003F362D">
        <w:rPr>
          <w:rFonts w:asciiTheme="majorHAnsi" w:eastAsia="Times New Roman" w:hAnsiTheme="majorHAnsi" w:cstheme="majorHAnsi"/>
          <w:sz w:val="24"/>
          <w:szCs w:val="24"/>
          <w:lang w:val="ru-MD" w:eastAsia="ru-RU"/>
        </w:rPr>
        <w:t xml:space="preserve">. </w:t>
      </w:r>
      <w:r w:rsidRPr="003F362D">
        <w:rPr>
          <w:rFonts w:asciiTheme="majorHAnsi" w:eastAsia="Times New Roman" w:hAnsiTheme="majorHAnsi" w:cstheme="majorHAnsi"/>
          <w:sz w:val="24"/>
          <w:szCs w:val="24"/>
          <w:lang w:val="ru-MD" w:eastAsia="ru-RU"/>
        </w:rPr>
        <w:t>Управление средствами ГБ осуществляется посредством единого казначейского счета, открытого в системе бухгалтерского учета НБМ</w:t>
      </w:r>
      <w:r w:rsidR="0059639C" w:rsidRPr="003F362D">
        <w:rPr>
          <w:rFonts w:asciiTheme="majorHAnsi" w:hAnsiTheme="majorHAnsi" w:cstheme="majorHAnsi"/>
          <w:sz w:val="24"/>
          <w:szCs w:val="24"/>
          <w:lang w:val="ru-MD" w:eastAsia="ru-RU"/>
        </w:rPr>
        <w:t>.</w:t>
      </w:r>
      <w:r w:rsidR="0059639C" w:rsidRPr="003F362D">
        <w:rPr>
          <w:rFonts w:asciiTheme="majorHAnsi" w:eastAsia="Times New Roman" w:hAnsiTheme="majorHAnsi" w:cstheme="majorHAnsi"/>
          <w:sz w:val="24"/>
          <w:szCs w:val="24"/>
          <w:lang w:val="ru-MD" w:eastAsia="ru-RU"/>
        </w:rPr>
        <w:t xml:space="preserve"> </w:t>
      </w:r>
      <w:r w:rsidRPr="003F362D">
        <w:rPr>
          <w:rFonts w:asciiTheme="majorHAnsi" w:eastAsia="Times New Roman" w:hAnsiTheme="majorHAnsi" w:cstheme="majorHAnsi"/>
          <w:sz w:val="24"/>
          <w:szCs w:val="24"/>
          <w:lang w:val="ru-MD"/>
        </w:rPr>
        <w:t>Согласно ст</w:t>
      </w:r>
      <w:r w:rsidR="0059639C" w:rsidRPr="003F362D">
        <w:rPr>
          <w:rFonts w:asciiTheme="majorHAnsi" w:eastAsia="Times New Roman" w:hAnsiTheme="majorHAnsi" w:cstheme="majorHAnsi"/>
          <w:sz w:val="24"/>
          <w:szCs w:val="24"/>
          <w:lang w:val="ru-MD"/>
        </w:rPr>
        <w:t xml:space="preserve">.63 </w:t>
      </w:r>
      <w:r w:rsidRPr="003F362D">
        <w:rPr>
          <w:rFonts w:asciiTheme="majorHAnsi" w:eastAsia="Times New Roman" w:hAnsiTheme="majorHAnsi" w:cstheme="majorHAnsi"/>
          <w:sz w:val="24"/>
          <w:szCs w:val="24"/>
          <w:lang w:val="ru-MD"/>
        </w:rPr>
        <w:t>Закона №</w:t>
      </w:r>
      <w:r w:rsidR="0059639C" w:rsidRPr="003F362D">
        <w:rPr>
          <w:rFonts w:asciiTheme="majorHAnsi" w:eastAsia="Times New Roman" w:hAnsiTheme="majorHAnsi" w:cstheme="majorHAnsi"/>
          <w:sz w:val="24"/>
          <w:szCs w:val="24"/>
          <w:lang w:val="ru-MD"/>
        </w:rPr>
        <w:t xml:space="preserve">181 </w:t>
      </w:r>
      <w:r w:rsidRPr="003F362D">
        <w:rPr>
          <w:rFonts w:asciiTheme="majorHAnsi" w:eastAsia="Times New Roman" w:hAnsiTheme="majorHAnsi" w:cstheme="majorHAnsi"/>
          <w:sz w:val="24"/>
          <w:szCs w:val="24"/>
          <w:lang w:val="ru-MD"/>
        </w:rPr>
        <w:t>от</w:t>
      </w:r>
      <w:r w:rsidR="0059639C" w:rsidRPr="003F362D">
        <w:rPr>
          <w:rFonts w:asciiTheme="majorHAnsi" w:eastAsia="Times New Roman" w:hAnsiTheme="majorHAnsi" w:cstheme="majorHAnsi"/>
          <w:sz w:val="24"/>
          <w:szCs w:val="24"/>
          <w:lang w:val="ru-MD"/>
        </w:rPr>
        <w:t xml:space="preserve"> 25.07.2014</w:t>
      </w:r>
      <w:r w:rsidR="00A74616" w:rsidRPr="003F362D">
        <w:rPr>
          <w:rFonts w:asciiTheme="majorHAnsi" w:eastAsia="Times New Roman" w:hAnsiTheme="majorHAnsi" w:cstheme="majorHAnsi"/>
          <w:sz w:val="24"/>
          <w:szCs w:val="24"/>
          <w:lang w:val="ru-MD"/>
        </w:rPr>
        <w:t>,</w:t>
      </w:r>
      <w:r w:rsidR="0059639C" w:rsidRPr="003F362D">
        <w:rPr>
          <w:rFonts w:asciiTheme="majorHAnsi" w:eastAsia="Times New Roman" w:hAnsiTheme="majorHAnsi" w:cstheme="majorHAnsi"/>
          <w:sz w:val="24"/>
          <w:szCs w:val="24"/>
          <w:lang w:val="ru-MD"/>
        </w:rPr>
        <w:t xml:space="preserve"> </w:t>
      </w:r>
      <w:r w:rsidR="00353740" w:rsidRPr="003F362D">
        <w:rPr>
          <w:rFonts w:asciiTheme="majorHAnsi" w:eastAsia="Times New Roman" w:hAnsiTheme="majorHAnsi" w:cstheme="majorHAnsi"/>
          <w:sz w:val="24"/>
          <w:szCs w:val="24"/>
          <w:lang w:val="ru-MD"/>
        </w:rPr>
        <w:t xml:space="preserve">поступления и платежи ГБ осуществляются кассовым методом через казначейскую систему. </w:t>
      </w:r>
      <w:r w:rsidRPr="003F362D">
        <w:rPr>
          <w:rFonts w:asciiTheme="majorHAnsi" w:eastAsia="Times New Roman" w:hAnsiTheme="majorHAnsi" w:cstheme="majorHAnsi"/>
          <w:sz w:val="24"/>
          <w:szCs w:val="24"/>
          <w:lang w:val="ru-MD"/>
        </w:rPr>
        <w:t>Данные о</w:t>
      </w:r>
      <w:r w:rsidR="00DC3BF7" w:rsidRPr="003F362D">
        <w:rPr>
          <w:rFonts w:asciiTheme="majorHAnsi" w:eastAsia="Times New Roman" w:hAnsiTheme="majorHAnsi" w:cstheme="majorHAnsi"/>
          <w:sz w:val="24"/>
          <w:szCs w:val="24"/>
          <w:lang w:val="ru-MD"/>
        </w:rPr>
        <w:t>б</w:t>
      </w:r>
      <w:r w:rsidRPr="003F362D">
        <w:rPr>
          <w:rFonts w:asciiTheme="majorHAnsi" w:eastAsia="Times New Roman" w:hAnsiTheme="majorHAnsi" w:cstheme="majorHAnsi"/>
          <w:sz w:val="24"/>
          <w:szCs w:val="24"/>
          <w:lang w:val="ru-MD"/>
        </w:rPr>
        <w:t xml:space="preserve"> утвержденных и уточненных бюджетных показателях </w:t>
      </w:r>
      <w:r w:rsidR="00DC3BF7" w:rsidRPr="003F362D">
        <w:rPr>
          <w:rFonts w:asciiTheme="majorHAnsi" w:eastAsia="Times New Roman" w:hAnsiTheme="majorHAnsi" w:cstheme="majorHAnsi"/>
          <w:sz w:val="24"/>
          <w:szCs w:val="24"/>
          <w:lang w:val="ru-MD"/>
        </w:rPr>
        <w:t>по</w:t>
      </w:r>
      <w:r w:rsidRPr="003F362D">
        <w:rPr>
          <w:rFonts w:asciiTheme="majorHAnsi" w:eastAsia="Times New Roman" w:hAnsiTheme="majorHAnsi" w:cstheme="majorHAnsi"/>
          <w:sz w:val="24"/>
          <w:szCs w:val="24"/>
          <w:lang w:val="ru-MD"/>
        </w:rPr>
        <w:t xml:space="preserve"> доходам, расходам и источникам финансирования, кассово</w:t>
      </w:r>
      <w:r w:rsidR="00DC3BF7" w:rsidRPr="003F362D">
        <w:rPr>
          <w:rFonts w:asciiTheme="majorHAnsi" w:eastAsia="Times New Roman" w:hAnsiTheme="majorHAnsi" w:cstheme="majorHAnsi"/>
          <w:sz w:val="24"/>
          <w:szCs w:val="24"/>
          <w:lang w:val="ru-MD"/>
        </w:rPr>
        <w:t>е</w:t>
      </w:r>
      <w:r w:rsidRPr="003F362D">
        <w:rPr>
          <w:rFonts w:asciiTheme="majorHAnsi" w:eastAsia="Times New Roman" w:hAnsiTheme="majorHAnsi" w:cstheme="majorHAnsi"/>
          <w:sz w:val="24"/>
          <w:szCs w:val="24"/>
          <w:lang w:val="ru-MD"/>
        </w:rPr>
        <w:t xml:space="preserve"> исполнени</w:t>
      </w:r>
      <w:r w:rsidR="00DC3BF7" w:rsidRPr="003F362D">
        <w:rPr>
          <w:rFonts w:asciiTheme="majorHAnsi" w:eastAsia="Times New Roman" w:hAnsiTheme="majorHAnsi" w:cstheme="majorHAnsi"/>
          <w:sz w:val="24"/>
          <w:szCs w:val="24"/>
          <w:lang w:val="ru-MD"/>
        </w:rPr>
        <w:t>е</w:t>
      </w:r>
      <w:r w:rsidRPr="003F362D">
        <w:rPr>
          <w:rFonts w:asciiTheme="majorHAnsi" w:eastAsia="Times New Roman" w:hAnsiTheme="majorHAnsi" w:cstheme="majorHAnsi"/>
          <w:sz w:val="24"/>
          <w:szCs w:val="24"/>
          <w:lang w:val="ru-MD"/>
        </w:rPr>
        <w:t xml:space="preserve"> доходов и расходов </w:t>
      </w:r>
      <w:r w:rsidR="00DC3BF7" w:rsidRPr="003F362D">
        <w:rPr>
          <w:rFonts w:asciiTheme="majorHAnsi" w:eastAsia="Times New Roman" w:hAnsiTheme="majorHAnsi" w:cstheme="majorHAnsi"/>
          <w:sz w:val="24"/>
          <w:szCs w:val="24"/>
          <w:lang w:val="ru-MD"/>
        </w:rPr>
        <w:t>являю</w:t>
      </w:r>
      <w:r w:rsidRPr="003F362D">
        <w:rPr>
          <w:rFonts w:asciiTheme="majorHAnsi" w:eastAsia="Times New Roman" w:hAnsiTheme="majorHAnsi" w:cstheme="majorHAnsi"/>
          <w:sz w:val="24"/>
          <w:szCs w:val="24"/>
          <w:lang w:val="ru-MD"/>
        </w:rPr>
        <w:t>тся совокупн</w:t>
      </w:r>
      <w:r w:rsidR="00DC3BF7" w:rsidRPr="003F362D">
        <w:rPr>
          <w:rFonts w:asciiTheme="majorHAnsi" w:eastAsia="Times New Roman" w:hAnsiTheme="majorHAnsi" w:cstheme="majorHAnsi"/>
          <w:sz w:val="24"/>
          <w:szCs w:val="24"/>
          <w:lang w:val="ru-MD"/>
        </w:rPr>
        <w:t>ыми данными</w:t>
      </w:r>
      <w:r w:rsidRPr="003F362D">
        <w:rPr>
          <w:rFonts w:asciiTheme="majorHAnsi" w:eastAsia="Times New Roman" w:hAnsiTheme="majorHAnsi" w:cstheme="majorHAnsi"/>
          <w:sz w:val="24"/>
          <w:szCs w:val="24"/>
          <w:lang w:val="ru-MD"/>
        </w:rPr>
        <w:t xml:space="preserve"> из системы казначейского учета МФ, а остальные показатели включаются </w:t>
      </w:r>
      <w:r w:rsidR="003F362D" w:rsidRPr="003F362D">
        <w:rPr>
          <w:rFonts w:asciiTheme="majorHAnsi" w:eastAsia="Times New Roman" w:hAnsiTheme="majorHAnsi" w:cstheme="majorHAnsi"/>
          <w:sz w:val="24"/>
          <w:szCs w:val="24"/>
          <w:lang w:val="ru-MD"/>
        </w:rPr>
        <w:t>по</w:t>
      </w:r>
      <w:r w:rsidRPr="003F362D">
        <w:rPr>
          <w:rFonts w:asciiTheme="majorHAnsi" w:eastAsia="Times New Roman" w:hAnsiTheme="majorHAnsi" w:cstheme="majorHAnsi"/>
          <w:sz w:val="24"/>
          <w:szCs w:val="24"/>
          <w:lang w:val="ru-MD"/>
        </w:rPr>
        <w:t xml:space="preserve"> результат</w:t>
      </w:r>
      <w:r w:rsidR="003F362D" w:rsidRPr="003F362D">
        <w:rPr>
          <w:rFonts w:asciiTheme="majorHAnsi" w:eastAsia="Times New Roman" w:hAnsiTheme="majorHAnsi" w:cstheme="majorHAnsi"/>
          <w:sz w:val="24"/>
          <w:szCs w:val="24"/>
          <w:lang w:val="ru-MD"/>
        </w:rPr>
        <w:t>ам</w:t>
      </w:r>
      <w:r w:rsidRPr="003F362D">
        <w:rPr>
          <w:rFonts w:asciiTheme="majorHAnsi" w:eastAsia="Times New Roman" w:hAnsiTheme="majorHAnsi" w:cstheme="majorHAnsi"/>
          <w:sz w:val="24"/>
          <w:szCs w:val="24"/>
          <w:lang w:val="ru-MD"/>
        </w:rPr>
        <w:t xml:space="preserve"> консолид</w:t>
      </w:r>
      <w:r w:rsidR="003F362D" w:rsidRPr="003F362D">
        <w:rPr>
          <w:rFonts w:asciiTheme="majorHAnsi" w:eastAsia="Times New Roman" w:hAnsiTheme="majorHAnsi" w:cstheme="majorHAnsi"/>
          <w:sz w:val="24"/>
          <w:szCs w:val="24"/>
          <w:lang w:val="ru-MD"/>
        </w:rPr>
        <w:t>ирования</w:t>
      </w:r>
      <w:r w:rsidRPr="003F362D">
        <w:rPr>
          <w:rFonts w:asciiTheme="majorHAnsi" w:eastAsia="Times New Roman" w:hAnsiTheme="majorHAnsi" w:cstheme="majorHAnsi"/>
          <w:sz w:val="24"/>
          <w:szCs w:val="24"/>
          <w:lang w:val="ru-MD"/>
        </w:rPr>
        <w:t xml:space="preserve"> данных финансовых отчетов, представленных бюджетными органами/учреждениями, </w:t>
      </w:r>
      <w:r w:rsidR="003F362D" w:rsidRPr="003F362D">
        <w:rPr>
          <w:rFonts w:asciiTheme="majorHAnsi" w:eastAsia="Times New Roman" w:hAnsiTheme="majorHAnsi" w:cstheme="majorHAnsi"/>
          <w:sz w:val="24"/>
          <w:szCs w:val="24"/>
          <w:lang w:val="ru-MD"/>
        </w:rPr>
        <w:t xml:space="preserve">несущими </w:t>
      </w:r>
      <w:r w:rsidRPr="003F362D">
        <w:rPr>
          <w:rFonts w:asciiTheme="majorHAnsi" w:eastAsia="Times New Roman" w:hAnsiTheme="majorHAnsi" w:cstheme="majorHAnsi"/>
          <w:sz w:val="24"/>
          <w:szCs w:val="24"/>
          <w:lang w:val="ru-MD"/>
        </w:rPr>
        <w:t xml:space="preserve">ответственность за правильность и достоверность </w:t>
      </w:r>
      <w:r w:rsidR="003F362D">
        <w:rPr>
          <w:rFonts w:asciiTheme="majorHAnsi" w:eastAsia="Times New Roman" w:hAnsiTheme="majorHAnsi" w:cstheme="majorHAnsi"/>
          <w:sz w:val="24"/>
          <w:szCs w:val="24"/>
          <w:lang w:val="ru-MD"/>
        </w:rPr>
        <w:t xml:space="preserve">этих </w:t>
      </w:r>
      <w:r w:rsidRPr="003F362D">
        <w:rPr>
          <w:rFonts w:asciiTheme="majorHAnsi" w:eastAsia="Times New Roman" w:hAnsiTheme="majorHAnsi" w:cstheme="majorHAnsi"/>
          <w:sz w:val="24"/>
          <w:szCs w:val="24"/>
          <w:lang w:val="ru-MD"/>
        </w:rPr>
        <w:t>данных</w:t>
      </w:r>
      <w:r w:rsidR="0059639C" w:rsidRPr="00E4517B">
        <w:rPr>
          <w:rFonts w:asciiTheme="majorHAnsi" w:eastAsia="Times New Roman" w:hAnsiTheme="majorHAnsi" w:cstheme="majorHAnsi"/>
          <w:sz w:val="24"/>
          <w:szCs w:val="24"/>
          <w:lang w:val="ro-RO" w:eastAsia="ru-RU"/>
        </w:rPr>
        <w:t>.</w:t>
      </w:r>
    </w:p>
    <w:p w:rsidR="00ED1629" w:rsidRPr="00CD7B48" w:rsidRDefault="00B3261A" w:rsidP="00ED1629">
      <w:pPr>
        <w:shd w:val="clear" w:color="auto" w:fill="FFFFFF"/>
        <w:spacing w:after="0" w:line="276" w:lineRule="auto"/>
        <w:ind w:right="45"/>
        <w:rPr>
          <w:rFonts w:asciiTheme="majorHAnsi" w:hAnsiTheme="majorHAnsi" w:cstheme="majorHAnsi"/>
          <w:bCs/>
          <w:i/>
          <w:sz w:val="24"/>
          <w:szCs w:val="24"/>
          <w:lang w:val="ru-MD"/>
        </w:rPr>
      </w:pPr>
      <w:r w:rsidRPr="00CD7B48">
        <w:rPr>
          <w:rFonts w:asciiTheme="majorHAnsi" w:hAnsiTheme="majorHAnsi" w:cstheme="majorHAnsi"/>
          <w:sz w:val="24"/>
          <w:szCs w:val="24"/>
          <w:lang w:val="ru-MD"/>
        </w:rPr>
        <w:t xml:space="preserve">Аудит отмечает, что Управление Государственного </w:t>
      </w:r>
      <w:r w:rsidR="003F362D" w:rsidRPr="00CD7B48">
        <w:rPr>
          <w:rFonts w:asciiTheme="majorHAnsi" w:hAnsiTheme="majorHAnsi" w:cstheme="majorHAnsi"/>
          <w:sz w:val="24"/>
          <w:szCs w:val="24"/>
          <w:lang w:val="ru-MD"/>
        </w:rPr>
        <w:t>к</w:t>
      </w:r>
      <w:r w:rsidRPr="00CD7B48">
        <w:rPr>
          <w:rFonts w:asciiTheme="majorHAnsi" w:hAnsiTheme="majorHAnsi" w:cstheme="majorHAnsi"/>
          <w:sz w:val="24"/>
          <w:szCs w:val="24"/>
          <w:lang w:val="ru-MD"/>
        </w:rPr>
        <w:t>азначейства не составляет регистр</w:t>
      </w:r>
      <w:r w:rsidR="003F362D" w:rsidRPr="00CD7B48">
        <w:rPr>
          <w:rFonts w:asciiTheme="majorHAnsi" w:hAnsiTheme="majorHAnsi" w:cstheme="majorHAnsi"/>
          <w:sz w:val="24"/>
          <w:szCs w:val="24"/>
          <w:lang w:val="ru-MD"/>
        </w:rPr>
        <w:t>ы</w:t>
      </w:r>
      <w:r w:rsidRPr="00CD7B48">
        <w:rPr>
          <w:rFonts w:asciiTheme="majorHAnsi" w:hAnsiTheme="majorHAnsi" w:cstheme="majorHAnsi"/>
          <w:sz w:val="24"/>
          <w:szCs w:val="24"/>
          <w:lang w:val="ru-MD"/>
        </w:rPr>
        <w:t xml:space="preserve"> бухгалтерского учета кассового исполнения ГБ на обобщенном уровне. Каждое </w:t>
      </w:r>
      <w:r w:rsidR="003F362D" w:rsidRPr="00CD7B48">
        <w:rPr>
          <w:rFonts w:asciiTheme="majorHAnsi" w:hAnsiTheme="majorHAnsi" w:cstheme="majorHAnsi"/>
          <w:sz w:val="24"/>
          <w:szCs w:val="24"/>
          <w:lang w:val="ru-MD"/>
        </w:rPr>
        <w:t>Р</w:t>
      </w:r>
      <w:r w:rsidRPr="00CD7B48">
        <w:rPr>
          <w:rFonts w:asciiTheme="majorHAnsi" w:hAnsiTheme="majorHAnsi" w:cstheme="majorHAnsi"/>
          <w:sz w:val="24"/>
          <w:szCs w:val="24"/>
          <w:lang w:val="ru-MD"/>
        </w:rPr>
        <w:t xml:space="preserve">егиональное казначейство ведет </w:t>
      </w:r>
      <w:r w:rsidR="003F362D" w:rsidRPr="00CD7B48">
        <w:rPr>
          <w:rFonts w:asciiTheme="majorHAnsi" w:hAnsiTheme="majorHAnsi" w:cstheme="majorHAnsi"/>
          <w:sz w:val="24"/>
          <w:szCs w:val="24"/>
          <w:lang w:val="ru-MD"/>
        </w:rPr>
        <w:t xml:space="preserve">отдельно </w:t>
      </w:r>
      <w:r w:rsidRPr="00CD7B48">
        <w:rPr>
          <w:rFonts w:asciiTheme="majorHAnsi" w:hAnsiTheme="majorHAnsi" w:cstheme="majorHAnsi"/>
          <w:sz w:val="24"/>
          <w:szCs w:val="24"/>
          <w:lang w:val="ru-MD"/>
        </w:rPr>
        <w:t xml:space="preserve">бухгалтерский учет кассового исполнения </w:t>
      </w:r>
      <w:r w:rsidR="003F362D" w:rsidRPr="00CD7B48">
        <w:rPr>
          <w:rFonts w:asciiTheme="majorHAnsi" w:hAnsiTheme="majorHAnsi" w:cstheme="majorHAnsi"/>
          <w:sz w:val="24"/>
          <w:szCs w:val="24"/>
          <w:lang w:val="ru-MD"/>
        </w:rPr>
        <w:t>ГБ</w:t>
      </w:r>
      <w:r w:rsidRPr="00CD7B48">
        <w:rPr>
          <w:rFonts w:asciiTheme="majorHAnsi" w:hAnsiTheme="majorHAnsi" w:cstheme="majorHAnsi"/>
          <w:sz w:val="24"/>
          <w:szCs w:val="24"/>
          <w:lang w:val="ru-MD"/>
        </w:rPr>
        <w:t xml:space="preserve">, местных бюджетов </w:t>
      </w:r>
      <w:r w:rsidRPr="00CD7B48">
        <w:rPr>
          <w:rFonts w:asciiTheme="majorHAnsi" w:hAnsiTheme="majorHAnsi" w:cstheme="majorHAnsi"/>
          <w:sz w:val="24"/>
          <w:szCs w:val="24"/>
          <w:lang w:val="ru-MD"/>
        </w:rPr>
        <w:lastRenderedPageBreak/>
        <w:t xml:space="preserve">и внебюджетных средств, а </w:t>
      </w:r>
      <w:r w:rsidR="003F362D" w:rsidRPr="00CD7B48">
        <w:rPr>
          <w:rFonts w:asciiTheme="majorHAnsi" w:hAnsiTheme="majorHAnsi" w:cstheme="majorHAnsi"/>
          <w:sz w:val="24"/>
          <w:szCs w:val="24"/>
          <w:lang w:val="ru-MD"/>
        </w:rPr>
        <w:t>У</w:t>
      </w:r>
      <w:r w:rsidRPr="00CD7B48">
        <w:rPr>
          <w:rFonts w:asciiTheme="majorHAnsi" w:hAnsiTheme="majorHAnsi" w:cstheme="majorHAnsi"/>
          <w:sz w:val="24"/>
          <w:szCs w:val="24"/>
          <w:lang w:val="ru-MD"/>
        </w:rPr>
        <w:t xml:space="preserve">правление Государственного казначейства – для операций </w:t>
      </w:r>
      <w:r w:rsidR="003F362D" w:rsidRPr="00CD7B48">
        <w:rPr>
          <w:rFonts w:asciiTheme="majorHAnsi" w:hAnsiTheme="majorHAnsi" w:cstheme="majorHAnsi"/>
          <w:sz w:val="24"/>
          <w:szCs w:val="24"/>
          <w:lang w:val="ru-MD"/>
        </w:rPr>
        <w:t>по</w:t>
      </w:r>
      <w:r w:rsidRPr="00CD7B48">
        <w:rPr>
          <w:rFonts w:asciiTheme="majorHAnsi" w:hAnsiTheme="majorHAnsi" w:cstheme="majorHAnsi"/>
          <w:sz w:val="24"/>
          <w:szCs w:val="24"/>
          <w:lang w:val="ru-MD"/>
        </w:rPr>
        <w:t xml:space="preserve"> „</w:t>
      </w:r>
      <w:r w:rsidR="003F362D" w:rsidRPr="00CD7B48">
        <w:rPr>
          <w:rFonts w:asciiTheme="majorHAnsi" w:hAnsiTheme="majorHAnsi" w:cstheme="majorHAnsi"/>
          <w:sz w:val="24"/>
          <w:szCs w:val="24"/>
          <w:lang w:val="ru-MD"/>
        </w:rPr>
        <w:t>О</w:t>
      </w:r>
      <w:r w:rsidRPr="00CD7B48">
        <w:rPr>
          <w:rFonts w:asciiTheme="majorHAnsi" w:hAnsiTheme="majorHAnsi" w:cstheme="majorHAnsi"/>
          <w:sz w:val="24"/>
          <w:szCs w:val="24"/>
          <w:lang w:val="ru-MD"/>
        </w:rPr>
        <w:t>бщи</w:t>
      </w:r>
      <w:r w:rsidR="003F362D" w:rsidRPr="00CD7B48">
        <w:rPr>
          <w:rFonts w:asciiTheme="majorHAnsi" w:hAnsiTheme="majorHAnsi" w:cstheme="majorHAnsi"/>
          <w:sz w:val="24"/>
          <w:szCs w:val="24"/>
          <w:lang w:val="ru-MD"/>
        </w:rPr>
        <w:t>м</w:t>
      </w:r>
      <w:r w:rsidRPr="00CD7B48">
        <w:rPr>
          <w:rFonts w:asciiTheme="majorHAnsi" w:hAnsiTheme="majorHAnsi" w:cstheme="majorHAnsi"/>
          <w:sz w:val="24"/>
          <w:szCs w:val="24"/>
          <w:lang w:val="ru-MD"/>
        </w:rPr>
        <w:t xml:space="preserve"> </w:t>
      </w:r>
      <w:r w:rsidR="003F362D" w:rsidRPr="00CD7B48">
        <w:rPr>
          <w:rFonts w:asciiTheme="majorHAnsi" w:hAnsiTheme="majorHAnsi" w:cstheme="majorHAnsi"/>
          <w:sz w:val="24"/>
          <w:szCs w:val="24"/>
          <w:lang w:val="ru-MD"/>
        </w:rPr>
        <w:t>действ</w:t>
      </w:r>
      <w:r w:rsidRPr="00CD7B48">
        <w:rPr>
          <w:rFonts w:asciiTheme="majorHAnsi" w:hAnsiTheme="majorHAnsi" w:cstheme="majorHAnsi"/>
          <w:sz w:val="24"/>
          <w:szCs w:val="24"/>
          <w:lang w:val="ru-MD"/>
        </w:rPr>
        <w:t>и</w:t>
      </w:r>
      <w:r w:rsidR="003F362D" w:rsidRPr="00CD7B48">
        <w:rPr>
          <w:rFonts w:asciiTheme="majorHAnsi" w:hAnsiTheme="majorHAnsi" w:cstheme="majorHAnsi"/>
          <w:sz w:val="24"/>
          <w:szCs w:val="24"/>
          <w:lang w:val="ru-MD"/>
        </w:rPr>
        <w:t>ям</w:t>
      </w:r>
      <w:r w:rsidRPr="00CD7B48">
        <w:rPr>
          <w:rFonts w:asciiTheme="majorHAnsi" w:hAnsiTheme="majorHAnsi" w:cstheme="majorHAnsi"/>
          <w:sz w:val="24"/>
          <w:szCs w:val="24"/>
          <w:lang w:val="ru-MD"/>
        </w:rPr>
        <w:t xml:space="preserve">” и других централизованных операций. Таким образом, на основе данных бухгалтерского учета </w:t>
      </w:r>
      <w:r w:rsidR="003F362D" w:rsidRPr="00CD7B48">
        <w:rPr>
          <w:rFonts w:asciiTheme="majorHAnsi" w:hAnsiTheme="majorHAnsi" w:cstheme="majorHAnsi"/>
          <w:sz w:val="24"/>
          <w:szCs w:val="24"/>
          <w:lang w:val="ru-MD"/>
        </w:rPr>
        <w:t>по</w:t>
      </w:r>
      <w:r w:rsidRPr="00CD7B48">
        <w:rPr>
          <w:rFonts w:asciiTheme="majorHAnsi" w:hAnsiTheme="majorHAnsi" w:cstheme="majorHAnsi"/>
          <w:sz w:val="24"/>
          <w:szCs w:val="24"/>
          <w:lang w:val="ru-MD"/>
        </w:rPr>
        <w:t xml:space="preserve"> каждом</w:t>
      </w:r>
      <w:r w:rsidR="003F362D" w:rsidRPr="00CD7B48">
        <w:rPr>
          <w:rFonts w:asciiTheme="majorHAnsi" w:hAnsiTheme="majorHAnsi" w:cstheme="majorHAnsi"/>
          <w:sz w:val="24"/>
          <w:szCs w:val="24"/>
          <w:lang w:val="ru-MD"/>
        </w:rPr>
        <w:t>у</w:t>
      </w:r>
      <w:r w:rsidRPr="00CD7B48">
        <w:rPr>
          <w:rFonts w:asciiTheme="majorHAnsi" w:hAnsiTheme="majorHAnsi" w:cstheme="majorHAnsi"/>
          <w:sz w:val="24"/>
          <w:szCs w:val="24"/>
          <w:lang w:val="ru-MD"/>
        </w:rPr>
        <w:t xml:space="preserve"> банковском</w:t>
      </w:r>
      <w:r w:rsidR="003F362D" w:rsidRPr="00CD7B48">
        <w:rPr>
          <w:rFonts w:asciiTheme="majorHAnsi" w:hAnsiTheme="majorHAnsi" w:cstheme="majorHAnsi"/>
          <w:sz w:val="24"/>
          <w:szCs w:val="24"/>
          <w:lang w:val="ru-MD"/>
        </w:rPr>
        <w:t>у</w:t>
      </w:r>
      <w:r w:rsidRPr="00CD7B48">
        <w:rPr>
          <w:rFonts w:asciiTheme="majorHAnsi" w:hAnsiTheme="majorHAnsi" w:cstheme="majorHAnsi"/>
          <w:sz w:val="24"/>
          <w:szCs w:val="24"/>
          <w:lang w:val="ru-MD"/>
        </w:rPr>
        <w:t xml:space="preserve"> счет</w:t>
      </w:r>
      <w:r w:rsidR="003F362D" w:rsidRPr="00CD7B48">
        <w:rPr>
          <w:rFonts w:asciiTheme="majorHAnsi" w:hAnsiTheme="majorHAnsi" w:cstheme="majorHAnsi"/>
          <w:sz w:val="24"/>
          <w:szCs w:val="24"/>
          <w:lang w:val="ru-MD"/>
        </w:rPr>
        <w:t>у</w:t>
      </w:r>
      <w:r w:rsidRPr="00CD7B48">
        <w:rPr>
          <w:rFonts w:asciiTheme="majorHAnsi" w:hAnsiTheme="majorHAnsi" w:cstheme="majorHAnsi"/>
          <w:sz w:val="24"/>
          <w:szCs w:val="24"/>
          <w:lang w:val="ru-MD"/>
        </w:rPr>
        <w:t xml:space="preserve">, Управление Государственного казначейства и </w:t>
      </w:r>
      <w:r w:rsidR="003F362D" w:rsidRPr="00CD7B48">
        <w:rPr>
          <w:rFonts w:asciiTheme="majorHAnsi" w:hAnsiTheme="majorHAnsi" w:cstheme="majorHAnsi"/>
          <w:sz w:val="24"/>
          <w:szCs w:val="24"/>
          <w:lang w:val="ru-MD"/>
        </w:rPr>
        <w:t>Р</w:t>
      </w:r>
      <w:r w:rsidRPr="00CD7B48">
        <w:rPr>
          <w:rFonts w:asciiTheme="majorHAnsi" w:hAnsiTheme="majorHAnsi" w:cstheme="majorHAnsi"/>
          <w:sz w:val="24"/>
          <w:szCs w:val="24"/>
          <w:lang w:val="ru-MD"/>
        </w:rPr>
        <w:t xml:space="preserve">егиональные казначейства формируют отчеты об исполнении </w:t>
      </w:r>
      <w:r w:rsidR="003F362D" w:rsidRPr="00CD7B48">
        <w:rPr>
          <w:rFonts w:asciiTheme="majorHAnsi" w:hAnsiTheme="majorHAnsi" w:cstheme="majorHAnsi"/>
          <w:sz w:val="24"/>
          <w:szCs w:val="24"/>
          <w:lang w:val="ru-MD"/>
        </w:rPr>
        <w:t>ГБ</w:t>
      </w:r>
      <w:r w:rsidRPr="00CD7B48">
        <w:rPr>
          <w:rFonts w:asciiTheme="majorHAnsi" w:hAnsiTheme="majorHAnsi" w:cstheme="majorHAnsi"/>
          <w:sz w:val="24"/>
          <w:szCs w:val="24"/>
          <w:lang w:val="ru-MD"/>
        </w:rPr>
        <w:t xml:space="preserve"> и местных бюджетов: </w:t>
      </w:r>
      <w:r w:rsidR="00CD7B48" w:rsidRPr="00CD7B48">
        <w:rPr>
          <w:rFonts w:asciiTheme="majorHAnsi" w:hAnsiTheme="majorHAnsi" w:cstheme="majorHAnsi"/>
          <w:sz w:val="24"/>
          <w:szCs w:val="24"/>
          <w:lang w:val="ru-MD"/>
        </w:rPr>
        <w:t>О</w:t>
      </w:r>
      <w:r w:rsidRPr="00CD7B48">
        <w:rPr>
          <w:rFonts w:asciiTheme="majorHAnsi" w:hAnsiTheme="majorHAnsi" w:cstheme="majorHAnsi"/>
          <w:sz w:val="24"/>
          <w:szCs w:val="24"/>
          <w:lang w:val="ru-MD"/>
        </w:rPr>
        <w:t xml:space="preserve">тчет об исполнении </w:t>
      </w:r>
      <w:r w:rsidR="00CD7B48" w:rsidRPr="00CD7B48">
        <w:rPr>
          <w:rFonts w:asciiTheme="majorHAnsi" w:hAnsiTheme="majorHAnsi" w:cstheme="majorHAnsi"/>
          <w:sz w:val="24"/>
          <w:szCs w:val="24"/>
          <w:lang w:val="ru-MD"/>
        </w:rPr>
        <w:t>ГБ</w:t>
      </w:r>
      <w:r w:rsidRPr="00CD7B48">
        <w:rPr>
          <w:rFonts w:asciiTheme="majorHAnsi" w:hAnsiTheme="majorHAnsi" w:cstheme="majorHAnsi"/>
          <w:sz w:val="24"/>
          <w:szCs w:val="24"/>
          <w:lang w:val="ru-MD"/>
        </w:rPr>
        <w:t xml:space="preserve"> </w:t>
      </w:r>
      <w:r w:rsidR="00CD7B48" w:rsidRPr="00CD7B48">
        <w:rPr>
          <w:rFonts w:asciiTheme="majorHAnsi" w:hAnsiTheme="majorHAnsi" w:cstheme="majorHAnsi"/>
          <w:sz w:val="24"/>
          <w:szCs w:val="24"/>
          <w:lang w:val="ru-MD"/>
        </w:rPr>
        <w:t>согласно</w:t>
      </w:r>
      <w:r w:rsidRPr="00CD7B48">
        <w:rPr>
          <w:rFonts w:asciiTheme="majorHAnsi" w:hAnsiTheme="majorHAnsi" w:cstheme="majorHAnsi"/>
          <w:sz w:val="24"/>
          <w:szCs w:val="24"/>
          <w:lang w:val="ru-MD"/>
        </w:rPr>
        <w:t xml:space="preserve"> экономической классификаци</w:t>
      </w:r>
      <w:r w:rsidR="00CD7B48" w:rsidRPr="00CD7B48">
        <w:rPr>
          <w:rFonts w:asciiTheme="majorHAnsi" w:hAnsiTheme="majorHAnsi" w:cstheme="majorHAnsi"/>
          <w:sz w:val="24"/>
          <w:szCs w:val="24"/>
          <w:lang w:val="ru-MD"/>
        </w:rPr>
        <w:t>и</w:t>
      </w:r>
      <w:r w:rsidRPr="00CD7B48">
        <w:rPr>
          <w:rFonts w:asciiTheme="majorHAnsi" w:hAnsiTheme="majorHAnsi" w:cstheme="majorHAnsi"/>
          <w:sz w:val="24"/>
          <w:szCs w:val="24"/>
          <w:lang w:val="ru-MD"/>
        </w:rPr>
        <w:t xml:space="preserve"> (форма FE-009), </w:t>
      </w:r>
      <w:r w:rsidR="00CD7B48" w:rsidRPr="00CD7B48">
        <w:rPr>
          <w:rFonts w:asciiTheme="majorHAnsi" w:hAnsiTheme="majorHAnsi" w:cstheme="majorHAnsi"/>
          <w:sz w:val="24"/>
          <w:szCs w:val="24"/>
          <w:lang w:val="ru-MD"/>
        </w:rPr>
        <w:t>К</w:t>
      </w:r>
      <w:r w:rsidRPr="00CD7B48">
        <w:rPr>
          <w:rFonts w:asciiTheme="majorHAnsi" w:hAnsiTheme="majorHAnsi" w:cstheme="majorHAnsi"/>
          <w:sz w:val="24"/>
          <w:szCs w:val="24"/>
          <w:lang w:val="ru-MD"/>
        </w:rPr>
        <w:t xml:space="preserve">онтрольный баланс и </w:t>
      </w:r>
      <w:r w:rsidR="00CD7B48" w:rsidRPr="00CD7B48">
        <w:rPr>
          <w:rFonts w:asciiTheme="majorHAnsi" w:hAnsiTheme="majorHAnsi" w:cstheme="majorHAnsi"/>
          <w:sz w:val="24"/>
          <w:szCs w:val="24"/>
          <w:lang w:val="ru-MD"/>
        </w:rPr>
        <w:t>Б</w:t>
      </w:r>
      <w:r w:rsidRPr="00CD7B48">
        <w:rPr>
          <w:rFonts w:asciiTheme="majorHAnsi" w:hAnsiTheme="majorHAnsi" w:cstheme="majorHAnsi"/>
          <w:sz w:val="24"/>
          <w:szCs w:val="24"/>
          <w:lang w:val="ru-MD"/>
        </w:rPr>
        <w:t xml:space="preserve">ухгалтерский баланс (форма FE-022) </w:t>
      </w:r>
      <w:r w:rsidR="00CD7B48" w:rsidRPr="00CD7B48">
        <w:rPr>
          <w:rFonts w:asciiTheme="majorHAnsi" w:hAnsiTheme="majorHAnsi" w:cstheme="majorHAnsi"/>
          <w:sz w:val="24"/>
          <w:szCs w:val="24"/>
          <w:lang w:val="ru-MD"/>
        </w:rPr>
        <w:t>по</w:t>
      </w:r>
      <w:r w:rsidRPr="00CD7B48">
        <w:rPr>
          <w:rFonts w:asciiTheme="majorHAnsi" w:hAnsiTheme="majorHAnsi" w:cstheme="majorHAnsi"/>
          <w:sz w:val="24"/>
          <w:szCs w:val="24"/>
          <w:lang w:val="ru-MD"/>
        </w:rPr>
        <w:t xml:space="preserve"> каждом</w:t>
      </w:r>
      <w:r w:rsidR="00CD7B48" w:rsidRPr="00CD7B48">
        <w:rPr>
          <w:rFonts w:asciiTheme="majorHAnsi" w:hAnsiTheme="majorHAnsi" w:cstheme="majorHAnsi"/>
          <w:sz w:val="24"/>
          <w:szCs w:val="24"/>
          <w:lang w:val="ru-MD"/>
        </w:rPr>
        <w:t>у</w:t>
      </w:r>
      <w:r w:rsidRPr="00CD7B48">
        <w:rPr>
          <w:rFonts w:asciiTheme="majorHAnsi" w:hAnsiTheme="majorHAnsi" w:cstheme="majorHAnsi"/>
          <w:sz w:val="24"/>
          <w:szCs w:val="24"/>
          <w:lang w:val="ru-MD"/>
        </w:rPr>
        <w:t xml:space="preserve"> отдельном</w:t>
      </w:r>
      <w:r w:rsidR="00CD7B48" w:rsidRPr="00CD7B48">
        <w:rPr>
          <w:rFonts w:asciiTheme="majorHAnsi" w:hAnsiTheme="majorHAnsi" w:cstheme="majorHAnsi"/>
          <w:sz w:val="24"/>
          <w:szCs w:val="24"/>
          <w:lang w:val="ru-MD"/>
        </w:rPr>
        <w:t>у</w:t>
      </w:r>
      <w:r w:rsidRPr="00CD7B48">
        <w:rPr>
          <w:rFonts w:asciiTheme="majorHAnsi" w:hAnsiTheme="majorHAnsi" w:cstheme="majorHAnsi"/>
          <w:sz w:val="24"/>
          <w:szCs w:val="24"/>
          <w:lang w:val="ru-MD"/>
        </w:rPr>
        <w:t xml:space="preserve"> район</w:t>
      </w:r>
      <w:r w:rsidR="00CD7B48" w:rsidRPr="00CD7B48">
        <w:rPr>
          <w:rFonts w:asciiTheme="majorHAnsi" w:hAnsiTheme="majorHAnsi" w:cstheme="majorHAnsi"/>
          <w:sz w:val="24"/>
          <w:szCs w:val="24"/>
          <w:lang w:val="ru-MD"/>
        </w:rPr>
        <w:t>у</w:t>
      </w:r>
      <w:r w:rsidRPr="00CD7B48">
        <w:rPr>
          <w:rFonts w:asciiTheme="majorHAnsi" w:hAnsiTheme="majorHAnsi" w:cstheme="majorHAnsi"/>
          <w:sz w:val="24"/>
          <w:szCs w:val="24"/>
          <w:lang w:val="ru-MD"/>
        </w:rPr>
        <w:t>, на основании котор</w:t>
      </w:r>
      <w:r w:rsidR="00CD7B48" w:rsidRPr="00CD7B48">
        <w:rPr>
          <w:rFonts w:asciiTheme="majorHAnsi" w:hAnsiTheme="majorHAnsi" w:cstheme="majorHAnsi"/>
          <w:sz w:val="24"/>
          <w:szCs w:val="24"/>
          <w:lang w:val="ru-MD"/>
        </w:rPr>
        <w:t xml:space="preserve">ых </w:t>
      </w:r>
      <w:r w:rsidRPr="00CD7B48">
        <w:rPr>
          <w:rFonts w:asciiTheme="majorHAnsi" w:hAnsiTheme="majorHAnsi" w:cstheme="majorHAnsi"/>
          <w:sz w:val="24"/>
          <w:szCs w:val="24"/>
          <w:lang w:val="ru-MD"/>
        </w:rPr>
        <w:t xml:space="preserve">консолидируется </w:t>
      </w:r>
      <w:r w:rsidR="00CD7B48" w:rsidRPr="00CD7B48">
        <w:rPr>
          <w:rFonts w:asciiTheme="majorHAnsi" w:hAnsiTheme="majorHAnsi" w:cstheme="majorHAnsi"/>
          <w:i/>
          <w:sz w:val="24"/>
          <w:szCs w:val="24"/>
          <w:lang w:val="ru-MD"/>
        </w:rPr>
        <w:t>О</w:t>
      </w:r>
      <w:r w:rsidR="004A784D">
        <w:rPr>
          <w:rFonts w:asciiTheme="majorHAnsi" w:hAnsiTheme="majorHAnsi" w:cstheme="majorHAnsi"/>
          <w:i/>
          <w:sz w:val="24"/>
          <w:szCs w:val="24"/>
          <w:lang w:val="ru-MD"/>
        </w:rPr>
        <w:t>тчет П</w:t>
      </w:r>
      <w:r w:rsidRPr="00CD7B48">
        <w:rPr>
          <w:rFonts w:asciiTheme="majorHAnsi" w:hAnsiTheme="majorHAnsi" w:cstheme="majorHAnsi"/>
          <w:i/>
          <w:sz w:val="24"/>
          <w:szCs w:val="24"/>
          <w:lang w:val="ru-MD"/>
        </w:rPr>
        <w:t>равительства об исполнении государственного бюджета</w:t>
      </w:r>
      <w:r w:rsidRPr="00CD7B48">
        <w:rPr>
          <w:rFonts w:asciiTheme="majorHAnsi" w:hAnsiTheme="majorHAnsi" w:cstheme="majorHAnsi"/>
          <w:sz w:val="24"/>
          <w:szCs w:val="24"/>
          <w:lang w:val="ru-MD"/>
        </w:rPr>
        <w:t xml:space="preserve">. Управление Государственного казначейства проверяет и генерирует отчеты </w:t>
      </w:r>
      <w:r w:rsidR="00CD7B48" w:rsidRPr="00CD7B48">
        <w:rPr>
          <w:rFonts w:asciiTheme="majorHAnsi" w:hAnsiTheme="majorHAnsi" w:cstheme="majorHAnsi"/>
          <w:sz w:val="24"/>
          <w:szCs w:val="24"/>
          <w:lang w:val="ru-MD"/>
        </w:rPr>
        <w:t>Р</w:t>
      </w:r>
      <w:r w:rsidRPr="00CD7B48">
        <w:rPr>
          <w:rFonts w:asciiTheme="majorHAnsi" w:hAnsiTheme="majorHAnsi" w:cstheme="majorHAnsi"/>
          <w:sz w:val="24"/>
          <w:szCs w:val="24"/>
          <w:lang w:val="ru-MD"/>
        </w:rPr>
        <w:t>егиональных казначейств через информационную систему</w:t>
      </w:r>
      <w:r w:rsidR="00ED1629" w:rsidRPr="00CD7B48">
        <w:rPr>
          <w:rFonts w:asciiTheme="majorHAnsi" w:hAnsiTheme="majorHAnsi" w:cstheme="majorHAnsi"/>
          <w:sz w:val="24"/>
          <w:szCs w:val="24"/>
          <w:lang w:val="ru-MD"/>
        </w:rPr>
        <w:t>.</w:t>
      </w:r>
    </w:p>
    <w:p w:rsidR="00ED1629" w:rsidRPr="007F49C5" w:rsidRDefault="00CD7B48" w:rsidP="00ED1629">
      <w:pPr>
        <w:shd w:val="clear" w:color="auto" w:fill="FFFFFF"/>
        <w:spacing w:after="0" w:line="276" w:lineRule="auto"/>
        <w:ind w:right="45"/>
        <w:rPr>
          <w:rFonts w:asciiTheme="majorHAnsi" w:hAnsiTheme="majorHAnsi" w:cstheme="majorHAnsi"/>
          <w:sz w:val="24"/>
          <w:szCs w:val="24"/>
          <w:lang w:val="ru-MD"/>
        </w:rPr>
      </w:pPr>
      <w:r w:rsidRPr="007F49C5">
        <w:rPr>
          <w:rFonts w:asciiTheme="majorHAnsi" w:eastAsia="Times New Roman" w:hAnsiTheme="majorHAnsi" w:cstheme="majorHAnsi"/>
          <w:iCs/>
          <w:sz w:val="24"/>
          <w:szCs w:val="24"/>
          <w:lang w:val="ru-MD"/>
        </w:rPr>
        <w:t>Аудиторские проверки в отношении</w:t>
      </w:r>
      <w:r w:rsidR="00B3261A" w:rsidRPr="007F49C5">
        <w:rPr>
          <w:rFonts w:asciiTheme="majorHAnsi" w:eastAsia="Times New Roman" w:hAnsiTheme="majorHAnsi" w:cstheme="majorHAnsi"/>
          <w:iCs/>
          <w:sz w:val="24"/>
          <w:szCs w:val="24"/>
          <w:lang w:val="ru-MD"/>
        </w:rPr>
        <w:t xml:space="preserve"> бухгалтерских документов, представленных Управлением Государственного казначейства и </w:t>
      </w:r>
      <w:r w:rsidR="00C90946" w:rsidRPr="007F49C5">
        <w:rPr>
          <w:rFonts w:asciiTheme="majorHAnsi" w:eastAsia="Times New Roman" w:hAnsiTheme="majorHAnsi" w:cstheme="majorHAnsi"/>
          <w:iCs/>
          <w:sz w:val="24"/>
          <w:szCs w:val="24"/>
          <w:lang w:val="ru-MD"/>
        </w:rPr>
        <w:t>Р</w:t>
      </w:r>
      <w:r w:rsidR="00B3261A" w:rsidRPr="007F49C5">
        <w:rPr>
          <w:rFonts w:asciiTheme="majorHAnsi" w:eastAsia="Times New Roman" w:hAnsiTheme="majorHAnsi" w:cstheme="majorHAnsi"/>
          <w:iCs/>
          <w:sz w:val="24"/>
          <w:szCs w:val="24"/>
          <w:lang w:val="ru-MD"/>
        </w:rPr>
        <w:t>егиональн</w:t>
      </w:r>
      <w:r w:rsidR="00C90946" w:rsidRPr="007F49C5">
        <w:rPr>
          <w:rFonts w:asciiTheme="majorHAnsi" w:eastAsia="Times New Roman" w:hAnsiTheme="majorHAnsi" w:cstheme="majorHAnsi"/>
          <w:iCs/>
          <w:sz w:val="24"/>
          <w:szCs w:val="24"/>
          <w:lang w:val="ru-MD"/>
        </w:rPr>
        <w:t>ым</w:t>
      </w:r>
      <w:r w:rsidR="00B3261A" w:rsidRPr="007F49C5">
        <w:rPr>
          <w:rFonts w:asciiTheme="majorHAnsi" w:eastAsia="Times New Roman" w:hAnsiTheme="majorHAnsi" w:cstheme="majorHAnsi"/>
          <w:iCs/>
          <w:sz w:val="24"/>
          <w:szCs w:val="24"/>
          <w:lang w:val="ru-MD"/>
        </w:rPr>
        <w:t xml:space="preserve"> казначейств</w:t>
      </w:r>
      <w:r w:rsidR="00C90946" w:rsidRPr="007F49C5">
        <w:rPr>
          <w:rFonts w:asciiTheme="majorHAnsi" w:eastAsia="Times New Roman" w:hAnsiTheme="majorHAnsi" w:cstheme="majorHAnsi"/>
          <w:iCs/>
          <w:sz w:val="24"/>
          <w:szCs w:val="24"/>
          <w:lang w:val="ru-MD"/>
        </w:rPr>
        <w:t>ом</w:t>
      </w:r>
      <w:r w:rsidR="00B3261A" w:rsidRPr="007F49C5">
        <w:rPr>
          <w:rFonts w:asciiTheme="majorHAnsi" w:eastAsia="Times New Roman" w:hAnsiTheme="majorHAnsi" w:cstheme="majorHAnsi"/>
          <w:iCs/>
          <w:sz w:val="24"/>
          <w:szCs w:val="24"/>
          <w:lang w:val="ru-MD"/>
        </w:rPr>
        <w:t xml:space="preserve"> Кишинэу-</w:t>
      </w:r>
      <w:r w:rsidR="00C90946" w:rsidRPr="007F49C5">
        <w:rPr>
          <w:rFonts w:asciiTheme="majorHAnsi" w:eastAsia="Times New Roman" w:hAnsiTheme="majorHAnsi" w:cstheme="majorHAnsi"/>
          <w:iCs/>
          <w:sz w:val="24"/>
          <w:szCs w:val="24"/>
          <w:lang w:val="ru-MD"/>
        </w:rPr>
        <w:t>ГБ</w:t>
      </w:r>
      <w:r w:rsidR="00B3261A" w:rsidRPr="007F49C5">
        <w:rPr>
          <w:rFonts w:asciiTheme="majorHAnsi" w:eastAsia="Times New Roman" w:hAnsiTheme="majorHAnsi" w:cstheme="majorHAnsi"/>
          <w:iCs/>
          <w:sz w:val="24"/>
          <w:szCs w:val="24"/>
          <w:lang w:val="ru-MD"/>
        </w:rPr>
        <w:t xml:space="preserve">, </w:t>
      </w:r>
      <w:r w:rsidR="00C90946" w:rsidRPr="007F49C5">
        <w:rPr>
          <w:rFonts w:asciiTheme="majorHAnsi" w:eastAsia="Times New Roman" w:hAnsiTheme="majorHAnsi" w:cstheme="majorHAnsi"/>
          <w:iCs/>
          <w:sz w:val="24"/>
          <w:szCs w:val="24"/>
          <w:lang w:val="ru-MD"/>
        </w:rPr>
        <w:t>установи</w:t>
      </w:r>
      <w:r w:rsidR="00B3261A" w:rsidRPr="007F49C5">
        <w:rPr>
          <w:rFonts w:asciiTheme="majorHAnsi" w:eastAsia="Times New Roman" w:hAnsiTheme="majorHAnsi" w:cstheme="majorHAnsi"/>
          <w:iCs/>
          <w:sz w:val="24"/>
          <w:szCs w:val="24"/>
          <w:lang w:val="ru-MD"/>
        </w:rPr>
        <w:t>ли, что</w:t>
      </w:r>
      <w:r w:rsidR="00ED1629" w:rsidRPr="007F49C5">
        <w:rPr>
          <w:rFonts w:asciiTheme="majorHAnsi" w:eastAsia="Times New Roman" w:hAnsiTheme="majorHAnsi" w:cstheme="majorHAnsi"/>
          <w:iCs/>
          <w:sz w:val="24"/>
          <w:szCs w:val="24"/>
          <w:lang w:val="ru-MD"/>
        </w:rPr>
        <w:t>:</w:t>
      </w:r>
    </w:p>
    <w:p w:rsidR="00ED1629" w:rsidRPr="007F49C5" w:rsidRDefault="00B3261A" w:rsidP="00B3261A">
      <w:pPr>
        <w:pStyle w:val="ListParagraph"/>
        <w:numPr>
          <w:ilvl w:val="0"/>
          <w:numId w:val="15"/>
        </w:numPr>
        <w:tabs>
          <w:tab w:val="left" w:pos="142"/>
        </w:tabs>
        <w:spacing w:after="0" w:line="276" w:lineRule="auto"/>
        <w:ind w:left="0" w:firstLine="0"/>
        <w:rPr>
          <w:rFonts w:asciiTheme="majorHAnsi" w:eastAsia="Times New Roman" w:hAnsiTheme="majorHAnsi" w:cstheme="majorHAnsi"/>
          <w:iCs/>
          <w:sz w:val="24"/>
          <w:szCs w:val="24"/>
          <w:lang w:val="ru-MD"/>
        </w:rPr>
      </w:pPr>
      <w:r w:rsidRPr="007F49C5">
        <w:rPr>
          <w:rFonts w:asciiTheme="majorHAnsi" w:eastAsia="Times New Roman" w:hAnsiTheme="majorHAnsi" w:cstheme="majorHAnsi"/>
          <w:iCs/>
          <w:sz w:val="24"/>
          <w:szCs w:val="24"/>
          <w:lang w:val="ru-MD"/>
        </w:rPr>
        <w:t>Региональное казначейство Кишинэу-</w:t>
      </w:r>
      <w:r w:rsidR="00C90946" w:rsidRPr="007F49C5">
        <w:rPr>
          <w:rFonts w:asciiTheme="majorHAnsi" w:eastAsia="Times New Roman" w:hAnsiTheme="majorHAnsi" w:cstheme="majorHAnsi"/>
          <w:iCs/>
          <w:sz w:val="24"/>
          <w:szCs w:val="24"/>
          <w:lang w:val="ru-MD"/>
        </w:rPr>
        <w:t>ГБ</w:t>
      </w:r>
      <w:r w:rsidRPr="007F49C5">
        <w:rPr>
          <w:rFonts w:asciiTheme="majorHAnsi" w:eastAsia="Times New Roman" w:hAnsiTheme="majorHAnsi" w:cstheme="majorHAnsi"/>
          <w:iCs/>
          <w:sz w:val="24"/>
          <w:szCs w:val="24"/>
          <w:lang w:val="ru-MD"/>
        </w:rPr>
        <w:t xml:space="preserve"> не составило в соответствии с нормативной базой</w:t>
      </w:r>
      <w:r w:rsidR="00C90946" w:rsidRPr="007F49C5">
        <w:rPr>
          <w:rStyle w:val="FootnoteReference"/>
          <w:rFonts w:asciiTheme="majorHAnsi" w:eastAsia="Times New Roman" w:hAnsiTheme="majorHAnsi" w:cstheme="majorHAnsi"/>
          <w:iCs/>
          <w:sz w:val="24"/>
          <w:szCs w:val="24"/>
          <w:lang w:val="ru-MD"/>
        </w:rPr>
        <w:footnoteReference w:id="35"/>
      </w:r>
      <w:r w:rsidRPr="007F49C5">
        <w:rPr>
          <w:rFonts w:asciiTheme="majorHAnsi" w:eastAsia="Times New Roman" w:hAnsiTheme="majorHAnsi" w:cstheme="majorHAnsi"/>
          <w:iCs/>
          <w:sz w:val="24"/>
          <w:szCs w:val="24"/>
          <w:lang w:val="ru-MD"/>
        </w:rPr>
        <w:t xml:space="preserve"> </w:t>
      </w:r>
      <w:r w:rsidR="00EF12B1" w:rsidRPr="007F49C5">
        <w:rPr>
          <w:rFonts w:asciiTheme="majorHAnsi" w:eastAsia="Times New Roman" w:hAnsiTheme="majorHAnsi" w:cstheme="majorHAnsi"/>
          <w:iCs/>
          <w:sz w:val="24"/>
          <w:szCs w:val="24"/>
          <w:lang w:val="ru-MD"/>
        </w:rPr>
        <w:t>Б</w:t>
      </w:r>
      <w:r w:rsidRPr="007F49C5">
        <w:rPr>
          <w:rFonts w:asciiTheme="majorHAnsi" w:eastAsia="Times New Roman" w:hAnsiTheme="majorHAnsi" w:cstheme="majorHAnsi"/>
          <w:iCs/>
          <w:sz w:val="24"/>
          <w:szCs w:val="24"/>
          <w:lang w:val="ru-MD"/>
        </w:rPr>
        <w:t xml:space="preserve">ухгалтерский баланс (форма FE-022), руководствуясь форматом баланса </w:t>
      </w:r>
      <w:r w:rsidR="00EF12B1" w:rsidRPr="007F49C5">
        <w:rPr>
          <w:rFonts w:asciiTheme="majorHAnsi" w:eastAsia="Times New Roman" w:hAnsiTheme="majorHAnsi" w:cstheme="majorHAnsi"/>
          <w:iCs/>
          <w:sz w:val="24"/>
          <w:szCs w:val="24"/>
          <w:lang w:val="ru-MD"/>
        </w:rPr>
        <w:t>для</w:t>
      </w:r>
      <w:r w:rsidRPr="007F49C5">
        <w:rPr>
          <w:rFonts w:asciiTheme="majorHAnsi" w:eastAsia="Times New Roman" w:hAnsiTheme="majorHAnsi" w:cstheme="majorHAnsi"/>
          <w:iCs/>
          <w:sz w:val="24"/>
          <w:szCs w:val="24"/>
          <w:lang w:val="ru-MD"/>
        </w:rPr>
        <w:t xml:space="preserve"> бюджетных учреждени</w:t>
      </w:r>
      <w:r w:rsidR="00EF12B1" w:rsidRPr="007F49C5">
        <w:rPr>
          <w:rFonts w:asciiTheme="majorHAnsi" w:eastAsia="Times New Roman" w:hAnsiTheme="majorHAnsi" w:cstheme="majorHAnsi"/>
          <w:iCs/>
          <w:sz w:val="24"/>
          <w:szCs w:val="24"/>
          <w:lang w:val="ru-MD"/>
        </w:rPr>
        <w:t>й</w:t>
      </w:r>
      <w:r w:rsidR="004C0D2D" w:rsidRPr="007F49C5">
        <w:rPr>
          <w:rFonts w:asciiTheme="majorHAnsi" w:eastAsia="Times New Roman" w:hAnsiTheme="majorHAnsi" w:cstheme="majorHAnsi"/>
          <w:iCs/>
          <w:sz w:val="24"/>
          <w:szCs w:val="24"/>
          <w:lang w:val="ru-MD"/>
        </w:rPr>
        <w:t>;</w:t>
      </w:r>
    </w:p>
    <w:p w:rsidR="00ED1629" w:rsidRPr="007F49C5" w:rsidRDefault="00B3261A" w:rsidP="00B3261A">
      <w:pPr>
        <w:pStyle w:val="ListParagraph"/>
        <w:numPr>
          <w:ilvl w:val="0"/>
          <w:numId w:val="15"/>
        </w:numPr>
        <w:tabs>
          <w:tab w:val="left" w:pos="142"/>
        </w:tabs>
        <w:spacing w:after="0" w:line="276" w:lineRule="auto"/>
        <w:ind w:left="0" w:firstLine="0"/>
        <w:rPr>
          <w:rFonts w:asciiTheme="majorHAnsi" w:eastAsia="Times New Roman" w:hAnsiTheme="majorHAnsi" w:cstheme="majorHAnsi"/>
          <w:iCs/>
          <w:sz w:val="24"/>
          <w:szCs w:val="24"/>
          <w:lang w:val="ru-MD"/>
        </w:rPr>
      </w:pPr>
      <w:r w:rsidRPr="007F49C5">
        <w:rPr>
          <w:rFonts w:asciiTheme="majorHAnsi" w:eastAsia="Times New Roman" w:hAnsiTheme="majorHAnsi" w:cstheme="majorHAnsi"/>
          <w:iCs/>
          <w:sz w:val="24"/>
          <w:szCs w:val="24"/>
          <w:lang w:val="ru-MD"/>
        </w:rPr>
        <w:t xml:space="preserve">казначейства не составляли </w:t>
      </w:r>
      <w:proofErr w:type="gramStart"/>
      <w:r w:rsidR="00EF12B1" w:rsidRPr="007F49C5">
        <w:rPr>
          <w:rFonts w:asciiTheme="majorHAnsi" w:eastAsia="Times New Roman" w:hAnsiTheme="majorHAnsi" w:cstheme="majorHAnsi"/>
          <w:iCs/>
          <w:sz w:val="24"/>
          <w:szCs w:val="24"/>
          <w:lang w:val="ru-MD"/>
        </w:rPr>
        <w:t>Р</w:t>
      </w:r>
      <w:r w:rsidRPr="007F49C5">
        <w:rPr>
          <w:rFonts w:asciiTheme="majorHAnsi" w:eastAsia="Times New Roman" w:hAnsiTheme="majorHAnsi" w:cstheme="majorHAnsi"/>
          <w:iCs/>
          <w:sz w:val="24"/>
          <w:szCs w:val="24"/>
          <w:lang w:val="ru-MD"/>
        </w:rPr>
        <w:t>е</w:t>
      </w:r>
      <w:r w:rsidR="007F49C5" w:rsidRPr="007F49C5">
        <w:rPr>
          <w:rFonts w:asciiTheme="majorHAnsi" w:eastAsia="Times New Roman" w:hAnsiTheme="majorHAnsi" w:cstheme="majorHAnsi"/>
          <w:iCs/>
          <w:sz w:val="24"/>
          <w:szCs w:val="24"/>
          <w:lang w:val="ru-MD"/>
        </w:rPr>
        <w:t>ги</w:t>
      </w:r>
      <w:r w:rsidRPr="007F49C5">
        <w:rPr>
          <w:rFonts w:asciiTheme="majorHAnsi" w:eastAsia="Times New Roman" w:hAnsiTheme="majorHAnsi" w:cstheme="majorHAnsi"/>
          <w:iCs/>
          <w:sz w:val="24"/>
          <w:szCs w:val="24"/>
          <w:lang w:val="ru-MD"/>
        </w:rPr>
        <w:t>стры аналитического учета</w:t>
      </w:r>
      <w:proofErr w:type="gramEnd"/>
      <w:r w:rsidRPr="007F49C5">
        <w:rPr>
          <w:rFonts w:asciiTheme="majorHAnsi" w:eastAsia="Times New Roman" w:hAnsiTheme="majorHAnsi" w:cstheme="majorHAnsi"/>
          <w:iCs/>
          <w:sz w:val="24"/>
          <w:szCs w:val="24"/>
          <w:lang w:val="ru-MD"/>
        </w:rPr>
        <w:t xml:space="preserve"> и </w:t>
      </w:r>
      <w:r w:rsidR="007F49C5" w:rsidRPr="007F49C5">
        <w:rPr>
          <w:rFonts w:asciiTheme="majorHAnsi" w:eastAsia="Times New Roman" w:hAnsiTheme="majorHAnsi" w:cstheme="majorHAnsi"/>
          <w:iCs/>
          <w:sz w:val="24"/>
          <w:szCs w:val="24"/>
          <w:lang w:val="ru-MD"/>
        </w:rPr>
        <w:t xml:space="preserve">они </w:t>
      </w:r>
      <w:r w:rsidRPr="007F49C5">
        <w:rPr>
          <w:rFonts w:asciiTheme="majorHAnsi" w:eastAsia="Times New Roman" w:hAnsiTheme="majorHAnsi" w:cstheme="majorHAnsi"/>
          <w:iCs/>
          <w:sz w:val="24"/>
          <w:szCs w:val="24"/>
          <w:lang w:val="ru-MD"/>
        </w:rPr>
        <w:t xml:space="preserve">не были </w:t>
      </w:r>
      <w:r w:rsidR="00EF12B1" w:rsidRPr="007F49C5">
        <w:rPr>
          <w:rFonts w:asciiTheme="majorHAnsi" w:eastAsia="Times New Roman" w:hAnsiTheme="majorHAnsi" w:cstheme="majorHAnsi"/>
          <w:iCs/>
          <w:sz w:val="24"/>
          <w:szCs w:val="24"/>
          <w:lang w:val="ru-MD"/>
        </w:rPr>
        <w:t>с</w:t>
      </w:r>
      <w:r w:rsidRPr="007F49C5">
        <w:rPr>
          <w:rFonts w:asciiTheme="majorHAnsi" w:eastAsia="Times New Roman" w:hAnsiTheme="majorHAnsi" w:cstheme="majorHAnsi"/>
          <w:iCs/>
          <w:sz w:val="24"/>
          <w:szCs w:val="24"/>
          <w:lang w:val="ru-MD"/>
        </w:rPr>
        <w:t>брош</w:t>
      </w:r>
      <w:r w:rsidR="00EF12B1" w:rsidRPr="007F49C5">
        <w:rPr>
          <w:rFonts w:asciiTheme="majorHAnsi" w:eastAsia="Times New Roman" w:hAnsiTheme="majorHAnsi" w:cstheme="majorHAnsi"/>
          <w:iCs/>
          <w:sz w:val="24"/>
          <w:szCs w:val="24"/>
          <w:lang w:val="ru-MD"/>
        </w:rPr>
        <w:t>юрова</w:t>
      </w:r>
      <w:r w:rsidRPr="007F49C5">
        <w:rPr>
          <w:rFonts w:asciiTheme="majorHAnsi" w:eastAsia="Times New Roman" w:hAnsiTheme="majorHAnsi" w:cstheme="majorHAnsi"/>
          <w:iCs/>
          <w:sz w:val="24"/>
          <w:szCs w:val="24"/>
          <w:lang w:val="ru-MD"/>
        </w:rPr>
        <w:t>ны ежемесячно, ежеквартально и ежегодно на бумажном носителе</w:t>
      </w:r>
      <w:r w:rsidR="007F49C5" w:rsidRPr="007F49C5">
        <w:rPr>
          <w:rFonts w:asciiTheme="majorHAnsi" w:eastAsia="Times New Roman" w:hAnsiTheme="majorHAnsi" w:cstheme="majorHAnsi"/>
          <w:iCs/>
          <w:sz w:val="24"/>
          <w:szCs w:val="24"/>
          <w:lang w:val="ru-MD"/>
        </w:rPr>
        <w:t>,</w:t>
      </w:r>
      <w:r w:rsidRPr="007F49C5">
        <w:rPr>
          <w:rFonts w:asciiTheme="majorHAnsi" w:eastAsia="Times New Roman" w:hAnsiTheme="majorHAnsi" w:cstheme="majorHAnsi"/>
          <w:iCs/>
          <w:sz w:val="24"/>
          <w:szCs w:val="24"/>
          <w:lang w:val="ru-MD"/>
        </w:rPr>
        <w:t xml:space="preserve"> дл</w:t>
      </w:r>
      <w:r w:rsidR="007F49C5" w:rsidRPr="007F49C5">
        <w:rPr>
          <w:rFonts w:asciiTheme="majorHAnsi" w:eastAsia="Times New Roman" w:hAnsiTheme="majorHAnsi" w:cstheme="majorHAnsi"/>
          <w:iCs/>
          <w:sz w:val="24"/>
          <w:szCs w:val="24"/>
          <w:lang w:val="ru-MD"/>
        </w:rPr>
        <w:t>я каждого аналитического счета</w:t>
      </w:r>
      <w:r w:rsidR="004C0D2D" w:rsidRPr="007F49C5">
        <w:rPr>
          <w:rFonts w:asciiTheme="majorHAnsi" w:eastAsia="Times New Roman" w:hAnsiTheme="majorHAnsi" w:cstheme="majorHAnsi"/>
          <w:iCs/>
          <w:sz w:val="24"/>
          <w:szCs w:val="24"/>
          <w:lang w:val="ru-MD"/>
        </w:rPr>
        <w:t>;</w:t>
      </w:r>
      <w:r w:rsidR="00ED1629" w:rsidRPr="007F49C5">
        <w:rPr>
          <w:rFonts w:asciiTheme="majorHAnsi" w:eastAsia="Times New Roman" w:hAnsiTheme="majorHAnsi" w:cstheme="majorHAnsi"/>
          <w:iCs/>
          <w:sz w:val="24"/>
          <w:szCs w:val="24"/>
          <w:lang w:val="ru-MD"/>
        </w:rPr>
        <w:t xml:space="preserve">  </w:t>
      </w:r>
    </w:p>
    <w:p w:rsidR="00ED1629" w:rsidRPr="007F49C5" w:rsidRDefault="007F49C5" w:rsidP="00B3261A">
      <w:pPr>
        <w:pStyle w:val="ListParagraph"/>
        <w:numPr>
          <w:ilvl w:val="0"/>
          <w:numId w:val="15"/>
        </w:numPr>
        <w:tabs>
          <w:tab w:val="left" w:pos="142"/>
        </w:tabs>
        <w:spacing w:after="0" w:line="276" w:lineRule="auto"/>
        <w:ind w:left="0" w:firstLine="0"/>
        <w:rPr>
          <w:rFonts w:asciiTheme="majorHAnsi" w:eastAsia="Times New Roman" w:hAnsiTheme="majorHAnsi" w:cstheme="majorHAnsi"/>
          <w:iCs/>
          <w:sz w:val="24"/>
          <w:szCs w:val="24"/>
          <w:lang w:val="ru-MD"/>
        </w:rPr>
      </w:pPr>
      <w:r w:rsidRPr="007F49C5">
        <w:rPr>
          <w:rFonts w:asciiTheme="majorHAnsi" w:eastAsia="Times New Roman" w:hAnsiTheme="majorHAnsi" w:cstheme="majorHAnsi"/>
          <w:iCs/>
          <w:sz w:val="24"/>
          <w:szCs w:val="24"/>
          <w:lang w:val="ru-MD"/>
        </w:rPr>
        <w:t>к</w:t>
      </w:r>
      <w:r w:rsidR="00B3261A" w:rsidRPr="007F49C5">
        <w:rPr>
          <w:rFonts w:asciiTheme="majorHAnsi" w:eastAsia="Times New Roman" w:hAnsiTheme="majorHAnsi" w:cstheme="majorHAnsi"/>
          <w:iCs/>
          <w:sz w:val="24"/>
          <w:szCs w:val="24"/>
          <w:lang w:val="ru-MD"/>
        </w:rPr>
        <w:t xml:space="preserve"> ежедневны</w:t>
      </w:r>
      <w:r w:rsidRPr="007F49C5">
        <w:rPr>
          <w:rFonts w:asciiTheme="majorHAnsi" w:eastAsia="Times New Roman" w:hAnsiTheme="majorHAnsi" w:cstheme="majorHAnsi"/>
          <w:iCs/>
          <w:sz w:val="24"/>
          <w:szCs w:val="24"/>
          <w:lang w:val="ru-MD"/>
        </w:rPr>
        <w:t>м</w:t>
      </w:r>
      <w:r w:rsidR="00B3261A" w:rsidRPr="007F49C5">
        <w:rPr>
          <w:rFonts w:asciiTheme="majorHAnsi" w:eastAsia="Times New Roman" w:hAnsiTheme="majorHAnsi" w:cstheme="majorHAnsi"/>
          <w:iCs/>
          <w:sz w:val="24"/>
          <w:szCs w:val="24"/>
          <w:lang w:val="ru-MD"/>
        </w:rPr>
        <w:t xml:space="preserve"> документ</w:t>
      </w:r>
      <w:r w:rsidRPr="007F49C5">
        <w:rPr>
          <w:rFonts w:asciiTheme="majorHAnsi" w:eastAsia="Times New Roman" w:hAnsiTheme="majorHAnsi" w:cstheme="majorHAnsi"/>
          <w:iCs/>
          <w:sz w:val="24"/>
          <w:szCs w:val="24"/>
          <w:lang w:val="ru-MD"/>
        </w:rPr>
        <w:t>ам</w:t>
      </w:r>
      <w:r w:rsidR="00B3261A" w:rsidRPr="007F49C5">
        <w:rPr>
          <w:rFonts w:asciiTheme="majorHAnsi" w:eastAsia="Times New Roman" w:hAnsiTheme="majorHAnsi" w:cstheme="majorHAnsi"/>
          <w:iCs/>
          <w:sz w:val="24"/>
          <w:szCs w:val="24"/>
          <w:lang w:val="ru-MD"/>
        </w:rPr>
        <w:t xml:space="preserve"> не прил</w:t>
      </w:r>
      <w:r w:rsidRPr="007F49C5">
        <w:rPr>
          <w:rFonts w:asciiTheme="majorHAnsi" w:eastAsia="Times New Roman" w:hAnsiTheme="majorHAnsi" w:cstheme="majorHAnsi"/>
          <w:iCs/>
          <w:sz w:val="24"/>
          <w:szCs w:val="24"/>
          <w:lang w:val="ru-MD"/>
        </w:rPr>
        <w:t>агались</w:t>
      </w:r>
      <w:r w:rsidR="00B3261A" w:rsidRPr="007F49C5">
        <w:rPr>
          <w:rFonts w:asciiTheme="majorHAnsi" w:eastAsia="Times New Roman" w:hAnsiTheme="majorHAnsi" w:cstheme="majorHAnsi"/>
          <w:iCs/>
          <w:sz w:val="24"/>
          <w:szCs w:val="24"/>
          <w:lang w:val="ru-MD"/>
        </w:rPr>
        <w:t xml:space="preserve"> все </w:t>
      </w:r>
      <w:r w:rsidRPr="007F49C5">
        <w:rPr>
          <w:rFonts w:asciiTheme="majorHAnsi" w:eastAsia="Times New Roman" w:hAnsiTheme="majorHAnsi" w:cstheme="majorHAnsi"/>
          <w:iCs/>
          <w:sz w:val="24"/>
          <w:szCs w:val="24"/>
          <w:lang w:val="ru-MD"/>
        </w:rPr>
        <w:t>Ордера на перечисление</w:t>
      </w:r>
      <w:r w:rsidR="00B3261A" w:rsidRPr="007F49C5">
        <w:rPr>
          <w:rFonts w:asciiTheme="majorHAnsi" w:eastAsia="Times New Roman" w:hAnsiTheme="majorHAnsi" w:cstheme="majorHAnsi"/>
          <w:iCs/>
          <w:sz w:val="24"/>
          <w:szCs w:val="24"/>
          <w:lang w:val="ru-MD"/>
        </w:rPr>
        <w:t xml:space="preserve">, согласно объяснениям, они </w:t>
      </w:r>
      <w:r w:rsidRPr="007F49C5">
        <w:rPr>
          <w:rFonts w:asciiTheme="majorHAnsi" w:eastAsia="Times New Roman" w:hAnsiTheme="majorHAnsi" w:cstheme="majorHAnsi"/>
          <w:iCs/>
          <w:sz w:val="24"/>
          <w:szCs w:val="24"/>
          <w:lang w:val="ru-MD"/>
        </w:rPr>
        <w:t>использую</w:t>
      </w:r>
      <w:r w:rsidR="00B3261A" w:rsidRPr="007F49C5">
        <w:rPr>
          <w:rFonts w:asciiTheme="majorHAnsi" w:eastAsia="Times New Roman" w:hAnsiTheme="majorHAnsi" w:cstheme="majorHAnsi"/>
          <w:iCs/>
          <w:sz w:val="24"/>
          <w:szCs w:val="24"/>
          <w:lang w:val="ru-MD"/>
        </w:rPr>
        <w:t xml:space="preserve">тся только в </w:t>
      </w:r>
      <w:r w:rsidRPr="007F49C5">
        <w:rPr>
          <w:rFonts w:asciiTheme="majorHAnsi" w:eastAsia="Times New Roman" w:hAnsiTheme="majorHAnsi" w:cstheme="majorHAnsi"/>
          <w:iCs/>
          <w:sz w:val="24"/>
          <w:szCs w:val="24"/>
          <w:lang w:val="ru-MD"/>
        </w:rPr>
        <w:t>Р</w:t>
      </w:r>
      <w:r w:rsidR="00B3261A" w:rsidRPr="007F49C5">
        <w:rPr>
          <w:rFonts w:asciiTheme="majorHAnsi" w:eastAsia="Times New Roman" w:hAnsiTheme="majorHAnsi" w:cstheme="majorHAnsi"/>
          <w:iCs/>
          <w:sz w:val="24"/>
          <w:szCs w:val="24"/>
          <w:lang w:val="ru-MD"/>
        </w:rPr>
        <w:t>егиональных казначействах</w:t>
      </w:r>
      <w:r w:rsidR="004C0D2D" w:rsidRPr="007F49C5">
        <w:rPr>
          <w:rFonts w:asciiTheme="majorHAnsi" w:eastAsia="Times New Roman" w:hAnsiTheme="majorHAnsi" w:cstheme="majorHAnsi"/>
          <w:iCs/>
          <w:sz w:val="24"/>
          <w:szCs w:val="24"/>
          <w:lang w:val="ru-MD"/>
        </w:rPr>
        <w:t>;</w:t>
      </w:r>
    </w:p>
    <w:p w:rsidR="00ED1629" w:rsidRPr="007F49C5" w:rsidRDefault="00B3261A" w:rsidP="00B3261A">
      <w:pPr>
        <w:pStyle w:val="ListParagraph"/>
        <w:numPr>
          <w:ilvl w:val="0"/>
          <w:numId w:val="15"/>
        </w:numPr>
        <w:tabs>
          <w:tab w:val="left" w:pos="142"/>
        </w:tabs>
        <w:spacing w:after="0" w:line="276" w:lineRule="auto"/>
        <w:ind w:left="0" w:firstLine="0"/>
        <w:rPr>
          <w:rFonts w:asciiTheme="majorHAnsi" w:eastAsia="Times New Roman" w:hAnsiTheme="majorHAnsi" w:cstheme="majorHAnsi"/>
          <w:iCs/>
          <w:sz w:val="24"/>
          <w:szCs w:val="24"/>
          <w:lang w:val="ru-MD"/>
        </w:rPr>
      </w:pPr>
      <w:r w:rsidRPr="007F49C5">
        <w:rPr>
          <w:rFonts w:asciiTheme="majorHAnsi" w:eastAsia="Times New Roman" w:hAnsiTheme="majorHAnsi" w:cstheme="majorHAnsi"/>
          <w:iCs/>
          <w:sz w:val="24"/>
          <w:szCs w:val="24"/>
          <w:lang w:val="ru-MD"/>
        </w:rPr>
        <w:t xml:space="preserve">хотя нормативная база предусматривает наличие выписок </w:t>
      </w:r>
      <w:r w:rsidR="007F49C5" w:rsidRPr="007F49C5">
        <w:rPr>
          <w:rFonts w:asciiTheme="majorHAnsi" w:eastAsia="Times New Roman" w:hAnsiTheme="majorHAnsi" w:cstheme="majorHAnsi"/>
          <w:iCs/>
          <w:sz w:val="24"/>
          <w:szCs w:val="24"/>
          <w:lang w:val="ru-MD"/>
        </w:rPr>
        <w:t>с</w:t>
      </w:r>
      <w:r w:rsidRPr="007F49C5">
        <w:rPr>
          <w:rFonts w:asciiTheme="majorHAnsi" w:eastAsia="Times New Roman" w:hAnsiTheme="majorHAnsi" w:cstheme="majorHAnsi"/>
          <w:iCs/>
          <w:sz w:val="24"/>
          <w:szCs w:val="24"/>
          <w:lang w:val="ru-MD"/>
        </w:rPr>
        <w:t xml:space="preserve"> казначейских счетов </w:t>
      </w:r>
      <w:r w:rsidR="007F49C5" w:rsidRPr="007F49C5">
        <w:rPr>
          <w:rFonts w:asciiTheme="majorHAnsi" w:eastAsia="Times New Roman" w:hAnsiTheme="majorHAnsi" w:cstheme="majorHAnsi"/>
          <w:iCs/>
          <w:sz w:val="24"/>
          <w:szCs w:val="24"/>
          <w:lang w:val="ru-MD"/>
        </w:rPr>
        <w:t>по</w:t>
      </w:r>
      <w:r w:rsidRPr="007F49C5">
        <w:rPr>
          <w:rFonts w:asciiTheme="majorHAnsi" w:eastAsia="Times New Roman" w:hAnsiTheme="majorHAnsi" w:cstheme="majorHAnsi"/>
          <w:iCs/>
          <w:sz w:val="24"/>
          <w:szCs w:val="24"/>
          <w:lang w:val="ru-MD"/>
        </w:rPr>
        <w:t xml:space="preserve"> бюджетны</w:t>
      </w:r>
      <w:r w:rsidR="007F49C5" w:rsidRPr="007F49C5">
        <w:rPr>
          <w:rFonts w:asciiTheme="majorHAnsi" w:eastAsia="Times New Roman" w:hAnsiTheme="majorHAnsi" w:cstheme="majorHAnsi"/>
          <w:iCs/>
          <w:sz w:val="24"/>
          <w:szCs w:val="24"/>
          <w:lang w:val="ru-MD"/>
        </w:rPr>
        <w:t>м</w:t>
      </w:r>
      <w:r w:rsidRPr="007F49C5">
        <w:rPr>
          <w:rFonts w:asciiTheme="majorHAnsi" w:eastAsia="Times New Roman" w:hAnsiTheme="majorHAnsi" w:cstheme="majorHAnsi"/>
          <w:iCs/>
          <w:sz w:val="24"/>
          <w:szCs w:val="24"/>
          <w:lang w:val="ru-MD"/>
        </w:rPr>
        <w:t xml:space="preserve"> доход</w:t>
      </w:r>
      <w:r w:rsidR="007F49C5" w:rsidRPr="007F49C5">
        <w:rPr>
          <w:rFonts w:asciiTheme="majorHAnsi" w:eastAsia="Times New Roman" w:hAnsiTheme="majorHAnsi" w:cstheme="majorHAnsi"/>
          <w:iCs/>
          <w:sz w:val="24"/>
          <w:szCs w:val="24"/>
          <w:lang w:val="ru-MD"/>
        </w:rPr>
        <w:t>ам</w:t>
      </w:r>
      <w:r w:rsidRPr="007F49C5">
        <w:rPr>
          <w:rFonts w:asciiTheme="majorHAnsi" w:eastAsia="Times New Roman" w:hAnsiTheme="majorHAnsi" w:cstheme="majorHAnsi"/>
          <w:iCs/>
          <w:sz w:val="24"/>
          <w:szCs w:val="24"/>
          <w:lang w:val="ru-MD"/>
        </w:rPr>
        <w:t xml:space="preserve"> бенефициара, </w:t>
      </w:r>
      <w:r w:rsidR="007F49C5" w:rsidRPr="007F49C5">
        <w:rPr>
          <w:rFonts w:asciiTheme="majorHAnsi" w:eastAsia="Times New Roman" w:hAnsiTheme="majorHAnsi" w:cstheme="majorHAnsi"/>
          <w:iCs/>
          <w:sz w:val="24"/>
          <w:szCs w:val="24"/>
          <w:lang w:val="ru-MD"/>
        </w:rPr>
        <w:t>по</w:t>
      </w:r>
      <w:r w:rsidRPr="007F49C5">
        <w:rPr>
          <w:rFonts w:asciiTheme="majorHAnsi" w:eastAsia="Times New Roman" w:hAnsiTheme="majorHAnsi" w:cstheme="majorHAnsi"/>
          <w:iCs/>
          <w:sz w:val="24"/>
          <w:szCs w:val="24"/>
          <w:lang w:val="ru-MD"/>
        </w:rPr>
        <w:t xml:space="preserve"> бюджетны</w:t>
      </w:r>
      <w:r w:rsidR="007F49C5" w:rsidRPr="007F49C5">
        <w:rPr>
          <w:rFonts w:asciiTheme="majorHAnsi" w:eastAsia="Times New Roman" w:hAnsiTheme="majorHAnsi" w:cstheme="majorHAnsi"/>
          <w:iCs/>
          <w:sz w:val="24"/>
          <w:szCs w:val="24"/>
          <w:lang w:val="ru-MD"/>
        </w:rPr>
        <w:t>м</w:t>
      </w:r>
      <w:r w:rsidRPr="007F49C5">
        <w:rPr>
          <w:rFonts w:asciiTheme="majorHAnsi" w:eastAsia="Times New Roman" w:hAnsiTheme="majorHAnsi" w:cstheme="majorHAnsi"/>
          <w:iCs/>
          <w:sz w:val="24"/>
          <w:szCs w:val="24"/>
          <w:lang w:val="ru-MD"/>
        </w:rPr>
        <w:t xml:space="preserve"> расход</w:t>
      </w:r>
      <w:r w:rsidR="007F49C5" w:rsidRPr="007F49C5">
        <w:rPr>
          <w:rFonts w:asciiTheme="majorHAnsi" w:eastAsia="Times New Roman" w:hAnsiTheme="majorHAnsi" w:cstheme="majorHAnsi"/>
          <w:iCs/>
          <w:sz w:val="24"/>
          <w:szCs w:val="24"/>
          <w:lang w:val="ru-MD"/>
        </w:rPr>
        <w:t>ам</w:t>
      </w:r>
      <w:r w:rsidRPr="007F49C5">
        <w:rPr>
          <w:rFonts w:asciiTheme="majorHAnsi" w:eastAsia="Times New Roman" w:hAnsiTheme="majorHAnsi" w:cstheme="majorHAnsi"/>
          <w:iCs/>
          <w:sz w:val="24"/>
          <w:szCs w:val="24"/>
          <w:lang w:val="ru-MD"/>
        </w:rPr>
        <w:t xml:space="preserve"> и собранны</w:t>
      </w:r>
      <w:r w:rsidR="007F49C5" w:rsidRPr="007F49C5">
        <w:rPr>
          <w:rFonts w:asciiTheme="majorHAnsi" w:eastAsia="Times New Roman" w:hAnsiTheme="majorHAnsi" w:cstheme="majorHAnsi"/>
          <w:iCs/>
          <w:sz w:val="24"/>
          <w:szCs w:val="24"/>
          <w:lang w:val="ru-MD"/>
        </w:rPr>
        <w:t>м</w:t>
      </w:r>
      <w:r w:rsidRPr="007F49C5">
        <w:rPr>
          <w:rFonts w:asciiTheme="majorHAnsi" w:eastAsia="Times New Roman" w:hAnsiTheme="majorHAnsi" w:cstheme="majorHAnsi"/>
          <w:iCs/>
          <w:sz w:val="24"/>
          <w:szCs w:val="24"/>
          <w:lang w:val="ru-MD"/>
        </w:rPr>
        <w:t xml:space="preserve"> средства</w:t>
      </w:r>
      <w:r w:rsidR="007F49C5" w:rsidRPr="007F49C5">
        <w:rPr>
          <w:rFonts w:asciiTheme="majorHAnsi" w:eastAsia="Times New Roman" w:hAnsiTheme="majorHAnsi" w:cstheme="majorHAnsi"/>
          <w:iCs/>
          <w:sz w:val="24"/>
          <w:szCs w:val="24"/>
          <w:lang w:val="ru-MD"/>
        </w:rPr>
        <w:t>м</w:t>
      </w:r>
      <w:r w:rsidRPr="007F49C5">
        <w:rPr>
          <w:rFonts w:asciiTheme="majorHAnsi" w:eastAsia="Times New Roman" w:hAnsiTheme="majorHAnsi" w:cstheme="majorHAnsi"/>
          <w:iCs/>
          <w:sz w:val="24"/>
          <w:szCs w:val="24"/>
          <w:lang w:val="ru-MD"/>
        </w:rPr>
        <w:t>, они содержатся в обобщенной выписке, МФ с</w:t>
      </w:r>
      <w:r w:rsidR="007F49C5" w:rsidRPr="007F49C5">
        <w:rPr>
          <w:rFonts w:asciiTheme="majorHAnsi" w:eastAsia="Times New Roman" w:hAnsiTheme="majorHAnsi" w:cstheme="majorHAnsi"/>
          <w:iCs/>
          <w:sz w:val="24"/>
          <w:szCs w:val="24"/>
          <w:lang w:val="ru-MD"/>
        </w:rPr>
        <w:t>сылаясь</w:t>
      </w:r>
      <w:r w:rsidRPr="007F49C5">
        <w:rPr>
          <w:rFonts w:asciiTheme="majorHAnsi" w:eastAsia="Times New Roman" w:hAnsiTheme="majorHAnsi" w:cstheme="majorHAnsi"/>
          <w:iCs/>
          <w:sz w:val="24"/>
          <w:szCs w:val="24"/>
          <w:lang w:val="ru-MD"/>
        </w:rPr>
        <w:t xml:space="preserve"> на инициирование изменений в нормативную базу</w:t>
      </w:r>
      <w:r w:rsidR="004C0D2D" w:rsidRPr="007F49C5">
        <w:rPr>
          <w:rFonts w:asciiTheme="majorHAnsi" w:eastAsia="Times New Roman" w:hAnsiTheme="majorHAnsi" w:cstheme="majorHAnsi"/>
          <w:iCs/>
          <w:sz w:val="24"/>
          <w:szCs w:val="24"/>
          <w:lang w:val="ru-MD"/>
        </w:rPr>
        <w:t>;</w:t>
      </w:r>
    </w:p>
    <w:p w:rsidR="00ED1629" w:rsidRPr="0034550B" w:rsidRDefault="0034550B" w:rsidP="00B3261A">
      <w:pPr>
        <w:pStyle w:val="ListParagraph"/>
        <w:numPr>
          <w:ilvl w:val="0"/>
          <w:numId w:val="15"/>
        </w:numPr>
        <w:tabs>
          <w:tab w:val="left" w:pos="142"/>
        </w:tabs>
        <w:spacing w:after="0" w:line="276" w:lineRule="auto"/>
        <w:ind w:left="0" w:firstLine="0"/>
        <w:rPr>
          <w:rFonts w:asciiTheme="majorHAnsi" w:eastAsia="Times New Roman" w:hAnsiTheme="majorHAnsi" w:cstheme="majorHAnsi"/>
          <w:iCs/>
          <w:sz w:val="24"/>
          <w:szCs w:val="24"/>
          <w:lang w:val="ru-MD"/>
        </w:rPr>
      </w:pPr>
      <w:r w:rsidRPr="0034550B">
        <w:rPr>
          <w:rFonts w:asciiTheme="majorHAnsi" w:eastAsia="Times New Roman" w:hAnsiTheme="majorHAnsi" w:cstheme="majorHAnsi"/>
          <w:iCs/>
          <w:sz w:val="24"/>
          <w:szCs w:val="24"/>
          <w:lang w:val="ru-MD"/>
        </w:rPr>
        <w:t>денежные обороты</w:t>
      </w:r>
      <w:r w:rsidR="00B3261A" w:rsidRPr="0034550B">
        <w:rPr>
          <w:rFonts w:asciiTheme="majorHAnsi" w:eastAsia="Times New Roman" w:hAnsiTheme="majorHAnsi" w:cstheme="majorHAnsi"/>
          <w:iCs/>
          <w:sz w:val="24"/>
          <w:szCs w:val="24"/>
          <w:lang w:val="ru-MD"/>
        </w:rPr>
        <w:t xml:space="preserve"> </w:t>
      </w:r>
      <w:r w:rsidR="00286C24" w:rsidRPr="0034550B">
        <w:rPr>
          <w:rFonts w:asciiTheme="majorHAnsi" w:eastAsia="Times New Roman" w:hAnsiTheme="majorHAnsi" w:cstheme="majorHAnsi"/>
          <w:iCs/>
          <w:sz w:val="24"/>
          <w:szCs w:val="24"/>
          <w:lang w:val="ru-MD"/>
        </w:rPr>
        <w:t xml:space="preserve">из </w:t>
      </w:r>
      <w:r w:rsidR="00B3261A" w:rsidRPr="0034550B">
        <w:rPr>
          <w:rFonts w:asciiTheme="majorHAnsi" w:eastAsia="Times New Roman" w:hAnsiTheme="majorHAnsi" w:cstheme="majorHAnsi"/>
          <w:iCs/>
          <w:sz w:val="24"/>
          <w:szCs w:val="24"/>
          <w:lang w:val="ru-MD"/>
        </w:rPr>
        <w:t xml:space="preserve">банковских выписок не соответствуют </w:t>
      </w:r>
      <w:r w:rsidRPr="0034550B">
        <w:rPr>
          <w:rFonts w:asciiTheme="majorHAnsi" w:eastAsia="Times New Roman" w:hAnsiTheme="majorHAnsi" w:cstheme="majorHAnsi"/>
          <w:iCs/>
          <w:sz w:val="24"/>
          <w:szCs w:val="24"/>
          <w:lang w:val="ru-MD"/>
        </w:rPr>
        <w:t>данным ведомостей</w:t>
      </w:r>
      <w:r w:rsidR="00B3261A" w:rsidRPr="0034550B">
        <w:rPr>
          <w:rFonts w:asciiTheme="majorHAnsi" w:eastAsia="Times New Roman" w:hAnsiTheme="majorHAnsi" w:cstheme="majorHAnsi"/>
          <w:iCs/>
          <w:sz w:val="24"/>
          <w:szCs w:val="24"/>
          <w:lang w:val="ru-MD"/>
        </w:rPr>
        <w:t xml:space="preserve"> платежных поручений, </w:t>
      </w:r>
      <w:r w:rsidRPr="0034550B">
        <w:rPr>
          <w:rFonts w:asciiTheme="majorHAnsi" w:eastAsia="Times New Roman" w:hAnsiTheme="majorHAnsi" w:cstheme="majorHAnsi"/>
          <w:iCs/>
          <w:sz w:val="24"/>
          <w:szCs w:val="24"/>
          <w:lang w:val="ru-MD"/>
        </w:rPr>
        <w:t>на</w:t>
      </w:r>
      <w:r w:rsidR="00B3261A" w:rsidRPr="0034550B">
        <w:rPr>
          <w:rFonts w:asciiTheme="majorHAnsi" w:eastAsia="Times New Roman" w:hAnsiTheme="majorHAnsi" w:cstheme="majorHAnsi"/>
          <w:iCs/>
          <w:sz w:val="24"/>
          <w:szCs w:val="24"/>
          <w:lang w:val="ru-MD"/>
        </w:rPr>
        <w:t xml:space="preserve"> сумм</w:t>
      </w:r>
      <w:r w:rsidRPr="0034550B">
        <w:rPr>
          <w:rFonts w:asciiTheme="majorHAnsi" w:eastAsia="Times New Roman" w:hAnsiTheme="majorHAnsi" w:cstheme="majorHAnsi"/>
          <w:iCs/>
          <w:sz w:val="24"/>
          <w:szCs w:val="24"/>
          <w:lang w:val="ru-MD"/>
        </w:rPr>
        <w:t>ы</w:t>
      </w:r>
      <w:r w:rsidR="00B3261A" w:rsidRPr="0034550B">
        <w:rPr>
          <w:rFonts w:asciiTheme="majorHAnsi" w:eastAsia="Times New Roman" w:hAnsiTheme="majorHAnsi" w:cstheme="majorHAnsi"/>
          <w:iCs/>
          <w:sz w:val="24"/>
          <w:szCs w:val="24"/>
          <w:lang w:val="ru-MD"/>
        </w:rPr>
        <w:t xml:space="preserve">, ежедневно </w:t>
      </w:r>
      <w:r w:rsidRPr="0034550B">
        <w:rPr>
          <w:rFonts w:asciiTheme="majorHAnsi" w:eastAsia="Times New Roman" w:hAnsiTheme="majorHAnsi" w:cstheme="majorHAnsi"/>
          <w:iCs/>
          <w:sz w:val="24"/>
          <w:szCs w:val="24"/>
          <w:lang w:val="ru-MD"/>
        </w:rPr>
        <w:t xml:space="preserve">исполненные при выпуске </w:t>
      </w:r>
      <w:r w:rsidR="00B3261A" w:rsidRPr="0034550B">
        <w:rPr>
          <w:rFonts w:asciiTheme="majorHAnsi" w:eastAsia="Times New Roman" w:hAnsiTheme="majorHAnsi" w:cstheme="majorHAnsi"/>
          <w:iCs/>
          <w:sz w:val="24"/>
          <w:szCs w:val="24"/>
          <w:lang w:val="ru-MD"/>
        </w:rPr>
        <w:t>ГЦБ. Согласно пояснениям МФ, для выпуска ГЦБ открыт отдельный промежуточный банковский счет, который</w:t>
      </w:r>
      <w:r w:rsidRPr="0034550B">
        <w:rPr>
          <w:rFonts w:asciiTheme="majorHAnsi" w:eastAsia="Times New Roman" w:hAnsiTheme="majorHAnsi" w:cstheme="majorHAnsi"/>
          <w:iCs/>
          <w:sz w:val="24"/>
          <w:szCs w:val="24"/>
          <w:lang w:val="ru-MD"/>
        </w:rPr>
        <w:t>,</w:t>
      </w:r>
      <w:r w:rsidR="00B3261A" w:rsidRPr="0034550B">
        <w:rPr>
          <w:rFonts w:asciiTheme="majorHAnsi" w:eastAsia="Times New Roman" w:hAnsiTheme="majorHAnsi" w:cstheme="majorHAnsi"/>
          <w:iCs/>
          <w:sz w:val="24"/>
          <w:szCs w:val="24"/>
          <w:lang w:val="ru-MD"/>
        </w:rPr>
        <w:t xml:space="preserve"> по итогам бюджетного года</w:t>
      </w:r>
      <w:r w:rsidRPr="0034550B">
        <w:rPr>
          <w:rFonts w:asciiTheme="majorHAnsi" w:eastAsia="Times New Roman" w:hAnsiTheme="majorHAnsi" w:cstheme="majorHAnsi"/>
          <w:iCs/>
          <w:sz w:val="24"/>
          <w:szCs w:val="24"/>
          <w:lang w:val="ru-MD"/>
        </w:rPr>
        <w:t>,</w:t>
      </w:r>
      <w:r w:rsidR="00B3261A" w:rsidRPr="0034550B">
        <w:rPr>
          <w:rFonts w:asciiTheme="majorHAnsi" w:eastAsia="Times New Roman" w:hAnsiTheme="majorHAnsi" w:cstheme="majorHAnsi"/>
          <w:iCs/>
          <w:sz w:val="24"/>
          <w:szCs w:val="24"/>
          <w:lang w:val="ru-MD"/>
        </w:rPr>
        <w:t xml:space="preserve"> закрывается, аудит</w:t>
      </w:r>
      <w:r w:rsidRPr="0034550B">
        <w:rPr>
          <w:rFonts w:asciiTheme="majorHAnsi" w:eastAsia="Times New Roman" w:hAnsiTheme="majorHAnsi" w:cstheme="majorHAnsi"/>
          <w:iCs/>
          <w:sz w:val="24"/>
          <w:szCs w:val="24"/>
          <w:lang w:val="ru-MD"/>
        </w:rPr>
        <w:t>у</w:t>
      </w:r>
      <w:r w:rsidR="00B3261A" w:rsidRPr="0034550B">
        <w:rPr>
          <w:rFonts w:asciiTheme="majorHAnsi" w:eastAsia="Times New Roman" w:hAnsiTheme="majorHAnsi" w:cstheme="majorHAnsi"/>
          <w:iCs/>
          <w:sz w:val="24"/>
          <w:szCs w:val="24"/>
          <w:lang w:val="ru-MD"/>
        </w:rPr>
        <w:t xml:space="preserve"> б</w:t>
      </w:r>
      <w:r w:rsidRPr="0034550B">
        <w:rPr>
          <w:rFonts w:asciiTheme="majorHAnsi" w:eastAsia="Times New Roman" w:hAnsiTheme="majorHAnsi" w:cstheme="majorHAnsi"/>
          <w:iCs/>
          <w:sz w:val="24"/>
          <w:szCs w:val="24"/>
          <w:lang w:val="ru-MD"/>
        </w:rPr>
        <w:t>ыла</w:t>
      </w:r>
      <w:r w:rsidR="00B3261A" w:rsidRPr="0034550B">
        <w:rPr>
          <w:rFonts w:asciiTheme="majorHAnsi" w:eastAsia="Times New Roman" w:hAnsiTheme="majorHAnsi" w:cstheme="majorHAnsi"/>
          <w:iCs/>
          <w:sz w:val="24"/>
          <w:szCs w:val="24"/>
          <w:lang w:val="ru-MD"/>
        </w:rPr>
        <w:t xml:space="preserve"> представлен</w:t>
      </w:r>
      <w:r w:rsidRPr="0034550B">
        <w:rPr>
          <w:rFonts w:asciiTheme="majorHAnsi" w:eastAsia="Times New Roman" w:hAnsiTheme="majorHAnsi" w:cstheme="majorHAnsi"/>
          <w:iCs/>
          <w:sz w:val="24"/>
          <w:szCs w:val="24"/>
          <w:lang w:val="ru-MD"/>
        </w:rPr>
        <w:t>а</w:t>
      </w:r>
      <w:r w:rsidR="00B3261A" w:rsidRPr="0034550B">
        <w:rPr>
          <w:rFonts w:asciiTheme="majorHAnsi" w:eastAsia="Times New Roman" w:hAnsiTheme="majorHAnsi" w:cstheme="majorHAnsi"/>
          <w:iCs/>
          <w:sz w:val="24"/>
          <w:szCs w:val="24"/>
          <w:lang w:val="ru-MD"/>
        </w:rPr>
        <w:t xml:space="preserve"> выписк</w:t>
      </w:r>
      <w:r w:rsidRPr="0034550B">
        <w:rPr>
          <w:rFonts w:asciiTheme="majorHAnsi" w:eastAsia="Times New Roman" w:hAnsiTheme="majorHAnsi" w:cstheme="majorHAnsi"/>
          <w:iCs/>
          <w:sz w:val="24"/>
          <w:szCs w:val="24"/>
          <w:lang w:val="ru-MD"/>
        </w:rPr>
        <w:t>а</w:t>
      </w:r>
      <w:r w:rsidR="00B3261A" w:rsidRPr="0034550B">
        <w:rPr>
          <w:rFonts w:asciiTheme="majorHAnsi" w:eastAsia="Times New Roman" w:hAnsiTheme="majorHAnsi" w:cstheme="majorHAnsi"/>
          <w:iCs/>
          <w:sz w:val="24"/>
          <w:szCs w:val="24"/>
          <w:lang w:val="ru-MD"/>
        </w:rPr>
        <w:t xml:space="preserve"> </w:t>
      </w:r>
      <w:r w:rsidRPr="0034550B">
        <w:rPr>
          <w:rFonts w:asciiTheme="majorHAnsi" w:eastAsia="Times New Roman" w:hAnsiTheme="majorHAnsi" w:cstheme="majorHAnsi"/>
          <w:iCs/>
          <w:sz w:val="24"/>
          <w:szCs w:val="24"/>
          <w:lang w:val="ru-MD"/>
        </w:rPr>
        <w:t>от</w:t>
      </w:r>
      <w:r w:rsidR="00B3261A" w:rsidRPr="0034550B">
        <w:rPr>
          <w:rFonts w:asciiTheme="majorHAnsi" w:eastAsia="Times New Roman" w:hAnsiTheme="majorHAnsi" w:cstheme="majorHAnsi"/>
          <w:iCs/>
          <w:sz w:val="24"/>
          <w:szCs w:val="24"/>
          <w:lang w:val="ru-MD"/>
        </w:rPr>
        <w:t xml:space="preserve"> 31.12.2020 с „нулевым”</w:t>
      </w:r>
      <w:r w:rsidRPr="0034550B">
        <w:rPr>
          <w:rFonts w:asciiTheme="majorHAnsi" w:eastAsia="Times New Roman" w:hAnsiTheme="majorHAnsi" w:cstheme="majorHAnsi"/>
          <w:iCs/>
          <w:sz w:val="24"/>
          <w:szCs w:val="24"/>
          <w:lang w:val="ru-MD"/>
        </w:rPr>
        <w:t xml:space="preserve"> остатк</w:t>
      </w:r>
      <w:r w:rsidR="00B3261A" w:rsidRPr="0034550B">
        <w:rPr>
          <w:rFonts w:asciiTheme="majorHAnsi" w:eastAsia="Times New Roman" w:hAnsiTheme="majorHAnsi" w:cstheme="majorHAnsi"/>
          <w:iCs/>
          <w:sz w:val="24"/>
          <w:szCs w:val="24"/>
          <w:lang w:val="ru-MD"/>
        </w:rPr>
        <w:t>ом</w:t>
      </w:r>
      <w:r w:rsidR="00ED1629" w:rsidRPr="0034550B">
        <w:rPr>
          <w:rFonts w:asciiTheme="majorHAnsi" w:eastAsia="Times New Roman" w:hAnsiTheme="majorHAnsi" w:cstheme="majorHAnsi"/>
          <w:iCs/>
          <w:sz w:val="24"/>
          <w:szCs w:val="24"/>
          <w:lang w:val="ru-MD"/>
        </w:rPr>
        <w:t>.</w:t>
      </w:r>
    </w:p>
    <w:p w:rsidR="00ED1629" w:rsidRPr="00A95E8E" w:rsidRDefault="0034550B" w:rsidP="00ED1629">
      <w:pPr>
        <w:pStyle w:val="ListParagraph"/>
        <w:tabs>
          <w:tab w:val="left" w:pos="142"/>
        </w:tabs>
        <w:spacing w:after="0" w:line="276" w:lineRule="auto"/>
        <w:ind w:left="0"/>
        <w:rPr>
          <w:rFonts w:asciiTheme="majorHAnsi" w:hAnsiTheme="majorHAnsi" w:cstheme="majorHAnsi"/>
          <w:sz w:val="24"/>
          <w:szCs w:val="24"/>
          <w:lang w:val="ru-MD"/>
        </w:rPr>
      </w:pPr>
      <w:r w:rsidRPr="00A95E8E">
        <w:rPr>
          <w:rFonts w:asciiTheme="majorHAnsi" w:hAnsiTheme="majorHAnsi" w:cstheme="majorHAnsi"/>
          <w:sz w:val="24"/>
          <w:szCs w:val="24"/>
          <w:lang w:val="ru-MD"/>
        </w:rPr>
        <w:t xml:space="preserve">Аудит констатировал, что Управление Государственного казначейства в некоторых случаях не </w:t>
      </w:r>
      <w:r w:rsidR="00A95E8E">
        <w:rPr>
          <w:rFonts w:asciiTheme="majorHAnsi" w:hAnsiTheme="majorHAnsi" w:cstheme="majorHAnsi"/>
          <w:sz w:val="24"/>
          <w:szCs w:val="24"/>
          <w:lang w:val="ru-MD"/>
        </w:rPr>
        <w:t>располага</w:t>
      </w:r>
      <w:r w:rsidRPr="00A95E8E">
        <w:rPr>
          <w:rFonts w:asciiTheme="majorHAnsi" w:hAnsiTheme="majorHAnsi" w:cstheme="majorHAnsi"/>
          <w:sz w:val="24"/>
          <w:szCs w:val="24"/>
          <w:lang w:val="ru-MD"/>
        </w:rPr>
        <w:t xml:space="preserve">ет обобщенной информацией из бухгалтерского учета </w:t>
      </w:r>
      <w:r w:rsidR="00A95E8E" w:rsidRPr="00A95E8E">
        <w:rPr>
          <w:rFonts w:asciiTheme="majorHAnsi" w:hAnsiTheme="majorHAnsi" w:cstheme="majorHAnsi"/>
          <w:sz w:val="24"/>
          <w:szCs w:val="24"/>
          <w:lang w:val="ru-MD"/>
        </w:rPr>
        <w:t>кассового</w:t>
      </w:r>
      <w:r w:rsidRPr="00A95E8E">
        <w:rPr>
          <w:rFonts w:asciiTheme="majorHAnsi" w:hAnsiTheme="majorHAnsi" w:cstheme="majorHAnsi"/>
          <w:sz w:val="24"/>
          <w:szCs w:val="24"/>
          <w:lang w:val="ru-MD"/>
        </w:rPr>
        <w:t xml:space="preserve"> исполнения средств </w:t>
      </w:r>
      <w:r w:rsidR="00A95E8E" w:rsidRPr="00A95E8E">
        <w:rPr>
          <w:rFonts w:asciiTheme="majorHAnsi" w:hAnsiTheme="majorHAnsi" w:cstheme="majorHAnsi"/>
          <w:sz w:val="24"/>
          <w:szCs w:val="24"/>
          <w:lang w:val="ru-MD"/>
        </w:rPr>
        <w:t>ГБ</w:t>
      </w:r>
      <w:r w:rsidRPr="00A95E8E">
        <w:rPr>
          <w:rFonts w:asciiTheme="majorHAnsi" w:hAnsiTheme="majorHAnsi" w:cstheme="majorHAnsi"/>
          <w:sz w:val="24"/>
          <w:szCs w:val="24"/>
          <w:lang w:val="ru-MD"/>
        </w:rPr>
        <w:t xml:space="preserve">, в том числе из </w:t>
      </w:r>
      <w:r w:rsidR="00A95E8E" w:rsidRPr="00A95E8E">
        <w:rPr>
          <w:rFonts w:asciiTheme="majorHAnsi" w:hAnsiTheme="majorHAnsi" w:cstheme="majorHAnsi"/>
          <w:sz w:val="24"/>
          <w:szCs w:val="24"/>
          <w:lang w:val="ru-MD"/>
        </w:rPr>
        <w:t>Мемориального ордера</w:t>
      </w:r>
      <w:r w:rsidRPr="00A95E8E">
        <w:rPr>
          <w:rFonts w:asciiTheme="majorHAnsi" w:hAnsiTheme="majorHAnsi" w:cstheme="majorHAnsi"/>
          <w:sz w:val="24"/>
          <w:szCs w:val="24"/>
          <w:lang w:val="ru-MD"/>
        </w:rPr>
        <w:t xml:space="preserve"> №10 </w:t>
      </w:r>
      <w:r w:rsidR="00A95E8E" w:rsidRPr="00A95E8E">
        <w:rPr>
          <w:rFonts w:asciiTheme="majorHAnsi" w:hAnsiTheme="majorHAnsi" w:cstheme="majorHAnsi"/>
          <w:sz w:val="24"/>
          <w:szCs w:val="24"/>
          <w:lang w:val="ru-MD"/>
        </w:rPr>
        <w:t>„Д</w:t>
      </w:r>
      <w:r w:rsidRPr="00A95E8E">
        <w:rPr>
          <w:rFonts w:asciiTheme="majorHAnsi" w:hAnsiTheme="majorHAnsi" w:cstheme="majorHAnsi"/>
          <w:sz w:val="24"/>
          <w:szCs w:val="24"/>
          <w:lang w:val="ru-MD"/>
        </w:rPr>
        <w:t>ля операций по закрытию бюджетного года”</w:t>
      </w:r>
      <w:r w:rsidR="00A95E8E" w:rsidRPr="00A95E8E">
        <w:rPr>
          <w:rFonts w:asciiTheme="majorHAnsi" w:hAnsiTheme="majorHAnsi" w:cstheme="majorHAnsi"/>
          <w:sz w:val="24"/>
          <w:szCs w:val="24"/>
          <w:lang w:val="ru-MD"/>
        </w:rPr>
        <w:t>.</w:t>
      </w:r>
      <w:r w:rsidRPr="00A95E8E">
        <w:rPr>
          <w:rFonts w:asciiTheme="majorHAnsi" w:hAnsiTheme="majorHAnsi" w:cstheme="majorHAnsi"/>
          <w:sz w:val="24"/>
          <w:szCs w:val="24"/>
          <w:lang w:val="ru-MD"/>
        </w:rPr>
        <w:t xml:space="preserve"> Таким образом, аудит при выражении аудиторского мнения по </w:t>
      </w:r>
      <w:r w:rsidR="00A95E8E" w:rsidRPr="00A95E8E">
        <w:rPr>
          <w:rFonts w:asciiTheme="majorHAnsi" w:hAnsiTheme="majorHAnsi" w:cstheme="majorHAnsi"/>
          <w:sz w:val="24"/>
          <w:szCs w:val="24"/>
          <w:lang w:val="ru-MD"/>
        </w:rPr>
        <w:t>О</w:t>
      </w:r>
      <w:r w:rsidRPr="00A95E8E">
        <w:rPr>
          <w:rFonts w:asciiTheme="majorHAnsi" w:hAnsiTheme="majorHAnsi" w:cstheme="majorHAnsi"/>
          <w:sz w:val="24"/>
          <w:szCs w:val="24"/>
          <w:lang w:val="ru-MD"/>
        </w:rPr>
        <w:t xml:space="preserve">тчету об исполнении </w:t>
      </w:r>
      <w:r w:rsidR="00A95E8E" w:rsidRPr="00A95E8E">
        <w:rPr>
          <w:rFonts w:asciiTheme="majorHAnsi" w:hAnsiTheme="majorHAnsi" w:cstheme="majorHAnsi"/>
          <w:sz w:val="24"/>
          <w:szCs w:val="24"/>
          <w:lang w:val="ru-MD"/>
        </w:rPr>
        <w:t>ГБ,</w:t>
      </w:r>
      <w:r w:rsidRPr="00A95E8E">
        <w:rPr>
          <w:rFonts w:asciiTheme="majorHAnsi" w:hAnsiTheme="majorHAnsi" w:cstheme="majorHAnsi"/>
          <w:sz w:val="24"/>
          <w:szCs w:val="24"/>
          <w:lang w:val="ru-MD"/>
        </w:rPr>
        <w:t xml:space="preserve"> </w:t>
      </w:r>
      <w:r w:rsidR="00A95E8E" w:rsidRPr="00A95E8E">
        <w:rPr>
          <w:rFonts w:asciiTheme="majorHAnsi" w:hAnsiTheme="majorHAnsi" w:cstheme="majorHAnsi"/>
          <w:sz w:val="24"/>
          <w:szCs w:val="24"/>
          <w:lang w:val="ru-MD"/>
        </w:rPr>
        <w:t>основывался</w:t>
      </w:r>
      <w:r w:rsidRPr="00A95E8E">
        <w:rPr>
          <w:rFonts w:asciiTheme="majorHAnsi" w:hAnsiTheme="majorHAnsi" w:cstheme="majorHAnsi"/>
          <w:sz w:val="24"/>
          <w:szCs w:val="24"/>
          <w:lang w:val="ru-MD"/>
        </w:rPr>
        <w:t xml:space="preserve"> на с</w:t>
      </w:r>
      <w:r w:rsidR="00A95E8E" w:rsidRPr="00A95E8E">
        <w:rPr>
          <w:rFonts w:asciiTheme="majorHAnsi" w:hAnsiTheme="majorHAnsi" w:cstheme="majorHAnsi"/>
          <w:sz w:val="24"/>
          <w:szCs w:val="24"/>
          <w:lang w:val="ru-MD"/>
        </w:rPr>
        <w:t>вере</w:t>
      </w:r>
      <w:r w:rsidRPr="00A95E8E">
        <w:rPr>
          <w:rFonts w:asciiTheme="majorHAnsi" w:hAnsiTheme="majorHAnsi" w:cstheme="majorHAnsi"/>
          <w:sz w:val="24"/>
          <w:szCs w:val="24"/>
          <w:lang w:val="ru-MD"/>
        </w:rPr>
        <w:t>нных данных из казначейской системы и отчетов, поскольку в отсутствие обобщения бухгалтерских документов</w:t>
      </w:r>
      <w:r w:rsidR="00A95E8E" w:rsidRPr="00A95E8E">
        <w:rPr>
          <w:rFonts w:asciiTheme="majorHAnsi" w:hAnsiTheme="majorHAnsi" w:cstheme="majorHAnsi"/>
          <w:sz w:val="24"/>
          <w:szCs w:val="24"/>
          <w:lang w:val="ru-MD"/>
        </w:rPr>
        <w:t>,</w:t>
      </w:r>
      <w:r w:rsidRPr="00A95E8E">
        <w:rPr>
          <w:rFonts w:asciiTheme="majorHAnsi" w:hAnsiTheme="majorHAnsi" w:cstheme="majorHAnsi"/>
          <w:sz w:val="24"/>
          <w:szCs w:val="24"/>
          <w:lang w:val="ru-MD"/>
        </w:rPr>
        <w:t xml:space="preserve"> не </w:t>
      </w:r>
      <w:r w:rsidR="00A95E8E" w:rsidRPr="00A95E8E">
        <w:rPr>
          <w:rFonts w:asciiTheme="majorHAnsi" w:hAnsiTheme="majorHAnsi" w:cstheme="majorHAnsi"/>
          <w:sz w:val="24"/>
          <w:szCs w:val="24"/>
          <w:lang w:val="ru-MD"/>
        </w:rPr>
        <w:t>было возможности</w:t>
      </w:r>
      <w:r w:rsidRPr="00A95E8E">
        <w:rPr>
          <w:rFonts w:asciiTheme="majorHAnsi" w:hAnsiTheme="majorHAnsi" w:cstheme="majorHAnsi"/>
          <w:sz w:val="24"/>
          <w:szCs w:val="24"/>
          <w:lang w:val="ru-MD"/>
        </w:rPr>
        <w:t xml:space="preserve"> полностью провер</w:t>
      </w:r>
      <w:r w:rsidR="00A95E8E" w:rsidRPr="00A95E8E">
        <w:rPr>
          <w:rFonts w:asciiTheme="majorHAnsi" w:hAnsiTheme="majorHAnsi" w:cstheme="majorHAnsi"/>
          <w:sz w:val="24"/>
          <w:szCs w:val="24"/>
          <w:lang w:val="ru-MD"/>
        </w:rPr>
        <w:t>ить</w:t>
      </w:r>
      <w:r w:rsidRPr="00A95E8E">
        <w:rPr>
          <w:rFonts w:asciiTheme="majorHAnsi" w:hAnsiTheme="majorHAnsi" w:cstheme="majorHAnsi"/>
          <w:sz w:val="24"/>
          <w:szCs w:val="24"/>
          <w:lang w:val="ru-MD"/>
        </w:rPr>
        <w:t xml:space="preserve"> </w:t>
      </w:r>
      <w:r w:rsidR="00A95E8E" w:rsidRPr="00A95E8E">
        <w:rPr>
          <w:rFonts w:asciiTheme="majorHAnsi" w:hAnsiTheme="majorHAnsi" w:cstheme="majorHAnsi"/>
          <w:sz w:val="24"/>
          <w:szCs w:val="24"/>
          <w:lang w:val="ru-MD"/>
        </w:rPr>
        <w:t>их</w:t>
      </w:r>
      <w:r w:rsidRPr="00A95E8E">
        <w:rPr>
          <w:rFonts w:asciiTheme="majorHAnsi" w:hAnsiTheme="majorHAnsi" w:cstheme="majorHAnsi"/>
          <w:sz w:val="24"/>
          <w:szCs w:val="24"/>
          <w:lang w:val="ru-MD"/>
        </w:rPr>
        <w:t xml:space="preserve"> соответств</w:t>
      </w:r>
      <w:r w:rsidR="00A95E8E" w:rsidRPr="00A95E8E">
        <w:rPr>
          <w:rFonts w:asciiTheme="majorHAnsi" w:hAnsiTheme="majorHAnsi" w:cstheme="majorHAnsi"/>
          <w:sz w:val="24"/>
          <w:szCs w:val="24"/>
          <w:lang w:val="ru-MD"/>
        </w:rPr>
        <w:t>ие</w:t>
      </w:r>
      <w:r w:rsidRPr="00A95E8E">
        <w:rPr>
          <w:rFonts w:asciiTheme="majorHAnsi" w:hAnsiTheme="majorHAnsi" w:cstheme="majorHAnsi"/>
          <w:sz w:val="24"/>
          <w:szCs w:val="24"/>
          <w:lang w:val="ru-MD"/>
        </w:rPr>
        <w:t xml:space="preserve"> бухгалтерским документам</w:t>
      </w:r>
      <w:r w:rsidR="00ED1629" w:rsidRPr="00A95E8E">
        <w:rPr>
          <w:rFonts w:asciiTheme="majorHAnsi" w:hAnsiTheme="majorHAnsi" w:cstheme="majorHAnsi"/>
          <w:sz w:val="24"/>
          <w:szCs w:val="24"/>
          <w:lang w:val="ru-MD"/>
        </w:rPr>
        <w:t xml:space="preserve">. </w:t>
      </w:r>
    </w:p>
    <w:p w:rsidR="00F62625" w:rsidRPr="006B7F24" w:rsidRDefault="00ED1629" w:rsidP="00F62625">
      <w:pPr>
        <w:spacing w:after="0"/>
        <w:rPr>
          <w:rFonts w:asciiTheme="majorHAnsi" w:hAnsiTheme="majorHAnsi" w:cstheme="majorHAnsi"/>
          <w:i/>
          <w:sz w:val="24"/>
          <w:szCs w:val="24"/>
          <w:lang w:val="ru-MD"/>
        </w:rPr>
      </w:pPr>
      <w:r w:rsidRPr="00F55BA6">
        <w:rPr>
          <w:rFonts w:asciiTheme="majorHAnsi" w:hAnsiTheme="majorHAnsi" w:cstheme="majorHAnsi"/>
          <w:b/>
          <w:i/>
          <w:sz w:val="24"/>
          <w:szCs w:val="24"/>
          <w:lang w:val="ro-RO"/>
        </w:rPr>
        <w:t>*</w:t>
      </w:r>
      <w:r w:rsidR="00A95E8E">
        <w:rPr>
          <w:rFonts w:asciiTheme="majorHAnsi" w:hAnsiTheme="majorHAnsi" w:cstheme="majorHAnsi"/>
          <w:b/>
          <w:i/>
          <w:sz w:val="24"/>
          <w:szCs w:val="24"/>
          <w:lang w:val="ru-RU"/>
        </w:rPr>
        <w:t>Примечание</w:t>
      </w:r>
      <w:r w:rsidRPr="00F55BA6">
        <w:rPr>
          <w:rFonts w:asciiTheme="majorHAnsi" w:hAnsiTheme="majorHAnsi" w:cstheme="majorHAnsi"/>
          <w:b/>
          <w:i/>
          <w:sz w:val="24"/>
          <w:szCs w:val="24"/>
          <w:lang w:val="ro-RO"/>
        </w:rPr>
        <w:t>:</w:t>
      </w:r>
      <w:r w:rsidRPr="00F55BA6">
        <w:rPr>
          <w:rFonts w:asciiTheme="majorHAnsi" w:hAnsiTheme="majorHAnsi" w:cstheme="majorHAnsi"/>
          <w:i/>
          <w:sz w:val="24"/>
          <w:szCs w:val="24"/>
          <w:lang w:val="ro-RO"/>
        </w:rPr>
        <w:t xml:space="preserve"> </w:t>
      </w:r>
      <w:r w:rsidR="0034550B" w:rsidRPr="0034550B">
        <w:rPr>
          <w:rFonts w:asciiTheme="majorHAnsi" w:hAnsiTheme="majorHAnsi" w:cstheme="majorHAnsi"/>
          <w:i/>
          <w:sz w:val="24"/>
          <w:szCs w:val="24"/>
          <w:lang w:val="ro-RO"/>
        </w:rPr>
        <w:t xml:space="preserve">03.06.2021 </w:t>
      </w:r>
      <w:r w:rsidR="0034550B" w:rsidRPr="006B7F24">
        <w:rPr>
          <w:rFonts w:asciiTheme="majorHAnsi" w:hAnsiTheme="majorHAnsi" w:cstheme="majorHAnsi"/>
          <w:i/>
          <w:sz w:val="24"/>
          <w:szCs w:val="24"/>
          <w:lang w:val="ru-MD"/>
        </w:rPr>
        <w:t xml:space="preserve">Управление Государственного </w:t>
      </w:r>
      <w:r w:rsidR="007B5E63" w:rsidRPr="006B7F24">
        <w:rPr>
          <w:rFonts w:asciiTheme="majorHAnsi" w:hAnsiTheme="majorHAnsi" w:cstheme="majorHAnsi"/>
          <w:i/>
          <w:sz w:val="24"/>
          <w:szCs w:val="24"/>
          <w:lang w:val="ru-MD"/>
        </w:rPr>
        <w:t>к</w:t>
      </w:r>
      <w:r w:rsidR="0034550B" w:rsidRPr="006B7F24">
        <w:rPr>
          <w:rFonts w:asciiTheme="majorHAnsi" w:hAnsiTheme="majorHAnsi" w:cstheme="majorHAnsi"/>
          <w:i/>
          <w:sz w:val="24"/>
          <w:szCs w:val="24"/>
          <w:lang w:val="ru-MD"/>
        </w:rPr>
        <w:t>азначейства представ</w:t>
      </w:r>
      <w:r w:rsidR="007B5E63" w:rsidRPr="006B7F24">
        <w:rPr>
          <w:rFonts w:asciiTheme="majorHAnsi" w:hAnsiTheme="majorHAnsi" w:cstheme="majorHAnsi"/>
          <w:i/>
          <w:sz w:val="24"/>
          <w:szCs w:val="24"/>
          <w:lang w:val="ru-MD"/>
        </w:rPr>
        <w:t>и</w:t>
      </w:r>
      <w:r w:rsidR="0034550B" w:rsidRPr="006B7F24">
        <w:rPr>
          <w:rFonts w:asciiTheme="majorHAnsi" w:hAnsiTheme="majorHAnsi" w:cstheme="majorHAnsi"/>
          <w:i/>
          <w:sz w:val="24"/>
          <w:szCs w:val="24"/>
          <w:lang w:val="ru-MD"/>
        </w:rPr>
        <w:t>л</w:t>
      </w:r>
      <w:r w:rsidR="007B5E63" w:rsidRPr="006B7F24">
        <w:rPr>
          <w:rFonts w:asciiTheme="majorHAnsi" w:hAnsiTheme="majorHAnsi" w:cstheme="majorHAnsi"/>
          <w:i/>
          <w:sz w:val="24"/>
          <w:szCs w:val="24"/>
          <w:lang w:val="ru-MD"/>
        </w:rPr>
        <w:t>о</w:t>
      </w:r>
      <w:r w:rsidR="0034550B" w:rsidRPr="006B7F24">
        <w:rPr>
          <w:rFonts w:asciiTheme="majorHAnsi" w:hAnsiTheme="majorHAnsi" w:cstheme="majorHAnsi"/>
          <w:i/>
          <w:sz w:val="24"/>
          <w:szCs w:val="24"/>
          <w:lang w:val="ru-MD"/>
        </w:rPr>
        <w:t xml:space="preserve"> аудиторской групп</w:t>
      </w:r>
      <w:r w:rsidR="007B5E63" w:rsidRPr="006B7F24">
        <w:rPr>
          <w:rFonts w:asciiTheme="majorHAnsi" w:hAnsiTheme="majorHAnsi" w:cstheme="majorHAnsi"/>
          <w:i/>
          <w:sz w:val="24"/>
          <w:szCs w:val="24"/>
          <w:lang w:val="ru-MD"/>
        </w:rPr>
        <w:t xml:space="preserve">е </w:t>
      </w:r>
      <w:r w:rsidR="00F62625" w:rsidRPr="006B7F24">
        <w:rPr>
          <w:rFonts w:asciiTheme="majorHAnsi" w:hAnsiTheme="majorHAnsi" w:cstheme="majorHAnsi"/>
          <w:i/>
          <w:sz w:val="24"/>
          <w:szCs w:val="24"/>
          <w:lang w:val="ru-MD"/>
        </w:rPr>
        <w:t xml:space="preserve">следующие бухгалтерские документы: Бухгалтерская </w:t>
      </w:r>
      <w:r w:rsidR="00F91A50" w:rsidRPr="006B7F24">
        <w:rPr>
          <w:rFonts w:asciiTheme="majorHAnsi" w:hAnsiTheme="majorHAnsi" w:cstheme="majorHAnsi"/>
          <w:i/>
          <w:sz w:val="24"/>
          <w:szCs w:val="24"/>
          <w:lang w:val="ru-MD"/>
        </w:rPr>
        <w:t>справка</w:t>
      </w:r>
      <w:r w:rsidR="00F62625" w:rsidRPr="006B7F24">
        <w:rPr>
          <w:rFonts w:asciiTheme="majorHAnsi" w:hAnsiTheme="majorHAnsi" w:cstheme="majorHAnsi"/>
          <w:i/>
          <w:sz w:val="24"/>
          <w:szCs w:val="24"/>
          <w:lang w:val="ru-MD"/>
        </w:rPr>
        <w:t xml:space="preserve"> №5 </w:t>
      </w:r>
      <w:r w:rsidR="00F62625" w:rsidRPr="006B7F24">
        <w:rPr>
          <w:rFonts w:asciiTheme="majorHAnsi" w:eastAsia="Times New Roman" w:hAnsiTheme="majorHAnsi" w:cstheme="majorHAnsi"/>
          <w:i/>
          <w:iCs/>
          <w:sz w:val="24"/>
          <w:szCs w:val="24"/>
          <w:lang w:val="ru-MD"/>
        </w:rPr>
        <w:t>„По</w:t>
      </w:r>
      <w:r w:rsidR="00F62625" w:rsidRPr="006B7F24">
        <w:rPr>
          <w:rFonts w:asciiTheme="majorHAnsi" w:hAnsiTheme="majorHAnsi" w:cstheme="majorHAnsi"/>
          <w:i/>
          <w:sz w:val="24"/>
          <w:szCs w:val="24"/>
          <w:lang w:val="ru-MD"/>
        </w:rPr>
        <w:t xml:space="preserve"> операциям вне казначейской системы, включенным в кассовое исполнение бюджетов на</w:t>
      </w:r>
      <w:r w:rsidR="00F62625" w:rsidRPr="00F62625">
        <w:rPr>
          <w:rFonts w:asciiTheme="majorHAnsi" w:hAnsiTheme="majorHAnsi" w:cstheme="majorHAnsi"/>
          <w:i/>
          <w:sz w:val="24"/>
          <w:szCs w:val="24"/>
          <w:lang w:val="ro-RO"/>
        </w:rPr>
        <w:t xml:space="preserve"> </w:t>
      </w:r>
      <w:r w:rsidR="00F62625" w:rsidRPr="006B7F24">
        <w:rPr>
          <w:rFonts w:asciiTheme="majorHAnsi" w:hAnsiTheme="majorHAnsi" w:cstheme="majorHAnsi"/>
          <w:i/>
          <w:sz w:val="24"/>
          <w:szCs w:val="24"/>
          <w:lang w:val="ru-MD"/>
        </w:rPr>
        <w:lastRenderedPageBreak/>
        <w:t xml:space="preserve">основе отчетов" и Бухгалтерская справка №8 </w:t>
      </w:r>
      <w:r w:rsidR="00F62625" w:rsidRPr="006B7F24">
        <w:rPr>
          <w:rFonts w:asciiTheme="majorHAnsi" w:eastAsia="Times New Roman" w:hAnsiTheme="majorHAnsi" w:cstheme="majorHAnsi"/>
          <w:i/>
          <w:iCs/>
          <w:sz w:val="24"/>
          <w:szCs w:val="24"/>
          <w:lang w:val="ru-MD"/>
        </w:rPr>
        <w:t>„</w:t>
      </w:r>
      <w:r w:rsidR="006B7F24" w:rsidRPr="006B7F24">
        <w:rPr>
          <w:rFonts w:asciiTheme="majorHAnsi" w:eastAsia="Times New Roman" w:hAnsiTheme="majorHAnsi" w:cstheme="majorHAnsi"/>
          <w:i/>
          <w:iCs/>
          <w:sz w:val="24"/>
          <w:szCs w:val="24"/>
          <w:lang w:val="ru-MD"/>
        </w:rPr>
        <w:t>По суммам, не выявленным на ЕКС (CUT)”</w:t>
      </w:r>
      <w:r w:rsidR="00F62625" w:rsidRPr="006B7F24">
        <w:rPr>
          <w:rFonts w:asciiTheme="majorHAnsi" w:hAnsiTheme="majorHAnsi" w:cstheme="majorHAnsi"/>
          <w:i/>
          <w:sz w:val="24"/>
          <w:szCs w:val="24"/>
          <w:lang w:val="ru-MD"/>
        </w:rPr>
        <w:t>, электронн</w:t>
      </w:r>
      <w:r w:rsidR="006B7F24" w:rsidRPr="006B7F24">
        <w:rPr>
          <w:rFonts w:asciiTheme="majorHAnsi" w:hAnsiTheme="majorHAnsi" w:cstheme="majorHAnsi"/>
          <w:i/>
          <w:sz w:val="24"/>
          <w:szCs w:val="24"/>
          <w:lang w:val="ru-MD"/>
        </w:rPr>
        <w:t>ую</w:t>
      </w:r>
      <w:r w:rsidR="00F62625" w:rsidRPr="006B7F24">
        <w:rPr>
          <w:rFonts w:asciiTheme="majorHAnsi" w:hAnsiTheme="majorHAnsi" w:cstheme="majorHAnsi"/>
          <w:i/>
          <w:sz w:val="24"/>
          <w:szCs w:val="24"/>
          <w:lang w:val="ru-MD"/>
        </w:rPr>
        <w:t xml:space="preserve"> </w:t>
      </w:r>
      <w:r w:rsidR="006B7F24" w:rsidRPr="006B7F24">
        <w:rPr>
          <w:rFonts w:asciiTheme="majorHAnsi" w:hAnsiTheme="majorHAnsi" w:cstheme="majorHAnsi"/>
          <w:i/>
          <w:sz w:val="24"/>
          <w:szCs w:val="24"/>
          <w:lang w:val="ru-MD"/>
        </w:rPr>
        <w:t xml:space="preserve">Большую </w:t>
      </w:r>
      <w:r w:rsidR="00F62625" w:rsidRPr="006B7F24">
        <w:rPr>
          <w:rFonts w:asciiTheme="majorHAnsi" w:hAnsiTheme="majorHAnsi" w:cstheme="majorHAnsi"/>
          <w:i/>
          <w:sz w:val="24"/>
          <w:szCs w:val="24"/>
          <w:lang w:val="ru-MD"/>
        </w:rPr>
        <w:t>книг</w:t>
      </w:r>
      <w:r w:rsidR="006B7F24" w:rsidRPr="006B7F24">
        <w:rPr>
          <w:rFonts w:asciiTheme="majorHAnsi" w:hAnsiTheme="majorHAnsi" w:cstheme="majorHAnsi"/>
          <w:i/>
          <w:sz w:val="24"/>
          <w:szCs w:val="24"/>
          <w:lang w:val="ru-MD"/>
        </w:rPr>
        <w:t>у</w:t>
      </w:r>
      <w:r w:rsidR="00F62625" w:rsidRPr="006B7F24">
        <w:rPr>
          <w:rFonts w:asciiTheme="majorHAnsi" w:hAnsiTheme="majorHAnsi" w:cstheme="majorHAnsi"/>
          <w:i/>
          <w:sz w:val="24"/>
          <w:szCs w:val="24"/>
          <w:lang w:val="ru-MD"/>
        </w:rPr>
        <w:t xml:space="preserve"> и </w:t>
      </w:r>
      <w:r w:rsidR="006B7F24" w:rsidRPr="006B7F24">
        <w:rPr>
          <w:rFonts w:asciiTheme="majorHAnsi" w:hAnsiTheme="majorHAnsi" w:cstheme="majorHAnsi"/>
          <w:i/>
          <w:sz w:val="24"/>
          <w:szCs w:val="24"/>
          <w:lang w:val="ru-MD"/>
        </w:rPr>
        <w:t>ведомости</w:t>
      </w:r>
      <w:r w:rsidR="00F62625" w:rsidRPr="006B7F24">
        <w:rPr>
          <w:rFonts w:asciiTheme="majorHAnsi" w:hAnsiTheme="majorHAnsi" w:cstheme="majorHAnsi"/>
          <w:i/>
          <w:sz w:val="24"/>
          <w:szCs w:val="24"/>
          <w:lang w:val="ru-MD"/>
        </w:rPr>
        <w:t xml:space="preserve"> </w:t>
      </w:r>
      <w:r w:rsidR="006B7F24" w:rsidRPr="006B7F24">
        <w:rPr>
          <w:rFonts w:asciiTheme="majorHAnsi" w:eastAsia="Times New Roman" w:hAnsiTheme="majorHAnsi" w:cstheme="majorHAnsi"/>
          <w:i/>
          <w:iCs/>
          <w:sz w:val="24"/>
          <w:szCs w:val="24"/>
          <w:lang w:val="ru-MD"/>
        </w:rPr>
        <w:t>ордеров на перечисление</w:t>
      </w:r>
      <w:r w:rsidR="00F62625" w:rsidRPr="006B7F24">
        <w:rPr>
          <w:rFonts w:asciiTheme="majorHAnsi" w:hAnsiTheme="majorHAnsi" w:cstheme="majorHAnsi"/>
          <w:i/>
          <w:sz w:val="24"/>
          <w:szCs w:val="24"/>
          <w:lang w:val="ru-MD"/>
        </w:rPr>
        <w:t>.</w:t>
      </w:r>
    </w:p>
    <w:p w:rsidR="006E2E6A" w:rsidRPr="006B7F24" w:rsidRDefault="006B7F24" w:rsidP="005E4D53">
      <w:pPr>
        <w:spacing w:after="0"/>
        <w:rPr>
          <w:rFonts w:asciiTheme="majorHAnsi" w:hAnsiTheme="majorHAnsi" w:cstheme="majorHAnsi"/>
          <w:i/>
          <w:sz w:val="24"/>
          <w:szCs w:val="24"/>
          <w:lang w:val="ru-MD"/>
        </w:rPr>
      </w:pPr>
      <w:r w:rsidRPr="006B7F24">
        <w:rPr>
          <w:rFonts w:asciiTheme="majorHAnsi" w:hAnsiTheme="majorHAnsi" w:cstheme="majorHAnsi"/>
          <w:i/>
          <w:sz w:val="24"/>
          <w:szCs w:val="24"/>
          <w:lang w:val="ru-MD"/>
        </w:rPr>
        <w:t>Одновременно,</w:t>
      </w:r>
      <w:r w:rsidR="00F62625" w:rsidRPr="006B7F24">
        <w:rPr>
          <w:rFonts w:asciiTheme="majorHAnsi" w:hAnsiTheme="majorHAnsi" w:cstheme="majorHAnsi"/>
          <w:i/>
          <w:sz w:val="24"/>
          <w:szCs w:val="24"/>
          <w:lang w:val="ru-MD"/>
        </w:rPr>
        <w:t xml:space="preserve"> Управление Государственного казначейства скорректировало </w:t>
      </w:r>
      <w:r w:rsidRPr="006B7F24">
        <w:rPr>
          <w:rFonts w:asciiTheme="majorHAnsi" w:hAnsiTheme="majorHAnsi" w:cstheme="majorHAnsi"/>
          <w:i/>
          <w:sz w:val="24"/>
          <w:szCs w:val="24"/>
          <w:lang w:val="ru-MD"/>
        </w:rPr>
        <w:t xml:space="preserve">Бухгалтерский </w:t>
      </w:r>
      <w:r w:rsidR="00F62625" w:rsidRPr="006B7F24">
        <w:rPr>
          <w:rFonts w:asciiTheme="majorHAnsi" w:hAnsiTheme="majorHAnsi" w:cstheme="majorHAnsi"/>
          <w:i/>
          <w:sz w:val="24"/>
          <w:szCs w:val="24"/>
          <w:lang w:val="ru-MD"/>
        </w:rPr>
        <w:t>баланс в соответствии с нормативной базой</w:t>
      </w:r>
      <w:r w:rsidRPr="006B7F24">
        <w:rPr>
          <w:rFonts w:asciiTheme="majorHAnsi" w:hAnsiTheme="majorHAnsi" w:cstheme="majorHAnsi"/>
          <w:i/>
          <w:sz w:val="24"/>
          <w:szCs w:val="24"/>
          <w:lang w:val="ru-MD"/>
        </w:rPr>
        <w:t>,</w:t>
      </w:r>
      <w:r w:rsidR="00F62625" w:rsidRPr="006B7F24">
        <w:rPr>
          <w:rFonts w:asciiTheme="majorHAnsi" w:hAnsiTheme="majorHAnsi" w:cstheme="majorHAnsi"/>
          <w:i/>
          <w:sz w:val="24"/>
          <w:szCs w:val="24"/>
          <w:lang w:val="ru-MD"/>
        </w:rPr>
        <w:t xml:space="preserve"> и </w:t>
      </w:r>
      <w:r w:rsidRPr="006B7F24">
        <w:rPr>
          <w:rFonts w:asciiTheme="majorHAnsi" w:hAnsiTheme="majorHAnsi" w:cstheme="majorHAnsi"/>
          <w:i/>
          <w:sz w:val="24"/>
          <w:szCs w:val="24"/>
          <w:lang w:val="ru-MD"/>
        </w:rPr>
        <w:t>отрази</w:t>
      </w:r>
      <w:r w:rsidR="00F62625" w:rsidRPr="006B7F24">
        <w:rPr>
          <w:rFonts w:asciiTheme="majorHAnsi" w:hAnsiTheme="majorHAnsi" w:cstheme="majorHAnsi"/>
          <w:i/>
          <w:sz w:val="24"/>
          <w:szCs w:val="24"/>
          <w:lang w:val="ru-MD"/>
        </w:rPr>
        <w:t xml:space="preserve">ло </w:t>
      </w:r>
      <w:r w:rsidRPr="006B7F24">
        <w:rPr>
          <w:rFonts w:asciiTheme="majorHAnsi" w:hAnsiTheme="majorHAnsi" w:cstheme="majorHAnsi"/>
          <w:i/>
          <w:sz w:val="24"/>
          <w:szCs w:val="24"/>
          <w:lang w:val="ru-MD"/>
        </w:rPr>
        <w:t>его</w:t>
      </w:r>
      <w:r w:rsidR="00F62625" w:rsidRPr="006B7F24">
        <w:rPr>
          <w:rFonts w:asciiTheme="majorHAnsi" w:hAnsiTheme="majorHAnsi" w:cstheme="majorHAnsi"/>
          <w:i/>
          <w:sz w:val="24"/>
          <w:szCs w:val="24"/>
          <w:lang w:val="ru-MD"/>
        </w:rPr>
        <w:t xml:space="preserve"> </w:t>
      </w:r>
      <w:r w:rsidRPr="006B7F24">
        <w:rPr>
          <w:rFonts w:asciiTheme="majorHAnsi" w:hAnsiTheme="majorHAnsi" w:cstheme="majorHAnsi"/>
          <w:i/>
          <w:sz w:val="24"/>
          <w:szCs w:val="24"/>
          <w:lang w:val="ru-MD"/>
        </w:rPr>
        <w:t>как</w:t>
      </w:r>
      <w:r w:rsidR="00F62625" w:rsidRPr="006B7F24">
        <w:rPr>
          <w:rFonts w:asciiTheme="majorHAnsi" w:hAnsiTheme="majorHAnsi" w:cstheme="majorHAnsi"/>
          <w:i/>
          <w:sz w:val="24"/>
          <w:szCs w:val="24"/>
          <w:lang w:val="ru-MD"/>
        </w:rPr>
        <w:t xml:space="preserve"> приложени</w:t>
      </w:r>
      <w:r w:rsidRPr="006B7F24">
        <w:rPr>
          <w:rFonts w:asciiTheme="majorHAnsi" w:hAnsiTheme="majorHAnsi" w:cstheme="majorHAnsi"/>
          <w:i/>
          <w:sz w:val="24"/>
          <w:szCs w:val="24"/>
          <w:lang w:val="ru-MD"/>
        </w:rPr>
        <w:t>е</w:t>
      </w:r>
      <w:r w:rsidR="00F62625" w:rsidRPr="006B7F24">
        <w:rPr>
          <w:rFonts w:asciiTheme="majorHAnsi" w:hAnsiTheme="majorHAnsi" w:cstheme="majorHAnsi"/>
          <w:i/>
          <w:sz w:val="24"/>
          <w:szCs w:val="24"/>
          <w:lang w:val="ru-MD"/>
        </w:rPr>
        <w:t xml:space="preserve"> к </w:t>
      </w:r>
      <w:r w:rsidRPr="006B7F24">
        <w:rPr>
          <w:rFonts w:asciiTheme="majorHAnsi" w:hAnsiTheme="majorHAnsi" w:cstheme="majorHAnsi"/>
          <w:i/>
          <w:sz w:val="24"/>
          <w:szCs w:val="24"/>
          <w:lang w:val="ru-MD"/>
        </w:rPr>
        <w:t>О</w:t>
      </w:r>
      <w:r w:rsidR="00F62625" w:rsidRPr="006B7F24">
        <w:rPr>
          <w:rFonts w:asciiTheme="majorHAnsi" w:hAnsiTheme="majorHAnsi" w:cstheme="majorHAnsi"/>
          <w:i/>
          <w:sz w:val="24"/>
          <w:szCs w:val="24"/>
          <w:lang w:val="ru-MD"/>
        </w:rPr>
        <w:t xml:space="preserve">тчету об исполнении </w:t>
      </w:r>
      <w:r w:rsidRPr="006B7F24">
        <w:rPr>
          <w:rFonts w:asciiTheme="majorHAnsi" w:hAnsiTheme="majorHAnsi" w:cstheme="majorHAnsi"/>
          <w:i/>
          <w:sz w:val="24"/>
          <w:szCs w:val="24"/>
          <w:lang w:val="ru-MD"/>
        </w:rPr>
        <w:t>ГБ</w:t>
      </w:r>
      <w:r w:rsidR="00F62625" w:rsidRPr="006B7F24">
        <w:rPr>
          <w:rFonts w:asciiTheme="majorHAnsi" w:hAnsiTheme="majorHAnsi" w:cstheme="majorHAnsi"/>
          <w:i/>
          <w:sz w:val="24"/>
          <w:szCs w:val="24"/>
          <w:lang w:val="ru-MD"/>
        </w:rPr>
        <w:t xml:space="preserve"> за 2020 год, </w:t>
      </w:r>
      <w:r w:rsidRPr="006B7F24">
        <w:rPr>
          <w:rFonts w:asciiTheme="majorHAnsi" w:hAnsiTheme="majorHAnsi" w:cstheme="majorHAnsi"/>
          <w:i/>
          <w:sz w:val="24"/>
          <w:szCs w:val="24"/>
          <w:lang w:val="ru-MD"/>
        </w:rPr>
        <w:t>направив его</w:t>
      </w:r>
      <w:r w:rsidR="00F62625" w:rsidRPr="006B7F24">
        <w:rPr>
          <w:rFonts w:asciiTheme="majorHAnsi" w:hAnsiTheme="majorHAnsi" w:cstheme="majorHAnsi"/>
          <w:i/>
          <w:sz w:val="24"/>
          <w:szCs w:val="24"/>
          <w:lang w:val="ru-MD"/>
        </w:rPr>
        <w:t xml:space="preserve"> в Счетную палату письмом №12/4-7-43 </w:t>
      </w:r>
      <w:r w:rsidRPr="006B7F24">
        <w:rPr>
          <w:rFonts w:asciiTheme="majorHAnsi" w:hAnsiTheme="majorHAnsi" w:cstheme="majorHAnsi"/>
          <w:i/>
          <w:sz w:val="24"/>
          <w:szCs w:val="24"/>
          <w:lang w:val="ru-MD"/>
        </w:rPr>
        <w:t xml:space="preserve">от </w:t>
      </w:r>
      <w:r w:rsidR="00F62625" w:rsidRPr="006B7F24">
        <w:rPr>
          <w:rFonts w:asciiTheme="majorHAnsi" w:hAnsiTheme="majorHAnsi" w:cstheme="majorHAnsi"/>
          <w:i/>
          <w:sz w:val="24"/>
          <w:szCs w:val="24"/>
          <w:lang w:val="ru-MD"/>
        </w:rPr>
        <w:t>07.06.2021</w:t>
      </w:r>
      <w:r w:rsidR="00ED1629" w:rsidRPr="006B7F24">
        <w:rPr>
          <w:rFonts w:asciiTheme="majorHAnsi" w:eastAsia="Times New Roman" w:hAnsiTheme="majorHAnsi" w:cstheme="majorHAnsi"/>
          <w:i/>
          <w:iCs/>
          <w:sz w:val="24"/>
          <w:szCs w:val="24"/>
          <w:lang w:val="ru-MD"/>
        </w:rPr>
        <w:t>.</w:t>
      </w:r>
    </w:p>
    <w:p w:rsidR="005E4D53" w:rsidRPr="00FD3FAD" w:rsidRDefault="005E4D53" w:rsidP="00B115D2">
      <w:pPr>
        <w:tabs>
          <w:tab w:val="left" w:pos="426"/>
        </w:tabs>
        <w:spacing w:after="0" w:line="276" w:lineRule="auto"/>
        <w:contextualSpacing/>
        <w:outlineLvl w:val="0"/>
        <w:rPr>
          <w:rFonts w:asciiTheme="majorHAnsi" w:hAnsiTheme="majorHAnsi" w:cstheme="majorHAnsi"/>
          <w:b/>
          <w:szCs w:val="28"/>
          <w:lang w:val="ru-MD"/>
        </w:rPr>
      </w:pPr>
      <w:r w:rsidRPr="00F55BA6">
        <w:rPr>
          <w:rFonts w:asciiTheme="majorHAnsi" w:hAnsiTheme="majorHAnsi" w:cstheme="majorHAnsi"/>
          <w:b/>
          <w:sz w:val="24"/>
          <w:szCs w:val="24"/>
          <w:lang w:val="ro-RO"/>
        </w:rPr>
        <w:t xml:space="preserve">6.6. </w:t>
      </w:r>
      <w:r w:rsidR="00565EEA" w:rsidRPr="00FD3FAD">
        <w:rPr>
          <w:rFonts w:asciiTheme="majorHAnsi" w:hAnsiTheme="majorHAnsi" w:cstheme="majorHAnsi"/>
          <w:b/>
          <w:sz w:val="24"/>
          <w:szCs w:val="24"/>
          <w:lang w:val="ru-MD"/>
        </w:rPr>
        <w:t xml:space="preserve">Из </w:t>
      </w:r>
      <w:r w:rsidR="00FD3FAD" w:rsidRPr="00FD3FAD">
        <w:rPr>
          <w:rFonts w:asciiTheme="majorHAnsi" w:hAnsiTheme="majorHAnsi" w:cstheme="majorHAnsi"/>
          <w:b/>
          <w:sz w:val="24"/>
          <w:szCs w:val="24"/>
          <w:lang w:val="ru-MD"/>
        </w:rPr>
        <w:t>собра</w:t>
      </w:r>
      <w:r w:rsidR="00565EEA" w:rsidRPr="00FD3FAD">
        <w:rPr>
          <w:rFonts w:asciiTheme="majorHAnsi" w:hAnsiTheme="majorHAnsi" w:cstheme="majorHAnsi"/>
          <w:b/>
          <w:sz w:val="24"/>
          <w:szCs w:val="24"/>
          <w:lang w:val="ru-MD"/>
        </w:rPr>
        <w:t>нных/выплаченных доходов от внешних грантов и займов</w:t>
      </w:r>
      <w:r w:rsidR="001910E9" w:rsidRPr="00FD3FAD">
        <w:rPr>
          <w:rFonts w:asciiTheme="majorHAnsi" w:hAnsiTheme="majorHAnsi" w:cstheme="majorHAnsi"/>
          <w:b/>
          <w:sz w:val="24"/>
          <w:szCs w:val="24"/>
          <w:lang w:val="ru-MD"/>
        </w:rPr>
        <w:t>,</w:t>
      </w:r>
      <w:r w:rsidR="00565EEA" w:rsidRPr="00FD3FAD">
        <w:rPr>
          <w:rFonts w:asciiTheme="majorHAnsi" w:hAnsiTheme="majorHAnsi" w:cstheme="majorHAnsi"/>
          <w:b/>
          <w:sz w:val="24"/>
          <w:szCs w:val="24"/>
          <w:lang w:val="ru-MD"/>
        </w:rPr>
        <w:t xml:space="preserve"> бюджетными учреждениями/органами в рамках проектов, финансируемых из внешних источников, были </w:t>
      </w:r>
      <w:r w:rsidR="00FD3FAD" w:rsidRPr="00FD3FAD">
        <w:rPr>
          <w:rFonts w:asciiTheme="majorHAnsi" w:hAnsiTheme="majorHAnsi" w:cstheme="majorHAnsi"/>
          <w:b/>
          <w:sz w:val="24"/>
          <w:szCs w:val="24"/>
          <w:lang w:val="ru-MD"/>
        </w:rPr>
        <w:t>ис</w:t>
      </w:r>
      <w:r w:rsidR="00565EEA" w:rsidRPr="00FD3FAD">
        <w:rPr>
          <w:rFonts w:asciiTheme="majorHAnsi" w:hAnsiTheme="majorHAnsi" w:cstheme="majorHAnsi"/>
          <w:b/>
          <w:sz w:val="24"/>
          <w:szCs w:val="24"/>
          <w:lang w:val="ru-MD"/>
        </w:rPr>
        <w:t xml:space="preserve">полнены расходы на уровне </w:t>
      </w:r>
      <w:r w:rsidR="00FD3FAD" w:rsidRPr="00FD3FAD">
        <w:rPr>
          <w:rFonts w:asciiTheme="majorHAnsi" w:hAnsiTheme="majorHAnsi" w:cstheme="majorHAnsi"/>
          <w:b/>
          <w:sz w:val="24"/>
          <w:szCs w:val="24"/>
          <w:lang w:val="ru-MD"/>
        </w:rPr>
        <w:t xml:space="preserve">лишь </w:t>
      </w:r>
      <w:r w:rsidR="00565EEA" w:rsidRPr="00FD3FAD">
        <w:rPr>
          <w:rFonts w:asciiTheme="majorHAnsi" w:hAnsiTheme="majorHAnsi" w:cstheme="majorHAnsi"/>
          <w:b/>
          <w:sz w:val="24"/>
          <w:szCs w:val="24"/>
          <w:lang w:val="ru-MD"/>
        </w:rPr>
        <w:t xml:space="preserve">44,8%, </w:t>
      </w:r>
      <w:r w:rsidR="00FD3FAD" w:rsidRPr="00FD3FAD">
        <w:rPr>
          <w:rFonts w:asciiTheme="majorHAnsi" w:hAnsiTheme="majorHAnsi" w:cstheme="majorHAnsi"/>
          <w:b/>
          <w:sz w:val="24"/>
          <w:szCs w:val="24"/>
          <w:lang w:val="ru-MD"/>
        </w:rPr>
        <w:t>на</w:t>
      </w:r>
      <w:r w:rsidR="00565EEA" w:rsidRPr="00FD3FAD">
        <w:rPr>
          <w:rFonts w:asciiTheme="majorHAnsi" w:hAnsiTheme="majorHAnsi" w:cstheme="majorHAnsi"/>
          <w:b/>
          <w:sz w:val="24"/>
          <w:szCs w:val="24"/>
          <w:lang w:val="ru-MD"/>
        </w:rPr>
        <w:t xml:space="preserve"> кон</w:t>
      </w:r>
      <w:r w:rsidR="00FD3FAD" w:rsidRPr="00FD3FAD">
        <w:rPr>
          <w:rFonts w:asciiTheme="majorHAnsi" w:hAnsiTheme="majorHAnsi" w:cstheme="majorHAnsi"/>
          <w:b/>
          <w:sz w:val="24"/>
          <w:szCs w:val="24"/>
          <w:lang w:val="ru-MD"/>
        </w:rPr>
        <w:t>е</w:t>
      </w:r>
      <w:r w:rsidR="00565EEA" w:rsidRPr="00FD3FAD">
        <w:rPr>
          <w:rFonts w:asciiTheme="majorHAnsi" w:hAnsiTheme="majorHAnsi" w:cstheme="majorHAnsi"/>
          <w:b/>
          <w:sz w:val="24"/>
          <w:szCs w:val="24"/>
          <w:lang w:val="ru-MD"/>
        </w:rPr>
        <w:t>ц 2020 года был за</w:t>
      </w:r>
      <w:r w:rsidR="00FD3FAD" w:rsidRPr="00FD3FAD">
        <w:rPr>
          <w:rFonts w:asciiTheme="majorHAnsi" w:hAnsiTheme="majorHAnsi" w:cstheme="majorHAnsi"/>
          <w:b/>
          <w:sz w:val="24"/>
          <w:szCs w:val="24"/>
          <w:lang w:val="ru-MD"/>
        </w:rPr>
        <w:t>регистр</w:t>
      </w:r>
      <w:r w:rsidR="00565EEA" w:rsidRPr="00FD3FAD">
        <w:rPr>
          <w:rFonts w:asciiTheme="majorHAnsi" w:hAnsiTheme="majorHAnsi" w:cstheme="majorHAnsi"/>
          <w:b/>
          <w:sz w:val="24"/>
          <w:szCs w:val="24"/>
          <w:lang w:val="ru-MD"/>
        </w:rPr>
        <w:t xml:space="preserve">ирован остаток денежных средств </w:t>
      </w:r>
      <w:r w:rsidR="00FD3FAD" w:rsidRPr="00FD3FAD">
        <w:rPr>
          <w:rFonts w:asciiTheme="majorHAnsi" w:hAnsiTheme="majorHAnsi" w:cstheme="majorHAnsi"/>
          <w:b/>
          <w:sz w:val="24"/>
          <w:szCs w:val="24"/>
          <w:lang w:val="ru-MD"/>
        </w:rPr>
        <w:t>в</w:t>
      </w:r>
      <w:r w:rsidR="00565EEA" w:rsidRPr="00FD3FAD">
        <w:rPr>
          <w:rFonts w:asciiTheme="majorHAnsi" w:hAnsiTheme="majorHAnsi" w:cstheme="majorHAnsi"/>
          <w:b/>
          <w:sz w:val="24"/>
          <w:szCs w:val="24"/>
          <w:lang w:val="ru-MD"/>
        </w:rPr>
        <w:t xml:space="preserve"> сумм</w:t>
      </w:r>
      <w:r w:rsidR="00FD3FAD" w:rsidRPr="00FD3FAD">
        <w:rPr>
          <w:rFonts w:asciiTheme="majorHAnsi" w:hAnsiTheme="majorHAnsi" w:cstheme="majorHAnsi"/>
          <w:b/>
          <w:sz w:val="24"/>
          <w:szCs w:val="24"/>
          <w:lang w:val="ru-MD"/>
        </w:rPr>
        <w:t>е</w:t>
      </w:r>
      <w:r w:rsidR="00565EEA" w:rsidRPr="00FD3FAD">
        <w:rPr>
          <w:rFonts w:asciiTheme="majorHAnsi" w:hAnsiTheme="majorHAnsi" w:cstheme="majorHAnsi"/>
          <w:b/>
          <w:sz w:val="24"/>
          <w:szCs w:val="24"/>
          <w:lang w:val="ru-MD"/>
        </w:rPr>
        <w:t xml:space="preserve"> 1 575,5 млн. ле</w:t>
      </w:r>
      <w:r w:rsidR="00FD3FAD" w:rsidRPr="00FD3FAD">
        <w:rPr>
          <w:rFonts w:asciiTheme="majorHAnsi" w:hAnsiTheme="majorHAnsi" w:cstheme="majorHAnsi"/>
          <w:b/>
          <w:sz w:val="24"/>
          <w:szCs w:val="24"/>
          <w:lang w:val="ru-MD"/>
        </w:rPr>
        <w:t>ев</w:t>
      </w:r>
      <w:r w:rsidR="003A4756" w:rsidRPr="00FD3FAD">
        <w:rPr>
          <w:rFonts w:asciiTheme="majorHAnsi" w:hAnsiTheme="majorHAnsi" w:cstheme="majorHAnsi"/>
          <w:b/>
          <w:sz w:val="24"/>
          <w:szCs w:val="24"/>
          <w:lang w:val="ru-MD"/>
        </w:rPr>
        <w:t>.</w:t>
      </w:r>
    </w:p>
    <w:p w:rsidR="006E2E6A" w:rsidRPr="00FD3FAD" w:rsidRDefault="00FD3FAD" w:rsidP="006E2E6A">
      <w:pPr>
        <w:pStyle w:val="NoSpacing"/>
        <w:spacing w:line="276" w:lineRule="auto"/>
        <w:jc w:val="both"/>
        <w:rPr>
          <w:rFonts w:asciiTheme="majorHAnsi" w:hAnsiTheme="majorHAnsi" w:cstheme="majorHAnsi"/>
          <w:sz w:val="24"/>
          <w:szCs w:val="24"/>
          <w:lang w:val="ru-MD"/>
        </w:rPr>
      </w:pPr>
      <w:r w:rsidRPr="00FD3FAD">
        <w:rPr>
          <w:rFonts w:asciiTheme="majorHAnsi" w:hAnsiTheme="majorHAnsi" w:cstheme="majorHAnsi"/>
          <w:sz w:val="24"/>
          <w:szCs w:val="24"/>
          <w:lang w:val="ru-MD"/>
        </w:rPr>
        <w:t>Первоначально утвержденные д</w:t>
      </w:r>
      <w:r w:rsidR="00057236" w:rsidRPr="00FD3FAD">
        <w:rPr>
          <w:rFonts w:asciiTheme="majorHAnsi" w:hAnsiTheme="majorHAnsi" w:cstheme="majorHAnsi"/>
          <w:sz w:val="24"/>
          <w:szCs w:val="24"/>
          <w:lang w:val="ru-MD"/>
        </w:rPr>
        <w:t>оходы от грантов составили 1 773,5 млн. леев</w:t>
      </w:r>
      <w:r w:rsidRPr="00FD3FAD">
        <w:rPr>
          <w:rFonts w:asciiTheme="majorHAnsi" w:hAnsiTheme="majorHAnsi" w:cstheme="majorHAnsi"/>
          <w:sz w:val="24"/>
          <w:szCs w:val="24"/>
          <w:lang w:val="ru-MD"/>
        </w:rPr>
        <w:t>,</w:t>
      </w:r>
      <w:r w:rsidR="00057236" w:rsidRPr="00FD3FAD">
        <w:rPr>
          <w:rFonts w:asciiTheme="majorHAnsi" w:hAnsiTheme="majorHAnsi" w:cstheme="majorHAnsi"/>
          <w:sz w:val="24"/>
          <w:szCs w:val="24"/>
          <w:lang w:val="ru-MD"/>
        </w:rPr>
        <w:t xml:space="preserve"> </w:t>
      </w:r>
      <w:r w:rsidRPr="00FD3FAD">
        <w:rPr>
          <w:rFonts w:asciiTheme="majorHAnsi" w:hAnsiTheme="majorHAnsi" w:cstheme="majorHAnsi"/>
          <w:sz w:val="24"/>
          <w:szCs w:val="24"/>
          <w:lang w:val="ru-MD"/>
        </w:rPr>
        <w:t xml:space="preserve">которые, </w:t>
      </w:r>
      <w:r w:rsidR="00057236" w:rsidRPr="00FD3FAD">
        <w:rPr>
          <w:rFonts w:asciiTheme="majorHAnsi" w:hAnsiTheme="majorHAnsi" w:cstheme="majorHAnsi"/>
          <w:sz w:val="24"/>
          <w:szCs w:val="24"/>
          <w:lang w:val="ru-MD"/>
        </w:rPr>
        <w:t xml:space="preserve">при </w:t>
      </w:r>
      <w:r w:rsidRPr="00FD3FAD">
        <w:rPr>
          <w:rFonts w:asciiTheme="majorHAnsi" w:hAnsiTheme="majorHAnsi" w:cstheme="majorHAnsi"/>
          <w:sz w:val="24"/>
          <w:szCs w:val="24"/>
          <w:lang w:val="ru-MD"/>
        </w:rPr>
        <w:t>уточн</w:t>
      </w:r>
      <w:r w:rsidR="00057236" w:rsidRPr="00FD3FAD">
        <w:rPr>
          <w:rFonts w:asciiTheme="majorHAnsi" w:hAnsiTheme="majorHAnsi" w:cstheme="majorHAnsi"/>
          <w:sz w:val="24"/>
          <w:szCs w:val="24"/>
          <w:lang w:val="ru-MD"/>
        </w:rPr>
        <w:t xml:space="preserve">ении </w:t>
      </w:r>
      <w:r w:rsidRPr="00FD3FAD">
        <w:rPr>
          <w:rFonts w:asciiTheme="majorHAnsi" w:hAnsiTheme="majorHAnsi" w:cstheme="majorHAnsi"/>
          <w:sz w:val="24"/>
          <w:szCs w:val="24"/>
          <w:lang w:val="ru-MD"/>
        </w:rPr>
        <w:t>ГБ,</w:t>
      </w:r>
      <w:r w:rsidR="00057236" w:rsidRPr="00FD3FAD">
        <w:rPr>
          <w:rFonts w:asciiTheme="majorHAnsi" w:hAnsiTheme="majorHAnsi" w:cstheme="majorHAnsi"/>
          <w:sz w:val="24"/>
          <w:szCs w:val="24"/>
          <w:lang w:val="ru-MD"/>
        </w:rPr>
        <w:t xml:space="preserve"> </w:t>
      </w:r>
      <w:r w:rsidRPr="00777DAF">
        <w:rPr>
          <w:rFonts w:ascii="Calibri Light" w:hAnsi="Calibri Light" w:cstheme="majorHAnsi"/>
          <w:sz w:val="24"/>
          <w:szCs w:val="24"/>
        </w:rPr>
        <w:t>они были снижены до</w:t>
      </w:r>
      <w:r w:rsidR="00057236" w:rsidRPr="00FD3FAD">
        <w:rPr>
          <w:rFonts w:asciiTheme="majorHAnsi" w:hAnsiTheme="majorHAnsi" w:cstheme="majorHAnsi"/>
          <w:sz w:val="24"/>
          <w:szCs w:val="24"/>
          <w:lang w:val="ru-MD"/>
        </w:rPr>
        <w:t xml:space="preserve"> 952,1 млн. </w:t>
      </w:r>
      <w:r w:rsidRPr="00FD3FAD">
        <w:rPr>
          <w:rFonts w:asciiTheme="majorHAnsi" w:hAnsiTheme="majorHAnsi" w:cstheme="majorHAnsi"/>
          <w:sz w:val="24"/>
          <w:szCs w:val="24"/>
          <w:lang w:val="ru-MD"/>
        </w:rPr>
        <w:t>леев</w:t>
      </w:r>
      <w:r w:rsidR="00057236" w:rsidRPr="00FD3FAD">
        <w:rPr>
          <w:rFonts w:asciiTheme="majorHAnsi" w:hAnsiTheme="majorHAnsi" w:cstheme="majorHAnsi"/>
          <w:sz w:val="24"/>
          <w:szCs w:val="24"/>
          <w:lang w:val="ru-MD"/>
        </w:rPr>
        <w:t xml:space="preserve">. По состоянию на 31.12.2020 </w:t>
      </w:r>
      <w:r w:rsidRPr="00FD3FAD">
        <w:rPr>
          <w:rFonts w:asciiTheme="majorHAnsi" w:hAnsiTheme="majorHAnsi" w:cstheme="majorHAnsi"/>
          <w:sz w:val="24"/>
          <w:szCs w:val="24"/>
          <w:lang w:val="ru-MD"/>
        </w:rPr>
        <w:t xml:space="preserve">исполненные </w:t>
      </w:r>
      <w:r w:rsidR="00057236" w:rsidRPr="00FD3FAD">
        <w:rPr>
          <w:rFonts w:asciiTheme="majorHAnsi" w:hAnsiTheme="majorHAnsi" w:cstheme="majorHAnsi"/>
          <w:sz w:val="24"/>
          <w:szCs w:val="24"/>
          <w:lang w:val="ru-MD"/>
        </w:rPr>
        <w:t>доходы от грантов составили 624,2 млн. леев (65,5%), из которых: гранты на поддержку государственного бюджета</w:t>
      </w:r>
      <w:r w:rsidRPr="00FD3FAD">
        <w:rPr>
          <w:rFonts w:asciiTheme="majorHAnsi" w:hAnsiTheme="majorHAnsi" w:cstheme="majorHAnsi"/>
          <w:sz w:val="24"/>
          <w:szCs w:val="24"/>
          <w:lang w:val="ru-MD"/>
        </w:rPr>
        <w:t xml:space="preserve"> </w:t>
      </w:r>
      <w:r w:rsidR="00057236" w:rsidRPr="00FD3FAD">
        <w:rPr>
          <w:rFonts w:asciiTheme="majorHAnsi" w:hAnsiTheme="majorHAnsi" w:cstheme="majorHAnsi"/>
          <w:sz w:val="24"/>
          <w:szCs w:val="24"/>
          <w:lang w:val="ru-MD"/>
        </w:rPr>
        <w:t>-</w:t>
      </w:r>
      <w:r w:rsidRPr="00FD3FAD">
        <w:rPr>
          <w:rFonts w:asciiTheme="majorHAnsi" w:hAnsiTheme="majorHAnsi" w:cstheme="majorHAnsi"/>
          <w:sz w:val="24"/>
          <w:szCs w:val="24"/>
          <w:lang w:val="ru-MD"/>
        </w:rPr>
        <w:t xml:space="preserve"> </w:t>
      </w:r>
      <w:r w:rsidR="00057236" w:rsidRPr="00FD3FAD">
        <w:rPr>
          <w:rFonts w:asciiTheme="majorHAnsi" w:hAnsiTheme="majorHAnsi" w:cstheme="majorHAnsi"/>
          <w:sz w:val="24"/>
          <w:szCs w:val="24"/>
          <w:lang w:val="ru-MD"/>
        </w:rPr>
        <w:t>335,4 млн.</w:t>
      </w:r>
      <w:r w:rsidRPr="00FD3FAD">
        <w:rPr>
          <w:rFonts w:asciiTheme="majorHAnsi" w:hAnsiTheme="majorHAnsi" w:cstheme="majorHAnsi"/>
          <w:sz w:val="24"/>
          <w:szCs w:val="24"/>
          <w:lang w:val="ru-MD"/>
        </w:rPr>
        <w:t xml:space="preserve"> </w:t>
      </w:r>
      <w:r w:rsidR="00057236" w:rsidRPr="00FD3FAD">
        <w:rPr>
          <w:rFonts w:asciiTheme="majorHAnsi" w:hAnsiTheme="majorHAnsi" w:cstheme="majorHAnsi"/>
          <w:sz w:val="24"/>
          <w:szCs w:val="24"/>
          <w:lang w:val="ru-MD"/>
        </w:rPr>
        <w:t>леев (73,4%)</w:t>
      </w:r>
      <w:r w:rsidRPr="00FD3FAD">
        <w:rPr>
          <w:rFonts w:asciiTheme="majorHAnsi" w:hAnsiTheme="majorHAnsi" w:cstheme="majorHAnsi"/>
          <w:sz w:val="24"/>
          <w:szCs w:val="24"/>
          <w:lang w:val="ru-MD"/>
        </w:rPr>
        <w:t>,</w:t>
      </w:r>
      <w:r w:rsidR="00057236" w:rsidRPr="00FD3FAD">
        <w:rPr>
          <w:rFonts w:asciiTheme="majorHAnsi" w:hAnsiTheme="majorHAnsi" w:cstheme="majorHAnsi"/>
          <w:sz w:val="24"/>
          <w:szCs w:val="24"/>
          <w:lang w:val="ru-MD"/>
        </w:rPr>
        <w:t xml:space="preserve"> и гранты на проекты, финансируемые из внешних источников - на сумму 288,8 млн.</w:t>
      </w:r>
      <w:r w:rsidRPr="00FD3FAD">
        <w:rPr>
          <w:rFonts w:asciiTheme="majorHAnsi" w:hAnsiTheme="majorHAnsi" w:cstheme="majorHAnsi"/>
          <w:sz w:val="24"/>
          <w:szCs w:val="24"/>
          <w:lang w:val="ru-MD"/>
        </w:rPr>
        <w:t xml:space="preserve"> </w:t>
      </w:r>
      <w:r w:rsidR="00057236" w:rsidRPr="00FD3FAD">
        <w:rPr>
          <w:rFonts w:asciiTheme="majorHAnsi" w:hAnsiTheme="majorHAnsi" w:cstheme="majorHAnsi"/>
          <w:sz w:val="24"/>
          <w:szCs w:val="24"/>
          <w:lang w:val="ru-MD"/>
        </w:rPr>
        <w:t>л</w:t>
      </w:r>
      <w:r w:rsidRPr="00FD3FAD">
        <w:rPr>
          <w:rFonts w:asciiTheme="majorHAnsi" w:hAnsiTheme="majorHAnsi" w:cstheme="majorHAnsi"/>
          <w:sz w:val="24"/>
          <w:szCs w:val="24"/>
          <w:lang w:val="ru-MD"/>
        </w:rPr>
        <w:t>ее</w:t>
      </w:r>
      <w:r w:rsidR="00057236" w:rsidRPr="00FD3FAD">
        <w:rPr>
          <w:rFonts w:asciiTheme="majorHAnsi" w:hAnsiTheme="majorHAnsi" w:cstheme="majorHAnsi"/>
          <w:sz w:val="24"/>
          <w:szCs w:val="24"/>
          <w:lang w:val="ru-MD"/>
        </w:rPr>
        <w:t xml:space="preserve">в (58,3%). </w:t>
      </w:r>
      <w:r w:rsidRPr="00FD3FAD">
        <w:rPr>
          <w:rFonts w:asciiTheme="majorHAnsi" w:hAnsiTheme="majorHAnsi" w:cstheme="majorHAnsi"/>
          <w:sz w:val="24"/>
          <w:szCs w:val="24"/>
          <w:lang w:val="ru-MD"/>
        </w:rPr>
        <w:t>Одно</w:t>
      </w:r>
      <w:r w:rsidR="00057236" w:rsidRPr="00FD3FAD">
        <w:rPr>
          <w:rFonts w:asciiTheme="majorHAnsi" w:hAnsiTheme="majorHAnsi" w:cstheme="majorHAnsi"/>
          <w:sz w:val="24"/>
          <w:szCs w:val="24"/>
          <w:lang w:val="ru-MD"/>
        </w:rPr>
        <w:t>врем</w:t>
      </w:r>
      <w:r w:rsidRPr="00FD3FAD">
        <w:rPr>
          <w:rFonts w:asciiTheme="majorHAnsi" w:hAnsiTheme="majorHAnsi" w:cstheme="majorHAnsi"/>
          <w:sz w:val="24"/>
          <w:szCs w:val="24"/>
          <w:lang w:val="ru-MD"/>
        </w:rPr>
        <w:t>енно</w:t>
      </w:r>
      <w:r w:rsidR="00057236" w:rsidRPr="00FD3FAD">
        <w:rPr>
          <w:rFonts w:asciiTheme="majorHAnsi" w:hAnsiTheme="majorHAnsi" w:cstheme="majorHAnsi"/>
          <w:sz w:val="24"/>
          <w:szCs w:val="24"/>
          <w:lang w:val="ru-MD"/>
        </w:rPr>
        <w:t xml:space="preserve"> отмечается, что доходы от внешних грантов уменьшились на 916,3 млн. леев, или на 59,5% по сравнению с предыдущим годом</w:t>
      </w:r>
      <w:r w:rsidR="006E2E6A" w:rsidRPr="00FD3FAD">
        <w:rPr>
          <w:rFonts w:asciiTheme="majorHAnsi" w:hAnsiTheme="majorHAnsi"/>
          <w:sz w:val="24"/>
          <w:szCs w:val="24"/>
          <w:lang w:val="ru-MD"/>
        </w:rPr>
        <w:t xml:space="preserve">. </w:t>
      </w:r>
      <w:r w:rsidR="006E2E6A" w:rsidRPr="00FD3FAD">
        <w:rPr>
          <w:rFonts w:asciiTheme="majorHAnsi" w:hAnsiTheme="majorHAnsi" w:cstheme="majorHAnsi"/>
          <w:sz w:val="24"/>
          <w:szCs w:val="24"/>
          <w:lang w:val="ru-MD"/>
        </w:rPr>
        <w:t xml:space="preserve"> </w:t>
      </w:r>
    </w:p>
    <w:p w:rsidR="006E2E6A" w:rsidRPr="005C07E6" w:rsidRDefault="00057236" w:rsidP="006E2E6A">
      <w:pPr>
        <w:pStyle w:val="NoSpacing"/>
        <w:spacing w:line="276" w:lineRule="auto"/>
        <w:jc w:val="both"/>
        <w:rPr>
          <w:rFonts w:asciiTheme="majorHAnsi" w:hAnsiTheme="majorHAnsi"/>
          <w:sz w:val="24"/>
          <w:szCs w:val="24"/>
          <w:lang w:val="ru-MD"/>
        </w:rPr>
      </w:pPr>
      <w:r w:rsidRPr="005C07E6">
        <w:rPr>
          <w:rFonts w:asciiTheme="majorHAnsi" w:hAnsiTheme="majorHAnsi"/>
          <w:sz w:val="24"/>
          <w:szCs w:val="24"/>
          <w:lang w:val="ru-MD"/>
        </w:rPr>
        <w:t>Из выплат/доходов от грантов</w:t>
      </w:r>
      <w:r w:rsidR="00FD3FAD" w:rsidRPr="005C07E6">
        <w:rPr>
          <w:rFonts w:asciiTheme="majorHAnsi" w:hAnsiTheme="majorHAnsi"/>
          <w:sz w:val="24"/>
          <w:szCs w:val="24"/>
          <w:lang w:val="ru-MD"/>
        </w:rPr>
        <w:t>,</w:t>
      </w:r>
      <w:r w:rsidRPr="005C07E6">
        <w:rPr>
          <w:rFonts w:asciiTheme="majorHAnsi" w:hAnsiTheme="majorHAnsi"/>
          <w:sz w:val="24"/>
          <w:szCs w:val="24"/>
          <w:lang w:val="ru-MD"/>
        </w:rPr>
        <w:t xml:space="preserve"> </w:t>
      </w:r>
      <w:r w:rsidR="00FD3FAD" w:rsidRPr="005C07E6">
        <w:rPr>
          <w:rFonts w:asciiTheme="majorHAnsi" w:hAnsiTheme="majorHAnsi"/>
          <w:sz w:val="24"/>
          <w:szCs w:val="24"/>
          <w:lang w:val="ru-MD"/>
        </w:rPr>
        <w:t>на</w:t>
      </w:r>
      <w:r w:rsidRPr="005C07E6">
        <w:rPr>
          <w:rFonts w:asciiTheme="majorHAnsi" w:hAnsiTheme="majorHAnsi"/>
          <w:sz w:val="24"/>
          <w:szCs w:val="24"/>
          <w:lang w:val="ru-MD"/>
        </w:rPr>
        <w:t xml:space="preserve"> поддержк</w:t>
      </w:r>
      <w:r w:rsidR="00FD3FAD" w:rsidRPr="005C07E6">
        <w:rPr>
          <w:rFonts w:asciiTheme="majorHAnsi" w:hAnsiTheme="majorHAnsi"/>
          <w:sz w:val="24"/>
          <w:szCs w:val="24"/>
          <w:lang w:val="ru-MD"/>
        </w:rPr>
        <w:t>у</w:t>
      </w:r>
      <w:r w:rsidRPr="005C07E6">
        <w:rPr>
          <w:rFonts w:asciiTheme="majorHAnsi" w:hAnsiTheme="majorHAnsi"/>
          <w:sz w:val="24"/>
          <w:szCs w:val="24"/>
          <w:lang w:val="ru-MD"/>
        </w:rPr>
        <w:t xml:space="preserve"> бюджета (335,4 млн. леев) </w:t>
      </w:r>
      <w:r w:rsidR="00FD3FAD" w:rsidRPr="005C07E6">
        <w:rPr>
          <w:rFonts w:asciiTheme="majorHAnsi" w:hAnsiTheme="majorHAnsi"/>
          <w:sz w:val="24"/>
          <w:szCs w:val="24"/>
          <w:lang w:val="ru-MD"/>
        </w:rPr>
        <w:t xml:space="preserve">было </w:t>
      </w:r>
      <w:r w:rsidRPr="005C07E6">
        <w:rPr>
          <w:rFonts w:asciiTheme="majorHAnsi" w:hAnsiTheme="majorHAnsi"/>
          <w:sz w:val="24"/>
          <w:szCs w:val="24"/>
          <w:lang w:val="ru-MD"/>
        </w:rPr>
        <w:t>исполн</w:t>
      </w:r>
      <w:r w:rsidR="00FD3FAD" w:rsidRPr="005C07E6">
        <w:rPr>
          <w:rFonts w:asciiTheme="majorHAnsi" w:hAnsiTheme="majorHAnsi"/>
          <w:sz w:val="24"/>
          <w:szCs w:val="24"/>
          <w:lang w:val="ru-MD"/>
        </w:rPr>
        <w:t>ено</w:t>
      </w:r>
      <w:r w:rsidRPr="005C07E6">
        <w:rPr>
          <w:rFonts w:asciiTheme="majorHAnsi" w:hAnsiTheme="majorHAnsi"/>
          <w:sz w:val="24"/>
          <w:szCs w:val="24"/>
          <w:lang w:val="ru-MD"/>
        </w:rPr>
        <w:t xml:space="preserve"> 229,8 млн. леев </w:t>
      </w:r>
      <w:r w:rsidR="00FD3FAD" w:rsidRPr="005C07E6">
        <w:rPr>
          <w:rFonts w:asciiTheme="majorHAnsi" w:hAnsiTheme="majorHAnsi"/>
          <w:sz w:val="24"/>
          <w:szCs w:val="24"/>
          <w:lang w:val="ru-MD"/>
        </w:rPr>
        <w:t>н</w:t>
      </w:r>
      <w:r w:rsidRPr="005C07E6">
        <w:rPr>
          <w:rFonts w:asciiTheme="majorHAnsi" w:hAnsiTheme="majorHAnsi"/>
          <w:sz w:val="24"/>
          <w:szCs w:val="24"/>
          <w:lang w:val="ru-MD"/>
        </w:rPr>
        <w:t>а макрофинансов</w:t>
      </w:r>
      <w:r w:rsidR="005C07E6" w:rsidRPr="005C07E6">
        <w:rPr>
          <w:rFonts w:asciiTheme="majorHAnsi" w:hAnsiTheme="majorHAnsi"/>
          <w:sz w:val="24"/>
          <w:szCs w:val="24"/>
          <w:lang w:val="ru-MD"/>
        </w:rPr>
        <w:t>ую</w:t>
      </w:r>
      <w:r w:rsidRPr="005C07E6">
        <w:rPr>
          <w:rFonts w:asciiTheme="majorHAnsi" w:hAnsiTheme="majorHAnsi"/>
          <w:sz w:val="24"/>
          <w:szCs w:val="24"/>
          <w:lang w:val="ru-MD"/>
        </w:rPr>
        <w:t xml:space="preserve"> по</w:t>
      </w:r>
      <w:r w:rsidR="00FD3FAD" w:rsidRPr="005C07E6">
        <w:rPr>
          <w:rFonts w:asciiTheme="majorHAnsi" w:hAnsiTheme="majorHAnsi"/>
          <w:sz w:val="24"/>
          <w:szCs w:val="24"/>
          <w:lang w:val="ru-MD"/>
        </w:rPr>
        <w:t>мощ</w:t>
      </w:r>
      <w:r w:rsidR="005C07E6" w:rsidRPr="005C07E6">
        <w:rPr>
          <w:rFonts w:asciiTheme="majorHAnsi" w:hAnsiTheme="majorHAnsi"/>
          <w:sz w:val="24"/>
          <w:szCs w:val="24"/>
          <w:lang w:val="ru-MD"/>
        </w:rPr>
        <w:t>ь</w:t>
      </w:r>
      <w:r w:rsidRPr="005C07E6">
        <w:rPr>
          <w:rFonts w:asciiTheme="majorHAnsi" w:hAnsiTheme="majorHAnsi"/>
          <w:sz w:val="24"/>
          <w:szCs w:val="24"/>
          <w:lang w:val="ru-MD"/>
        </w:rPr>
        <w:t xml:space="preserve"> (увеличенные за счет пересмотра траншей, не состоявшихся в 2019 году) и </w:t>
      </w:r>
      <w:r w:rsidR="005C07E6" w:rsidRPr="005C07E6">
        <w:rPr>
          <w:rFonts w:asciiTheme="majorHAnsi" w:hAnsiTheme="majorHAnsi"/>
          <w:sz w:val="24"/>
          <w:szCs w:val="24"/>
          <w:lang w:val="ru-MD"/>
        </w:rPr>
        <w:t>н</w:t>
      </w:r>
      <w:r w:rsidRPr="005C07E6">
        <w:rPr>
          <w:rFonts w:asciiTheme="majorHAnsi" w:hAnsiTheme="majorHAnsi"/>
          <w:sz w:val="24"/>
          <w:szCs w:val="24"/>
          <w:lang w:val="ru-MD"/>
        </w:rPr>
        <w:t xml:space="preserve">а программу </w:t>
      </w:r>
      <w:r w:rsidR="005C07E6" w:rsidRPr="005C07E6">
        <w:rPr>
          <w:rFonts w:asciiTheme="majorHAnsi" w:hAnsiTheme="majorHAnsi"/>
          <w:sz w:val="24"/>
          <w:szCs w:val="24"/>
          <w:lang w:val="ru-MD"/>
        </w:rPr>
        <w:t>„</w:t>
      </w:r>
      <w:r w:rsidRPr="005C07E6">
        <w:rPr>
          <w:rFonts w:asciiTheme="majorHAnsi" w:hAnsiTheme="majorHAnsi"/>
          <w:sz w:val="24"/>
          <w:szCs w:val="24"/>
          <w:lang w:val="ru-MD"/>
        </w:rPr>
        <w:t>Поддержка реформы полиции</w:t>
      </w:r>
      <w:r w:rsidR="005C07E6" w:rsidRPr="005C07E6">
        <w:rPr>
          <w:rFonts w:asciiTheme="majorHAnsi" w:hAnsiTheme="majorHAnsi"/>
          <w:sz w:val="24"/>
          <w:szCs w:val="24"/>
          <w:lang w:val="ru-MD"/>
        </w:rPr>
        <w:t>”</w:t>
      </w:r>
      <w:r w:rsidRPr="005C07E6">
        <w:rPr>
          <w:rFonts w:asciiTheme="majorHAnsi" w:hAnsiTheme="majorHAnsi"/>
          <w:sz w:val="24"/>
          <w:szCs w:val="24"/>
          <w:lang w:val="ru-MD"/>
        </w:rPr>
        <w:t xml:space="preserve"> - 105,6 млн. </w:t>
      </w:r>
      <w:r w:rsidR="005C07E6" w:rsidRPr="005C07E6">
        <w:rPr>
          <w:rFonts w:asciiTheme="majorHAnsi" w:hAnsiTheme="majorHAnsi"/>
          <w:sz w:val="24"/>
          <w:szCs w:val="24"/>
          <w:lang w:val="ru-MD"/>
        </w:rPr>
        <w:t>леев</w:t>
      </w:r>
      <w:r w:rsidRPr="005C07E6">
        <w:rPr>
          <w:rFonts w:asciiTheme="majorHAnsi" w:hAnsiTheme="majorHAnsi"/>
          <w:sz w:val="24"/>
          <w:szCs w:val="24"/>
          <w:lang w:val="ru-MD"/>
        </w:rPr>
        <w:t xml:space="preserve">. Отмечается, что, хотя были утверждены выплаты в размере 225,3 млн. леев </w:t>
      </w:r>
      <w:r w:rsidR="005C07E6" w:rsidRPr="005C07E6">
        <w:rPr>
          <w:rFonts w:asciiTheme="majorHAnsi" w:hAnsiTheme="majorHAnsi"/>
          <w:sz w:val="24"/>
          <w:szCs w:val="24"/>
          <w:lang w:val="ru-MD"/>
        </w:rPr>
        <w:t>для</w:t>
      </w:r>
      <w:r w:rsidRPr="005C07E6">
        <w:rPr>
          <w:rFonts w:asciiTheme="majorHAnsi" w:hAnsiTheme="majorHAnsi"/>
          <w:sz w:val="24"/>
          <w:szCs w:val="24"/>
          <w:lang w:val="ru-MD"/>
        </w:rPr>
        <w:t xml:space="preserve"> программ</w:t>
      </w:r>
      <w:r w:rsidR="005C07E6" w:rsidRPr="005C07E6">
        <w:rPr>
          <w:rFonts w:asciiTheme="majorHAnsi" w:hAnsiTheme="majorHAnsi"/>
          <w:sz w:val="24"/>
          <w:szCs w:val="24"/>
          <w:lang w:val="ru-MD"/>
        </w:rPr>
        <w:t>ы</w:t>
      </w:r>
      <w:r w:rsidRPr="005C07E6">
        <w:rPr>
          <w:rFonts w:asciiTheme="majorHAnsi" w:hAnsiTheme="majorHAnsi"/>
          <w:sz w:val="24"/>
          <w:szCs w:val="24"/>
          <w:lang w:val="ru-MD"/>
        </w:rPr>
        <w:t xml:space="preserve"> </w:t>
      </w:r>
      <w:r w:rsidR="005C07E6" w:rsidRPr="005C07E6">
        <w:rPr>
          <w:rFonts w:asciiTheme="majorHAnsi" w:hAnsiTheme="majorHAnsi"/>
          <w:sz w:val="24"/>
          <w:szCs w:val="24"/>
          <w:lang w:val="ru-MD"/>
        </w:rPr>
        <w:t>„</w:t>
      </w:r>
      <w:r w:rsidRPr="005C07E6">
        <w:rPr>
          <w:rFonts w:asciiTheme="majorHAnsi" w:hAnsiTheme="majorHAnsi"/>
          <w:sz w:val="24"/>
          <w:szCs w:val="24"/>
          <w:lang w:val="ru-MD"/>
        </w:rPr>
        <w:t>Поддержка реформы в области публичных финансов</w:t>
      </w:r>
      <w:r w:rsidR="005C07E6" w:rsidRPr="005C07E6">
        <w:rPr>
          <w:rFonts w:asciiTheme="majorHAnsi" w:hAnsiTheme="majorHAnsi"/>
          <w:sz w:val="24"/>
          <w:szCs w:val="24"/>
          <w:lang w:val="ru-MD"/>
        </w:rPr>
        <w:t>”</w:t>
      </w:r>
      <w:r w:rsidRPr="005C07E6">
        <w:rPr>
          <w:rFonts w:asciiTheme="majorHAnsi" w:hAnsiTheme="majorHAnsi"/>
          <w:sz w:val="24"/>
          <w:szCs w:val="24"/>
          <w:lang w:val="ru-MD"/>
        </w:rPr>
        <w:t>, соглашение не было подписано до конца 2020 года</w:t>
      </w:r>
      <w:r w:rsidR="006E2E6A" w:rsidRPr="005C07E6">
        <w:rPr>
          <w:rFonts w:asciiTheme="majorHAnsi" w:hAnsiTheme="majorHAnsi"/>
          <w:sz w:val="24"/>
          <w:szCs w:val="24"/>
          <w:lang w:val="ru-MD"/>
        </w:rPr>
        <w:t>.</w:t>
      </w:r>
    </w:p>
    <w:p w:rsidR="001C4F7D" w:rsidRPr="005C07E6" w:rsidRDefault="00057236" w:rsidP="006E2E6A">
      <w:pPr>
        <w:spacing w:after="0" w:line="276" w:lineRule="auto"/>
        <w:rPr>
          <w:rFonts w:asciiTheme="majorHAnsi" w:eastAsia="Times New Roman" w:hAnsiTheme="majorHAnsi" w:cstheme="majorHAnsi"/>
          <w:sz w:val="24"/>
          <w:szCs w:val="24"/>
          <w:lang w:val="ru-MD"/>
        </w:rPr>
      </w:pPr>
      <w:r w:rsidRPr="005C07E6">
        <w:rPr>
          <w:rFonts w:asciiTheme="majorHAnsi" w:eastAsia="Times New Roman" w:hAnsiTheme="majorHAnsi" w:cstheme="majorHAnsi"/>
          <w:sz w:val="24"/>
          <w:szCs w:val="24"/>
          <w:lang w:val="ru-MD"/>
        </w:rPr>
        <w:t xml:space="preserve">В течение года были накоплены </w:t>
      </w:r>
      <w:r w:rsidR="005C07E6" w:rsidRPr="005C07E6">
        <w:rPr>
          <w:rFonts w:asciiTheme="majorHAnsi" w:eastAsia="Times New Roman" w:hAnsiTheme="majorHAnsi" w:cstheme="majorHAnsi"/>
          <w:sz w:val="24"/>
          <w:szCs w:val="24"/>
          <w:lang w:val="ru-MD"/>
        </w:rPr>
        <w:t xml:space="preserve">доходы </w:t>
      </w:r>
      <w:r w:rsidRPr="005C07E6">
        <w:rPr>
          <w:rFonts w:asciiTheme="majorHAnsi" w:eastAsia="Times New Roman" w:hAnsiTheme="majorHAnsi" w:cstheme="majorHAnsi"/>
          <w:sz w:val="24"/>
          <w:szCs w:val="24"/>
          <w:lang w:val="ru-MD"/>
        </w:rPr>
        <w:t xml:space="preserve">на счетах бюджетных учреждений/органов на общую сумму 5 040,6 млн. леев (первоначальный остаток по </w:t>
      </w:r>
      <w:r w:rsidR="005C07E6" w:rsidRPr="005C07E6">
        <w:rPr>
          <w:rFonts w:asciiTheme="majorHAnsi" w:eastAsia="Times New Roman" w:hAnsiTheme="majorHAnsi" w:cstheme="majorHAnsi"/>
          <w:sz w:val="24"/>
          <w:szCs w:val="24"/>
          <w:lang w:val="ru-MD"/>
        </w:rPr>
        <w:t>займ</w:t>
      </w:r>
      <w:r w:rsidRPr="005C07E6">
        <w:rPr>
          <w:rFonts w:asciiTheme="majorHAnsi" w:eastAsia="Times New Roman" w:hAnsiTheme="majorHAnsi" w:cstheme="majorHAnsi"/>
          <w:sz w:val="24"/>
          <w:szCs w:val="24"/>
          <w:lang w:val="ru-MD"/>
        </w:rPr>
        <w:t>ам и грантам в размере 1 150,5 млн. леев, другие доходы/</w:t>
      </w:r>
      <w:r w:rsidR="005C07E6" w:rsidRPr="005C07E6">
        <w:rPr>
          <w:rFonts w:asciiTheme="majorHAnsi" w:eastAsia="Times New Roman" w:hAnsiTheme="majorHAnsi" w:cstheme="majorHAnsi"/>
          <w:sz w:val="24"/>
          <w:szCs w:val="24"/>
          <w:lang w:val="ru-MD"/>
        </w:rPr>
        <w:t>трансферты</w:t>
      </w:r>
      <w:r w:rsidRPr="005C07E6">
        <w:rPr>
          <w:rFonts w:asciiTheme="majorHAnsi" w:eastAsia="Times New Roman" w:hAnsiTheme="majorHAnsi" w:cstheme="majorHAnsi"/>
          <w:sz w:val="24"/>
          <w:szCs w:val="24"/>
          <w:lang w:val="ru-MD"/>
        </w:rPr>
        <w:t xml:space="preserve"> – 64,4 млн. </w:t>
      </w:r>
      <w:r w:rsidR="005C07E6" w:rsidRPr="005C07E6">
        <w:rPr>
          <w:rFonts w:asciiTheme="majorHAnsi" w:eastAsia="Times New Roman" w:hAnsiTheme="majorHAnsi" w:cstheme="majorHAnsi"/>
          <w:sz w:val="24"/>
          <w:szCs w:val="24"/>
          <w:lang w:val="ru-MD"/>
        </w:rPr>
        <w:t>леев</w:t>
      </w:r>
      <w:r w:rsidRPr="005C07E6">
        <w:rPr>
          <w:rFonts w:asciiTheme="majorHAnsi" w:eastAsia="Times New Roman" w:hAnsiTheme="majorHAnsi" w:cstheme="majorHAnsi"/>
          <w:sz w:val="24"/>
          <w:szCs w:val="24"/>
          <w:lang w:val="ru-MD"/>
        </w:rPr>
        <w:t>, гранты</w:t>
      </w:r>
      <w:r w:rsidR="005C07E6">
        <w:rPr>
          <w:rFonts w:asciiTheme="majorHAnsi" w:eastAsia="Times New Roman" w:hAnsiTheme="majorHAnsi" w:cstheme="majorHAnsi"/>
          <w:sz w:val="24"/>
          <w:szCs w:val="24"/>
          <w:lang w:val="ru-MD"/>
        </w:rPr>
        <w:t xml:space="preserve"> </w:t>
      </w:r>
      <w:r w:rsidRPr="005C07E6">
        <w:rPr>
          <w:rFonts w:asciiTheme="majorHAnsi" w:eastAsia="Times New Roman" w:hAnsiTheme="majorHAnsi" w:cstheme="majorHAnsi"/>
          <w:sz w:val="24"/>
          <w:szCs w:val="24"/>
          <w:lang w:val="ru-MD"/>
        </w:rPr>
        <w:t>-</w:t>
      </w:r>
      <w:r w:rsidR="005C07E6">
        <w:rPr>
          <w:rFonts w:asciiTheme="majorHAnsi" w:eastAsia="Times New Roman" w:hAnsiTheme="majorHAnsi" w:cstheme="majorHAnsi"/>
          <w:sz w:val="24"/>
          <w:szCs w:val="24"/>
          <w:lang w:val="ru-MD"/>
        </w:rPr>
        <w:t xml:space="preserve"> </w:t>
      </w:r>
      <w:r w:rsidRPr="005C07E6">
        <w:rPr>
          <w:rFonts w:asciiTheme="majorHAnsi" w:eastAsia="Times New Roman" w:hAnsiTheme="majorHAnsi" w:cstheme="majorHAnsi"/>
          <w:sz w:val="24"/>
          <w:szCs w:val="24"/>
          <w:lang w:val="ru-MD"/>
        </w:rPr>
        <w:t xml:space="preserve">288,8 млн. леев и внешние </w:t>
      </w:r>
      <w:r w:rsidR="005C07E6" w:rsidRPr="005C07E6">
        <w:rPr>
          <w:rFonts w:asciiTheme="majorHAnsi" w:eastAsia="Times New Roman" w:hAnsiTheme="majorHAnsi" w:cstheme="majorHAnsi"/>
          <w:sz w:val="24"/>
          <w:szCs w:val="24"/>
          <w:lang w:val="ru-MD"/>
        </w:rPr>
        <w:t>займ</w:t>
      </w:r>
      <w:r w:rsidRPr="005C07E6">
        <w:rPr>
          <w:rFonts w:asciiTheme="majorHAnsi" w:eastAsia="Times New Roman" w:hAnsiTheme="majorHAnsi" w:cstheme="majorHAnsi"/>
          <w:sz w:val="24"/>
          <w:szCs w:val="24"/>
          <w:lang w:val="ru-MD"/>
        </w:rPr>
        <w:t>ы</w:t>
      </w:r>
      <w:r w:rsidR="005C07E6" w:rsidRPr="005C07E6">
        <w:rPr>
          <w:rFonts w:asciiTheme="majorHAnsi" w:eastAsia="Times New Roman" w:hAnsiTheme="majorHAnsi" w:cstheme="majorHAnsi"/>
          <w:sz w:val="24"/>
          <w:szCs w:val="24"/>
          <w:lang w:val="ru-MD"/>
        </w:rPr>
        <w:t xml:space="preserve"> </w:t>
      </w:r>
      <w:r w:rsidRPr="005C07E6">
        <w:rPr>
          <w:rFonts w:asciiTheme="majorHAnsi" w:eastAsia="Times New Roman" w:hAnsiTheme="majorHAnsi" w:cstheme="majorHAnsi"/>
          <w:sz w:val="24"/>
          <w:szCs w:val="24"/>
          <w:lang w:val="ru-MD"/>
        </w:rPr>
        <w:t>-</w:t>
      </w:r>
      <w:r w:rsidR="005C07E6" w:rsidRPr="005C07E6">
        <w:rPr>
          <w:rFonts w:asciiTheme="majorHAnsi" w:eastAsia="Times New Roman" w:hAnsiTheme="majorHAnsi" w:cstheme="majorHAnsi"/>
          <w:sz w:val="24"/>
          <w:szCs w:val="24"/>
          <w:lang w:val="ru-MD"/>
        </w:rPr>
        <w:t xml:space="preserve"> </w:t>
      </w:r>
      <w:r w:rsidRPr="005C07E6">
        <w:rPr>
          <w:rFonts w:asciiTheme="majorHAnsi" w:eastAsia="Times New Roman" w:hAnsiTheme="majorHAnsi" w:cstheme="majorHAnsi"/>
          <w:sz w:val="24"/>
          <w:szCs w:val="24"/>
          <w:lang w:val="ru-MD"/>
        </w:rPr>
        <w:t xml:space="preserve">3 536,9 млн. </w:t>
      </w:r>
      <w:r w:rsidR="005C07E6" w:rsidRPr="005C07E6">
        <w:rPr>
          <w:rFonts w:asciiTheme="majorHAnsi" w:eastAsia="Times New Roman" w:hAnsiTheme="majorHAnsi" w:cstheme="majorHAnsi"/>
          <w:sz w:val="24"/>
          <w:szCs w:val="24"/>
          <w:lang w:val="ru-MD"/>
        </w:rPr>
        <w:t xml:space="preserve">леев), и были исполнены </w:t>
      </w:r>
      <w:r w:rsidRPr="005C07E6">
        <w:rPr>
          <w:rFonts w:asciiTheme="majorHAnsi" w:eastAsia="Times New Roman" w:hAnsiTheme="majorHAnsi" w:cstheme="majorHAnsi"/>
          <w:sz w:val="24"/>
          <w:szCs w:val="24"/>
          <w:lang w:val="ru-MD"/>
        </w:rPr>
        <w:t xml:space="preserve">расходы на уровне </w:t>
      </w:r>
      <w:r w:rsidR="005C07E6" w:rsidRPr="005C07E6">
        <w:rPr>
          <w:rFonts w:asciiTheme="majorHAnsi" w:eastAsia="Times New Roman" w:hAnsiTheme="majorHAnsi" w:cstheme="majorHAnsi"/>
          <w:sz w:val="24"/>
          <w:szCs w:val="24"/>
          <w:lang w:val="ru-MD"/>
        </w:rPr>
        <w:t>лишь</w:t>
      </w:r>
      <w:r w:rsidRPr="005C07E6">
        <w:rPr>
          <w:rFonts w:asciiTheme="majorHAnsi" w:eastAsia="Times New Roman" w:hAnsiTheme="majorHAnsi" w:cstheme="majorHAnsi"/>
          <w:sz w:val="24"/>
          <w:szCs w:val="24"/>
          <w:lang w:val="ru-MD"/>
        </w:rPr>
        <w:t xml:space="preserve"> 44,8%, или 2 259,8 млн. ле</w:t>
      </w:r>
      <w:r w:rsidR="005C07E6" w:rsidRPr="005C07E6">
        <w:rPr>
          <w:rFonts w:asciiTheme="majorHAnsi" w:eastAsia="Times New Roman" w:hAnsiTheme="majorHAnsi" w:cstheme="majorHAnsi"/>
          <w:sz w:val="24"/>
          <w:szCs w:val="24"/>
          <w:lang w:val="ru-MD"/>
        </w:rPr>
        <w:t>ев</w:t>
      </w:r>
      <w:r w:rsidR="006E2E6A" w:rsidRPr="005C07E6">
        <w:rPr>
          <w:rFonts w:asciiTheme="majorHAnsi" w:eastAsia="Times New Roman" w:hAnsiTheme="majorHAnsi" w:cstheme="majorHAnsi"/>
          <w:sz w:val="24"/>
          <w:szCs w:val="24"/>
          <w:lang w:val="ru-MD"/>
        </w:rPr>
        <w:t xml:space="preserve">. </w:t>
      </w:r>
    </w:p>
    <w:p w:rsidR="006E2E6A" w:rsidRPr="00F55BA6" w:rsidRDefault="00057236" w:rsidP="00057236">
      <w:pPr>
        <w:spacing w:after="0" w:line="276" w:lineRule="auto"/>
        <w:rPr>
          <w:rFonts w:asciiTheme="majorHAnsi" w:eastAsia="Times New Roman" w:hAnsiTheme="majorHAnsi" w:cstheme="majorHAnsi"/>
          <w:sz w:val="24"/>
          <w:szCs w:val="24"/>
          <w:lang w:val="ro-RO"/>
        </w:rPr>
      </w:pPr>
      <w:r w:rsidRPr="005851CE">
        <w:rPr>
          <w:rFonts w:asciiTheme="majorHAnsi" w:eastAsia="Times New Roman" w:hAnsiTheme="majorHAnsi" w:cstheme="majorHAnsi"/>
          <w:sz w:val="24"/>
          <w:szCs w:val="24"/>
          <w:lang w:val="ru-MD"/>
        </w:rPr>
        <w:t xml:space="preserve">Таким образом, из накопленных </w:t>
      </w:r>
      <w:r w:rsidR="002C6FA3" w:rsidRPr="005851CE">
        <w:rPr>
          <w:rFonts w:asciiTheme="majorHAnsi" w:eastAsia="Times New Roman" w:hAnsiTheme="majorHAnsi" w:cstheme="majorHAnsi"/>
          <w:sz w:val="24"/>
          <w:szCs w:val="24"/>
          <w:lang w:val="ru-MD"/>
        </w:rPr>
        <w:t>на протяжении года доходов</w:t>
      </w:r>
      <w:r w:rsidRPr="005851CE">
        <w:rPr>
          <w:rFonts w:asciiTheme="majorHAnsi" w:eastAsia="Times New Roman" w:hAnsiTheme="majorHAnsi" w:cstheme="majorHAnsi"/>
          <w:sz w:val="24"/>
          <w:szCs w:val="24"/>
          <w:lang w:val="ru-MD"/>
        </w:rPr>
        <w:t xml:space="preserve"> в рамках проектов на общую сумму 1 463,3 млн. </w:t>
      </w:r>
      <w:r w:rsidR="002C6FA3" w:rsidRPr="005851CE">
        <w:rPr>
          <w:rFonts w:asciiTheme="majorHAnsi" w:eastAsia="Times New Roman" w:hAnsiTheme="majorHAnsi" w:cstheme="majorHAnsi"/>
          <w:sz w:val="24"/>
          <w:szCs w:val="24"/>
          <w:lang w:val="ru-MD"/>
        </w:rPr>
        <w:t>леев</w:t>
      </w:r>
      <w:r w:rsidR="005851CE" w:rsidRPr="005851CE">
        <w:rPr>
          <w:rFonts w:asciiTheme="majorHAnsi" w:eastAsia="Times New Roman" w:hAnsiTheme="majorHAnsi" w:cstheme="majorHAnsi"/>
          <w:sz w:val="24"/>
          <w:szCs w:val="24"/>
          <w:lang w:val="ru-MD"/>
        </w:rPr>
        <w:t>,</w:t>
      </w:r>
      <w:r w:rsidR="002C6FA3" w:rsidRPr="005851CE">
        <w:rPr>
          <w:rFonts w:asciiTheme="majorHAnsi" w:eastAsia="Times New Roman" w:hAnsiTheme="majorHAnsi" w:cstheme="majorHAnsi"/>
          <w:sz w:val="24"/>
          <w:szCs w:val="24"/>
          <w:lang w:val="ru-MD"/>
        </w:rPr>
        <w:t xml:space="preserve"> </w:t>
      </w:r>
      <w:r w:rsidRPr="005851CE">
        <w:rPr>
          <w:rFonts w:asciiTheme="majorHAnsi" w:eastAsia="Times New Roman" w:hAnsiTheme="majorHAnsi" w:cstheme="majorHAnsi"/>
          <w:sz w:val="24"/>
          <w:szCs w:val="24"/>
          <w:lang w:val="ru-MD"/>
        </w:rPr>
        <w:t xml:space="preserve">расходы из грантов </w:t>
      </w:r>
      <w:r w:rsidR="005851CE" w:rsidRPr="005851CE">
        <w:rPr>
          <w:rFonts w:asciiTheme="majorHAnsi" w:eastAsia="Times New Roman" w:hAnsiTheme="majorHAnsi" w:cstheme="majorHAnsi"/>
          <w:sz w:val="24"/>
          <w:szCs w:val="24"/>
          <w:lang w:val="ru-MD"/>
        </w:rPr>
        <w:t>были исполнены в размере лишь</w:t>
      </w:r>
      <w:r w:rsidRPr="005851CE">
        <w:rPr>
          <w:rFonts w:asciiTheme="majorHAnsi" w:eastAsia="Times New Roman" w:hAnsiTheme="majorHAnsi" w:cstheme="majorHAnsi"/>
          <w:sz w:val="24"/>
          <w:szCs w:val="24"/>
          <w:lang w:val="ru-MD"/>
        </w:rPr>
        <w:t xml:space="preserve"> 355,0 млн. леев. Самый низкий уровень исполнения утвержденных грантовых ассигнований зарегистрирован в </w:t>
      </w:r>
      <w:r w:rsidR="005851CE" w:rsidRPr="005851CE">
        <w:rPr>
          <w:rFonts w:asciiTheme="majorHAnsi" w:eastAsia="Times New Roman" w:hAnsiTheme="majorHAnsi" w:cstheme="majorHAnsi"/>
          <w:sz w:val="24"/>
          <w:szCs w:val="24"/>
          <w:lang w:val="ru-MD"/>
        </w:rPr>
        <w:t>МОКИ</w:t>
      </w:r>
      <w:r w:rsidRPr="005851CE">
        <w:rPr>
          <w:rFonts w:asciiTheme="majorHAnsi" w:eastAsia="Times New Roman" w:hAnsiTheme="majorHAnsi" w:cstheme="majorHAnsi"/>
          <w:sz w:val="24"/>
          <w:szCs w:val="24"/>
          <w:lang w:val="ru-MD"/>
        </w:rPr>
        <w:t xml:space="preserve"> – 30,6%, </w:t>
      </w:r>
      <w:r w:rsidR="005851CE" w:rsidRPr="005851CE">
        <w:rPr>
          <w:rFonts w:asciiTheme="majorHAnsi" w:eastAsia="Times New Roman" w:hAnsiTheme="majorHAnsi" w:cstheme="majorHAnsi"/>
          <w:sz w:val="24"/>
          <w:szCs w:val="24"/>
          <w:lang w:val="ru-MD"/>
        </w:rPr>
        <w:t>МФ</w:t>
      </w:r>
      <w:r w:rsidRPr="005851CE">
        <w:rPr>
          <w:rFonts w:asciiTheme="majorHAnsi" w:eastAsia="Times New Roman" w:hAnsiTheme="majorHAnsi" w:cstheme="majorHAnsi"/>
          <w:sz w:val="24"/>
          <w:szCs w:val="24"/>
          <w:lang w:val="ru-MD"/>
        </w:rPr>
        <w:t xml:space="preserve">-31,9%, </w:t>
      </w:r>
      <w:r w:rsidR="005851CE" w:rsidRPr="005851CE">
        <w:rPr>
          <w:rFonts w:asciiTheme="majorHAnsi" w:eastAsia="Times New Roman" w:hAnsiTheme="majorHAnsi" w:cstheme="majorHAnsi"/>
          <w:sz w:val="24"/>
          <w:szCs w:val="24"/>
          <w:lang w:val="ru-MD"/>
        </w:rPr>
        <w:t>НБС</w:t>
      </w:r>
      <w:r w:rsidRPr="005851CE">
        <w:rPr>
          <w:rFonts w:asciiTheme="majorHAnsi" w:eastAsia="Times New Roman" w:hAnsiTheme="majorHAnsi" w:cstheme="majorHAnsi"/>
          <w:sz w:val="24"/>
          <w:szCs w:val="24"/>
          <w:lang w:val="ru-MD"/>
        </w:rPr>
        <w:t xml:space="preserve">-31,9%, </w:t>
      </w:r>
      <w:r w:rsidR="005851CE" w:rsidRPr="005851CE">
        <w:rPr>
          <w:rFonts w:asciiTheme="majorHAnsi" w:eastAsia="Times New Roman" w:hAnsiTheme="majorHAnsi" w:cstheme="majorHAnsi"/>
          <w:sz w:val="24"/>
          <w:szCs w:val="24"/>
          <w:lang w:val="ru-MD"/>
        </w:rPr>
        <w:t>МСХРРОС</w:t>
      </w:r>
      <w:r w:rsidRPr="005851CE">
        <w:rPr>
          <w:rFonts w:asciiTheme="majorHAnsi" w:eastAsia="Times New Roman" w:hAnsiTheme="majorHAnsi" w:cstheme="majorHAnsi"/>
          <w:sz w:val="24"/>
          <w:szCs w:val="24"/>
          <w:lang w:val="ru-MD"/>
        </w:rPr>
        <w:t xml:space="preserve"> – 32,8% и </w:t>
      </w:r>
      <w:r w:rsidR="005851CE" w:rsidRPr="005851CE">
        <w:rPr>
          <w:rFonts w:asciiTheme="majorHAnsi" w:eastAsia="Times New Roman" w:hAnsiTheme="majorHAnsi" w:cstheme="majorHAnsi"/>
          <w:sz w:val="24"/>
          <w:szCs w:val="24"/>
          <w:lang w:val="ru-MD"/>
        </w:rPr>
        <w:t>др</w:t>
      </w:r>
      <w:r w:rsidRPr="005851CE">
        <w:rPr>
          <w:rFonts w:asciiTheme="majorHAnsi" w:eastAsia="Times New Roman" w:hAnsiTheme="majorHAnsi" w:cstheme="majorHAnsi"/>
          <w:sz w:val="24"/>
          <w:szCs w:val="24"/>
          <w:lang w:val="ru-MD"/>
        </w:rPr>
        <w:t>. А</w:t>
      </w:r>
      <w:r w:rsidR="005851CE" w:rsidRPr="005851CE">
        <w:rPr>
          <w:rFonts w:asciiTheme="majorHAnsi" w:eastAsia="Times New Roman" w:hAnsiTheme="majorHAnsi" w:cstheme="majorHAnsi"/>
          <w:sz w:val="24"/>
          <w:szCs w:val="24"/>
          <w:lang w:val="ru-MD"/>
        </w:rPr>
        <w:t>удиторский а</w:t>
      </w:r>
      <w:r w:rsidRPr="005851CE">
        <w:rPr>
          <w:rFonts w:asciiTheme="majorHAnsi" w:eastAsia="Times New Roman" w:hAnsiTheme="majorHAnsi" w:cstheme="majorHAnsi"/>
          <w:sz w:val="24"/>
          <w:szCs w:val="24"/>
          <w:lang w:val="ru-MD"/>
        </w:rPr>
        <w:t>нализ исполнени</w:t>
      </w:r>
      <w:r w:rsidR="005851CE" w:rsidRPr="005851CE">
        <w:rPr>
          <w:rFonts w:asciiTheme="majorHAnsi" w:eastAsia="Times New Roman" w:hAnsiTheme="majorHAnsi" w:cstheme="majorHAnsi"/>
          <w:sz w:val="24"/>
          <w:szCs w:val="24"/>
          <w:lang w:val="ru-MD"/>
        </w:rPr>
        <w:t>я</w:t>
      </w:r>
      <w:r w:rsidRPr="005851CE">
        <w:rPr>
          <w:rFonts w:asciiTheme="majorHAnsi" w:eastAsia="Times New Roman" w:hAnsiTheme="majorHAnsi" w:cstheme="majorHAnsi"/>
          <w:sz w:val="24"/>
          <w:szCs w:val="24"/>
          <w:lang w:val="ru-MD"/>
        </w:rPr>
        <w:t xml:space="preserve"> полученных от грантов </w:t>
      </w:r>
      <w:r w:rsidR="005851CE" w:rsidRPr="005851CE">
        <w:rPr>
          <w:rFonts w:asciiTheme="majorHAnsi" w:eastAsia="Times New Roman" w:hAnsiTheme="majorHAnsi" w:cstheme="majorHAnsi"/>
          <w:sz w:val="24"/>
          <w:szCs w:val="24"/>
          <w:lang w:val="ru-MD"/>
        </w:rPr>
        <w:t>доходов, по</w:t>
      </w:r>
      <w:r w:rsidRPr="005851CE">
        <w:rPr>
          <w:rFonts w:asciiTheme="majorHAnsi" w:eastAsia="Times New Roman" w:hAnsiTheme="majorHAnsi" w:cstheme="majorHAnsi"/>
          <w:sz w:val="24"/>
          <w:szCs w:val="24"/>
          <w:lang w:val="ru-MD"/>
        </w:rPr>
        <w:t xml:space="preserve"> бюджетны</w:t>
      </w:r>
      <w:r w:rsidR="005851CE" w:rsidRPr="005851CE">
        <w:rPr>
          <w:rFonts w:asciiTheme="majorHAnsi" w:eastAsia="Times New Roman" w:hAnsiTheme="majorHAnsi" w:cstheme="majorHAnsi"/>
          <w:sz w:val="24"/>
          <w:szCs w:val="24"/>
          <w:lang w:val="ru-MD"/>
        </w:rPr>
        <w:t>м</w:t>
      </w:r>
      <w:r w:rsidRPr="005851CE">
        <w:rPr>
          <w:rFonts w:asciiTheme="majorHAnsi" w:eastAsia="Times New Roman" w:hAnsiTheme="majorHAnsi" w:cstheme="majorHAnsi"/>
          <w:sz w:val="24"/>
          <w:szCs w:val="24"/>
          <w:lang w:val="ru-MD"/>
        </w:rPr>
        <w:t xml:space="preserve"> учреждения</w:t>
      </w:r>
      <w:r w:rsidR="005851CE" w:rsidRPr="005851CE">
        <w:rPr>
          <w:rFonts w:asciiTheme="majorHAnsi" w:eastAsia="Times New Roman" w:hAnsiTheme="majorHAnsi" w:cstheme="majorHAnsi"/>
          <w:sz w:val="24"/>
          <w:szCs w:val="24"/>
          <w:lang w:val="ru-MD"/>
        </w:rPr>
        <w:t>м</w:t>
      </w:r>
      <w:r w:rsidRPr="005851CE">
        <w:rPr>
          <w:rFonts w:asciiTheme="majorHAnsi" w:eastAsia="Times New Roman" w:hAnsiTheme="majorHAnsi" w:cstheme="majorHAnsi"/>
          <w:sz w:val="24"/>
          <w:szCs w:val="24"/>
          <w:lang w:val="ru-MD"/>
        </w:rPr>
        <w:t xml:space="preserve">, </w:t>
      </w:r>
      <w:r w:rsidR="005851CE" w:rsidRPr="005851CE">
        <w:rPr>
          <w:rFonts w:asciiTheme="majorHAnsi" w:eastAsia="Times New Roman" w:hAnsiTheme="majorHAnsi" w:cstheme="majorHAnsi"/>
          <w:sz w:val="24"/>
          <w:szCs w:val="24"/>
          <w:lang w:val="ru-MD"/>
        </w:rPr>
        <w:t>показал</w:t>
      </w:r>
      <w:r w:rsidRPr="005851CE">
        <w:rPr>
          <w:rFonts w:asciiTheme="majorHAnsi" w:eastAsia="Times New Roman" w:hAnsiTheme="majorHAnsi" w:cstheme="majorHAnsi"/>
          <w:sz w:val="24"/>
          <w:szCs w:val="24"/>
          <w:lang w:val="ru-MD"/>
        </w:rPr>
        <w:t>, что</w:t>
      </w:r>
      <w:r w:rsidR="006E2E6A" w:rsidRPr="00F55BA6">
        <w:rPr>
          <w:rFonts w:asciiTheme="majorHAnsi" w:eastAsia="Times New Roman" w:hAnsiTheme="majorHAnsi" w:cstheme="majorHAnsi"/>
          <w:sz w:val="24"/>
          <w:szCs w:val="24"/>
          <w:lang w:val="ro-RO"/>
        </w:rPr>
        <w:t>:</w:t>
      </w:r>
    </w:p>
    <w:p w:rsidR="006E2E6A" w:rsidRPr="005851CE" w:rsidRDefault="00057236" w:rsidP="00057236">
      <w:pPr>
        <w:pStyle w:val="ListParagraph"/>
        <w:numPr>
          <w:ilvl w:val="0"/>
          <w:numId w:val="7"/>
        </w:numPr>
        <w:tabs>
          <w:tab w:val="left" w:pos="142"/>
        </w:tabs>
        <w:spacing w:after="0" w:line="276" w:lineRule="auto"/>
        <w:ind w:left="0" w:firstLine="0"/>
        <w:rPr>
          <w:rFonts w:asciiTheme="majorHAnsi" w:eastAsia="Times New Roman" w:hAnsiTheme="majorHAnsi" w:cstheme="majorHAnsi"/>
          <w:sz w:val="24"/>
          <w:szCs w:val="24"/>
          <w:lang w:val="ru-MD"/>
        </w:rPr>
      </w:pPr>
      <w:r w:rsidRPr="005851CE">
        <w:rPr>
          <w:rFonts w:asciiTheme="majorHAnsi" w:eastAsia="Times New Roman" w:hAnsiTheme="majorHAnsi" w:cstheme="majorHAnsi"/>
          <w:sz w:val="24"/>
          <w:szCs w:val="24"/>
          <w:lang w:val="ru-MD"/>
        </w:rPr>
        <w:t>10 учреждений</w:t>
      </w:r>
      <w:r w:rsidR="005851CE" w:rsidRPr="005851CE">
        <w:rPr>
          <w:rFonts w:asciiTheme="majorHAnsi" w:eastAsia="Times New Roman" w:hAnsiTheme="majorHAnsi" w:cstheme="majorHAnsi"/>
          <w:sz w:val="24"/>
          <w:szCs w:val="24"/>
          <w:vertAlign w:val="superscript"/>
          <w:lang w:val="ru-MD"/>
        </w:rPr>
        <w:footnoteReference w:id="36"/>
      </w:r>
      <w:r w:rsidRPr="005851CE">
        <w:rPr>
          <w:rFonts w:asciiTheme="majorHAnsi" w:eastAsia="Times New Roman" w:hAnsiTheme="majorHAnsi" w:cstheme="majorHAnsi"/>
          <w:sz w:val="24"/>
          <w:szCs w:val="24"/>
          <w:lang w:val="ru-MD"/>
        </w:rPr>
        <w:t xml:space="preserve">, внедряющих 29 проектов, </w:t>
      </w:r>
      <w:r w:rsidR="005851CE" w:rsidRPr="005851CE">
        <w:rPr>
          <w:rFonts w:asciiTheme="majorHAnsi" w:eastAsia="Times New Roman" w:hAnsiTheme="majorHAnsi" w:cstheme="majorHAnsi"/>
          <w:sz w:val="24"/>
          <w:szCs w:val="24"/>
          <w:lang w:val="ru-MD"/>
        </w:rPr>
        <w:t xml:space="preserve">в 2020 году </w:t>
      </w:r>
      <w:r w:rsidRPr="005851CE">
        <w:rPr>
          <w:rFonts w:asciiTheme="majorHAnsi" w:eastAsia="Times New Roman" w:hAnsiTheme="majorHAnsi" w:cstheme="majorHAnsi"/>
          <w:sz w:val="24"/>
          <w:szCs w:val="24"/>
          <w:lang w:val="ru-MD"/>
        </w:rPr>
        <w:t xml:space="preserve">не </w:t>
      </w:r>
      <w:r w:rsidR="005851CE" w:rsidRPr="005851CE">
        <w:rPr>
          <w:rFonts w:asciiTheme="majorHAnsi" w:eastAsia="Times New Roman" w:hAnsiTheme="majorHAnsi" w:cstheme="majorHAnsi"/>
          <w:sz w:val="24"/>
          <w:szCs w:val="24"/>
          <w:lang w:val="ru-MD"/>
        </w:rPr>
        <w:t>ис</w:t>
      </w:r>
      <w:r w:rsidRPr="005851CE">
        <w:rPr>
          <w:rFonts w:asciiTheme="majorHAnsi" w:eastAsia="Times New Roman" w:hAnsiTheme="majorHAnsi" w:cstheme="majorHAnsi"/>
          <w:sz w:val="24"/>
          <w:szCs w:val="24"/>
          <w:lang w:val="ru-MD"/>
        </w:rPr>
        <w:t xml:space="preserve">полнили </w:t>
      </w:r>
      <w:r w:rsidR="005851CE" w:rsidRPr="005851CE">
        <w:rPr>
          <w:rFonts w:asciiTheme="majorHAnsi" w:eastAsia="Times New Roman" w:hAnsiTheme="majorHAnsi" w:cstheme="majorHAnsi"/>
          <w:sz w:val="24"/>
          <w:szCs w:val="24"/>
          <w:lang w:val="ru-MD"/>
        </w:rPr>
        <w:t xml:space="preserve">расходы </w:t>
      </w:r>
      <w:r w:rsidRPr="005851CE">
        <w:rPr>
          <w:rFonts w:asciiTheme="majorHAnsi" w:eastAsia="Times New Roman" w:hAnsiTheme="majorHAnsi" w:cstheme="majorHAnsi"/>
          <w:sz w:val="24"/>
          <w:szCs w:val="24"/>
          <w:lang w:val="ru-MD"/>
        </w:rPr>
        <w:t xml:space="preserve">из остатка денежных средств, накопленных за предыдущие годы, на общую сумму 870,7 млн. леев, а МФ не </w:t>
      </w:r>
      <w:r w:rsidR="005851CE" w:rsidRPr="005851CE">
        <w:rPr>
          <w:rFonts w:asciiTheme="majorHAnsi" w:eastAsia="Times New Roman" w:hAnsiTheme="majorHAnsi" w:cstheme="majorHAnsi"/>
          <w:sz w:val="24"/>
          <w:szCs w:val="24"/>
          <w:lang w:val="ru-MD"/>
        </w:rPr>
        <w:t>утвердило</w:t>
      </w:r>
      <w:r w:rsidRPr="005851CE">
        <w:rPr>
          <w:rFonts w:asciiTheme="majorHAnsi" w:eastAsia="Times New Roman" w:hAnsiTheme="majorHAnsi" w:cstheme="majorHAnsi"/>
          <w:sz w:val="24"/>
          <w:szCs w:val="24"/>
          <w:lang w:val="ru-MD"/>
        </w:rPr>
        <w:t xml:space="preserve"> и не уточнил</w:t>
      </w:r>
      <w:r w:rsidR="005851CE" w:rsidRPr="005851CE">
        <w:rPr>
          <w:rFonts w:asciiTheme="majorHAnsi" w:eastAsia="Times New Roman" w:hAnsiTheme="majorHAnsi" w:cstheme="majorHAnsi"/>
          <w:sz w:val="24"/>
          <w:szCs w:val="24"/>
          <w:lang w:val="ru-MD"/>
        </w:rPr>
        <w:t>о</w:t>
      </w:r>
      <w:r w:rsidRPr="005851CE">
        <w:rPr>
          <w:rFonts w:asciiTheme="majorHAnsi" w:eastAsia="Times New Roman" w:hAnsiTheme="majorHAnsi" w:cstheme="majorHAnsi"/>
          <w:sz w:val="24"/>
          <w:szCs w:val="24"/>
          <w:lang w:val="ru-MD"/>
        </w:rPr>
        <w:t xml:space="preserve"> ассигновани</w:t>
      </w:r>
      <w:r w:rsidR="005851CE" w:rsidRPr="005851CE">
        <w:rPr>
          <w:rFonts w:asciiTheme="majorHAnsi" w:eastAsia="Times New Roman" w:hAnsiTheme="majorHAnsi" w:cstheme="majorHAnsi"/>
          <w:sz w:val="24"/>
          <w:szCs w:val="24"/>
          <w:lang w:val="ru-MD"/>
        </w:rPr>
        <w:t>я</w:t>
      </w:r>
      <w:r w:rsidR="00887F15" w:rsidRPr="005851CE">
        <w:rPr>
          <w:rFonts w:asciiTheme="majorHAnsi" w:eastAsia="Times New Roman" w:hAnsiTheme="majorHAnsi" w:cstheme="majorHAnsi"/>
          <w:sz w:val="24"/>
          <w:szCs w:val="24"/>
          <w:lang w:val="ru-MD"/>
        </w:rPr>
        <w:t>;</w:t>
      </w:r>
    </w:p>
    <w:p w:rsidR="006E2E6A" w:rsidRPr="00817266" w:rsidRDefault="00057236" w:rsidP="00057236">
      <w:pPr>
        <w:pStyle w:val="ListParagraph"/>
        <w:numPr>
          <w:ilvl w:val="0"/>
          <w:numId w:val="7"/>
        </w:numPr>
        <w:tabs>
          <w:tab w:val="left" w:pos="142"/>
        </w:tabs>
        <w:spacing w:after="0" w:line="276" w:lineRule="auto"/>
        <w:ind w:left="0" w:firstLine="0"/>
        <w:rPr>
          <w:rFonts w:asciiTheme="majorHAnsi" w:eastAsia="Times New Roman" w:hAnsiTheme="majorHAnsi" w:cstheme="majorHAnsi"/>
          <w:sz w:val="24"/>
          <w:szCs w:val="24"/>
          <w:lang w:val="ru-MD"/>
        </w:rPr>
      </w:pPr>
      <w:r w:rsidRPr="00817266">
        <w:rPr>
          <w:rFonts w:asciiTheme="majorHAnsi" w:eastAsia="Times New Roman" w:hAnsiTheme="majorHAnsi" w:cstheme="majorHAnsi"/>
          <w:sz w:val="24"/>
          <w:szCs w:val="24"/>
          <w:lang w:val="ru-MD"/>
        </w:rPr>
        <w:t xml:space="preserve">дополнительно </w:t>
      </w:r>
      <w:r w:rsidR="00817266" w:rsidRPr="00817266">
        <w:rPr>
          <w:rFonts w:asciiTheme="majorHAnsi" w:eastAsia="Times New Roman" w:hAnsiTheme="majorHAnsi" w:cstheme="majorHAnsi"/>
          <w:sz w:val="24"/>
          <w:szCs w:val="24"/>
          <w:lang w:val="ru-MD"/>
        </w:rPr>
        <w:t xml:space="preserve">были </w:t>
      </w:r>
      <w:r w:rsidRPr="00817266">
        <w:rPr>
          <w:rFonts w:asciiTheme="majorHAnsi" w:eastAsia="Times New Roman" w:hAnsiTheme="majorHAnsi" w:cstheme="majorHAnsi"/>
          <w:sz w:val="24"/>
          <w:szCs w:val="24"/>
          <w:lang w:val="ru-MD"/>
        </w:rPr>
        <w:t xml:space="preserve">выделены бюджетные средства </w:t>
      </w:r>
      <w:r w:rsidR="00817266" w:rsidRPr="00817266">
        <w:rPr>
          <w:rFonts w:asciiTheme="majorHAnsi" w:eastAsia="Times New Roman" w:hAnsiTheme="majorHAnsi" w:cstheme="majorHAnsi"/>
          <w:sz w:val="24"/>
          <w:szCs w:val="24"/>
          <w:lang w:val="ru-MD"/>
        </w:rPr>
        <w:t>на выполнение действий</w:t>
      </w:r>
      <w:r w:rsidRPr="00817266">
        <w:rPr>
          <w:rFonts w:asciiTheme="majorHAnsi" w:eastAsia="Times New Roman" w:hAnsiTheme="majorHAnsi" w:cstheme="majorHAnsi"/>
          <w:sz w:val="24"/>
          <w:szCs w:val="24"/>
          <w:lang w:val="ru-MD"/>
        </w:rPr>
        <w:t xml:space="preserve"> в рамках проектов </w:t>
      </w:r>
      <w:r w:rsidR="00817266" w:rsidRPr="00817266">
        <w:rPr>
          <w:rFonts w:asciiTheme="majorHAnsi" w:eastAsia="Times New Roman" w:hAnsiTheme="majorHAnsi" w:cstheme="majorHAnsi"/>
          <w:sz w:val="24"/>
          <w:szCs w:val="24"/>
          <w:lang w:val="ru-MD"/>
        </w:rPr>
        <w:t>в</w:t>
      </w:r>
      <w:r w:rsidRPr="00817266">
        <w:rPr>
          <w:rFonts w:asciiTheme="majorHAnsi" w:eastAsia="Times New Roman" w:hAnsiTheme="majorHAnsi" w:cstheme="majorHAnsi"/>
          <w:sz w:val="24"/>
          <w:szCs w:val="24"/>
          <w:lang w:val="ru-MD"/>
        </w:rPr>
        <w:t xml:space="preserve"> сумм</w:t>
      </w:r>
      <w:r w:rsidR="00817266" w:rsidRPr="00817266">
        <w:rPr>
          <w:rFonts w:asciiTheme="majorHAnsi" w:eastAsia="Times New Roman" w:hAnsiTheme="majorHAnsi" w:cstheme="majorHAnsi"/>
          <w:sz w:val="24"/>
          <w:szCs w:val="24"/>
          <w:lang w:val="ru-MD"/>
        </w:rPr>
        <w:t>е</w:t>
      </w:r>
      <w:r w:rsidRPr="00817266">
        <w:rPr>
          <w:rFonts w:asciiTheme="majorHAnsi" w:eastAsia="Times New Roman" w:hAnsiTheme="majorHAnsi" w:cstheme="majorHAnsi"/>
          <w:sz w:val="24"/>
          <w:szCs w:val="24"/>
          <w:lang w:val="ru-MD"/>
        </w:rPr>
        <w:t xml:space="preserve"> 4,5 млн. леев 2 учреждения</w:t>
      </w:r>
      <w:r w:rsidR="00817266" w:rsidRPr="00817266">
        <w:rPr>
          <w:rFonts w:asciiTheme="majorHAnsi" w:eastAsia="Times New Roman" w:hAnsiTheme="majorHAnsi" w:cstheme="majorHAnsi"/>
          <w:sz w:val="24"/>
          <w:szCs w:val="24"/>
          <w:lang w:val="ru-MD"/>
        </w:rPr>
        <w:t>м</w:t>
      </w:r>
      <w:r w:rsidRPr="00817266">
        <w:rPr>
          <w:rFonts w:asciiTheme="majorHAnsi" w:eastAsia="Times New Roman" w:hAnsiTheme="majorHAnsi" w:cstheme="majorHAnsi"/>
          <w:sz w:val="24"/>
          <w:szCs w:val="24"/>
          <w:lang w:val="ru-MD"/>
        </w:rPr>
        <w:t xml:space="preserve"> (</w:t>
      </w:r>
      <w:r w:rsidR="00817266" w:rsidRPr="00817266">
        <w:rPr>
          <w:rFonts w:asciiTheme="majorHAnsi" w:eastAsia="Times New Roman" w:hAnsiTheme="majorHAnsi" w:cstheme="majorHAnsi"/>
          <w:sz w:val="24"/>
          <w:szCs w:val="24"/>
          <w:lang w:val="ru-MD"/>
        </w:rPr>
        <w:t xml:space="preserve">МЭИ </w:t>
      </w:r>
      <w:r w:rsidRPr="00817266">
        <w:rPr>
          <w:rFonts w:asciiTheme="majorHAnsi" w:eastAsia="Times New Roman" w:hAnsiTheme="majorHAnsi" w:cstheme="majorHAnsi"/>
          <w:sz w:val="24"/>
          <w:szCs w:val="24"/>
          <w:lang w:val="ru-MD"/>
        </w:rPr>
        <w:t>-</w:t>
      </w:r>
      <w:r w:rsidR="00817266" w:rsidRPr="00817266">
        <w:rPr>
          <w:rFonts w:asciiTheme="majorHAnsi" w:eastAsia="Times New Roman" w:hAnsiTheme="majorHAnsi" w:cstheme="majorHAnsi"/>
          <w:sz w:val="24"/>
          <w:szCs w:val="24"/>
          <w:lang w:val="ru-MD"/>
        </w:rPr>
        <w:t xml:space="preserve"> </w:t>
      </w:r>
      <w:r w:rsidRPr="00817266">
        <w:rPr>
          <w:rFonts w:asciiTheme="majorHAnsi" w:eastAsia="Times New Roman" w:hAnsiTheme="majorHAnsi" w:cstheme="majorHAnsi"/>
          <w:sz w:val="24"/>
          <w:szCs w:val="24"/>
          <w:lang w:val="ru-MD"/>
        </w:rPr>
        <w:t>0,2 млн. леев</w:t>
      </w:r>
      <w:r w:rsidR="00817266" w:rsidRPr="00817266">
        <w:rPr>
          <w:rFonts w:asciiTheme="majorHAnsi" w:eastAsia="Times New Roman" w:hAnsiTheme="majorHAnsi" w:cstheme="majorHAnsi"/>
          <w:sz w:val="24"/>
          <w:szCs w:val="24"/>
          <w:lang w:val="ru-MD"/>
        </w:rPr>
        <w:t xml:space="preserve">, </w:t>
      </w:r>
      <w:r w:rsidR="00817266" w:rsidRPr="00817266">
        <w:rPr>
          <w:rFonts w:asciiTheme="majorHAnsi" w:hAnsiTheme="majorHAnsi" w:cstheme="majorHAnsi"/>
          <w:lang w:val="ru-MD"/>
        </w:rPr>
        <w:t xml:space="preserve">МСХРРОС - </w:t>
      </w:r>
      <w:r w:rsidR="00817266" w:rsidRPr="00817266">
        <w:rPr>
          <w:rFonts w:asciiTheme="majorHAnsi" w:eastAsia="Times New Roman" w:hAnsiTheme="majorHAnsi" w:cstheme="majorHAnsi"/>
          <w:sz w:val="24"/>
          <w:szCs w:val="24"/>
          <w:lang w:val="ru-MD"/>
        </w:rPr>
        <w:t>4,4 млн. леев</w:t>
      </w:r>
      <w:r w:rsidRPr="00817266">
        <w:rPr>
          <w:rFonts w:asciiTheme="majorHAnsi" w:eastAsia="Times New Roman" w:hAnsiTheme="majorHAnsi" w:cstheme="majorHAnsi"/>
          <w:sz w:val="24"/>
          <w:szCs w:val="24"/>
          <w:lang w:val="ru-MD"/>
        </w:rPr>
        <w:t xml:space="preserve">) </w:t>
      </w:r>
      <w:r w:rsidR="00817266" w:rsidRPr="00817266">
        <w:rPr>
          <w:rFonts w:asciiTheme="majorHAnsi" w:eastAsia="Times New Roman" w:hAnsiTheme="majorHAnsi" w:cstheme="majorHAnsi"/>
          <w:sz w:val="24"/>
          <w:szCs w:val="24"/>
          <w:lang w:val="ru-MD"/>
        </w:rPr>
        <w:t>со счета</w:t>
      </w:r>
      <w:r w:rsidRPr="00817266">
        <w:rPr>
          <w:rFonts w:asciiTheme="majorHAnsi" w:eastAsia="Times New Roman" w:hAnsiTheme="majorHAnsi" w:cstheme="majorHAnsi"/>
          <w:sz w:val="24"/>
          <w:szCs w:val="24"/>
          <w:lang w:val="ru-MD"/>
        </w:rPr>
        <w:t xml:space="preserve"> „</w:t>
      </w:r>
      <w:r w:rsidR="00817266" w:rsidRPr="00817266">
        <w:rPr>
          <w:rFonts w:asciiTheme="majorHAnsi" w:eastAsia="Times New Roman" w:hAnsiTheme="majorHAnsi" w:cstheme="majorHAnsi"/>
          <w:sz w:val="24"/>
          <w:szCs w:val="24"/>
          <w:lang w:val="ru-MD"/>
        </w:rPr>
        <w:t>Д</w:t>
      </w:r>
      <w:r w:rsidRPr="00817266">
        <w:rPr>
          <w:rFonts w:asciiTheme="majorHAnsi" w:eastAsia="Times New Roman" w:hAnsiTheme="majorHAnsi" w:cstheme="majorHAnsi"/>
          <w:sz w:val="24"/>
          <w:szCs w:val="24"/>
          <w:lang w:val="ru-MD"/>
        </w:rPr>
        <w:t>руги</w:t>
      </w:r>
      <w:r w:rsidR="00817266" w:rsidRPr="00817266">
        <w:rPr>
          <w:rFonts w:asciiTheme="majorHAnsi" w:eastAsia="Times New Roman" w:hAnsiTheme="majorHAnsi" w:cstheme="majorHAnsi"/>
          <w:sz w:val="24"/>
          <w:szCs w:val="24"/>
          <w:lang w:val="ru-MD"/>
        </w:rPr>
        <w:t>е</w:t>
      </w:r>
      <w:r w:rsidRPr="00817266">
        <w:rPr>
          <w:rFonts w:asciiTheme="majorHAnsi" w:eastAsia="Times New Roman" w:hAnsiTheme="majorHAnsi" w:cstheme="majorHAnsi"/>
          <w:sz w:val="24"/>
          <w:szCs w:val="24"/>
          <w:lang w:val="ru-MD"/>
        </w:rPr>
        <w:t xml:space="preserve"> доход</w:t>
      </w:r>
      <w:r w:rsidR="00817266" w:rsidRPr="00817266">
        <w:rPr>
          <w:rFonts w:asciiTheme="majorHAnsi" w:eastAsia="Times New Roman" w:hAnsiTheme="majorHAnsi" w:cstheme="majorHAnsi"/>
          <w:sz w:val="24"/>
          <w:szCs w:val="24"/>
          <w:lang w:val="ru-MD"/>
        </w:rPr>
        <w:t>ы</w:t>
      </w:r>
      <w:r w:rsidRPr="00817266">
        <w:rPr>
          <w:rFonts w:asciiTheme="majorHAnsi" w:eastAsia="Times New Roman" w:hAnsiTheme="majorHAnsi" w:cstheme="majorHAnsi"/>
          <w:sz w:val="24"/>
          <w:szCs w:val="24"/>
          <w:lang w:val="ru-MD"/>
        </w:rPr>
        <w:t xml:space="preserve">” (код ECO 14). </w:t>
      </w:r>
      <w:r w:rsidR="00817266" w:rsidRPr="00817266">
        <w:rPr>
          <w:rFonts w:asciiTheme="majorHAnsi" w:eastAsia="Times New Roman" w:hAnsiTheme="majorHAnsi" w:cstheme="majorHAnsi"/>
          <w:sz w:val="24"/>
          <w:szCs w:val="24"/>
          <w:lang w:val="ru-MD"/>
        </w:rPr>
        <w:t>Кроме того,</w:t>
      </w:r>
      <w:r w:rsidRPr="00817266">
        <w:rPr>
          <w:rFonts w:asciiTheme="majorHAnsi" w:eastAsia="Times New Roman" w:hAnsiTheme="majorHAnsi" w:cstheme="majorHAnsi"/>
          <w:sz w:val="24"/>
          <w:szCs w:val="24"/>
          <w:lang w:val="ru-MD"/>
        </w:rPr>
        <w:t xml:space="preserve"> были </w:t>
      </w:r>
      <w:r w:rsidR="00817266" w:rsidRPr="00817266">
        <w:rPr>
          <w:rFonts w:asciiTheme="majorHAnsi" w:eastAsia="Times New Roman" w:hAnsiTheme="majorHAnsi" w:cstheme="majorHAnsi"/>
          <w:sz w:val="24"/>
          <w:szCs w:val="24"/>
          <w:lang w:val="ru-MD"/>
        </w:rPr>
        <w:t>произвед</w:t>
      </w:r>
      <w:r w:rsidRPr="00817266">
        <w:rPr>
          <w:rFonts w:asciiTheme="majorHAnsi" w:eastAsia="Times New Roman" w:hAnsiTheme="majorHAnsi" w:cstheme="majorHAnsi"/>
          <w:sz w:val="24"/>
          <w:szCs w:val="24"/>
          <w:lang w:val="ru-MD"/>
        </w:rPr>
        <w:t xml:space="preserve">ены </w:t>
      </w:r>
      <w:r w:rsidR="00817266" w:rsidRPr="00817266">
        <w:rPr>
          <w:rFonts w:asciiTheme="majorHAnsi" w:eastAsia="Times New Roman" w:hAnsiTheme="majorHAnsi" w:cstheme="majorHAnsi"/>
          <w:sz w:val="24"/>
          <w:szCs w:val="24"/>
          <w:lang w:val="ru-MD"/>
        </w:rPr>
        <w:t>трансферт</w:t>
      </w:r>
      <w:r w:rsidRPr="00817266">
        <w:rPr>
          <w:rFonts w:asciiTheme="majorHAnsi" w:eastAsia="Times New Roman" w:hAnsiTheme="majorHAnsi" w:cstheme="majorHAnsi"/>
          <w:sz w:val="24"/>
          <w:szCs w:val="24"/>
          <w:lang w:val="ru-MD"/>
        </w:rPr>
        <w:t xml:space="preserve">ы на сумму 4,3 </w:t>
      </w:r>
      <w:r w:rsidRPr="00817266">
        <w:rPr>
          <w:rFonts w:asciiTheme="majorHAnsi" w:eastAsia="Times New Roman" w:hAnsiTheme="majorHAnsi" w:cstheme="majorHAnsi"/>
          <w:sz w:val="24"/>
          <w:szCs w:val="24"/>
          <w:lang w:val="ru-MD"/>
        </w:rPr>
        <w:lastRenderedPageBreak/>
        <w:t xml:space="preserve">млн. леев для проектов, реализуемых </w:t>
      </w:r>
      <w:r w:rsidR="00817266" w:rsidRPr="00817266">
        <w:rPr>
          <w:rFonts w:asciiTheme="majorHAnsi" w:hAnsiTheme="majorHAnsi" w:cstheme="majorHAnsi"/>
          <w:lang w:val="ru-MD"/>
        </w:rPr>
        <w:t>МСХРРОС</w:t>
      </w:r>
      <w:r w:rsidR="00EA76A1">
        <w:rPr>
          <w:rFonts w:asciiTheme="majorHAnsi" w:eastAsia="Times New Roman" w:hAnsiTheme="majorHAnsi" w:cstheme="majorHAnsi"/>
          <w:sz w:val="24"/>
          <w:szCs w:val="24"/>
          <w:lang w:val="ru-MD"/>
        </w:rPr>
        <w:t xml:space="preserve"> и ФСИМ</w:t>
      </w:r>
      <w:r w:rsidRPr="00817266">
        <w:rPr>
          <w:rFonts w:asciiTheme="majorHAnsi" w:eastAsia="Times New Roman" w:hAnsiTheme="majorHAnsi" w:cstheme="majorHAnsi"/>
          <w:sz w:val="24"/>
          <w:szCs w:val="24"/>
          <w:lang w:val="ru-MD"/>
        </w:rPr>
        <w:t xml:space="preserve">.  В течение 2020 года ассигнования </w:t>
      </w:r>
      <w:r w:rsidR="00817266" w:rsidRPr="00817266">
        <w:rPr>
          <w:rFonts w:asciiTheme="majorHAnsi" w:eastAsia="Times New Roman" w:hAnsiTheme="majorHAnsi" w:cstheme="majorHAnsi"/>
          <w:sz w:val="24"/>
          <w:szCs w:val="24"/>
          <w:lang w:val="ru-MD"/>
        </w:rPr>
        <w:t>из</w:t>
      </w:r>
      <w:r w:rsidRPr="00817266">
        <w:rPr>
          <w:rFonts w:asciiTheme="majorHAnsi" w:eastAsia="Times New Roman" w:hAnsiTheme="majorHAnsi" w:cstheme="majorHAnsi"/>
          <w:sz w:val="24"/>
          <w:szCs w:val="24"/>
          <w:lang w:val="ru-MD"/>
        </w:rPr>
        <w:t xml:space="preserve"> </w:t>
      </w:r>
      <w:r w:rsidR="00817266" w:rsidRPr="00817266">
        <w:rPr>
          <w:rFonts w:asciiTheme="majorHAnsi" w:eastAsia="Times New Roman" w:hAnsiTheme="majorHAnsi" w:cstheme="majorHAnsi"/>
          <w:sz w:val="24"/>
          <w:szCs w:val="24"/>
          <w:lang w:val="ru-MD"/>
        </w:rPr>
        <w:t>ГБ</w:t>
      </w:r>
      <w:r w:rsidRPr="00817266">
        <w:rPr>
          <w:rFonts w:asciiTheme="majorHAnsi" w:eastAsia="Times New Roman" w:hAnsiTheme="majorHAnsi" w:cstheme="majorHAnsi"/>
          <w:sz w:val="24"/>
          <w:szCs w:val="24"/>
          <w:lang w:val="ru-MD"/>
        </w:rPr>
        <w:t xml:space="preserve"> (8,8 млн. ле</w:t>
      </w:r>
      <w:r w:rsidR="00817266" w:rsidRPr="00817266">
        <w:rPr>
          <w:rFonts w:asciiTheme="majorHAnsi" w:eastAsia="Times New Roman" w:hAnsiTheme="majorHAnsi" w:cstheme="majorHAnsi"/>
          <w:sz w:val="24"/>
          <w:szCs w:val="24"/>
          <w:lang w:val="ru-MD"/>
        </w:rPr>
        <w:t>ев</w:t>
      </w:r>
      <w:r w:rsidRPr="00817266">
        <w:rPr>
          <w:rFonts w:asciiTheme="majorHAnsi" w:eastAsia="Times New Roman" w:hAnsiTheme="majorHAnsi" w:cstheme="majorHAnsi"/>
          <w:sz w:val="24"/>
          <w:szCs w:val="24"/>
          <w:lang w:val="ru-MD"/>
        </w:rPr>
        <w:t xml:space="preserve">) не были освоены, оставаясь в остатке </w:t>
      </w:r>
      <w:r w:rsidR="00817266" w:rsidRPr="00817266">
        <w:rPr>
          <w:rFonts w:asciiTheme="majorHAnsi" w:eastAsia="Times New Roman" w:hAnsiTheme="majorHAnsi" w:cstheme="majorHAnsi"/>
          <w:sz w:val="24"/>
          <w:szCs w:val="24"/>
          <w:lang w:val="ru-MD"/>
        </w:rPr>
        <w:t>у</w:t>
      </w:r>
      <w:r w:rsidRPr="00817266">
        <w:rPr>
          <w:rFonts w:asciiTheme="majorHAnsi" w:eastAsia="Times New Roman" w:hAnsiTheme="majorHAnsi" w:cstheme="majorHAnsi"/>
          <w:sz w:val="24"/>
          <w:szCs w:val="24"/>
          <w:lang w:val="ru-MD"/>
        </w:rPr>
        <w:t xml:space="preserve"> </w:t>
      </w:r>
      <w:r w:rsidR="00817266" w:rsidRPr="00817266">
        <w:rPr>
          <w:rFonts w:asciiTheme="majorHAnsi" w:eastAsia="Times New Roman" w:hAnsiTheme="majorHAnsi" w:cstheme="majorHAnsi"/>
          <w:sz w:val="24"/>
          <w:szCs w:val="24"/>
          <w:lang w:val="ru-MD"/>
        </w:rPr>
        <w:t>субъек</w:t>
      </w:r>
      <w:r w:rsidR="00817266">
        <w:rPr>
          <w:rFonts w:asciiTheme="majorHAnsi" w:eastAsia="Times New Roman" w:hAnsiTheme="majorHAnsi" w:cstheme="majorHAnsi"/>
          <w:sz w:val="24"/>
          <w:szCs w:val="24"/>
          <w:lang w:val="ru-MD"/>
        </w:rPr>
        <w:t>т</w:t>
      </w:r>
      <w:r w:rsidR="00817266" w:rsidRPr="00817266">
        <w:rPr>
          <w:rFonts w:asciiTheme="majorHAnsi" w:eastAsia="Times New Roman" w:hAnsiTheme="majorHAnsi" w:cstheme="majorHAnsi"/>
          <w:sz w:val="24"/>
          <w:szCs w:val="24"/>
          <w:lang w:val="ru-MD"/>
        </w:rPr>
        <w:t>ов-получателей</w:t>
      </w:r>
      <w:r w:rsidR="00441E16" w:rsidRPr="00817266">
        <w:rPr>
          <w:rFonts w:asciiTheme="majorHAnsi" w:eastAsia="Times New Roman" w:hAnsiTheme="majorHAnsi" w:cstheme="majorHAnsi"/>
          <w:sz w:val="24"/>
          <w:szCs w:val="24"/>
          <w:lang w:val="ru-MD"/>
        </w:rPr>
        <w:t>;</w:t>
      </w:r>
      <w:r w:rsidR="006E2E6A" w:rsidRPr="00817266">
        <w:rPr>
          <w:rFonts w:asciiTheme="majorHAnsi" w:eastAsia="Times New Roman" w:hAnsiTheme="majorHAnsi" w:cstheme="majorHAnsi"/>
          <w:sz w:val="24"/>
          <w:szCs w:val="24"/>
          <w:lang w:val="ru-MD"/>
        </w:rPr>
        <w:t xml:space="preserve"> </w:t>
      </w:r>
    </w:p>
    <w:p w:rsidR="006E2E6A" w:rsidRPr="00134E1D" w:rsidRDefault="00057236" w:rsidP="00057236">
      <w:pPr>
        <w:pStyle w:val="ListParagraph"/>
        <w:numPr>
          <w:ilvl w:val="0"/>
          <w:numId w:val="7"/>
        </w:numPr>
        <w:tabs>
          <w:tab w:val="left" w:pos="142"/>
        </w:tabs>
        <w:spacing w:after="0" w:line="276" w:lineRule="auto"/>
        <w:ind w:left="0" w:firstLine="0"/>
        <w:rPr>
          <w:rFonts w:asciiTheme="majorHAnsi" w:eastAsia="Times New Roman" w:hAnsiTheme="majorHAnsi" w:cstheme="majorHAnsi"/>
          <w:sz w:val="24"/>
          <w:szCs w:val="24"/>
          <w:lang w:val="ru-MD"/>
        </w:rPr>
      </w:pPr>
      <w:r w:rsidRPr="00134E1D">
        <w:rPr>
          <w:rFonts w:asciiTheme="majorHAnsi" w:eastAsia="Times New Roman" w:hAnsiTheme="majorHAnsi" w:cstheme="majorHAnsi"/>
          <w:sz w:val="24"/>
          <w:szCs w:val="24"/>
          <w:lang w:val="ru-MD"/>
        </w:rPr>
        <w:t xml:space="preserve">только </w:t>
      </w:r>
      <w:r w:rsidR="00134E1D" w:rsidRPr="00134E1D">
        <w:rPr>
          <w:rFonts w:asciiTheme="majorHAnsi" w:eastAsia="Times New Roman" w:hAnsiTheme="majorHAnsi" w:cstheme="majorHAnsi"/>
          <w:sz w:val="24"/>
          <w:szCs w:val="24"/>
          <w:lang w:val="ru-MD"/>
        </w:rPr>
        <w:t>по</w:t>
      </w:r>
      <w:r w:rsidRPr="00134E1D">
        <w:rPr>
          <w:rFonts w:asciiTheme="majorHAnsi" w:eastAsia="Times New Roman" w:hAnsiTheme="majorHAnsi" w:cstheme="majorHAnsi"/>
          <w:sz w:val="24"/>
          <w:szCs w:val="24"/>
          <w:lang w:val="ru-MD"/>
        </w:rPr>
        <w:t xml:space="preserve"> 5 проект</w:t>
      </w:r>
      <w:r w:rsidR="00134E1D" w:rsidRPr="00134E1D">
        <w:rPr>
          <w:rFonts w:asciiTheme="majorHAnsi" w:eastAsia="Times New Roman" w:hAnsiTheme="majorHAnsi" w:cstheme="majorHAnsi"/>
          <w:sz w:val="24"/>
          <w:szCs w:val="24"/>
          <w:lang w:val="ru-MD"/>
        </w:rPr>
        <w:t>ам</w:t>
      </w:r>
      <w:r w:rsidRPr="00134E1D">
        <w:rPr>
          <w:rFonts w:asciiTheme="majorHAnsi" w:eastAsia="Times New Roman" w:hAnsiTheme="majorHAnsi" w:cstheme="majorHAnsi"/>
          <w:sz w:val="24"/>
          <w:szCs w:val="24"/>
          <w:lang w:val="ru-MD"/>
        </w:rPr>
        <w:t xml:space="preserve"> расходы из грантов </w:t>
      </w:r>
      <w:r w:rsidR="00134E1D" w:rsidRPr="00134E1D">
        <w:rPr>
          <w:rFonts w:asciiTheme="majorHAnsi" w:eastAsia="Times New Roman" w:hAnsiTheme="majorHAnsi" w:cstheme="majorHAnsi"/>
          <w:sz w:val="24"/>
          <w:szCs w:val="24"/>
          <w:lang w:val="ru-MD"/>
        </w:rPr>
        <w:t xml:space="preserve">были полностью исполнены </w:t>
      </w:r>
      <w:r w:rsidRPr="00134E1D">
        <w:rPr>
          <w:rFonts w:asciiTheme="majorHAnsi" w:eastAsia="Times New Roman" w:hAnsiTheme="majorHAnsi" w:cstheme="majorHAnsi"/>
          <w:sz w:val="24"/>
          <w:szCs w:val="24"/>
          <w:lang w:val="ru-MD"/>
        </w:rPr>
        <w:t>на общую сумму 1,3 млн. ле</w:t>
      </w:r>
      <w:r w:rsidR="00134E1D" w:rsidRPr="00134E1D">
        <w:rPr>
          <w:rFonts w:asciiTheme="majorHAnsi" w:eastAsia="Times New Roman" w:hAnsiTheme="majorHAnsi" w:cstheme="majorHAnsi"/>
          <w:sz w:val="24"/>
          <w:szCs w:val="24"/>
          <w:lang w:val="ru-MD"/>
        </w:rPr>
        <w:t>ев</w:t>
      </w:r>
      <w:r w:rsidR="006E2E6A" w:rsidRPr="00134E1D">
        <w:rPr>
          <w:rFonts w:asciiTheme="majorHAnsi" w:eastAsia="Times New Roman" w:hAnsiTheme="majorHAnsi" w:cstheme="majorHAnsi"/>
          <w:sz w:val="24"/>
          <w:szCs w:val="24"/>
          <w:lang w:val="ru-MD"/>
        </w:rPr>
        <w:t>;</w:t>
      </w:r>
    </w:p>
    <w:p w:rsidR="006E2E6A" w:rsidRPr="00134E1D" w:rsidRDefault="00057236" w:rsidP="00057236">
      <w:pPr>
        <w:pStyle w:val="ListParagraph"/>
        <w:numPr>
          <w:ilvl w:val="0"/>
          <w:numId w:val="7"/>
        </w:numPr>
        <w:tabs>
          <w:tab w:val="left" w:pos="142"/>
        </w:tabs>
        <w:spacing w:after="0" w:line="276" w:lineRule="auto"/>
        <w:ind w:left="0" w:firstLine="0"/>
        <w:rPr>
          <w:rFonts w:asciiTheme="majorHAnsi" w:eastAsia="Times New Roman" w:hAnsiTheme="majorHAnsi" w:cstheme="majorHAnsi"/>
          <w:sz w:val="24"/>
          <w:szCs w:val="24"/>
          <w:lang w:val="ru-MD"/>
        </w:rPr>
      </w:pPr>
      <w:r w:rsidRPr="00134E1D">
        <w:rPr>
          <w:rFonts w:asciiTheme="majorHAnsi" w:eastAsia="Times New Roman" w:hAnsiTheme="majorHAnsi" w:cstheme="majorHAnsi"/>
          <w:sz w:val="24"/>
          <w:szCs w:val="24"/>
          <w:lang w:val="ru-MD"/>
        </w:rPr>
        <w:t>3 учреждения (</w:t>
      </w:r>
      <w:r w:rsidR="00134E1D" w:rsidRPr="00134E1D">
        <w:rPr>
          <w:rFonts w:asciiTheme="majorHAnsi" w:eastAsia="Times New Roman" w:hAnsiTheme="majorHAnsi" w:cstheme="majorHAnsi"/>
          <w:sz w:val="24"/>
          <w:szCs w:val="24"/>
          <w:lang w:val="ru-MD"/>
        </w:rPr>
        <w:t xml:space="preserve">МВД </w:t>
      </w:r>
      <w:r w:rsidRPr="00134E1D">
        <w:rPr>
          <w:rFonts w:asciiTheme="majorHAnsi" w:eastAsia="Times New Roman" w:hAnsiTheme="majorHAnsi" w:cstheme="majorHAnsi"/>
          <w:sz w:val="24"/>
          <w:szCs w:val="24"/>
          <w:lang w:val="ru-MD"/>
        </w:rPr>
        <w:t>-</w:t>
      </w:r>
      <w:r w:rsidR="00134E1D" w:rsidRPr="00134E1D">
        <w:rPr>
          <w:rFonts w:asciiTheme="majorHAnsi" w:eastAsia="Times New Roman" w:hAnsiTheme="majorHAnsi" w:cstheme="majorHAnsi"/>
          <w:sz w:val="24"/>
          <w:szCs w:val="24"/>
          <w:lang w:val="ru-MD"/>
        </w:rPr>
        <w:t xml:space="preserve"> </w:t>
      </w:r>
      <w:r w:rsidRPr="00134E1D">
        <w:rPr>
          <w:rFonts w:asciiTheme="majorHAnsi" w:eastAsia="Times New Roman" w:hAnsiTheme="majorHAnsi" w:cstheme="majorHAnsi"/>
          <w:sz w:val="24"/>
          <w:szCs w:val="24"/>
          <w:lang w:val="ru-MD"/>
        </w:rPr>
        <w:t>6,5 млн. ле</w:t>
      </w:r>
      <w:r w:rsidR="00134E1D" w:rsidRPr="00134E1D">
        <w:rPr>
          <w:rFonts w:asciiTheme="majorHAnsi" w:eastAsia="Times New Roman" w:hAnsiTheme="majorHAnsi" w:cstheme="majorHAnsi"/>
          <w:sz w:val="24"/>
          <w:szCs w:val="24"/>
          <w:lang w:val="ru-MD"/>
        </w:rPr>
        <w:t>ев</w:t>
      </w:r>
      <w:r w:rsidRPr="00134E1D">
        <w:rPr>
          <w:rFonts w:asciiTheme="majorHAnsi" w:eastAsia="Times New Roman" w:hAnsiTheme="majorHAnsi" w:cstheme="majorHAnsi"/>
          <w:sz w:val="24"/>
          <w:szCs w:val="24"/>
          <w:lang w:val="ru-MD"/>
        </w:rPr>
        <w:t>, М</w:t>
      </w:r>
      <w:r w:rsidR="00C96B8D" w:rsidRPr="00134E1D">
        <w:rPr>
          <w:rFonts w:asciiTheme="majorHAnsi" w:eastAsia="Times New Roman" w:hAnsiTheme="majorHAnsi" w:cstheme="majorHAnsi"/>
          <w:sz w:val="24"/>
          <w:szCs w:val="24"/>
          <w:lang w:val="ru-MD"/>
        </w:rPr>
        <w:t xml:space="preserve">ЭИ </w:t>
      </w:r>
      <w:r w:rsidRPr="00134E1D">
        <w:rPr>
          <w:rFonts w:asciiTheme="majorHAnsi" w:eastAsia="Times New Roman" w:hAnsiTheme="majorHAnsi" w:cstheme="majorHAnsi"/>
          <w:sz w:val="24"/>
          <w:szCs w:val="24"/>
          <w:lang w:val="ru-MD"/>
        </w:rPr>
        <w:t>-</w:t>
      </w:r>
      <w:r w:rsidR="00C96B8D" w:rsidRPr="00134E1D">
        <w:rPr>
          <w:rFonts w:asciiTheme="majorHAnsi" w:eastAsia="Times New Roman" w:hAnsiTheme="majorHAnsi" w:cstheme="majorHAnsi"/>
          <w:sz w:val="24"/>
          <w:szCs w:val="24"/>
          <w:lang w:val="ru-MD"/>
        </w:rPr>
        <w:t xml:space="preserve"> </w:t>
      </w:r>
      <w:r w:rsidRPr="00134E1D">
        <w:rPr>
          <w:rFonts w:asciiTheme="majorHAnsi" w:eastAsia="Times New Roman" w:hAnsiTheme="majorHAnsi" w:cstheme="majorHAnsi"/>
          <w:sz w:val="24"/>
          <w:szCs w:val="24"/>
          <w:lang w:val="ru-MD"/>
        </w:rPr>
        <w:t>7,7 млн. леев</w:t>
      </w:r>
      <w:r w:rsidR="00134E1D" w:rsidRPr="00134E1D">
        <w:rPr>
          <w:rFonts w:asciiTheme="majorHAnsi" w:eastAsia="Times New Roman" w:hAnsiTheme="majorHAnsi" w:cstheme="majorHAnsi"/>
          <w:sz w:val="24"/>
          <w:szCs w:val="24"/>
          <w:lang w:val="ru-MD"/>
        </w:rPr>
        <w:t xml:space="preserve">, </w:t>
      </w:r>
      <w:r w:rsidR="00134E1D" w:rsidRPr="00134E1D">
        <w:rPr>
          <w:rFonts w:asciiTheme="majorHAnsi" w:hAnsiTheme="majorHAnsi" w:cstheme="majorHAnsi"/>
          <w:lang w:val="ru-MD"/>
        </w:rPr>
        <w:t>МСХРРОС</w:t>
      </w:r>
      <w:r w:rsidR="00134E1D" w:rsidRPr="00134E1D">
        <w:rPr>
          <w:rFonts w:asciiTheme="majorHAnsi" w:eastAsia="Times New Roman" w:hAnsiTheme="majorHAnsi" w:cstheme="majorHAnsi"/>
          <w:sz w:val="24"/>
          <w:szCs w:val="24"/>
          <w:lang w:val="ru-MD"/>
        </w:rPr>
        <w:t xml:space="preserve"> – 3,8 млн. леев</w:t>
      </w:r>
      <w:r w:rsidRPr="00134E1D">
        <w:rPr>
          <w:rFonts w:asciiTheme="majorHAnsi" w:eastAsia="Times New Roman" w:hAnsiTheme="majorHAnsi" w:cstheme="majorHAnsi"/>
          <w:sz w:val="24"/>
          <w:szCs w:val="24"/>
          <w:lang w:val="ru-MD"/>
        </w:rPr>
        <w:t xml:space="preserve">) получили гранты на общую сумму 18,0 млн. леев, но </w:t>
      </w:r>
      <w:r w:rsidR="00134E1D" w:rsidRPr="00134E1D">
        <w:rPr>
          <w:rFonts w:asciiTheme="majorHAnsi" w:eastAsia="Times New Roman" w:hAnsiTheme="majorHAnsi" w:cstheme="majorHAnsi"/>
          <w:sz w:val="24"/>
          <w:szCs w:val="24"/>
          <w:lang w:val="ru-MD"/>
        </w:rPr>
        <w:t>для</w:t>
      </w:r>
      <w:r w:rsidRPr="00134E1D">
        <w:rPr>
          <w:rFonts w:asciiTheme="majorHAnsi" w:eastAsia="Times New Roman" w:hAnsiTheme="majorHAnsi" w:cstheme="majorHAnsi"/>
          <w:sz w:val="24"/>
          <w:szCs w:val="24"/>
          <w:lang w:val="ru-MD"/>
        </w:rPr>
        <w:t xml:space="preserve"> которы</w:t>
      </w:r>
      <w:r w:rsidR="00134E1D" w:rsidRPr="00134E1D">
        <w:rPr>
          <w:rFonts w:asciiTheme="majorHAnsi" w:eastAsia="Times New Roman" w:hAnsiTheme="majorHAnsi" w:cstheme="majorHAnsi"/>
          <w:sz w:val="24"/>
          <w:szCs w:val="24"/>
          <w:lang w:val="ru-MD"/>
        </w:rPr>
        <w:t>х</w:t>
      </w:r>
      <w:r w:rsidRPr="00134E1D">
        <w:rPr>
          <w:rFonts w:asciiTheme="majorHAnsi" w:eastAsia="Times New Roman" w:hAnsiTheme="majorHAnsi" w:cstheme="majorHAnsi"/>
          <w:sz w:val="24"/>
          <w:szCs w:val="24"/>
          <w:lang w:val="ru-MD"/>
        </w:rPr>
        <w:t xml:space="preserve"> не были утверждены или </w:t>
      </w:r>
      <w:r w:rsidR="00134E1D" w:rsidRPr="00134E1D">
        <w:rPr>
          <w:rFonts w:asciiTheme="majorHAnsi" w:eastAsia="Times New Roman" w:hAnsiTheme="majorHAnsi" w:cstheme="majorHAnsi"/>
          <w:sz w:val="24"/>
          <w:szCs w:val="24"/>
          <w:lang w:val="ru-MD"/>
        </w:rPr>
        <w:t>уточне</w:t>
      </w:r>
      <w:r w:rsidRPr="00134E1D">
        <w:rPr>
          <w:rFonts w:asciiTheme="majorHAnsi" w:eastAsia="Times New Roman" w:hAnsiTheme="majorHAnsi" w:cstheme="majorHAnsi"/>
          <w:sz w:val="24"/>
          <w:szCs w:val="24"/>
          <w:lang w:val="ru-MD"/>
        </w:rPr>
        <w:t xml:space="preserve">ны ассигнования, </w:t>
      </w:r>
      <w:r w:rsidR="00134E1D" w:rsidRPr="00134E1D">
        <w:rPr>
          <w:rFonts w:asciiTheme="majorHAnsi" w:eastAsia="Times New Roman" w:hAnsiTheme="majorHAnsi" w:cstheme="majorHAnsi"/>
          <w:sz w:val="24"/>
          <w:szCs w:val="24"/>
          <w:lang w:val="ru-MD"/>
        </w:rPr>
        <w:t xml:space="preserve">и </w:t>
      </w:r>
      <w:r w:rsidRPr="00134E1D">
        <w:rPr>
          <w:rFonts w:asciiTheme="majorHAnsi" w:eastAsia="Times New Roman" w:hAnsiTheme="majorHAnsi" w:cstheme="majorHAnsi"/>
          <w:sz w:val="24"/>
          <w:szCs w:val="24"/>
          <w:lang w:val="ru-MD"/>
        </w:rPr>
        <w:t xml:space="preserve">в 2020 году не были </w:t>
      </w:r>
      <w:r w:rsidR="00134E1D" w:rsidRPr="00134E1D">
        <w:rPr>
          <w:rFonts w:asciiTheme="majorHAnsi" w:eastAsia="Times New Roman" w:hAnsiTheme="majorHAnsi" w:cstheme="majorHAnsi"/>
          <w:sz w:val="24"/>
          <w:szCs w:val="24"/>
          <w:lang w:val="ru-MD"/>
        </w:rPr>
        <w:t>ис</w:t>
      </w:r>
      <w:r w:rsidRPr="00134E1D">
        <w:rPr>
          <w:rFonts w:asciiTheme="majorHAnsi" w:eastAsia="Times New Roman" w:hAnsiTheme="majorHAnsi" w:cstheme="majorHAnsi"/>
          <w:sz w:val="24"/>
          <w:szCs w:val="24"/>
          <w:lang w:val="ru-MD"/>
        </w:rPr>
        <w:t>полн</w:t>
      </w:r>
      <w:r w:rsidR="00134E1D" w:rsidRPr="00134E1D">
        <w:rPr>
          <w:rFonts w:asciiTheme="majorHAnsi" w:eastAsia="Times New Roman" w:hAnsiTheme="majorHAnsi" w:cstheme="majorHAnsi"/>
          <w:sz w:val="24"/>
          <w:szCs w:val="24"/>
          <w:lang w:val="ru-MD"/>
        </w:rPr>
        <w:t>ены расходы в рамках 7 проектов</w:t>
      </w:r>
      <w:r w:rsidR="006E2E6A" w:rsidRPr="00134E1D">
        <w:rPr>
          <w:rFonts w:asciiTheme="majorHAnsi" w:eastAsia="Times New Roman" w:hAnsiTheme="majorHAnsi" w:cstheme="majorHAnsi"/>
          <w:sz w:val="24"/>
          <w:szCs w:val="24"/>
          <w:lang w:val="ru-MD"/>
        </w:rPr>
        <w:t xml:space="preserve">; </w:t>
      </w:r>
    </w:p>
    <w:p w:rsidR="006E2E6A" w:rsidRPr="004E1042" w:rsidRDefault="005F0DAC" w:rsidP="00057236">
      <w:pPr>
        <w:pStyle w:val="ListParagraph"/>
        <w:numPr>
          <w:ilvl w:val="0"/>
          <w:numId w:val="7"/>
        </w:numPr>
        <w:tabs>
          <w:tab w:val="left" w:pos="142"/>
        </w:tabs>
        <w:spacing w:after="0" w:line="276" w:lineRule="auto"/>
        <w:ind w:left="0" w:firstLine="0"/>
        <w:rPr>
          <w:rFonts w:asciiTheme="majorHAnsi" w:eastAsia="Times New Roman" w:hAnsiTheme="majorHAnsi" w:cstheme="majorHAnsi"/>
          <w:sz w:val="24"/>
          <w:szCs w:val="24"/>
          <w:lang w:val="ru-MD"/>
        </w:rPr>
      </w:pPr>
      <w:r w:rsidRPr="004E1042">
        <w:rPr>
          <w:rFonts w:asciiTheme="majorHAnsi" w:eastAsia="Times New Roman" w:hAnsiTheme="majorHAnsi" w:cstheme="majorHAnsi"/>
          <w:sz w:val="24"/>
          <w:szCs w:val="24"/>
          <w:lang w:val="ru-MD"/>
        </w:rPr>
        <w:t xml:space="preserve">в </w:t>
      </w:r>
      <w:r w:rsidR="00057236" w:rsidRPr="004E1042">
        <w:rPr>
          <w:rFonts w:asciiTheme="majorHAnsi" w:eastAsia="Times New Roman" w:hAnsiTheme="majorHAnsi" w:cstheme="majorHAnsi"/>
          <w:sz w:val="24"/>
          <w:szCs w:val="24"/>
          <w:lang w:val="ru-MD"/>
        </w:rPr>
        <w:t>4 учреждения</w:t>
      </w:r>
      <w:r w:rsidRPr="004E1042">
        <w:rPr>
          <w:rFonts w:asciiTheme="majorHAnsi" w:eastAsia="Times New Roman" w:hAnsiTheme="majorHAnsi" w:cstheme="majorHAnsi"/>
          <w:sz w:val="24"/>
          <w:szCs w:val="24"/>
          <w:lang w:val="ru-MD"/>
        </w:rPr>
        <w:t>х</w:t>
      </w:r>
      <w:r w:rsidR="00057236" w:rsidRPr="004E1042">
        <w:rPr>
          <w:rFonts w:asciiTheme="majorHAnsi" w:eastAsia="Times New Roman" w:hAnsiTheme="majorHAnsi" w:cstheme="majorHAnsi"/>
          <w:sz w:val="24"/>
          <w:szCs w:val="24"/>
          <w:lang w:val="ru-MD"/>
        </w:rPr>
        <w:t xml:space="preserve"> (</w:t>
      </w:r>
      <w:r w:rsidR="00134E1D" w:rsidRPr="004E1042">
        <w:rPr>
          <w:rFonts w:asciiTheme="majorHAnsi" w:eastAsia="Times New Roman" w:hAnsiTheme="majorHAnsi" w:cstheme="majorHAnsi"/>
          <w:sz w:val="24"/>
          <w:szCs w:val="24"/>
          <w:lang w:val="ru-MD"/>
        </w:rPr>
        <w:t>МФ</w:t>
      </w:r>
      <w:r w:rsidR="00057236" w:rsidRPr="004E1042">
        <w:rPr>
          <w:rFonts w:asciiTheme="majorHAnsi" w:eastAsia="Times New Roman" w:hAnsiTheme="majorHAnsi" w:cstheme="majorHAnsi"/>
          <w:sz w:val="24"/>
          <w:szCs w:val="24"/>
          <w:lang w:val="ru-MD"/>
        </w:rPr>
        <w:t xml:space="preserve">, </w:t>
      </w:r>
      <w:r w:rsidR="00134E1D" w:rsidRPr="004E1042">
        <w:rPr>
          <w:rFonts w:asciiTheme="majorHAnsi" w:eastAsia="Times New Roman" w:hAnsiTheme="majorHAnsi" w:cstheme="majorHAnsi"/>
          <w:sz w:val="24"/>
          <w:szCs w:val="24"/>
          <w:lang w:val="ru-MD"/>
        </w:rPr>
        <w:t>МЭИ</w:t>
      </w:r>
      <w:r w:rsidR="00057236" w:rsidRPr="004E1042">
        <w:rPr>
          <w:rFonts w:asciiTheme="majorHAnsi" w:eastAsia="Times New Roman" w:hAnsiTheme="majorHAnsi" w:cstheme="majorHAnsi"/>
          <w:sz w:val="24"/>
          <w:szCs w:val="24"/>
          <w:lang w:val="ru-MD"/>
        </w:rPr>
        <w:t xml:space="preserve">, </w:t>
      </w:r>
      <w:r w:rsidR="00134E1D" w:rsidRPr="004E1042">
        <w:rPr>
          <w:rFonts w:asciiTheme="majorHAnsi" w:hAnsiTheme="majorHAnsi" w:cstheme="majorHAnsi"/>
          <w:lang w:val="ru-MD"/>
        </w:rPr>
        <w:t>МСХРРОС</w:t>
      </w:r>
      <w:r w:rsidR="00057236" w:rsidRPr="004E1042">
        <w:rPr>
          <w:rFonts w:asciiTheme="majorHAnsi" w:eastAsia="Times New Roman" w:hAnsiTheme="majorHAnsi" w:cstheme="majorHAnsi"/>
          <w:sz w:val="24"/>
          <w:szCs w:val="24"/>
          <w:lang w:val="ru-MD"/>
        </w:rPr>
        <w:t xml:space="preserve">, </w:t>
      </w:r>
      <w:r w:rsidR="00DA35DC" w:rsidRPr="004E1042">
        <w:rPr>
          <w:rFonts w:asciiTheme="majorHAnsi" w:eastAsia="Times New Roman" w:hAnsiTheme="majorHAnsi" w:cstheme="majorHAnsi"/>
          <w:sz w:val="24"/>
          <w:szCs w:val="24"/>
          <w:lang w:val="ru-MD"/>
        </w:rPr>
        <w:t>ГАИС</w:t>
      </w:r>
      <w:r w:rsidR="00057236" w:rsidRPr="004E1042">
        <w:rPr>
          <w:rFonts w:asciiTheme="majorHAnsi" w:eastAsia="Times New Roman" w:hAnsiTheme="majorHAnsi" w:cstheme="majorHAnsi"/>
          <w:sz w:val="24"/>
          <w:szCs w:val="24"/>
          <w:lang w:val="ru-MD"/>
        </w:rPr>
        <w:t xml:space="preserve">), хотя не было зарегистрировано остатков денежных средств </w:t>
      </w:r>
      <w:r w:rsidR="00DA35DC" w:rsidRPr="004E1042">
        <w:rPr>
          <w:rFonts w:asciiTheme="majorHAnsi" w:eastAsia="Times New Roman" w:hAnsiTheme="majorHAnsi" w:cstheme="majorHAnsi"/>
          <w:sz w:val="24"/>
          <w:szCs w:val="24"/>
          <w:lang w:val="ru-MD"/>
        </w:rPr>
        <w:t xml:space="preserve">на начало отчетного года </w:t>
      </w:r>
      <w:r w:rsidR="00057236" w:rsidRPr="004E1042">
        <w:rPr>
          <w:rFonts w:asciiTheme="majorHAnsi" w:eastAsia="Times New Roman" w:hAnsiTheme="majorHAnsi" w:cstheme="majorHAnsi"/>
          <w:sz w:val="24"/>
          <w:szCs w:val="24"/>
          <w:lang w:val="ru-MD"/>
        </w:rPr>
        <w:t xml:space="preserve">и </w:t>
      </w:r>
      <w:r w:rsidR="00DA35DC" w:rsidRPr="004E1042">
        <w:rPr>
          <w:rFonts w:asciiTheme="majorHAnsi" w:eastAsia="Times New Roman" w:hAnsiTheme="majorHAnsi" w:cstheme="majorHAnsi"/>
          <w:sz w:val="24"/>
          <w:szCs w:val="24"/>
          <w:lang w:val="ru-MD"/>
        </w:rPr>
        <w:t xml:space="preserve">и не были выплачены </w:t>
      </w:r>
      <w:r w:rsidR="00057236" w:rsidRPr="004E1042">
        <w:rPr>
          <w:rFonts w:asciiTheme="majorHAnsi" w:eastAsia="Times New Roman" w:hAnsiTheme="majorHAnsi" w:cstheme="majorHAnsi"/>
          <w:sz w:val="24"/>
          <w:szCs w:val="24"/>
          <w:lang w:val="ru-MD"/>
        </w:rPr>
        <w:t>грант</w:t>
      </w:r>
      <w:r w:rsidR="00DA35DC" w:rsidRPr="004E1042">
        <w:rPr>
          <w:rFonts w:asciiTheme="majorHAnsi" w:eastAsia="Times New Roman" w:hAnsiTheme="majorHAnsi" w:cstheme="majorHAnsi"/>
          <w:sz w:val="24"/>
          <w:szCs w:val="24"/>
          <w:lang w:val="ru-MD"/>
        </w:rPr>
        <w:t>ы</w:t>
      </w:r>
      <w:r w:rsidR="00057236" w:rsidRPr="004E1042">
        <w:rPr>
          <w:rFonts w:asciiTheme="majorHAnsi" w:eastAsia="Times New Roman" w:hAnsiTheme="majorHAnsi" w:cstheme="majorHAnsi"/>
          <w:sz w:val="24"/>
          <w:szCs w:val="24"/>
          <w:lang w:val="ru-MD"/>
        </w:rPr>
        <w:t xml:space="preserve"> в рамках 8 проектов, были утверждены доходы в размере 202,8 млн. леев и уточнены в сумме 61,1 млн. леев, но </w:t>
      </w:r>
      <w:r w:rsidRPr="004E1042">
        <w:rPr>
          <w:rFonts w:asciiTheme="majorHAnsi" w:eastAsia="Times New Roman" w:hAnsiTheme="majorHAnsi" w:cstheme="majorHAnsi"/>
          <w:sz w:val="24"/>
          <w:szCs w:val="24"/>
          <w:lang w:val="ru-MD"/>
        </w:rPr>
        <w:t>фактически</w:t>
      </w:r>
      <w:r w:rsidR="00057236" w:rsidRPr="004E1042">
        <w:rPr>
          <w:rFonts w:asciiTheme="majorHAnsi" w:eastAsia="Times New Roman" w:hAnsiTheme="majorHAnsi" w:cstheme="majorHAnsi"/>
          <w:sz w:val="24"/>
          <w:szCs w:val="24"/>
          <w:lang w:val="ru-MD"/>
        </w:rPr>
        <w:t xml:space="preserve"> не было выделено средств из внешних источников</w:t>
      </w:r>
      <w:r w:rsidR="006E2E6A" w:rsidRPr="004E1042">
        <w:rPr>
          <w:rFonts w:asciiTheme="majorHAnsi" w:eastAsia="Times New Roman" w:hAnsiTheme="majorHAnsi" w:cstheme="majorHAnsi"/>
          <w:sz w:val="24"/>
          <w:szCs w:val="24"/>
          <w:lang w:val="ru-MD"/>
        </w:rPr>
        <w:t>;</w:t>
      </w:r>
    </w:p>
    <w:p w:rsidR="006E2E6A" w:rsidRPr="004E1042" w:rsidRDefault="004E1042" w:rsidP="00057236">
      <w:pPr>
        <w:pStyle w:val="ListParagraph"/>
        <w:numPr>
          <w:ilvl w:val="0"/>
          <w:numId w:val="7"/>
        </w:numPr>
        <w:tabs>
          <w:tab w:val="left" w:pos="142"/>
        </w:tabs>
        <w:spacing w:after="0" w:line="276" w:lineRule="auto"/>
        <w:ind w:left="0" w:firstLine="0"/>
        <w:rPr>
          <w:rFonts w:asciiTheme="majorHAnsi" w:eastAsia="Times New Roman" w:hAnsiTheme="majorHAnsi" w:cstheme="majorHAnsi"/>
          <w:sz w:val="24"/>
          <w:szCs w:val="24"/>
          <w:lang w:val="ru-MD"/>
        </w:rPr>
      </w:pPr>
      <w:r w:rsidRPr="004E1042">
        <w:rPr>
          <w:rFonts w:asciiTheme="majorHAnsi" w:eastAsia="Times New Roman" w:hAnsiTheme="majorHAnsi" w:cstheme="majorHAnsi"/>
          <w:sz w:val="24"/>
          <w:szCs w:val="24"/>
          <w:lang w:val="ru-MD"/>
        </w:rPr>
        <w:t>на</w:t>
      </w:r>
      <w:r w:rsidR="00057236" w:rsidRPr="004E1042">
        <w:rPr>
          <w:rFonts w:asciiTheme="majorHAnsi" w:eastAsia="Times New Roman" w:hAnsiTheme="majorHAnsi" w:cstheme="majorHAnsi"/>
          <w:sz w:val="24"/>
          <w:szCs w:val="24"/>
          <w:lang w:val="ru-MD"/>
        </w:rPr>
        <w:t xml:space="preserve"> кон</w:t>
      </w:r>
      <w:r w:rsidRPr="004E1042">
        <w:rPr>
          <w:rFonts w:asciiTheme="majorHAnsi" w:eastAsia="Times New Roman" w:hAnsiTheme="majorHAnsi" w:cstheme="majorHAnsi"/>
          <w:sz w:val="24"/>
          <w:szCs w:val="24"/>
          <w:lang w:val="ru-MD"/>
        </w:rPr>
        <w:t>е</w:t>
      </w:r>
      <w:r w:rsidR="00057236" w:rsidRPr="004E1042">
        <w:rPr>
          <w:rFonts w:asciiTheme="majorHAnsi" w:eastAsia="Times New Roman" w:hAnsiTheme="majorHAnsi" w:cstheme="majorHAnsi"/>
          <w:sz w:val="24"/>
          <w:szCs w:val="24"/>
          <w:lang w:val="ru-MD"/>
        </w:rPr>
        <w:t xml:space="preserve">ц 2020 года </w:t>
      </w:r>
      <w:r w:rsidR="00057236" w:rsidRPr="004E1042">
        <w:rPr>
          <w:rFonts w:asciiTheme="majorHAnsi" w:eastAsia="Times New Roman" w:hAnsiTheme="majorHAnsi" w:cstheme="majorHAnsi"/>
          <w:i/>
          <w:sz w:val="24"/>
          <w:szCs w:val="24"/>
          <w:lang w:val="ru-MD"/>
        </w:rPr>
        <w:t>были зарегистрированы остатки денежных средств на сумму 1 575,5 млн. леев на счета</w:t>
      </w:r>
      <w:r w:rsidRPr="004E1042">
        <w:rPr>
          <w:rFonts w:asciiTheme="majorHAnsi" w:eastAsia="Times New Roman" w:hAnsiTheme="majorHAnsi" w:cstheme="majorHAnsi"/>
          <w:i/>
          <w:sz w:val="24"/>
          <w:szCs w:val="24"/>
          <w:lang w:val="ru-MD"/>
        </w:rPr>
        <w:t>х</w:t>
      </w:r>
      <w:r w:rsidR="00057236" w:rsidRPr="004E1042">
        <w:rPr>
          <w:rFonts w:asciiTheme="majorHAnsi" w:eastAsia="Times New Roman" w:hAnsiTheme="majorHAnsi" w:cstheme="majorHAnsi"/>
          <w:i/>
          <w:sz w:val="24"/>
          <w:szCs w:val="24"/>
          <w:lang w:val="ru-MD"/>
        </w:rPr>
        <w:t xml:space="preserve"> бюджетных учреждений/органов</w:t>
      </w:r>
      <w:r w:rsidR="00057236" w:rsidRPr="004E1042">
        <w:rPr>
          <w:rFonts w:asciiTheme="majorHAnsi" w:eastAsia="Times New Roman" w:hAnsiTheme="majorHAnsi" w:cstheme="majorHAnsi"/>
          <w:sz w:val="24"/>
          <w:szCs w:val="24"/>
          <w:lang w:val="ru-MD"/>
        </w:rPr>
        <w:t>, которые доступны для использования в тех же целях в следующем бюджетном году. По сравнению с предыдущим годом</w:t>
      </w:r>
      <w:r w:rsidRPr="004E1042">
        <w:rPr>
          <w:rFonts w:asciiTheme="majorHAnsi" w:eastAsia="Times New Roman" w:hAnsiTheme="majorHAnsi" w:cstheme="majorHAnsi"/>
          <w:sz w:val="24"/>
          <w:szCs w:val="24"/>
          <w:lang w:val="ru-MD"/>
        </w:rPr>
        <w:t>,</w:t>
      </w:r>
      <w:r w:rsidR="00057236" w:rsidRPr="004E1042">
        <w:rPr>
          <w:rFonts w:asciiTheme="majorHAnsi" w:eastAsia="Times New Roman" w:hAnsiTheme="majorHAnsi" w:cstheme="majorHAnsi"/>
          <w:sz w:val="24"/>
          <w:szCs w:val="24"/>
          <w:lang w:val="ru-MD"/>
        </w:rPr>
        <w:t xml:space="preserve"> остаток денежных средств увеличился на 425,0 млн. </w:t>
      </w:r>
      <w:r w:rsidRPr="004E1042">
        <w:rPr>
          <w:rFonts w:asciiTheme="majorHAnsi" w:eastAsia="Times New Roman" w:hAnsiTheme="majorHAnsi" w:cstheme="majorHAnsi"/>
          <w:sz w:val="24"/>
          <w:szCs w:val="24"/>
          <w:lang w:val="ru-MD"/>
        </w:rPr>
        <w:t>леев</w:t>
      </w:r>
      <w:r w:rsidR="00057236" w:rsidRPr="004E1042">
        <w:rPr>
          <w:rFonts w:asciiTheme="majorHAnsi" w:eastAsia="Times New Roman" w:hAnsiTheme="majorHAnsi" w:cstheme="majorHAnsi"/>
          <w:sz w:val="24"/>
          <w:szCs w:val="24"/>
          <w:lang w:val="ru-MD"/>
        </w:rPr>
        <w:t>. Самые значительные остатки денежных средств на конец 2020 года зарегистрированы в М</w:t>
      </w:r>
      <w:r w:rsidRPr="004E1042">
        <w:rPr>
          <w:rFonts w:asciiTheme="majorHAnsi" w:eastAsia="Times New Roman" w:hAnsiTheme="majorHAnsi" w:cstheme="majorHAnsi"/>
          <w:sz w:val="24"/>
          <w:szCs w:val="24"/>
          <w:lang w:val="ru-MD"/>
        </w:rPr>
        <w:t>ЭИ</w:t>
      </w:r>
      <w:r w:rsidR="00057236" w:rsidRPr="004E1042">
        <w:rPr>
          <w:rFonts w:asciiTheme="majorHAnsi" w:eastAsia="Times New Roman" w:hAnsiTheme="majorHAnsi" w:cstheme="majorHAnsi"/>
          <w:sz w:val="24"/>
          <w:szCs w:val="24"/>
          <w:lang w:val="ru-MD"/>
        </w:rPr>
        <w:t xml:space="preserve"> (862,4 млн. </w:t>
      </w:r>
      <w:r w:rsidRPr="004E1042">
        <w:rPr>
          <w:rFonts w:asciiTheme="majorHAnsi" w:eastAsia="Times New Roman" w:hAnsiTheme="majorHAnsi" w:cstheme="majorHAnsi"/>
          <w:sz w:val="24"/>
          <w:szCs w:val="24"/>
          <w:lang w:val="ru-MD"/>
        </w:rPr>
        <w:t>леев</w:t>
      </w:r>
      <w:r w:rsidR="00057236" w:rsidRPr="004E1042">
        <w:rPr>
          <w:rFonts w:asciiTheme="majorHAnsi" w:eastAsia="Times New Roman" w:hAnsiTheme="majorHAnsi" w:cstheme="majorHAnsi"/>
          <w:sz w:val="24"/>
          <w:szCs w:val="24"/>
          <w:lang w:val="ru-MD"/>
        </w:rPr>
        <w:t>)</w:t>
      </w:r>
      <w:r w:rsidRPr="004E1042">
        <w:rPr>
          <w:rFonts w:asciiTheme="majorHAnsi" w:eastAsia="Times New Roman" w:hAnsiTheme="majorHAnsi" w:cstheme="majorHAnsi"/>
          <w:sz w:val="24"/>
          <w:szCs w:val="24"/>
          <w:lang w:val="ru-MD"/>
        </w:rPr>
        <w:t>, МФ (212,1 млн. леев), МЗТСЗ (130,9 млн. леев)</w:t>
      </w:r>
      <w:r w:rsidR="00057236" w:rsidRPr="004E1042">
        <w:rPr>
          <w:rFonts w:asciiTheme="majorHAnsi" w:eastAsia="Times New Roman" w:hAnsiTheme="majorHAnsi" w:cstheme="majorHAnsi"/>
          <w:sz w:val="24"/>
          <w:szCs w:val="24"/>
          <w:lang w:val="ru-MD"/>
        </w:rPr>
        <w:t xml:space="preserve"> и в Фонд</w:t>
      </w:r>
      <w:r w:rsidRPr="004E1042">
        <w:rPr>
          <w:rFonts w:asciiTheme="majorHAnsi" w:eastAsia="Times New Roman" w:hAnsiTheme="majorHAnsi" w:cstheme="majorHAnsi"/>
          <w:sz w:val="24"/>
          <w:szCs w:val="24"/>
          <w:lang w:val="ru-MD"/>
        </w:rPr>
        <w:t>е</w:t>
      </w:r>
      <w:r w:rsidR="00057236" w:rsidRPr="004E1042">
        <w:rPr>
          <w:rFonts w:asciiTheme="majorHAnsi" w:eastAsia="Times New Roman" w:hAnsiTheme="majorHAnsi" w:cstheme="majorHAnsi"/>
          <w:sz w:val="24"/>
          <w:szCs w:val="24"/>
          <w:lang w:val="ru-MD"/>
        </w:rPr>
        <w:t xml:space="preserve"> устойчивого развития Молдова (116,9 млн. леев</w:t>
      </w:r>
      <w:r w:rsidRPr="004E1042">
        <w:rPr>
          <w:rFonts w:asciiTheme="majorHAnsi" w:eastAsia="Times New Roman" w:hAnsiTheme="majorHAnsi" w:cstheme="majorHAnsi"/>
          <w:sz w:val="24"/>
          <w:szCs w:val="24"/>
          <w:lang w:val="ru-MD"/>
        </w:rPr>
        <w:t>)</w:t>
      </w:r>
      <w:r w:rsidR="00441E16" w:rsidRPr="004E1042">
        <w:rPr>
          <w:rFonts w:asciiTheme="majorHAnsi" w:eastAsia="Times New Roman" w:hAnsiTheme="majorHAnsi" w:cstheme="majorHAnsi"/>
          <w:sz w:val="24"/>
          <w:szCs w:val="24"/>
          <w:lang w:val="ru-MD"/>
        </w:rPr>
        <w:t>;</w:t>
      </w:r>
      <w:r w:rsidR="006E2E6A" w:rsidRPr="004E1042">
        <w:rPr>
          <w:rFonts w:asciiTheme="majorHAnsi" w:eastAsia="Times New Roman" w:hAnsiTheme="majorHAnsi" w:cstheme="majorHAnsi"/>
          <w:b/>
          <w:sz w:val="24"/>
          <w:szCs w:val="24"/>
          <w:lang w:val="ru-MD"/>
        </w:rPr>
        <w:t xml:space="preserve"> </w:t>
      </w:r>
    </w:p>
    <w:p w:rsidR="00820DB3" w:rsidRPr="00D71AD9" w:rsidRDefault="00057236" w:rsidP="00057236">
      <w:pPr>
        <w:pStyle w:val="ListParagraph"/>
        <w:numPr>
          <w:ilvl w:val="0"/>
          <w:numId w:val="7"/>
        </w:numPr>
        <w:tabs>
          <w:tab w:val="left" w:pos="142"/>
        </w:tabs>
        <w:spacing w:after="0" w:line="276" w:lineRule="auto"/>
        <w:ind w:left="0" w:firstLine="0"/>
        <w:rPr>
          <w:rFonts w:asciiTheme="majorHAnsi" w:eastAsia="Times New Roman" w:hAnsiTheme="majorHAnsi" w:cstheme="majorHAnsi"/>
          <w:sz w:val="24"/>
          <w:szCs w:val="24"/>
          <w:lang w:val="ru-MD"/>
        </w:rPr>
      </w:pPr>
      <w:r w:rsidRPr="00D71AD9">
        <w:rPr>
          <w:rFonts w:asciiTheme="majorHAnsi" w:eastAsia="Times New Roman" w:hAnsiTheme="majorHAnsi" w:cstheme="majorHAnsi"/>
          <w:sz w:val="24"/>
          <w:szCs w:val="24"/>
          <w:lang w:val="ru-MD"/>
        </w:rPr>
        <w:t>были внесены изменения в остаток денежных средств, поступивших из проектов, финансируемых из внешних источников, в</w:t>
      </w:r>
      <w:r w:rsidR="004E1042" w:rsidRPr="00D71AD9">
        <w:rPr>
          <w:rFonts w:asciiTheme="majorHAnsi" w:eastAsia="Times New Roman" w:hAnsiTheme="majorHAnsi" w:cstheme="majorHAnsi"/>
          <w:sz w:val="24"/>
          <w:szCs w:val="24"/>
          <w:lang w:val="ru-MD"/>
        </w:rPr>
        <w:t xml:space="preserve"> сторону</w:t>
      </w:r>
      <w:r w:rsidRPr="00D71AD9">
        <w:rPr>
          <w:rFonts w:asciiTheme="majorHAnsi" w:eastAsia="Times New Roman" w:hAnsiTheme="majorHAnsi" w:cstheme="majorHAnsi"/>
          <w:sz w:val="24"/>
          <w:szCs w:val="24"/>
          <w:lang w:val="ru-MD"/>
        </w:rPr>
        <w:t xml:space="preserve"> </w:t>
      </w:r>
      <w:r w:rsidR="004E1042" w:rsidRPr="00D71AD9">
        <w:rPr>
          <w:rFonts w:asciiTheme="majorHAnsi" w:eastAsia="Times New Roman" w:hAnsiTheme="majorHAnsi" w:cstheme="majorHAnsi"/>
          <w:sz w:val="24"/>
          <w:szCs w:val="24"/>
          <w:lang w:val="ru-MD"/>
        </w:rPr>
        <w:t xml:space="preserve">их </w:t>
      </w:r>
      <w:r w:rsidRPr="00D71AD9">
        <w:rPr>
          <w:rFonts w:asciiTheme="majorHAnsi" w:eastAsia="Times New Roman" w:hAnsiTheme="majorHAnsi" w:cstheme="majorHAnsi"/>
          <w:sz w:val="24"/>
          <w:szCs w:val="24"/>
          <w:lang w:val="ru-MD"/>
        </w:rPr>
        <w:t>увеличени</w:t>
      </w:r>
      <w:r w:rsidR="004E1042" w:rsidRPr="00D71AD9">
        <w:rPr>
          <w:rFonts w:asciiTheme="majorHAnsi" w:eastAsia="Times New Roman" w:hAnsiTheme="majorHAnsi" w:cstheme="majorHAnsi"/>
          <w:sz w:val="24"/>
          <w:szCs w:val="24"/>
          <w:lang w:val="ru-MD"/>
        </w:rPr>
        <w:t>я</w:t>
      </w:r>
      <w:r w:rsidRPr="00D71AD9">
        <w:rPr>
          <w:rFonts w:asciiTheme="majorHAnsi" w:eastAsia="Times New Roman" w:hAnsiTheme="majorHAnsi" w:cstheme="majorHAnsi"/>
          <w:sz w:val="24"/>
          <w:szCs w:val="24"/>
          <w:lang w:val="ru-MD"/>
        </w:rPr>
        <w:t xml:space="preserve"> на 6,1 млн. ле</w:t>
      </w:r>
      <w:r w:rsidR="004E1042" w:rsidRPr="00D71AD9">
        <w:rPr>
          <w:rFonts w:asciiTheme="majorHAnsi" w:eastAsia="Times New Roman" w:hAnsiTheme="majorHAnsi" w:cstheme="majorHAnsi"/>
          <w:sz w:val="24"/>
          <w:szCs w:val="24"/>
          <w:lang w:val="ru-MD"/>
        </w:rPr>
        <w:t>ев,</w:t>
      </w:r>
      <w:r w:rsidRPr="00D71AD9">
        <w:rPr>
          <w:rFonts w:asciiTheme="majorHAnsi" w:eastAsia="Times New Roman" w:hAnsiTheme="majorHAnsi" w:cstheme="majorHAnsi"/>
          <w:sz w:val="24"/>
          <w:szCs w:val="24"/>
          <w:lang w:val="ru-MD"/>
        </w:rPr>
        <w:t xml:space="preserve"> и уменьш</w:t>
      </w:r>
      <w:r w:rsidR="004E1042" w:rsidRPr="00D71AD9">
        <w:rPr>
          <w:rFonts w:asciiTheme="majorHAnsi" w:eastAsia="Times New Roman" w:hAnsiTheme="majorHAnsi" w:cstheme="majorHAnsi"/>
          <w:sz w:val="24"/>
          <w:szCs w:val="24"/>
          <w:lang w:val="ru-MD"/>
        </w:rPr>
        <w:t>ения</w:t>
      </w:r>
      <w:r w:rsidRPr="00D71AD9">
        <w:rPr>
          <w:rFonts w:asciiTheme="majorHAnsi" w:eastAsia="Times New Roman" w:hAnsiTheme="majorHAnsi" w:cstheme="majorHAnsi"/>
          <w:sz w:val="24"/>
          <w:szCs w:val="24"/>
          <w:lang w:val="ru-MD"/>
        </w:rPr>
        <w:t xml:space="preserve"> </w:t>
      </w:r>
      <w:r w:rsidR="004E1042" w:rsidRPr="00D71AD9">
        <w:rPr>
          <w:rFonts w:asciiTheme="majorHAnsi" w:eastAsia="Times New Roman" w:hAnsiTheme="majorHAnsi" w:cstheme="majorHAnsi"/>
          <w:sz w:val="24"/>
          <w:szCs w:val="24"/>
          <w:lang w:val="ru-MD"/>
        </w:rPr>
        <w:t xml:space="preserve">- </w:t>
      </w:r>
      <w:r w:rsidRPr="00D71AD9">
        <w:rPr>
          <w:rFonts w:asciiTheme="majorHAnsi" w:eastAsia="Times New Roman" w:hAnsiTheme="majorHAnsi" w:cstheme="majorHAnsi"/>
          <w:sz w:val="24"/>
          <w:szCs w:val="24"/>
          <w:lang w:val="ru-MD"/>
        </w:rPr>
        <w:t xml:space="preserve">на 351,6 млн. леев, </w:t>
      </w:r>
      <w:r w:rsidR="004E1042" w:rsidRPr="00D71AD9">
        <w:rPr>
          <w:rFonts w:asciiTheme="majorHAnsi" w:eastAsia="Times New Roman" w:hAnsiTheme="majorHAnsi" w:cstheme="majorHAnsi"/>
          <w:sz w:val="24"/>
          <w:szCs w:val="24"/>
          <w:lang w:val="ru-MD"/>
        </w:rPr>
        <w:t>для МВД</w:t>
      </w:r>
      <w:r w:rsidRPr="00D71AD9">
        <w:rPr>
          <w:rFonts w:asciiTheme="majorHAnsi" w:eastAsia="Times New Roman" w:hAnsiTheme="majorHAnsi" w:cstheme="majorHAnsi"/>
          <w:sz w:val="24"/>
          <w:szCs w:val="24"/>
          <w:lang w:val="ru-MD"/>
        </w:rPr>
        <w:t xml:space="preserve"> (+120,77 тыс. леев), </w:t>
      </w:r>
      <w:r w:rsidR="004E1042" w:rsidRPr="00D71AD9">
        <w:rPr>
          <w:rFonts w:asciiTheme="majorHAnsi" w:eastAsia="Times New Roman" w:hAnsiTheme="majorHAnsi" w:cstheme="majorHAnsi"/>
          <w:sz w:val="24"/>
          <w:szCs w:val="24"/>
          <w:lang w:val="ru-MD"/>
        </w:rPr>
        <w:t>МЗТСЗ</w:t>
      </w:r>
      <w:r w:rsidRPr="00D71AD9">
        <w:rPr>
          <w:rFonts w:asciiTheme="majorHAnsi" w:eastAsia="Times New Roman" w:hAnsiTheme="majorHAnsi" w:cstheme="majorHAnsi"/>
          <w:sz w:val="24"/>
          <w:szCs w:val="24"/>
          <w:lang w:val="ru-MD"/>
        </w:rPr>
        <w:t xml:space="preserve"> (+692,62 тыс. леев), </w:t>
      </w:r>
      <w:r w:rsidR="004E1042" w:rsidRPr="00D71AD9">
        <w:rPr>
          <w:rFonts w:asciiTheme="majorHAnsi" w:eastAsia="Times New Roman" w:hAnsiTheme="majorHAnsi" w:cstheme="majorHAnsi"/>
          <w:sz w:val="24"/>
          <w:szCs w:val="24"/>
          <w:lang w:val="ru-MD"/>
        </w:rPr>
        <w:t>МСХРРОС</w:t>
      </w:r>
      <w:r w:rsidRPr="00D71AD9">
        <w:rPr>
          <w:rFonts w:asciiTheme="majorHAnsi" w:eastAsia="Times New Roman" w:hAnsiTheme="majorHAnsi" w:cstheme="majorHAnsi"/>
          <w:sz w:val="24"/>
          <w:szCs w:val="24"/>
          <w:lang w:val="ru-MD"/>
        </w:rPr>
        <w:t xml:space="preserve"> (+787,9 тыс. леев), </w:t>
      </w:r>
      <w:r w:rsidR="004E1042" w:rsidRPr="00D71AD9">
        <w:rPr>
          <w:rFonts w:asciiTheme="majorHAnsi" w:eastAsia="Times New Roman" w:hAnsiTheme="majorHAnsi" w:cstheme="majorHAnsi"/>
          <w:sz w:val="24"/>
          <w:szCs w:val="24"/>
          <w:lang w:val="ru-MD"/>
        </w:rPr>
        <w:t>МЭИ</w:t>
      </w:r>
      <w:r w:rsidRPr="00D71AD9">
        <w:rPr>
          <w:rFonts w:asciiTheme="majorHAnsi" w:eastAsia="Times New Roman" w:hAnsiTheme="majorHAnsi" w:cstheme="majorHAnsi"/>
          <w:sz w:val="24"/>
          <w:szCs w:val="24"/>
          <w:lang w:val="ru-MD"/>
        </w:rPr>
        <w:t xml:space="preserve"> (-340 930,07 тыс. леев), </w:t>
      </w:r>
      <w:r w:rsidR="004E1042" w:rsidRPr="00D71AD9">
        <w:rPr>
          <w:rFonts w:asciiTheme="majorHAnsi" w:eastAsia="Times New Roman" w:hAnsiTheme="majorHAnsi" w:cstheme="majorHAnsi"/>
          <w:sz w:val="24"/>
          <w:szCs w:val="24"/>
          <w:lang w:val="ru-MD"/>
        </w:rPr>
        <w:t>МОКИ</w:t>
      </w:r>
      <w:r w:rsidRPr="00D71AD9">
        <w:rPr>
          <w:rFonts w:asciiTheme="majorHAnsi" w:eastAsia="Times New Roman" w:hAnsiTheme="majorHAnsi" w:cstheme="majorHAnsi"/>
          <w:sz w:val="24"/>
          <w:szCs w:val="24"/>
          <w:lang w:val="ru-MD"/>
        </w:rPr>
        <w:t xml:space="preserve"> (-7 564,4 тыс. леев), Национально</w:t>
      </w:r>
      <w:r w:rsidR="004E1042" w:rsidRPr="00D71AD9">
        <w:rPr>
          <w:rFonts w:asciiTheme="majorHAnsi" w:eastAsia="Times New Roman" w:hAnsiTheme="majorHAnsi" w:cstheme="majorHAnsi"/>
          <w:sz w:val="24"/>
          <w:szCs w:val="24"/>
          <w:lang w:val="ru-MD"/>
        </w:rPr>
        <w:t>го</w:t>
      </w:r>
      <w:r w:rsidRPr="00D71AD9">
        <w:rPr>
          <w:rFonts w:asciiTheme="majorHAnsi" w:eastAsia="Times New Roman" w:hAnsiTheme="majorHAnsi" w:cstheme="majorHAnsi"/>
          <w:sz w:val="24"/>
          <w:szCs w:val="24"/>
          <w:lang w:val="ru-MD"/>
        </w:rPr>
        <w:t xml:space="preserve"> агентств</w:t>
      </w:r>
      <w:r w:rsidR="004E1042" w:rsidRPr="00D71AD9">
        <w:rPr>
          <w:rFonts w:asciiTheme="majorHAnsi" w:eastAsia="Times New Roman" w:hAnsiTheme="majorHAnsi" w:cstheme="majorHAnsi"/>
          <w:sz w:val="24"/>
          <w:szCs w:val="24"/>
          <w:lang w:val="ru-MD"/>
        </w:rPr>
        <w:t>а</w:t>
      </w:r>
      <w:r w:rsidRPr="00D71AD9">
        <w:rPr>
          <w:rFonts w:asciiTheme="majorHAnsi" w:eastAsia="Times New Roman" w:hAnsiTheme="majorHAnsi" w:cstheme="majorHAnsi"/>
          <w:sz w:val="24"/>
          <w:szCs w:val="24"/>
          <w:lang w:val="ru-MD"/>
        </w:rPr>
        <w:t xml:space="preserve"> по исследованиям и разработкам (+5 382,2 тыс. леев), ЦИК (-510,35 тыс. леев), Фонд</w:t>
      </w:r>
      <w:r w:rsidR="004E1042" w:rsidRPr="00D71AD9">
        <w:rPr>
          <w:rFonts w:asciiTheme="majorHAnsi" w:eastAsia="Times New Roman" w:hAnsiTheme="majorHAnsi" w:cstheme="majorHAnsi"/>
          <w:sz w:val="24"/>
          <w:szCs w:val="24"/>
          <w:lang w:val="ru-MD"/>
        </w:rPr>
        <w:t>а</w:t>
      </w:r>
      <w:r w:rsidRPr="00D71AD9">
        <w:rPr>
          <w:rFonts w:asciiTheme="majorHAnsi" w:eastAsia="Times New Roman" w:hAnsiTheme="majorHAnsi" w:cstheme="majorHAnsi"/>
          <w:sz w:val="24"/>
          <w:szCs w:val="24"/>
          <w:lang w:val="ru-MD"/>
        </w:rPr>
        <w:t xml:space="preserve"> социальных инвестиций (-1 680,45 тыс. леев). Финансовые средства были возвращены ЦИК донорам </w:t>
      </w:r>
      <w:r w:rsidR="00D71AD9" w:rsidRPr="00D71AD9">
        <w:rPr>
          <w:rFonts w:asciiTheme="majorHAnsi" w:eastAsia="Times New Roman" w:hAnsiTheme="majorHAnsi" w:cstheme="majorHAnsi"/>
          <w:sz w:val="24"/>
          <w:szCs w:val="24"/>
          <w:lang w:val="ru-MD"/>
        </w:rPr>
        <w:t xml:space="preserve">в </w:t>
      </w:r>
      <w:r w:rsidRPr="00D71AD9">
        <w:rPr>
          <w:rFonts w:asciiTheme="majorHAnsi" w:eastAsia="Times New Roman" w:hAnsiTheme="majorHAnsi" w:cstheme="majorHAnsi"/>
          <w:sz w:val="24"/>
          <w:szCs w:val="24"/>
          <w:lang w:val="ru-MD"/>
        </w:rPr>
        <w:t>сумм</w:t>
      </w:r>
      <w:r w:rsidR="00D71AD9" w:rsidRPr="00D71AD9">
        <w:rPr>
          <w:rFonts w:asciiTheme="majorHAnsi" w:eastAsia="Times New Roman" w:hAnsiTheme="majorHAnsi" w:cstheme="majorHAnsi"/>
          <w:sz w:val="24"/>
          <w:szCs w:val="24"/>
          <w:lang w:val="ru-MD"/>
        </w:rPr>
        <w:t>е</w:t>
      </w:r>
      <w:r w:rsidRPr="00D71AD9">
        <w:rPr>
          <w:rFonts w:asciiTheme="majorHAnsi" w:eastAsia="Times New Roman" w:hAnsiTheme="majorHAnsi" w:cstheme="majorHAnsi"/>
          <w:sz w:val="24"/>
          <w:szCs w:val="24"/>
          <w:lang w:val="ru-MD"/>
        </w:rPr>
        <w:t xml:space="preserve"> 506,7 тыс. </w:t>
      </w:r>
      <w:r w:rsidR="00D71AD9" w:rsidRPr="00D71AD9">
        <w:rPr>
          <w:rFonts w:asciiTheme="majorHAnsi" w:eastAsia="Times New Roman" w:hAnsiTheme="majorHAnsi" w:cstheme="majorHAnsi"/>
          <w:sz w:val="24"/>
          <w:szCs w:val="24"/>
          <w:lang w:val="ru-MD"/>
        </w:rPr>
        <w:t xml:space="preserve">леев, </w:t>
      </w:r>
      <w:r w:rsidRPr="00D71AD9">
        <w:rPr>
          <w:rFonts w:asciiTheme="majorHAnsi" w:eastAsia="Times New Roman" w:hAnsiTheme="majorHAnsi" w:cstheme="majorHAnsi"/>
          <w:sz w:val="24"/>
          <w:szCs w:val="24"/>
          <w:lang w:val="ru-MD"/>
        </w:rPr>
        <w:t xml:space="preserve">и в государственный бюджет (3,6 тыс. леев) в результате завершения проекта, а министерства не представили аудиторской </w:t>
      </w:r>
      <w:r w:rsidR="00D71AD9" w:rsidRPr="00D71AD9">
        <w:rPr>
          <w:rFonts w:asciiTheme="majorHAnsi" w:eastAsia="Times New Roman" w:hAnsiTheme="majorHAnsi" w:cstheme="majorHAnsi"/>
          <w:sz w:val="24"/>
          <w:szCs w:val="24"/>
          <w:lang w:val="ru-MD"/>
        </w:rPr>
        <w:t>групп</w:t>
      </w:r>
      <w:r w:rsidRPr="00D71AD9">
        <w:rPr>
          <w:rFonts w:asciiTheme="majorHAnsi" w:eastAsia="Times New Roman" w:hAnsiTheme="majorHAnsi" w:cstheme="majorHAnsi"/>
          <w:sz w:val="24"/>
          <w:szCs w:val="24"/>
          <w:lang w:val="ru-MD"/>
        </w:rPr>
        <w:t xml:space="preserve">е информацию </w:t>
      </w:r>
      <w:r w:rsidR="00D71AD9" w:rsidRPr="00D71AD9">
        <w:rPr>
          <w:rFonts w:asciiTheme="majorHAnsi" w:eastAsia="Times New Roman" w:hAnsiTheme="majorHAnsi" w:cstheme="majorHAnsi"/>
          <w:sz w:val="24"/>
          <w:szCs w:val="24"/>
          <w:lang w:val="ru-MD"/>
        </w:rPr>
        <w:t>в этом отношении</w:t>
      </w:r>
      <w:r w:rsidR="002E5215" w:rsidRPr="00D71AD9">
        <w:rPr>
          <w:rFonts w:asciiTheme="majorHAnsi" w:eastAsia="Times New Roman" w:hAnsiTheme="majorHAnsi" w:cstheme="majorHAnsi"/>
          <w:sz w:val="24"/>
          <w:szCs w:val="24"/>
          <w:lang w:val="ru-MD"/>
        </w:rPr>
        <w:t>.</w:t>
      </w:r>
    </w:p>
    <w:p w:rsidR="00134A6E" w:rsidRPr="00E4517B" w:rsidRDefault="00057236" w:rsidP="009613EB">
      <w:pPr>
        <w:spacing w:after="0" w:line="276" w:lineRule="auto"/>
        <w:rPr>
          <w:rFonts w:asciiTheme="majorHAnsi" w:hAnsiTheme="majorHAnsi" w:cstheme="majorHAnsi"/>
          <w:sz w:val="24"/>
          <w:szCs w:val="24"/>
          <w:lang w:val="ro-RO"/>
        </w:rPr>
      </w:pPr>
      <w:r w:rsidRPr="007C34AB">
        <w:rPr>
          <w:rFonts w:asciiTheme="majorHAnsi" w:eastAsia="Times New Roman" w:hAnsiTheme="majorHAnsi" w:cstheme="majorHAnsi"/>
          <w:sz w:val="24"/>
          <w:szCs w:val="24"/>
          <w:lang w:val="ru-MD"/>
        </w:rPr>
        <w:t>Аудит</w:t>
      </w:r>
      <w:r w:rsidR="007C34AB" w:rsidRPr="007C34AB">
        <w:rPr>
          <w:rFonts w:asciiTheme="majorHAnsi" w:eastAsia="Times New Roman" w:hAnsiTheme="majorHAnsi" w:cstheme="majorHAnsi"/>
          <w:sz w:val="24"/>
          <w:szCs w:val="24"/>
          <w:lang w:val="ru-MD"/>
        </w:rPr>
        <w:t>ом установлена</w:t>
      </w:r>
      <w:r w:rsidRPr="007C34AB">
        <w:rPr>
          <w:rFonts w:asciiTheme="majorHAnsi" w:eastAsia="Times New Roman" w:hAnsiTheme="majorHAnsi" w:cstheme="majorHAnsi"/>
          <w:sz w:val="24"/>
          <w:szCs w:val="24"/>
          <w:lang w:val="ru-MD"/>
        </w:rPr>
        <w:t xml:space="preserve"> </w:t>
      </w:r>
      <w:r w:rsidR="007C34AB" w:rsidRPr="007C34AB">
        <w:rPr>
          <w:rFonts w:asciiTheme="majorHAnsi" w:eastAsia="Times New Roman" w:hAnsiTheme="majorHAnsi" w:cstheme="majorHAnsi"/>
          <w:sz w:val="24"/>
          <w:szCs w:val="24"/>
          <w:lang w:val="ru-MD"/>
        </w:rPr>
        <w:t>недостаточная</w:t>
      </w:r>
      <w:r w:rsidRPr="007C34AB">
        <w:rPr>
          <w:rFonts w:asciiTheme="majorHAnsi" w:eastAsia="Times New Roman" w:hAnsiTheme="majorHAnsi" w:cstheme="majorHAnsi"/>
          <w:sz w:val="24"/>
          <w:szCs w:val="24"/>
          <w:lang w:val="ru-MD"/>
        </w:rPr>
        <w:t xml:space="preserve"> способность поглощения внешней помощи </w:t>
      </w:r>
      <w:r w:rsidR="007C34AB" w:rsidRPr="007C34AB">
        <w:rPr>
          <w:rFonts w:asciiTheme="majorHAnsi" w:eastAsia="Times New Roman" w:hAnsiTheme="majorHAnsi" w:cstheme="majorHAnsi"/>
          <w:sz w:val="24"/>
          <w:szCs w:val="24"/>
          <w:lang w:val="ru-MD"/>
        </w:rPr>
        <w:t>органа</w:t>
      </w:r>
      <w:r w:rsidRPr="007C34AB">
        <w:rPr>
          <w:rFonts w:asciiTheme="majorHAnsi" w:eastAsia="Times New Roman" w:hAnsiTheme="majorHAnsi" w:cstheme="majorHAnsi"/>
          <w:sz w:val="24"/>
          <w:szCs w:val="24"/>
          <w:lang w:val="ru-MD"/>
        </w:rPr>
        <w:t xml:space="preserve">ми, в том числе </w:t>
      </w:r>
      <w:r w:rsidR="007C34AB" w:rsidRPr="007C34AB">
        <w:rPr>
          <w:rFonts w:asciiTheme="majorHAnsi" w:eastAsia="Times New Roman" w:hAnsiTheme="majorHAnsi" w:cstheme="majorHAnsi"/>
          <w:sz w:val="24"/>
          <w:szCs w:val="24"/>
          <w:lang w:val="ru-MD"/>
        </w:rPr>
        <w:t>обусловленная</w:t>
      </w:r>
      <w:r w:rsidRPr="007C34AB">
        <w:rPr>
          <w:rFonts w:asciiTheme="majorHAnsi" w:eastAsia="Times New Roman" w:hAnsiTheme="majorHAnsi" w:cstheme="majorHAnsi"/>
          <w:sz w:val="24"/>
          <w:szCs w:val="24"/>
          <w:lang w:val="ru-MD"/>
        </w:rPr>
        <w:t xml:space="preserve"> пандемией COVID-19, которая приостановила некоторые действия в рамках проектов, а также не</w:t>
      </w:r>
      <w:r w:rsidR="007C34AB" w:rsidRPr="007C34AB">
        <w:rPr>
          <w:rFonts w:asciiTheme="majorHAnsi" w:eastAsia="Times New Roman" w:hAnsiTheme="majorHAnsi" w:cstheme="majorHAnsi"/>
          <w:sz w:val="24"/>
          <w:szCs w:val="24"/>
          <w:lang w:val="ru-MD"/>
        </w:rPr>
        <w:t>выполнение</w:t>
      </w:r>
      <w:r w:rsidRPr="007C34AB">
        <w:rPr>
          <w:rFonts w:asciiTheme="majorHAnsi" w:eastAsia="Times New Roman" w:hAnsiTheme="majorHAnsi" w:cstheme="majorHAnsi"/>
          <w:sz w:val="24"/>
          <w:szCs w:val="24"/>
          <w:lang w:val="ru-MD"/>
        </w:rPr>
        <w:t xml:space="preserve"> </w:t>
      </w:r>
      <w:r w:rsidR="007C34AB" w:rsidRPr="007C34AB">
        <w:rPr>
          <w:rFonts w:asciiTheme="majorHAnsi" w:eastAsia="Times New Roman" w:hAnsiTheme="majorHAnsi" w:cstheme="majorHAnsi"/>
          <w:sz w:val="24"/>
          <w:szCs w:val="24"/>
          <w:lang w:val="ru-MD"/>
        </w:rPr>
        <w:t xml:space="preserve">всех </w:t>
      </w:r>
      <w:r w:rsidRPr="007C34AB">
        <w:rPr>
          <w:rFonts w:asciiTheme="majorHAnsi" w:eastAsia="Times New Roman" w:hAnsiTheme="majorHAnsi" w:cstheme="majorHAnsi"/>
          <w:sz w:val="24"/>
          <w:szCs w:val="24"/>
          <w:lang w:val="ru-MD"/>
        </w:rPr>
        <w:t xml:space="preserve">условий для </w:t>
      </w:r>
      <w:r w:rsidR="007C34AB" w:rsidRPr="007C34AB">
        <w:rPr>
          <w:rFonts w:asciiTheme="majorHAnsi" w:eastAsia="Times New Roman" w:hAnsiTheme="majorHAnsi" w:cstheme="majorHAnsi"/>
          <w:sz w:val="24"/>
          <w:szCs w:val="24"/>
          <w:lang w:val="ru-MD"/>
        </w:rPr>
        <w:t xml:space="preserve">выплаты </w:t>
      </w:r>
      <w:r w:rsidRPr="007C34AB">
        <w:rPr>
          <w:rFonts w:asciiTheme="majorHAnsi" w:eastAsia="Times New Roman" w:hAnsiTheme="majorHAnsi" w:cstheme="majorHAnsi"/>
          <w:sz w:val="24"/>
          <w:szCs w:val="24"/>
          <w:lang w:val="ru-MD"/>
        </w:rPr>
        <w:t>траншей</w:t>
      </w:r>
      <w:r w:rsidR="007C34AB" w:rsidRPr="007C34AB">
        <w:rPr>
          <w:rFonts w:asciiTheme="majorHAnsi" w:eastAsia="Times New Roman" w:hAnsiTheme="majorHAnsi" w:cstheme="majorHAnsi"/>
          <w:sz w:val="24"/>
          <w:szCs w:val="24"/>
          <w:lang w:val="ru-MD"/>
        </w:rPr>
        <w:t xml:space="preserve"> по</w:t>
      </w:r>
      <w:r w:rsidRPr="007C34AB">
        <w:rPr>
          <w:rFonts w:asciiTheme="majorHAnsi" w:eastAsia="Times New Roman" w:hAnsiTheme="majorHAnsi" w:cstheme="majorHAnsi"/>
          <w:sz w:val="24"/>
          <w:szCs w:val="24"/>
          <w:lang w:val="ru-MD"/>
        </w:rPr>
        <w:t xml:space="preserve"> программам бюджетной поддержки. В 2020 году для борьбы с пандемией COVID-19 были заключены 2 Соглашения о внешних займах на общую сумму 122,9 млн. евро, из которых были вы</w:t>
      </w:r>
      <w:r w:rsidR="007C34AB" w:rsidRPr="007C34AB">
        <w:rPr>
          <w:rFonts w:asciiTheme="majorHAnsi" w:eastAsia="Times New Roman" w:hAnsiTheme="majorHAnsi" w:cstheme="majorHAnsi"/>
          <w:sz w:val="24"/>
          <w:szCs w:val="24"/>
          <w:lang w:val="ru-MD"/>
        </w:rPr>
        <w:t>плач</w:t>
      </w:r>
      <w:r w:rsidRPr="007C34AB">
        <w:rPr>
          <w:rFonts w:asciiTheme="majorHAnsi" w:eastAsia="Times New Roman" w:hAnsiTheme="majorHAnsi" w:cstheme="majorHAnsi"/>
          <w:sz w:val="24"/>
          <w:szCs w:val="24"/>
          <w:lang w:val="ru-MD"/>
        </w:rPr>
        <w:t>ены средства на сумму 510,5 млн. леев и исполнены расходы на уровне 38,4%, зарегистрировав остаток денежных средств на конец 2020 года в сумме 314,3 млн. ле</w:t>
      </w:r>
      <w:r w:rsidR="007C34AB" w:rsidRPr="007C34AB">
        <w:rPr>
          <w:rFonts w:asciiTheme="majorHAnsi" w:eastAsia="Times New Roman" w:hAnsiTheme="majorHAnsi" w:cstheme="majorHAnsi"/>
          <w:sz w:val="24"/>
          <w:szCs w:val="24"/>
          <w:lang w:val="ru-MD"/>
        </w:rPr>
        <w:t>ев</w:t>
      </w:r>
      <w:r w:rsidR="006E2E6A" w:rsidRPr="00E4517B">
        <w:rPr>
          <w:rStyle w:val="FootnoteReference"/>
          <w:rFonts w:asciiTheme="majorHAnsi" w:hAnsiTheme="majorHAnsi" w:cstheme="majorHAnsi"/>
          <w:sz w:val="24"/>
          <w:szCs w:val="24"/>
          <w:lang w:val="ro-RO"/>
        </w:rPr>
        <w:footnoteReference w:id="37"/>
      </w:r>
      <w:r w:rsidR="006E2E6A" w:rsidRPr="00E4517B">
        <w:rPr>
          <w:rFonts w:asciiTheme="majorHAnsi" w:hAnsiTheme="majorHAnsi" w:cstheme="majorHAnsi"/>
          <w:sz w:val="24"/>
          <w:szCs w:val="24"/>
          <w:lang w:val="ro-RO"/>
        </w:rPr>
        <w:t xml:space="preserve">. </w:t>
      </w:r>
    </w:p>
    <w:p w:rsidR="005E4D53" w:rsidRPr="00F55BA6" w:rsidRDefault="005E4D53" w:rsidP="007343B4">
      <w:pPr>
        <w:tabs>
          <w:tab w:val="left" w:pos="426"/>
        </w:tabs>
        <w:spacing w:after="0" w:line="276" w:lineRule="auto"/>
        <w:contextualSpacing/>
        <w:outlineLvl w:val="0"/>
        <w:rPr>
          <w:rFonts w:asciiTheme="majorHAnsi" w:hAnsiTheme="majorHAnsi" w:cstheme="majorHAnsi"/>
          <w:b/>
          <w:szCs w:val="28"/>
          <w:lang w:val="ro-RO"/>
        </w:rPr>
      </w:pPr>
      <w:r w:rsidRPr="00F55BA6">
        <w:rPr>
          <w:rFonts w:asciiTheme="majorHAnsi" w:hAnsiTheme="majorHAnsi" w:cstheme="majorHAnsi"/>
          <w:b/>
          <w:sz w:val="24"/>
          <w:szCs w:val="24"/>
          <w:lang w:val="ro-RO"/>
        </w:rPr>
        <w:lastRenderedPageBreak/>
        <w:t xml:space="preserve">6.7. </w:t>
      </w:r>
      <w:r w:rsidR="00057236" w:rsidRPr="00517B11">
        <w:rPr>
          <w:rFonts w:asciiTheme="majorHAnsi" w:hAnsiTheme="majorHAnsi" w:cstheme="majorHAnsi"/>
          <w:b/>
          <w:sz w:val="24"/>
          <w:szCs w:val="24"/>
          <w:lang w:val="ro-RO"/>
        </w:rPr>
        <w:t>Остаток не</w:t>
      </w:r>
      <w:r w:rsidR="008428B9" w:rsidRPr="00517B11">
        <w:rPr>
          <w:rFonts w:asciiTheme="majorHAnsi" w:hAnsiTheme="majorHAnsi" w:cstheme="majorHAnsi"/>
          <w:b/>
          <w:sz w:val="24"/>
          <w:szCs w:val="24"/>
          <w:lang w:val="ro-RO"/>
        </w:rPr>
        <w:t>освоен</w:t>
      </w:r>
      <w:r w:rsidR="00057236" w:rsidRPr="00517B11">
        <w:rPr>
          <w:rFonts w:asciiTheme="majorHAnsi" w:hAnsiTheme="majorHAnsi" w:cstheme="majorHAnsi"/>
          <w:b/>
          <w:sz w:val="24"/>
          <w:szCs w:val="24"/>
          <w:lang w:val="ro-RO"/>
        </w:rPr>
        <w:t xml:space="preserve">ных средств на расходы </w:t>
      </w:r>
      <w:r w:rsidR="008428B9" w:rsidRPr="00517B11">
        <w:rPr>
          <w:rFonts w:asciiTheme="majorHAnsi" w:hAnsiTheme="majorHAnsi" w:cstheme="majorHAnsi"/>
          <w:b/>
          <w:sz w:val="24"/>
          <w:szCs w:val="24"/>
          <w:lang w:val="ro-RO"/>
        </w:rPr>
        <w:t xml:space="preserve">на персонал </w:t>
      </w:r>
      <w:r w:rsidR="00057236" w:rsidRPr="00517B11">
        <w:rPr>
          <w:rFonts w:asciiTheme="majorHAnsi" w:hAnsiTheme="majorHAnsi" w:cstheme="majorHAnsi"/>
          <w:b/>
          <w:sz w:val="24"/>
          <w:szCs w:val="24"/>
          <w:lang w:val="ro-RO"/>
        </w:rPr>
        <w:t>со стороны ЦП</w:t>
      </w:r>
      <w:r w:rsidR="008428B9" w:rsidRPr="00517B11">
        <w:rPr>
          <w:rFonts w:asciiTheme="majorHAnsi" w:hAnsiTheme="majorHAnsi" w:cstheme="majorHAnsi"/>
          <w:b/>
          <w:sz w:val="24"/>
          <w:szCs w:val="24"/>
          <w:lang w:val="ro-RO"/>
        </w:rPr>
        <w:t xml:space="preserve">О </w:t>
      </w:r>
      <w:r w:rsidR="00057236" w:rsidRPr="00517B11">
        <w:rPr>
          <w:rFonts w:asciiTheme="majorHAnsi" w:hAnsiTheme="majorHAnsi" w:cstheme="majorHAnsi"/>
          <w:b/>
          <w:sz w:val="24"/>
          <w:szCs w:val="24"/>
          <w:lang w:val="ro-RO"/>
        </w:rPr>
        <w:t>в сумме 93,0 млн. леев и остаток не</w:t>
      </w:r>
      <w:r w:rsidR="008428B9" w:rsidRPr="00517B11">
        <w:rPr>
          <w:rFonts w:asciiTheme="majorHAnsi" w:hAnsiTheme="majorHAnsi" w:cstheme="majorHAnsi"/>
          <w:b/>
          <w:sz w:val="24"/>
          <w:szCs w:val="24"/>
          <w:lang w:val="ro-RO"/>
        </w:rPr>
        <w:t>профинансирова</w:t>
      </w:r>
      <w:r w:rsidR="00057236" w:rsidRPr="00517B11">
        <w:rPr>
          <w:rFonts w:asciiTheme="majorHAnsi" w:hAnsiTheme="majorHAnsi" w:cstheme="majorHAnsi"/>
          <w:b/>
          <w:sz w:val="24"/>
          <w:szCs w:val="24"/>
          <w:lang w:val="ro-RO"/>
        </w:rPr>
        <w:t xml:space="preserve">нных ассигнований </w:t>
      </w:r>
      <w:r w:rsidR="008428B9" w:rsidRPr="00517B11">
        <w:rPr>
          <w:rFonts w:asciiTheme="majorHAnsi" w:hAnsiTheme="majorHAnsi" w:cstheme="majorHAnsi"/>
          <w:b/>
          <w:sz w:val="24"/>
          <w:szCs w:val="24"/>
          <w:lang w:val="ro-RO"/>
        </w:rPr>
        <w:t>за счет</w:t>
      </w:r>
      <w:r w:rsidR="00057236" w:rsidRPr="00517B11">
        <w:rPr>
          <w:rFonts w:asciiTheme="majorHAnsi" w:hAnsiTheme="majorHAnsi" w:cstheme="majorHAnsi"/>
          <w:b/>
          <w:sz w:val="24"/>
          <w:szCs w:val="24"/>
          <w:lang w:val="ro-RO"/>
        </w:rPr>
        <w:t xml:space="preserve"> „</w:t>
      </w:r>
      <w:r w:rsidR="008428B9" w:rsidRPr="00517B11">
        <w:rPr>
          <w:rFonts w:asciiTheme="majorHAnsi" w:hAnsiTheme="majorHAnsi" w:cstheme="majorHAnsi"/>
          <w:b/>
          <w:sz w:val="24"/>
          <w:szCs w:val="24"/>
          <w:lang w:val="ro-RO"/>
        </w:rPr>
        <w:t>О</w:t>
      </w:r>
      <w:r w:rsidR="00057236" w:rsidRPr="00517B11">
        <w:rPr>
          <w:rFonts w:asciiTheme="majorHAnsi" w:hAnsiTheme="majorHAnsi" w:cstheme="majorHAnsi"/>
          <w:b/>
          <w:sz w:val="24"/>
          <w:szCs w:val="24"/>
          <w:lang w:val="ro-RO"/>
        </w:rPr>
        <w:t>бщи</w:t>
      </w:r>
      <w:r w:rsidR="008428B9" w:rsidRPr="00517B11">
        <w:rPr>
          <w:rFonts w:asciiTheme="majorHAnsi" w:hAnsiTheme="majorHAnsi" w:cstheme="majorHAnsi"/>
          <w:b/>
          <w:sz w:val="24"/>
          <w:szCs w:val="24"/>
          <w:lang w:val="ro-RO"/>
        </w:rPr>
        <w:t>х</w:t>
      </w:r>
      <w:r w:rsidR="00057236" w:rsidRPr="00517B11">
        <w:rPr>
          <w:rFonts w:asciiTheme="majorHAnsi" w:hAnsiTheme="majorHAnsi" w:cstheme="majorHAnsi"/>
          <w:b/>
          <w:sz w:val="24"/>
          <w:szCs w:val="24"/>
          <w:lang w:val="ro-RO"/>
        </w:rPr>
        <w:t xml:space="preserve"> </w:t>
      </w:r>
      <w:r w:rsidR="008428B9" w:rsidRPr="00517B11">
        <w:rPr>
          <w:rFonts w:asciiTheme="majorHAnsi" w:hAnsiTheme="majorHAnsi" w:cstheme="majorHAnsi"/>
          <w:b/>
          <w:sz w:val="24"/>
          <w:szCs w:val="24"/>
          <w:lang w:val="ro-RO"/>
        </w:rPr>
        <w:t>действий” составляют 214,2 млн. леев</w:t>
      </w:r>
      <w:r w:rsidR="00057236" w:rsidRPr="00517B11">
        <w:rPr>
          <w:rFonts w:asciiTheme="majorHAnsi" w:hAnsiTheme="majorHAnsi" w:cstheme="majorHAnsi"/>
          <w:b/>
          <w:sz w:val="24"/>
          <w:szCs w:val="24"/>
          <w:lang w:val="ro-RO"/>
        </w:rPr>
        <w:t xml:space="preserve">, </w:t>
      </w:r>
      <w:r w:rsidR="008428B9" w:rsidRPr="00517B11">
        <w:rPr>
          <w:rFonts w:asciiTheme="majorHAnsi" w:hAnsiTheme="majorHAnsi" w:cstheme="majorHAnsi"/>
          <w:b/>
          <w:sz w:val="24"/>
          <w:szCs w:val="24"/>
          <w:lang w:val="ro-RO"/>
        </w:rPr>
        <w:t xml:space="preserve">в такой </w:t>
      </w:r>
      <w:r w:rsidR="00057236" w:rsidRPr="00517B11">
        <w:rPr>
          <w:rFonts w:asciiTheme="majorHAnsi" w:hAnsiTheme="majorHAnsi" w:cstheme="majorHAnsi"/>
          <w:b/>
          <w:sz w:val="24"/>
          <w:szCs w:val="24"/>
          <w:lang w:val="ro-RO"/>
        </w:rPr>
        <w:t>ситуаци</w:t>
      </w:r>
      <w:r w:rsidR="008428B9" w:rsidRPr="00517B11">
        <w:rPr>
          <w:rFonts w:asciiTheme="majorHAnsi" w:hAnsiTheme="majorHAnsi" w:cstheme="majorHAnsi"/>
          <w:b/>
          <w:sz w:val="24"/>
          <w:szCs w:val="24"/>
          <w:lang w:val="ro-RO"/>
        </w:rPr>
        <w:t>и</w:t>
      </w:r>
      <w:r w:rsidR="00057236" w:rsidRPr="00517B11">
        <w:rPr>
          <w:rFonts w:asciiTheme="majorHAnsi" w:hAnsiTheme="majorHAnsi" w:cstheme="majorHAnsi"/>
          <w:b/>
          <w:sz w:val="24"/>
          <w:szCs w:val="24"/>
          <w:lang w:val="ro-RO"/>
        </w:rPr>
        <w:t xml:space="preserve"> отмеча</w:t>
      </w:r>
      <w:r w:rsidR="008428B9" w:rsidRPr="00517B11">
        <w:rPr>
          <w:rFonts w:asciiTheme="majorHAnsi" w:hAnsiTheme="majorHAnsi" w:cstheme="majorHAnsi"/>
          <w:b/>
          <w:sz w:val="24"/>
          <w:szCs w:val="24"/>
          <w:lang w:val="ro-RO"/>
        </w:rPr>
        <w:t>е</w:t>
      </w:r>
      <w:r w:rsidR="00057236" w:rsidRPr="00517B11">
        <w:rPr>
          <w:rFonts w:asciiTheme="majorHAnsi" w:hAnsiTheme="majorHAnsi" w:cstheme="majorHAnsi"/>
          <w:b/>
          <w:sz w:val="24"/>
          <w:szCs w:val="24"/>
          <w:lang w:val="ro-RO"/>
        </w:rPr>
        <w:t xml:space="preserve">тся </w:t>
      </w:r>
      <w:r w:rsidR="008428B9" w:rsidRPr="00517B11">
        <w:rPr>
          <w:rFonts w:asciiTheme="majorHAnsi" w:hAnsiTheme="majorHAnsi" w:cstheme="majorHAnsi"/>
          <w:b/>
          <w:sz w:val="24"/>
          <w:szCs w:val="24"/>
          <w:lang w:val="ro-RO"/>
        </w:rPr>
        <w:t xml:space="preserve">наличие </w:t>
      </w:r>
      <w:r w:rsidR="00057236" w:rsidRPr="00517B11">
        <w:rPr>
          <w:rFonts w:asciiTheme="majorHAnsi" w:hAnsiTheme="majorHAnsi" w:cstheme="majorHAnsi"/>
          <w:b/>
          <w:sz w:val="24"/>
          <w:szCs w:val="24"/>
          <w:lang w:val="ro-RO"/>
        </w:rPr>
        <w:t>резерв</w:t>
      </w:r>
      <w:r w:rsidR="008428B9" w:rsidRPr="00517B11">
        <w:rPr>
          <w:rFonts w:asciiTheme="majorHAnsi" w:hAnsiTheme="majorHAnsi" w:cstheme="majorHAnsi"/>
          <w:b/>
          <w:sz w:val="24"/>
          <w:szCs w:val="24"/>
          <w:lang w:val="ro-RO"/>
        </w:rPr>
        <w:t>ов</w:t>
      </w:r>
      <w:r w:rsidR="00057236" w:rsidRPr="00517B11">
        <w:rPr>
          <w:rFonts w:asciiTheme="majorHAnsi" w:hAnsiTheme="majorHAnsi" w:cstheme="majorHAnsi"/>
          <w:b/>
          <w:sz w:val="24"/>
          <w:szCs w:val="24"/>
          <w:lang w:val="ro-RO"/>
        </w:rPr>
        <w:t xml:space="preserve"> при планировании лимитов расходов на внедрение единой системы оплаты труда в бюджетном секторе</w:t>
      </w:r>
      <w:r w:rsidR="00C31816">
        <w:rPr>
          <w:rFonts w:asciiTheme="majorHAnsi" w:hAnsiTheme="majorHAnsi" w:cstheme="majorHAnsi"/>
          <w:b/>
          <w:sz w:val="24"/>
          <w:szCs w:val="24"/>
          <w:lang w:val="ro-RO"/>
        </w:rPr>
        <w:t>.</w:t>
      </w:r>
    </w:p>
    <w:p w:rsidR="00AC6703" w:rsidRPr="00E4517B" w:rsidRDefault="001016F2" w:rsidP="00AC6703">
      <w:pPr>
        <w:spacing w:after="0" w:line="276" w:lineRule="auto"/>
        <w:rPr>
          <w:rFonts w:asciiTheme="majorHAnsi" w:eastAsia="Times New Roman" w:hAnsiTheme="majorHAnsi" w:cstheme="majorHAnsi"/>
          <w:sz w:val="24"/>
          <w:szCs w:val="24"/>
          <w:lang w:val="ro-RO"/>
        </w:rPr>
      </w:pPr>
      <w:r w:rsidRPr="001016F2">
        <w:rPr>
          <w:rFonts w:asciiTheme="majorHAnsi" w:eastAsia="Times New Roman" w:hAnsiTheme="majorHAnsi" w:cstheme="majorHAnsi"/>
          <w:sz w:val="24"/>
          <w:szCs w:val="24"/>
          <w:lang w:val="ro-RO"/>
        </w:rPr>
        <w:t xml:space="preserve">Согласно </w:t>
      </w:r>
      <w:r w:rsidR="00517B11" w:rsidRPr="00517B11">
        <w:rPr>
          <w:rFonts w:asciiTheme="majorHAnsi" w:eastAsia="Times New Roman" w:hAnsiTheme="majorHAnsi" w:cstheme="majorHAnsi"/>
          <w:sz w:val="24"/>
          <w:szCs w:val="24"/>
          <w:lang w:val="ro-RO"/>
        </w:rPr>
        <w:t>П</w:t>
      </w:r>
      <w:r w:rsidRPr="001016F2">
        <w:rPr>
          <w:rFonts w:asciiTheme="majorHAnsi" w:eastAsia="Times New Roman" w:hAnsiTheme="majorHAnsi" w:cstheme="majorHAnsi"/>
          <w:sz w:val="24"/>
          <w:szCs w:val="24"/>
          <w:lang w:val="ro-RO"/>
        </w:rPr>
        <w:t xml:space="preserve">риложению </w:t>
      </w:r>
      <w:r w:rsidR="00517B11">
        <w:rPr>
          <w:rFonts w:asciiTheme="majorHAnsi" w:eastAsia="Times New Roman" w:hAnsiTheme="majorHAnsi" w:cstheme="majorHAnsi"/>
          <w:sz w:val="24"/>
          <w:szCs w:val="24"/>
          <w:lang w:val="ro-RO"/>
        </w:rPr>
        <w:t>№</w:t>
      </w:r>
      <w:r w:rsidRPr="001016F2">
        <w:rPr>
          <w:rFonts w:asciiTheme="majorHAnsi" w:eastAsia="Times New Roman" w:hAnsiTheme="majorHAnsi" w:cstheme="majorHAnsi"/>
          <w:sz w:val="24"/>
          <w:szCs w:val="24"/>
          <w:lang w:val="ro-RO"/>
        </w:rPr>
        <w:t xml:space="preserve">5 </w:t>
      </w:r>
      <w:r w:rsidR="00517B11">
        <w:rPr>
          <w:rFonts w:asciiTheme="majorHAnsi" w:eastAsia="Times New Roman" w:hAnsiTheme="majorHAnsi" w:cstheme="majorHAnsi"/>
          <w:sz w:val="24"/>
          <w:szCs w:val="24"/>
          <w:lang w:val="ro-RO"/>
        </w:rPr>
        <w:t xml:space="preserve">к Закону о ГБ </w:t>
      </w:r>
      <w:r w:rsidRPr="001016F2">
        <w:rPr>
          <w:rFonts w:asciiTheme="majorHAnsi" w:eastAsia="Times New Roman" w:hAnsiTheme="majorHAnsi" w:cstheme="majorHAnsi"/>
          <w:sz w:val="24"/>
          <w:szCs w:val="24"/>
          <w:lang w:val="ro-RO"/>
        </w:rPr>
        <w:t>на 2020 год</w:t>
      </w:r>
      <w:r w:rsidR="00517B11" w:rsidRPr="00517B11">
        <w:rPr>
          <w:rFonts w:asciiTheme="majorHAnsi" w:eastAsia="Times New Roman" w:hAnsiTheme="majorHAnsi" w:cstheme="majorHAnsi"/>
          <w:sz w:val="24"/>
          <w:szCs w:val="24"/>
          <w:lang w:val="ro-RO"/>
        </w:rPr>
        <w:t>,</w:t>
      </w:r>
      <w:r w:rsidRPr="001016F2">
        <w:rPr>
          <w:rFonts w:asciiTheme="majorHAnsi" w:eastAsia="Times New Roman" w:hAnsiTheme="majorHAnsi" w:cstheme="majorHAnsi"/>
          <w:sz w:val="24"/>
          <w:szCs w:val="24"/>
          <w:lang w:val="ro-RO"/>
        </w:rPr>
        <w:t xml:space="preserve"> первоначально </w:t>
      </w:r>
      <w:r w:rsidR="00517B11" w:rsidRPr="001016F2">
        <w:rPr>
          <w:rFonts w:asciiTheme="majorHAnsi" w:eastAsia="Times New Roman" w:hAnsiTheme="majorHAnsi" w:cstheme="majorHAnsi"/>
          <w:sz w:val="24"/>
          <w:szCs w:val="24"/>
          <w:lang w:val="ro-RO"/>
        </w:rPr>
        <w:t xml:space="preserve">были </w:t>
      </w:r>
      <w:r w:rsidRPr="001016F2">
        <w:rPr>
          <w:rFonts w:asciiTheme="majorHAnsi" w:eastAsia="Times New Roman" w:hAnsiTheme="majorHAnsi" w:cstheme="majorHAnsi"/>
          <w:sz w:val="24"/>
          <w:szCs w:val="24"/>
          <w:lang w:val="ro-RO"/>
        </w:rPr>
        <w:t xml:space="preserve">утверждены расходы на персонал </w:t>
      </w:r>
      <w:r w:rsidR="00517B11" w:rsidRPr="00517B11">
        <w:rPr>
          <w:rFonts w:asciiTheme="majorHAnsi" w:eastAsia="Times New Roman" w:hAnsiTheme="majorHAnsi" w:cstheme="majorHAnsi"/>
          <w:sz w:val="24"/>
          <w:szCs w:val="24"/>
          <w:lang w:val="ro-RO"/>
        </w:rPr>
        <w:t>для</w:t>
      </w:r>
      <w:r w:rsidRPr="001016F2">
        <w:rPr>
          <w:rFonts w:asciiTheme="majorHAnsi" w:eastAsia="Times New Roman" w:hAnsiTheme="majorHAnsi" w:cstheme="majorHAnsi"/>
          <w:sz w:val="24"/>
          <w:szCs w:val="24"/>
          <w:lang w:val="ro-RO"/>
        </w:rPr>
        <w:t xml:space="preserve"> 43 </w:t>
      </w:r>
      <w:r w:rsidR="00517B11" w:rsidRPr="00517B11">
        <w:rPr>
          <w:rFonts w:asciiTheme="majorHAnsi" w:eastAsia="Times New Roman" w:hAnsiTheme="majorHAnsi" w:cstheme="majorHAnsi"/>
          <w:sz w:val="24"/>
          <w:szCs w:val="24"/>
          <w:lang w:val="ro-RO"/>
        </w:rPr>
        <w:t>ЦПО,</w:t>
      </w:r>
      <w:r w:rsidRPr="001016F2">
        <w:rPr>
          <w:rFonts w:asciiTheme="majorHAnsi" w:eastAsia="Times New Roman" w:hAnsiTheme="majorHAnsi" w:cstheme="majorHAnsi"/>
          <w:sz w:val="24"/>
          <w:szCs w:val="24"/>
          <w:lang w:val="ro-RO"/>
        </w:rPr>
        <w:t xml:space="preserve"> </w:t>
      </w:r>
      <w:r w:rsidR="00517B11" w:rsidRPr="00517B11">
        <w:rPr>
          <w:rFonts w:asciiTheme="majorHAnsi" w:eastAsia="Times New Roman" w:hAnsiTheme="majorHAnsi" w:cstheme="majorHAnsi"/>
          <w:sz w:val="24"/>
          <w:szCs w:val="24"/>
          <w:lang w:val="ro-RO"/>
        </w:rPr>
        <w:t>в</w:t>
      </w:r>
      <w:r w:rsidRPr="001016F2">
        <w:rPr>
          <w:rFonts w:asciiTheme="majorHAnsi" w:eastAsia="Times New Roman" w:hAnsiTheme="majorHAnsi" w:cstheme="majorHAnsi"/>
          <w:sz w:val="24"/>
          <w:szCs w:val="24"/>
          <w:lang w:val="ro-RO"/>
        </w:rPr>
        <w:t xml:space="preserve"> сумм</w:t>
      </w:r>
      <w:r w:rsidR="00517B11" w:rsidRPr="00517B11">
        <w:rPr>
          <w:rFonts w:asciiTheme="majorHAnsi" w:eastAsia="Times New Roman" w:hAnsiTheme="majorHAnsi" w:cstheme="majorHAnsi"/>
          <w:sz w:val="24"/>
          <w:szCs w:val="24"/>
          <w:lang w:val="ro-RO"/>
        </w:rPr>
        <w:t>е</w:t>
      </w:r>
      <w:r w:rsidRPr="001016F2">
        <w:rPr>
          <w:rFonts w:asciiTheme="majorHAnsi" w:eastAsia="Times New Roman" w:hAnsiTheme="majorHAnsi" w:cstheme="majorHAnsi"/>
          <w:sz w:val="24"/>
          <w:szCs w:val="24"/>
          <w:lang w:val="ro-RO"/>
        </w:rPr>
        <w:t xml:space="preserve"> 7 009,98 млн. леев, впоследствии</w:t>
      </w:r>
      <w:r w:rsidR="00517B11" w:rsidRPr="00517B11">
        <w:rPr>
          <w:rFonts w:asciiTheme="majorHAnsi" w:eastAsia="Times New Roman" w:hAnsiTheme="majorHAnsi" w:cstheme="majorHAnsi"/>
          <w:sz w:val="24"/>
          <w:szCs w:val="24"/>
          <w:lang w:val="ro-RO"/>
        </w:rPr>
        <w:t>,</w:t>
      </w:r>
      <w:r w:rsidRPr="001016F2">
        <w:rPr>
          <w:rFonts w:asciiTheme="majorHAnsi" w:eastAsia="Times New Roman" w:hAnsiTheme="majorHAnsi" w:cstheme="majorHAnsi"/>
          <w:sz w:val="24"/>
          <w:szCs w:val="24"/>
          <w:lang w:val="ro-RO"/>
        </w:rPr>
        <w:t xml:space="preserve"> при </w:t>
      </w:r>
      <w:r w:rsidR="00517B11" w:rsidRPr="00517B11">
        <w:rPr>
          <w:rFonts w:asciiTheme="majorHAnsi" w:eastAsia="Times New Roman" w:hAnsiTheme="majorHAnsi" w:cstheme="majorHAnsi"/>
          <w:sz w:val="24"/>
          <w:szCs w:val="24"/>
          <w:lang w:val="ro-RO"/>
        </w:rPr>
        <w:t>уточн</w:t>
      </w:r>
      <w:r w:rsidRPr="001016F2">
        <w:rPr>
          <w:rFonts w:asciiTheme="majorHAnsi" w:eastAsia="Times New Roman" w:hAnsiTheme="majorHAnsi" w:cstheme="majorHAnsi"/>
          <w:sz w:val="24"/>
          <w:szCs w:val="24"/>
          <w:lang w:val="ro-RO"/>
        </w:rPr>
        <w:t xml:space="preserve">ении </w:t>
      </w:r>
      <w:r w:rsidR="00311B59" w:rsidRPr="00311B59">
        <w:rPr>
          <w:rFonts w:asciiTheme="majorHAnsi" w:eastAsia="Times New Roman" w:hAnsiTheme="majorHAnsi" w:cstheme="majorHAnsi"/>
          <w:sz w:val="24"/>
          <w:szCs w:val="24"/>
          <w:lang w:val="ro-RO"/>
        </w:rPr>
        <w:t xml:space="preserve">они </w:t>
      </w:r>
      <w:r w:rsidRPr="001016F2">
        <w:rPr>
          <w:rFonts w:asciiTheme="majorHAnsi" w:eastAsia="Times New Roman" w:hAnsiTheme="majorHAnsi" w:cstheme="majorHAnsi"/>
          <w:sz w:val="24"/>
          <w:szCs w:val="24"/>
          <w:lang w:val="ro-RO"/>
        </w:rPr>
        <w:t>были увеличены на 4,4 млн. леев</w:t>
      </w:r>
      <w:r w:rsidR="00311B59" w:rsidRPr="00311B59">
        <w:rPr>
          <w:rFonts w:asciiTheme="majorHAnsi" w:eastAsia="Times New Roman" w:hAnsiTheme="majorHAnsi" w:cstheme="majorHAnsi"/>
          <w:sz w:val="24"/>
          <w:szCs w:val="24"/>
          <w:lang w:val="ro-RO"/>
        </w:rPr>
        <w:t xml:space="preserve"> </w:t>
      </w:r>
      <w:r w:rsidR="00311B59" w:rsidRPr="00B05CFC">
        <w:rPr>
          <w:rFonts w:asciiTheme="majorHAnsi" w:eastAsia="Times New Roman" w:hAnsiTheme="majorHAnsi" w:cstheme="majorHAnsi"/>
          <w:sz w:val="24"/>
          <w:szCs w:val="24"/>
          <w:lang w:val="ro-RO"/>
        </w:rPr>
        <w:t xml:space="preserve">(7 014,4 </w:t>
      </w:r>
      <w:r w:rsidR="00311B59" w:rsidRPr="00311B59">
        <w:rPr>
          <w:rFonts w:asciiTheme="majorHAnsi" w:eastAsia="Times New Roman" w:hAnsiTheme="majorHAnsi" w:cstheme="majorHAnsi"/>
          <w:sz w:val="24"/>
          <w:szCs w:val="24"/>
          <w:lang w:val="ro-RO"/>
        </w:rPr>
        <w:t>млн</w:t>
      </w:r>
      <w:r w:rsidRPr="001016F2">
        <w:rPr>
          <w:rFonts w:asciiTheme="majorHAnsi" w:eastAsia="Times New Roman" w:hAnsiTheme="majorHAnsi" w:cstheme="majorHAnsi"/>
          <w:sz w:val="24"/>
          <w:szCs w:val="24"/>
          <w:lang w:val="ro-RO"/>
        </w:rPr>
        <w:t>. леев) и утверждены дополнительные ассигнования на счет</w:t>
      </w:r>
      <w:r w:rsidR="00311B59" w:rsidRPr="00311B59">
        <w:rPr>
          <w:rFonts w:asciiTheme="majorHAnsi" w:eastAsia="Times New Roman" w:hAnsiTheme="majorHAnsi" w:cstheme="majorHAnsi"/>
          <w:sz w:val="24"/>
          <w:szCs w:val="24"/>
          <w:lang w:val="ro-RO"/>
        </w:rPr>
        <w:t>е</w:t>
      </w:r>
      <w:r w:rsidRPr="001016F2">
        <w:rPr>
          <w:rFonts w:asciiTheme="majorHAnsi" w:eastAsia="Times New Roman" w:hAnsiTheme="majorHAnsi" w:cstheme="majorHAnsi"/>
          <w:sz w:val="24"/>
          <w:szCs w:val="24"/>
          <w:lang w:val="ro-RO"/>
        </w:rPr>
        <w:t xml:space="preserve"> 0799 </w:t>
      </w:r>
      <w:r w:rsidR="00311B59" w:rsidRPr="00E4517B">
        <w:rPr>
          <w:rFonts w:asciiTheme="majorHAnsi" w:eastAsia="Times New Roman" w:hAnsiTheme="majorHAnsi" w:cstheme="majorHAnsi"/>
          <w:sz w:val="24"/>
          <w:szCs w:val="24"/>
          <w:lang w:val="ro-RO"/>
        </w:rPr>
        <w:t>„</w:t>
      </w:r>
      <w:r w:rsidR="00311B59" w:rsidRPr="00311B59">
        <w:rPr>
          <w:rFonts w:asciiTheme="majorHAnsi" w:eastAsia="Times New Roman" w:hAnsiTheme="majorHAnsi" w:cstheme="majorHAnsi"/>
          <w:sz w:val="24"/>
          <w:szCs w:val="24"/>
          <w:lang w:val="ro-RO"/>
        </w:rPr>
        <w:t>О</w:t>
      </w:r>
      <w:r w:rsidRPr="001016F2">
        <w:rPr>
          <w:rFonts w:asciiTheme="majorHAnsi" w:eastAsia="Times New Roman" w:hAnsiTheme="majorHAnsi" w:cstheme="majorHAnsi"/>
          <w:sz w:val="24"/>
          <w:szCs w:val="24"/>
          <w:lang w:val="ro-RO"/>
        </w:rPr>
        <w:t>бщие действия</w:t>
      </w:r>
      <w:r w:rsidR="00311B59" w:rsidRPr="00E4517B">
        <w:rPr>
          <w:rFonts w:asciiTheme="majorHAnsi" w:eastAsia="Times New Roman" w:hAnsiTheme="majorHAnsi" w:cstheme="majorHAnsi"/>
          <w:sz w:val="24"/>
          <w:szCs w:val="24"/>
          <w:lang w:val="ro-RO"/>
        </w:rPr>
        <w:t>”</w:t>
      </w:r>
      <w:r w:rsidRPr="001016F2">
        <w:rPr>
          <w:rFonts w:asciiTheme="majorHAnsi" w:eastAsia="Times New Roman" w:hAnsiTheme="majorHAnsi" w:cstheme="majorHAnsi"/>
          <w:sz w:val="24"/>
          <w:szCs w:val="24"/>
          <w:lang w:val="ro-RO"/>
        </w:rPr>
        <w:t xml:space="preserve"> </w:t>
      </w:r>
      <w:r w:rsidR="00311B59" w:rsidRPr="00311B59">
        <w:rPr>
          <w:rFonts w:asciiTheme="majorHAnsi" w:eastAsia="Times New Roman" w:hAnsiTheme="majorHAnsi" w:cstheme="majorHAnsi"/>
          <w:sz w:val="24"/>
          <w:szCs w:val="24"/>
          <w:lang w:val="ro-RO"/>
        </w:rPr>
        <w:t>в</w:t>
      </w:r>
      <w:r w:rsidRPr="001016F2">
        <w:rPr>
          <w:rFonts w:asciiTheme="majorHAnsi" w:eastAsia="Times New Roman" w:hAnsiTheme="majorHAnsi" w:cstheme="majorHAnsi"/>
          <w:sz w:val="24"/>
          <w:szCs w:val="24"/>
          <w:lang w:val="ro-RO"/>
        </w:rPr>
        <w:t xml:space="preserve"> сумм</w:t>
      </w:r>
      <w:r w:rsidR="00311B59" w:rsidRPr="00311B59">
        <w:rPr>
          <w:rFonts w:asciiTheme="majorHAnsi" w:eastAsia="Times New Roman" w:hAnsiTheme="majorHAnsi" w:cstheme="majorHAnsi"/>
          <w:sz w:val="24"/>
          <w:szCs w:val="24"/>
          <w:lang w:val="ro-RO"/>
        </w:rPr>
        <w:t>е</w:t>
      </w:r>
      <w:r w:rsidRPr="001016F2">
        <w:rPr>
          <w:rFonts w:asciiTheme="majorHAnsi" w:eastAsia="Times New Roman" w:hAnsiTheme="majorHAnsi" w:cstheme="majorHAnsi"/>
          <w:sz w:val="24"/>
          <w:szCs w:val="24"/>
          <w:lang w:val="ro-RO"/>
        </w:rPr>
        <w:t xml:space="preserve"> 375,0 млн. леев, поскольку некоторые органы власти продолжают требовать </w:t>
      </w:r>
      <w:r w:rsidR="00311B59" w:rsidRPr="00311B59">
        <w:rPr>
          <w:rFonts w:asciiTheme="majorHAnsi" w:eastAsia="Times New Roman" w:hAnsiTheme="majorHAnsi" w:cstheme="majorHAnsi"/>
          <w:sz w:val="24"/>
          <w:szCs w:val="24"/>
          <w:lang w:val="ro-RO"/>
        </w:rPr>
        <w:t xml:space="preserve">выделения </w:t>
      </w:r>
      <w:r w:rsidRPr="001016F2">
        <w:rPr>
          <w:rFonts w:asciiTheme="majorHAnsi" w:eastAsia="Times New Roman" w:hAnsiTheme="majorHAnsi" w:cstheme="majorHAnsi"/>
          <w:sz w:val="24"/>
          <w:szCs w:val="24"/>
          <w:lang w:val="ro-RO"/>
        </w:rPr>
        <w:t xml:space="preserve">дополнительных финансовых средств для покрытия нехватки средств на </w:t>
      </w:r>
      <w:r w:rsidR="00311B59">
        <w:rPr>
          <w:rFonts w:asciiTheme="majorHAnsi" w:eastAsia="Times New Roman" w:hAnsiTheme="majorHAnsi" w:cstheme="majorHAnsi"/>
          <w:sz w:val="24"/>
          <w:szCs w:val="24"/>
          <w:lang w:val="ro-RO"/>
        </w:rPr>
        <w:t>расходы на персонал</w:t>
      </w:r>
      <w:r w:rsidR="00AC6703" w:rsidRPr="00E4517B">
        <w:rPr>
          <w:rFonts w:asciiTheme="majorHAnsi" w:eastAsia="Times New Roman" w:hAnsiTheme="majorHAnsi" w:cstheme="majorHAnsi"/>
          <w:sz w:val="24"/>
          <w:szCs w:val="24"/>
          <w:lang w:val="ro-RO"/>
        </w:rPr>
        <w:t>.</w:t>
      </w:r>
    </w:p>
    <w:p w:rsidR="00AC6703" w:rsidRPr="009131CF" w:rsidRDefault="001016F2" w:rsidP="00AC6703">
      <w:pPr>
        <w:spacing w:after="0" w:line="276" w:lineRule="auto"/>
        <w:rPr>
          <w:rFonts w:asciiTheme="majorHAnsi" w:hAnsiTheme="majorHAnsi" w:cstheme="majorHAnsi"/>
          <w:sz w:val="24"/>
          <w:szCs w:val="24"/>
          <w:lang w:val="ro-RO"/>
        </w:rPr>
      </w:pPr>
      <w:r w:rsidRPr="001016F2">
        <w:rPr>
          <w:rFonts w:asciiTheme="majorHAnsi" w:eastAsia="Times New Roman" w:hAnsiTheme="majorHAnsi" w:cstheme="majorHAnsi"/>
          <w:sz w:val="24"/>
          <w:szCs w:val="24"/>
          <w:lang w:val="ro-RO"/>
        </w:rPr>
        <w:t xml:space="preserve">По предложению 11 </w:t>
      </w:r>
      <w:r w:rsidR="00311B59">
        <w:rPr>
          <w:rFonts w:asciiTheme="majorHAnsi" w:eastAsia="Times New Roman" w:hAnsiTheme="majorHAnsi" w:cstheme="majorHAnsi"/>
          <w:sz w:val="24"/>
          <w:szCs w:val="24"/>
          <w:lang w:val="ru-RU"/>
        </w:rPr>
        <w:t xml:space="preserve">органов </w:t>
      </w:r>
      <w:r w:rsidRPr="001016F2">
        <w:rPr>
          <w:rFonts w:asciiTheme="majorHAnsi" w:eastAsia="Times New Roman" w:hAnsiTheme="majorHAnsi" w:cstheme="majorHAnsi"/>
          <w:sz w:val="24"/>
          <w:szCs w:val="24"/>
          <w:lang w:val="ro-RO"/>
        </w:rPr>
        <w:t>власт</w:t>
      </w:r>
      <w:r w:rsidR="00311B59">
        <w:rPr>
          <w:rFonts w:asciiTheme="majorHAnsi" w:eastAsia="Times New Roman" w:hAnsiTheme="majorHAnsi" w:cstheme="majorHAnsi"/>
          <w:sz w:val="24"/>
          <w:szCs w:val="24"/>
          <w:lang w:val="ru-RU"/>
        </w:rPr>
        <w:t>и,</w:t>
      </w:r>
      <w:r w:rsidRPr="001016F2">
        <w:rPr>
          <w:rFonts w:asciiTheme="majorHAnsi" w:eastAsia="Times New Roman" w:hAnsiTheme="majorHAnsi" w:cstheme="majorHAnsi"/>
          <w:sz w:val="24"/>
          <w:szCs w:val="24"/>
          <w:lang w:val="ro-RO"/>
        </w:rPr>
        <w:t xml:space="preserve"> за счет выявленных </w:t>
      </w:r>
      <w:r w:rsidR="00311B59">
        <w:rPr>
          <w:rFonts w:asciiTheme="majorHAnsi" w:eastAsia="Times New Roman" w:hAnsiTheme="majorHAnsi" w:cstheme="majorHAnsi"/>
          <w:sz w:val="24"/>
          <w:szCs w:val="24"/>
          <w:lang w:val="ru-RU"/>
        </w:rPr>
        <w:t>эконом</w:t>
      </w:r>
      <w:r w:rsidRPr="001016F2">
        <w:rPr>
          <w:rFonts w:asciiTheme="majorHAnsi" w:eastAsia="Times New Roman" w:hAnsiTheme="majorHAnsi" w:cstheme="majorHAnsi"/>
          <w:sz w:val="24"/>
          <w:szCs w:val="24"/>
          <w:lang w:val="ro-RO"/>
        </w:rPr>
        <w:t xml:space="preserve">ий были сокращены </w:t>
      </w:r>
      <w:r w:rsidR="00311B59" w:rsidRPr="001016F2">
        <w:rPr>
          <w:rFonts w:asciiTheme="majorHAnsi" w:eastAsia="Times New Roman" w:hAnsiTheme="majorHAnsi" w:cstheme="majorHAnsi"/>
          <w:sz w:val="24"/>
          <w:szCs w:val="24"/>
          <w:lang w:val="ro-RO"/>
        </w:rPr>
        <w:t>на 62,7 млн. леев</w:t>
      </w:r>
      <w:r w:rsidR="00311B59">
        <w:rPr>
          <w:rFonts w:asciiTheme="majorHAnsi" w:eastAsia="Times New Roman" w:hAnsiTheme="majorHAnsi" w:cstheme="majorHAnsi"/>
          <w:sz w:val="24"/>
          <w:szCs w:val="24"/>
          <w:lang w:val="ru-RU"/>
        </w:rPr>
        <w:t xml:space="preserve"> </w:t>
      </w:r>
      <w:r w:rsidRPr="001016F2">
        <w:rPr>
          <w:rFonts w:asciiTheme="majorHAnsi" w:eastAsia="Times New Roman" w:hAnsiTheme="majorHAnsi" w:cstheme="majorHAnsi"/>
          <w:sz w:val="24"/>
          <w:szCs w:val="24"/>
          <w:lang w:val="ro-RO"/>
        </w:rPr>
        <w:t xml:space="preserve">первоначально утвержденные ассигнования </w:t>
      </w:r>
      <w:r w:rsidR="00311B59">
        <w:rPr>
          <w:rFonts w:asciiTheme="majorHAnsi" w:eastAsia="Times New Roman" w:hAnsiTheme="majorHAnsi" w:cstheme="majorHAnsi"/>
          <w:sz w:val="24"/>
          <w:szCs w:val="24"/>
          <w:lang w:val="ru-RU"/>
        </w:rPr>
        <w:t>(</w:t>
      </w:r>
      <w:r w:rsidR="00311B59">
        <w:rPr>
          <w:rFonts w:asciiTheme="majorHAnsi" w:eastAsia="Times New Roman" w:hAnsiTheme="majorHAnsi" w:cstheme="majorHAnsi"/>
          <w:noProof/>
          <w:sz w:val="24"/>
          <w:szCs w:val="24"/>
          <w:lang w:val="ru-RU" w:eastAsia="en-GB"/>
        </w:rPr>
        <w:t>МОКИ</w:t>
      </w:r>
      <w:r w:rsidR="00311B59" w:rsidRPr="00973E5B">
        <w:rPr>
          <w:rFonts w:asciiTheme="majorHAnsi" w:eastAsia="Times New Roman" w:hAnsiTheme="majorHAnsi" w:cstheme="majorHAnsi"/>
          <w:noProof/>
          <w:sz w:val="24"/>
          <w:szCs w:val="24"/>
          <w:lang w:val="ro-RO" w:eastAsia="en-GB"/>
        </w:rPr>
        <w:t xml:space="preserve"> – 29,8 </w:t>
      </w:r>
      <w:r w:rsidR="00311B59" w:rsidRPr="001016F2">
        <w:rPr>
          <w:rFonts w:asciiTheme="majorHAnsi" w:eastAsia="Times New Roman" w:hAnsiTheme="majorHAnsi" w:cstheme="majorHAnsi"/>
          <w:sz w:val="24"/>
          <w:szCs w:val="24"/>
          <w:lang w:val="ro-RO"/>
        </w:rPr>
        <w:t>млн. леев</w:t>
      </w:r>
      <w:r w:rsidR="00311B59" w:rsidRPr="00973E5B">
        <w:rPr>
          <w:rFonts w:asciiTheme="majorHAnsi" w:eastAsia="Times New Roman" w:hAnsiTheme="majorHAnsi" w:cstheme="majorHAnsi"/>
          <w:noProof/>
          <w:sz w:val="24"/>
          <w:szCs w:val="24"/>
          <w:lang w:val="ro-RO" w:eastAsia="en-GB"/>
        </w:rPr>
        <w:t xml:space="preserve">, </w:t>
      </w:r>
      <w:r w:rsidR="00311B59">
        <w:rPr>
          <w:rFonts w:asciiTheme="majorHAnsi" w:eastAsia="Times New Roman" w:hAnsiTheme="majorHAnsi" w:cstheme="majorHAnsi"/>
          <w:noProof/>
          <w:sz w:val="24"/>
          <w:szCs w:val="24"/>
          <w:lang w:val="ru-RU" w:eastAsia="en-GB"/>
        </w:rPr>
        <w:t>МЮ</w:t>
      </w:r>
      <w:r w:rsidR="00311B59" w:rsidRPr="00973E5B">
        <w:rPr>
          <w:rFonts w:asciiTheme="majorHAnsi" w:eastAsia="Times New Roman" w:hAnsiTheme="majorHAnsi" w:cstheme="majorHAnsi"/>
          <w:noProof/>
          <w:sz w:val="24"/>
          <w:szCs w:val="24"/>
          <w:lang w:val="ro-RO" w:eastAsia="en-GB"/>
        </w:rPr>
        <w:t xml:space="preserve"> – 7,0 </w:t>
      </w:r>
      <w:r w:rsidR="00311B59" w:rsidRPr="001016F2">
        <w:rPr>
          <w:rFonts w:asciiTheme="majorHAnsi" w:eastAsia="Times New Roman" w:hAnsiTheme="majorHAnsi" w:cstheme="majorHAnsi"/>
          <w:sz w:val="24"/>
          <w:szCs w:val="24"/>
          <w:lang w:val="ro-RO"/>
        </w:rPr>
        <w:t>млн. леев</w:t>
      </w:r>
      <w:r w:rsidRPr="001016F2">
        <w:rPr>
          <w:rFonts w:asciiTheme="majorHAnsi" w:eastAsia="Times New Roman" w:hAnsiTheme="majorHAnsi" w:cstheme="majorHAnsi"/>
          <w:sz w:val="24"/>
          <w:szCs w:val="24"/>
          <w:lang w:val="ro-RO"/>
        </w:rPr>
        <w:t xml:space="preserve">, </w:t>
      </w:r>
      <w:r w:rsidR="00311B59">
        <w:rPr>
          <w:rFonts w:asciiTheme="majorHAnsi" w:eastAsia="Times New Roman" w:hAnsiTheme="majorHAnsi" w:cstheme="majorHAnsi"/>
          <w:sz w:val="24"/>
          <w:szCs w:val="24"/>
          <w:lang w:val="ru-RU"/>
        </w:rPr>
        <w:t>С</w:t>
      </w:r>
      <w:r w:rsidRPr="001016F2">
        <w:rPr>
          <w:rFonts w:asciiTheme="majorHAnsi" w:eastAsia="Times New Roman" w:hAnsiTheme="majorHAnsi" w:cstheme="majorHAnsi"/>
          <w:sz w:val="24"/>
          <w:szCs w:val="24"/>
          <w:lang w:val="ro-RO"/>
        </w:rPr>
        <w:t xml:space="preserve">лужба государственной охраны – 5,5 млн. леев, </w:t>
      </w:r>
      <w:r w:rsidR="00311B59">
        <w:rPr>
          <w:rFonts w:asciiTheme="majorHAnsi" w:eastAsia="Times New Roman" w:hAnsiTheme="majorHAnsi" w:cstheme="majorHAnsi"/>
          <w:sz w:val="24"/>
          <w:szCs w:val="24"/>
          <w:lang w:val="ru-RU"/>
        </w:rPr>
        <w:t>НАН</w:t>
      </w:r>
      <w:r w:rsidRPr="001016F2">
        <w:rPr>
          <w:rFonts w:asciiTheme="majorHAnsi" w:eastAsia="Times New Roman" w:hAnsiTheme="majorHAnsi" w:cstheme="majorHAnsi"/>
          <w:sz w:val="24"/>
          <w:szCs w:val="24"/>
          <w:lang w:val="ro-RO"/>
        </w:rPr>
        <w:t xml:space="preserve">-5,2 млн. леев и т.д.), </w:t>
      </w:r>
      <w:r w:rsidR="00311B59">
        <w:rPr>
          <w:rFonts w:asciiTheme="majorHAnsi" w:eastAsia="Times New Roman" w:hAnsiTheme="majorHAnsi" w:cstheme="majorHAnsi"/>
          <w:sz w:val="24"/>
          <w:szCs w:val="24"/>
          <w:lang w:val="ru-RU"/>
        </w:rPr>
        <w:t xml:space="preserve">и </w:t>
      </w:r>
      <w:r w:rsidRPr="001016F2">
        <w:rPr>
          <w:rFonts w:asciiTheme="majorHAnsi" w:eastAsia="Times New Roman" w:hAnsiTheme="majorHAnsi" w:cstheme="majorHAnsi"/>
          <w:sz w:val="24"/>
          <w:szCs w:val="24"/>
          <w:lang w:val="ro-RO"/>
        </w:rPr>
        <w:t xml:space="preserve">увеличены </w:t>
      </w:r>
      <w:r w:rsidR="00311B59" w:rsidRPr="001016F2">
        <w:rPr>
          <w:rFonts w:asciiTheme="majorHAnsi" w:eastAsia="Times New Roman" w:hAnsiTheme="majorHAnsi" w:cstheme="majorHAnsi"/>
          <w:sz w:val="24"/>
          <w:szCs w:val="24"/>
          <w:lang w:val="ro-RO"/>
        </w:rPr>
        <w:t xml:space="preserve">на 67,1 млн. леев </w:t>
      </w:r>
      <w:r w:rsidRPr="001016F2">
        <w:rPr>
          <w:rFonts w:asciiTheme="majorHAnsi" w:eastAsia="Times New Roman" w:hAnsiTheme="majorHAnsi" w:cstheme="majorHAnsi"/>
          <w:sz w:val="24"/>
          <w:szCs w:val="24"/>
          <w:lang w:val="ro-RO"/>
        </w:rPr>
        <w:t xml:space="preserve">ассигнования </w:t>
      </w:r>
      <w:r w:rsidR="00311B59">
        <w:rPr>
          <w:rFonts w:asciiTheme="majorHAnsi" w:eastAsia="Times New Roman" w:hAnsiTheme="majorHAnsi" w:cstheme="majorHAnsi"/>
          <w:sz w:val="24"/>
          <w:szCs w:val="24"/>
          <w:lang w:val="ru-RU"/>
        </w:rPr>
        <w:t xml:space="preserve">для </w:t>
      </w:r>
      <w:r w:rsidRPr="001016F2">
        <w:rPr>
          <w:rFonts w:asciiTheme="majorHAnsi" w:eastAsia="Times New Roman" w:hAnsiTheme="majorHAnsi" w:cstheme="majorHAnsi"/>
          <w:sz w:val="24"/>
          <w:szCs w:val="24"/>
          <w:lang w:val="ro-RO"/>
        </w:rPr>
        <w:t>других 11 учреждений (</w:t>
      </w:r>
      <w:r w:rsidR="00311B59">
        <w:rPr>
          <w:rFonts w:asciiTheme="majorHAnsi" w:eastAsia="Times New Roman" w:hAnsiTheme="majorHAnsi" w:cstheme="majorHAnsi"/>
          <w:sz w:val="24"/>
          <w:szCs w:val="24"/>
          <w:lang w:val="ru-RU"/>
        </w:rPr>
        <w:t>МВД</w:t>
      </w:r>
      <w:r w:rsidRPr="001016F2">
        <w:rPr>
          <w:rFonts w:asciiTheme="majorHAnsi" w:eastAsia="Times New Roman" w:hAnsiTheme="majorHAnsi" w:cstheme="majorHAnsi"/>
          <w:sz w:val="24"/>
          <w:szCs w:val="24"/>
          <w:lang w:val="ro-RO"/>
        </w:rPr>
        <w:t>-55,1 млн. ле</w:t>
      </w:r>
      <w:r w:rsidR="0025764C">
        <w:rPr>
          <w:rFonts w:asciiTheme="majorHAnsi" w:eastAsia="Times New Roman" w:hAnsiTheme="majorHAnsi" w:cstheme="majorHAnsi"/>
          <w:sz w:val="24"/>
          <w:szCs w:val="24"/>
          <w:lang w:val="ru-RU"/>
        </w:rPr>
        <w:t>ев</w:t>
      </w:r>
      <w:r w:rsidRPr="001016F2">
        <w:rPr>
          <w:rFonts w:asciiTheme="majorHAnsi" w:eastAsia="Times New Roman" w:hAnsiTheme="majorHAnsi" w:cstheme="majorHAnsi"/>
          <w:sz w:val="24"/>
          <w:szCs w:val="24"/>
          <w:lang w:val="ro-RO"/>
        </w:rPr>
        <w:t xml:space="preserve">, </w:t>
      </w:r>
      <w:r w:rsidR="0025764C">
        <w:rPr>
          <w:rFonts w:asciiTheme="majorHAnsi" w:hAnsiTheme="majorHAnsi" w:cstheme="majorHAnsi"/>
          <w:sz w:val="24"/>
          <w:szCs w:val="24"/>
          <w:lang w:val="ru-RU"/>
        </w:rPr>
        <w:t>МЗТСЗ</w:t>
      </w:r>
      <w:r w:rsidR="0025764C" w:rsidRPr="009131CF">
        <w:rPr>
          <w:rFonts w:asciiTheme="majorHAnsi" w:hAnsiTheme="majorHAnsi" w:cstheme="majorHAnsi"/>
          <w:sz w:val="24"/>
          <w:szCs w:val="24"/>
          <w:lang w:val="ro-RO"/>
        </w:rPr>
        <w:t xml:space="preserve"> – 4,6</w:t>
      </w:r>
      <w:r w:rsidR="0025764C">
        <w:rPr>
          <w:rFonts w:asciiTheme="majorHAnsi" w:hAnsiTheme="majorHAnsi" w:cstheme="majorHAnsi"/>
          <w:sz w:val="24"/>
          <w:szCs w:val="24"/>
          <w:lang w:val="ru-RU"/>
        </w:rPr>
        <w:t xml:space="preserve"> </w:t>
      </w:r>
      <w:r w:rsidR="0025764C" w:rsidRPr="001016F2">
        <w:rPr>
          <w:rFonts w:asciiTheme="majorHAnsi" w:eastAsia="Times New Roman" w:hAnsiTheme="majorHAnsi" w:cstheme="majorHAnsi"/>
          <w:sz w:val="24"/>
          <w:szCs w:val="24"/>
          <w:lang w:val="ro-RO"/>
        </w:rPr>
        <w:t>млн. ле</w:t>
      </w:r>
      <w:r w:rsidR="0025764C">
        <w:rPr>
          <w:rFonts w:asciiTheme="majorHAnsi" w:eastAsia="Times New Roman" w:hAnsiTheme="majorHAnsi" w:cstheme="majorHAnsi"/>
          <w:sz w:val="24"/>
          <w:szCs w:val="24"/>
          <w:lang w:val="ru-RU"/>
        </w:rPr>
        <w:t>ев,</w:t>
      </w:r>
      <w:r w:rsidR="0025764C" w:rsidRPr="009131CF">
        <w:rPr>
          <w:rFonts w:asciiTheme="majorHAnsi" w:hAnsiTheme="majorHAnsi" w:cstheme="majorHAnsi"/>
          <w:sz w:val="24"/>
          <w:szCs w:val="24"/>
          <w:lang w:val="ro-RO"/>
        </w:rPr>
        <w:t xml:space="preserve"> </w:t>
      </w:r>
      <w:r w:rsidRPr="001016F2">
        <w:rPr>
          <w:rFonts w:asciiTheme="majorHAnsi" w:eastAsia="Times New Roman" w:hAnsiTheme="majorHAnsi" w:cstheme="majorHAnsi"/>
          <w:sz w:val="24"/>
          <w:szCs w:val="24"/>
          <w:lang w:val="ro-RO"/>
        </w:rPr>
        <w:t>A</w:t>
      </w:r>
      <w:r w:rsidR="0025764C">
        <w:rPr>
          <w:rFonts w:asciiTheme="majorHAnsi" w:eastAsia="Times New Roman" w:hAnsiTheme="majorHAnsi" w:cstheme="majorHAnsi"/>
          <w:sz w:val="24"/>
          <w:szCs w:val="24"/>
          <w:lang w:val="ru-RU"/>
        </w:rPr>
        <w:t xml:space="preserve">ПС </w:t>
      </w:r>
      <w:r w:rsidRPr="001016F2">
        <w:rPr>
          <w:rFonts w:asciiTheme="majorHAnsi" w:eastAsia="Times New Roman" w:hAnsiTheme="majorHAnsi" w:cstheme="majorHAnsi"/>
          <w:sz w:val="24"/>
          <w:szCs w:val="24"/>
          <w:lang w:val="ro-RO"/>
        </w:rPr>
        <w:t>-</w:t>
      </w:r>
      <w:r w:rsidR="0025764C">
        <w:rPr>
          <w:rFonts w:asciiTheme="majorHAnsi" w:eastAsia="Times New Roman" w:hAnsiTheme="majorHAnsi" w:cstheme="majorHAnsi"/>
          <w:sz w:val="24"/>
          <w:szCs w:val="24"/>
          <w:lang w:val="ru-RU"/>
        </w:rPr>
        <w:t xml:space="preserve"> </w:t>
      </w:r>
      <w:r w:rsidRPr="001016F2">
        <w:rPr>
          <w:rFonts w:asciiTheme="majorHAnsi" w:eastAsia="Times New Roman" w:hAnsiTheme="majorHAnsi" w:cstheme="majorHAnsi"/>
          <w:sz w:val="24"/>
          <w:szCs w:val="24"/>
          <w:lang w:val="ro-RO"/>
        </w:rPr>
        <w:t>3,0 млн. ле</w:t>
      </w:r>
      <w:r w:rsidR="0025764C">
        <w:rPr>
          <w:rFonts w:asciiTheme="majorHAnsi" w:eastAsia="Times New Roman" w:hAnsiTheme="majorHAnsi" w:cstheme="majorHAnsi"/>
          <w:sz w:val="24"/>
          <w:szCs w:val="24"/>
          <w:lang w:val="ru-RU"/>
        </w:rPr>
        <w:t>ев</w:t>
      </w:r>
      <w:r w:rsidRPr="001016F2">
        <w:rPr>
          <w:rFonts w:asciiTheme="majorHAnsi" w:eastAsia="Times New Roman" w:hAnsiTheme="majorHAnsi" w:cstheme="majorHAnsi"/>
          <w:sz w:val="24"/>
          <w:szCs w:val="24"/>
          <w:lang w:val="ro-RO"/>
        </w:rPr>
        <w:t xml:space="preserve"> и </w:t>
      </w:r>
      <w:r w:rsidR="0025764C">
        <w:rPr>
          <w:rFonts w:asciiTheme="majorHAnsi" w:eastAsia="Times New Roman" w:hAnsiTheme="majorHAnsi" w:cstheme="majorHAnsi"/>
          <w:sz w:val="24"/>
          <w:szCs w:val="24"/>
          <w:lang w:val="ru-RU"/>
        </w:rPr>
        <w:t>др</w:t>
      </w:r>
      <w:r w:rsidRPr="001016F2">
        <w:rPr>
          <w:rFonts w:asciiTheme="majorHAnsi" w:eastAsia="Times New Roman" w:hAnsiTheme="majorHAnsi" w:cstheme="majorHAnsi"/>
          <w:sz w:val="24"/>
          <w:szCs w:val="24"/>
          <w:lang w:val="ro-RO"/>
        </w:rPr>
        <w:t>.)</w:t>
      </w:r>
      <w:r w:rsidR="00AC6703" w:rsidRPr="009131CF">
        <w:rPr>
          <w:rFonts w:asciiTheme="majorHAnsi" w:hAnsiTheme="majorHAnsi" w:cstheme="majorHAnsi"/>
          <w:sz w:val="24"/>
          <w:szCs w:val="24"/>
          <w:lang w:val="ro-RO"/>
        </w:rPr>
        <w:t xml:space="preserve">. </w:t>
      </w:r>
    </w:p>
    <w:p w:rsidR="00AC6703" w:rsidRPr="00E4517B" w:rsidRDefault="001016F2" w:rsidP="00AC6703">
      <w:pPr>
        <w:spacing w:after="0" w:line="276" w:lineRule="auto"/>
        <w:rPr>
          <w:rFonts w:asciiTheme="majorHAnsi" w:eastAsia="Times New Roman" w:hAnsiTheme="majorHAnsi" w:cstheme="majorHAnsi"/>
          <w:sz w:val="24"/>
          <w:szCs w:val="24"/>
          <w:lang w:val="ro-RO"/>
        </w:rPr>
      </w:pPr>
      <w:r w:rsidRPr="001016F2">
        <w:rPr>
          <w:rFonts w:asciiTheme="majorHAnsi" w:eastAsia="Times New Roman" w:hAnsiTheme="majorHAnsi" w:cstheme="majorHAnsi"/>
          <w:sz w:val="24"/>
          <w:szCs w:val="24"/>
          <w:lang w:val="ro-RO"/>
        </w:rPr>
        <w:t>Из ассигнований на счет</w:t>
      </w:r>
      <w:r w:rsidR="0025764C">
        <w:rPr>
          <w:rFonts w:asciiTheme="majorHAnsi" w:eastAsia="Times New Roman" w:hAnsiTheme="majorHAnsi" w:cstheme="majorHAnsi"/>
          <w:sz w:val="24"/>
          <w:szCs w:val="24"/>
          <w:lang w:val="ru-RU"/>
        </w:rPr>
        <w:t>е</w:t>
      </w:r>
      <w:r w:rsidRPr="001016F2">
        <w:rPr>
          <w:rFonts w:asciiTheme="majorHAnsi" w:eastAsia="Times New Roman" w:hAnsiTheme="majorHAnsi" w:cstheme="majorHAnsi"/>
          <w:sz w:val="24"/>
          <w:szCs w:val="24"/>
          <w:lang w:val="ro-RO"/>
        </w:rPr>
        <w:t xml:space="preserve"> 0799 „</w:t>
      </w:r>
      <w:r w:rsidR="0025764C">
        <w:rPr>
          <w:rFonts w:asciiTheme="majorHAnsi" w:eastAsia="Times New Roman" w:hAnsiTheme="majorHAnsi" w:cstheme="majorHAnsi"/>
          <w:sz w:val="24"/>
          <w:szCs w:val="24"/>
          <w:lang w:val="ru-RU"/>
        </w:rPr>
        <w:t>О</w:t>
      </w:r>
      <w:r w:rsidRPr="001016F2">
        <w:rPr>
          <w:rFonts w:asciiTheme="majorHAnsi" w:eastAsia="Times New Roman" w:hAnsiTheme="majorHAnsi" w:cstheme="majorHAnsi"/>
          <w:sz w:val="24"/>
          <w:szCs w:val="24"/>
          <w:lang w:val="ro-RO"/>
        </w:rPr>
        <w:t xml:space="preserve">бщие действия” (375,0 млн. </w:t>
      </w:r>
      <w:r w:rsidR="0025764C">
        <w:rPr>
          <w:rFonts w:asciiTheme="majorHAnsi" w:eastAsia="Times New Roman" w:hAnsiTheme="majorHAnsi" w:cstheme="majorHAnsi"/>
          <w:sz w:val="24"/>
          <w:szCs w:val="24"/>
          <w:lang w:val="ru-RU"/>
        </w:rPr>
        <w:t>л</w:t>
      </w:r>
      <w:r w:rsidR="0025764C">
        <w:rPr>
          <w:rFonts w:asciiTheme="majorHAnsi" w:eastAsia="Times New Roman" w:hAnsiTheme="majorHAnsi" w:cstheme="majorHAnsi"/>
          <w:sz w:val="24"/>
          <w:szCs w:val="24"/>
          <w:lang w:val="ro-RO"/>
        </w:rPr>
        <w:t>еев</w:t>
      </w:r>
      <w:r w:rsidRPr="001016F2">
        <w:rPr>
          <w:rFonts w:asciiTheme="majorHAnsi" w:eastAsia="Times New Roman" w:hAnsiTheme="majorHAnsi" w:cstheme="majorHAnsi"/>
          <w:sz w:val="24"/>
          <w:szCs w:val="24"/>
          <w:lang w:val="ro-RO"/>
        </w:rPr>
        <w:t xml:space="preserve">), утвержденные в целях частичного покрытия расходов </w:t>
      </w:r>
      <w:r w:rsidR="0025764C">
        <w:rPr>
          <w:rFonts w:asciiTheme="majorHAnsi" w:eastAsia="Times New Roman" w:hAnsiTheme="majorHAnsi" w:cstheme="majorHAnsi"/>
          <w:sz w:val="24"/>
          <w:szCs w:val="24"/>
          <w:lang w:val="ro-RO"/>
        </w:rPr>
        <w:t>на внедрение положений Закона №</w:t>
      </w:r>
      <w:r w:rsidRPr="001016F2">
        <w:rPr>
          <w:rFonts w:asciiTheme="majorHAnsi" w:eastAsia="Times New Roman" w:hAnsiTheme="majorHAnsi" w:cstheme="majorHAnsi"/>
          <w:sz w:val="24"/>
          <w:szCs w:val="24"/>
          <w:lang w:val="ro-RO"/>
        </w:rPr>
        <w:t>270/2018</w:t>
      </w:r>
      <w:r w:rsidR="0025764C" w:rsidRPr="00E4517B">
        <w:rPr>
          <w:rFonts w:asciiTheme="majorHAnsi" w:eastAsia="Times New Roman" w:hAnsiTheme="majorHAnsi" w:cstheme="majorHAnsi"/>
          <w:sz w:val="24"/>
          <w:szCs w:val="24"/>
          <w:vertAlign w:val="superscript"/>
          <w:lang w:val="ro-RO"/>
        </w:rPr>
        <w:footnoteReference w:id="38"/>
      </w:r>
      <w:r w:rsidRPr="001016F2">
        <w:rPr>
          <w:rFonts w:asciiTheme="majorHAnsi" w:eastAsia="Times New Roman" w:hAnsiTheme="majorHAnsi" w:cstheme="majorHAnsi"/>
          <w:sz w:val="24"/>
          <w:szCs w:val="24"/>
          <w:lang w:val="ro-RO"/>
        </w:rPr>
        <w:t xml:space="preserve">, были перераспределены 226,3 млн. леев на основании 3 </w:t>
      </w:r>
      <w:r w:rsidR="0025764C">
        <w:rPr>
          <w:rFonts w:asciiTheme="majorHAnsi" w:eastAsia="Times New Roman" w:hAnsiTheme="majorHAnsi" w:cstheme="majorHAnsi"/>
          <w:sz w:val="24"/>
          <w:szCs w:val="24"/>
          <w:lang w:val="ru-RU"/>
        </w:rPr>
        <w:t>ПП</w:t>
      </w:r>
      <w:r w:rsidR="0025764C" w:rsidRPr="00E4517B">
        <w:rPr>
          <w:rFonts w:asciiTheme="majorHAnsi" w:eastAsia="Times New Roman" w:hAnsiTheme="majorHAnsi" w:cstheme="majorHAnsi"/>
          <w:sz w:val="24"/>
          <w:szCs w:val="24"/>
          <w:vertAlign w:val="superscript"/>
          <w:lang w:val="ro-RO"/>
        </w:rPr>
        <w:footnoteReference w:id="39"/>
      </w:r>
      <w:r w:rsidRPr="001016F2">
        <w:rPr>
          <w:rFonts w:asciiTheme="majorHAnsi" w:eastAsia="Times New Roman" w:hAnsiTheme="majorHAnsi" w:cstheme="majorHAnsi"/>
          <w:sz w:val="24"/>
          <w:szCs w:val="24"/>
          <w:lang w:val="ro-RO"/>
        </w:rPr>
        <w:t>, из которых в том числе ЦП</w:t>
      </w:r>
      <w:r w:rsidR="0025764C">
        <w:rPr>
          <w:rFonts w:asciiTheme="majorHAnsi" w:eastAsia="Times New Roman" w:hAnsiTheme="majorHAnsi" w:cstheme="majorHAnsi"/>
          <w:sz w:val="24"/>
          <w:szCs w:val="24"/>
          <w:lang w:val="ru-RU"/>
        </w:rPr>
        <w:t>О</w:t>
      </w:r>
      <w:r w:rsidRPr="001016F2">
        <w:rPr>
          <w:rFonts w:asciiTheme="majorHAnsi" w:eastAsia="Times New Roman" w:hAnsiTheme="majorHAnsi" w:cstheme="majorHAnsi"/>
          <w:sz w:val="24"/>
          <w:szCs w:val="24"/>
          <w:lang w:val="ro-RO"/>
        </w:rPr>
        <w:t xml:space="preserve"> – 124,4 млн. леев и МП</w:t>
      </w:r>
      <w:r w:rsidR="0025764C">
        <w:rPr>
          <w:rFonts w:asciiTheme="majorHAnsi" w:eastAsia="Times New Roman" w:hAnsiTheme="majorHAnsi" w:cstheme="majorHAnsi"/>
          <w:sz w:val="24"/>
          <w:szCs w:val="24"/>
          <w:lang w:val="ru-RU"/>
        </w:rPr>
        <w:t xml:space="preserve">О </w:t>
      </w:r>
      <w:r w:rsidRPr="001016F2">
        <w:rPr>
          <w:rFonts w:asciiTheme="majorHAnsi" w:eastAsia="Times New Roman" w:hAnsiTheme="majorHAnsi" w:cstheme="majorHAnsi"/>
          <w:sz w:val="24"/>
          <w:szCs w:val="24"/>
          <w:lang w:val="ro-RO"/>
        </w:rPr>
        <w:t>-</w:t>
      </w:r>
      <w:r w:rsidR="0025764C">
        <w:rPr>
          <w:rFonts w:asciiTheme="majorHAnsi" w:eastAsia="Times New Roman" w:hAnsiTheme="majorHAnsi" w:cstheme="majorHAnsi"/>
          <w:sz w:val="24"/>
          <w:szCs w:val="24"/>
          <w:lang w:val="ru-RU"/>
        </w:rPr>
        <w:t xml:space="preserve"> </w:t>
      </w:r>
      <w:r w:rsidRPr="001016F2">
        <w:rPr>
          <w:rFonts w:asciiTheme="majorHAnsi" w:eastAsia="Times New Roman" w:hAnsiTheme="majorHAnsi" w:cstheme="majorHAnsi"/>
          <w:sz w:val="24"/>
          <w:szCs w:val="24"/>
          <w:lang w:val="ro-RO"/>
        </w:rPr>
        <w:t>101,9 млн. леев</w:t>
      </w:r>
      <w:r w:rsidR="0025764C">
        <w:rPr>
          <w:rFonts w:asciiTheme="majorHAnsi" w:eastAsia="Times New Roman" w:hAnsiTheme="majorHAnsi" w:cstheme="majorHAnsi"/>
          <w:sz w:val="24"/>
          <w:szCs w:val="24"/>
          <w:lang w:val="ru-RU"/>
        </w:rPr>
        <w:t>,</w:t>
      </w:r>
      <w:r w:rsidRPr="001016F2">
        <w:rPr>
          <w:rFonts w:asciiTheme="majorHAnsi" w:eastAsia="Times New Roman" w:hAnsiTheme="majorHAnsi" w:cstheme="majorHAnsi"/>
          <w:sz w:val="24"/>
          <w:szCs w:val="24"/>
          <w:lang w:val="ro-RO"/>
        </w:rPr>
        <w:t xml:space="preserve"> в результате этих перераспределений остаток неиспользованных ассигнований составляет </w:t>
      </w:r>
      <w:r w:rsidR="0025764C">
        <w:rPr>
          <w:rFonts w:asciiTheme="majorHAnsi" w:eastAsia="Times New Roman" w:hAnsiTheme="majorHAnsi" w:cstheme="majorHAnsi"/>
          <w:sz w:val="24"/>
          <w:szCs w:val="24"/>
          <w:lang w:val="ru-RU"/>
        </w:rPr>
        <w:t xml:space="preserve">в целом </w:t>
      </w:r>
      <w:r w:rsidRPr="001016F2">
        <w:rPr>
          <w:rFonts w:asciiTheme="majorHAnsi" w:eastAsia="Times New Roman" w:hAnsiTheme="majorHAnsi" w:cstheme="majorHAnsi"/>
          <w:sz w:val="24"/>
          <w:szCs w:val="24"/>
          <w:lang w:val="ro-RO"/>
        </w:rPr>
        <w:t xml:space="preserve">148,7 млн. </w:t>
      </w:r>
      <w:r w:rsidR="0025764C">
        <w:rPr>
          <w:rFonts w:asciiTheme="majorHAnsi" w:eastAsia="Times New Roman" w:hAnsiTheme="majorHAnsi" w:cstheme="majorHAnsi"/>
          <w:sz w:val="24"/>
          <w:szCs w:val="24"/>
          <w:lang w:val="ru-RU"/>
        </w:rPr>
        <w:t>л</w:t>
      </w:r>
      <w:r w:rsidR="0025764C">
        <w:rPr>
          <w:rFonts w:asciiTheme="majorHAnsi" w:eastAsia="Times New Roman" w:hAnsiTheme="majorHAnsi" w:cstheme="majorHAnsi"/>
          <w:sz w:val="24"/>
          <w:szCs w:val="24"/>
          <w:lang w:val="ro-RO"/>
        </w:rPr>
        <w:t>еев</w:t>
      </w:r>
      <w:r w:rsidRPr="001016F2">
        <w:rPr>
          <w:rFonts w:asciiTheme="majorHAnsi" w:eastAsia="Times New Roman" w:hAnsiTheme="majorHAnsi" w:cstheme="majorHAnsi"/>
          <w:sz w:val="24"/>
          <w:szCs w:val="24"/>
          <w:lang w:val="ro-RO"/>
        </w:rPr>
        <w:t xml:space="preserve">. Аудит </w:t>
      </w:r>
      <w:r w:rsidR="0025764C">
        <w:rPr>
          <w:rFonts w:asciiTheme="majorHAnsi" w:eastAsia="Times New Roman" w:hAnsiTheme="majorHAnsi" w:cstheme="majorHAnsi"/>
          <w:sz w:val="24"/>
          <w:szCs w:val="24"/>
          <w:lang w:val="ru-RU"/>
        </w:rPr>
        <w:t>выяв</w:t>
      </w:r>
      <w:r w:rsidRPr="001016F2">
        <w:rPr>
          <w:rFonts w:asciiTheme="majorHAnsi" w:eastAsia="Times New Roman" w:hAnsiTheme="majorHAnsi" w:cstheme="majorHAnsi"/>
          <w:sz w:val="24"/>
          <w:szCs w:val="24"/>
          <w:lang w:val="ro-RO"/>
        </w:rPr>
        <w:t xml:space="preserve">ил, что фактически </w:t>
      </w:r>
      <w:r w:rsidR="0025764C">
        <w:rPr>
          <w:rFonts w:asciiTheme="majorHAnsi" w:eastAsia="Times New Roman" w:hAnsiTheme="majorHAnsi" w:cstheme="majorHAnsi"/>
          <w:sz w:val="24"/>
          <w:szCs w:val="24"/>
          <w:lang w:val="ru-RU"/>
        </w:rPr>
        <w:t>МФ</w:t>
      </w:r>
      <w:r w:rsidRPr="001016F2">
        <w:rPr>
          <w:rFonts w:asciiTheme="majorHAnsi" w:eastAsia="Times New Roman" w:hAnsiTheme="majorHAnsi" w:cstheme="majorHAnsi"/>
          <w:sz w:val="24"/>
          <w:szCs w:val="24"/>
          <w:lang w:val="ro-RO"/>
        </w:rPr>
        <w:t xml:space="preserve"> </w:t>
      </w:r>
      <w:r w:rsidR="0025764C">
        <w:rPr>
          <w:rFonts w:asciiTheme="majorHAnsi" w:eastAsia="Times New Roman" w:hAnsiTheme="majorHAnsi" w:cstheme="majorHAnsi"/>
          <w:sz w:val="24"/>
          <w:szCs w:val="24"/>
          <w:lang w:val="ru-RU"/>
        </w:rPr>
        <w:t>отразило в отчетности</w:t>
      </w:r>
      <w:r w:rsidRPr="001016F2">
        <w:rPr>
          <w:rFonts w:asciiTheme="majorHAnsi" w:eastAsia="Times New Roman" w:hAnsiTheme="majorHAnsi" w:cstheme="majorHAnsi"/>
          <w:sz w:val="24"/>
          <w:szCs w:val="24"/>
          <w:lang w:val="ro-RO"/>
        </w:rPr>
        <w:t xml:space="preserve"> 214,2 млн. ле</w:t>
      </w:r>
      <w:r w:rsidR="0025764C">
        <w:rPr>
          <w:rFonts w:asciiTheme="majorHAnsi" w:eastAsia="Times New Roman" w:hAnsiTheme="majorHAnsi" w:cstheme="majorHAnsi"/>
          <w:sz w:val="24"/>
          <w:szCs w:val="24"/>
          <w:lang w:val="ru-RU"/>
        </w:rPr>
        <w:t>ев</w:t>
      </w:r>
      <w:r w:rsidRPr="001016F2">
        <w:rPr>
          <w:rFonts w:asciiTheme="majorHAnsi" w:eastAsia="Times New Roman" w:hAnsiTheme="majorHAnsi" w:cstheme="majorHAnsi"/>
          <w:sz w:val="24"/>
          <w:szCs w:val="24"/>
          <w:lang w:val="ro-RO"/>
        </w:rPr>
        <w:t xml:space="preserve"> как остаток неиспользованных ассигнований для этих целей </w:t>
      </w:r>
      <w:r w:rsidR="0025764C">
        <w:rPr>
          <w:rFonts w:asciiTheme="majorHAnsi" w:eastAsia="Times New Roman" w:hAnsiTheme="majorHAnsi" w:cstheme="majorHAnsi"/>
          <w:sz w:val="24"/>
          <w:szCs w:val="24"/>
          <w:lang w:val="ru-RU"/>
        </w:rPr>
        <w:t>по</w:t>
      </w:r>
      <w:r w:rsidRPr="001016F2">
        <w:rPr>
          <w:rFonts w:asciiTheme="majorHAnsi" w:eastAsia="Times New Roman" w:hAnsiTheme="majorHAnsi" w:cstheme="majorHAnsi"/>
          <w:sz w:val="24"/>
          <w:szCs w:val="24"/>
          <w:lang w:val="ro-RO"/>
        </w:rPr>
        <w:t xml:space="preserve"> позиции „</w:t>
      </w:r>
      <w:r w:rsidR="0025764C">
        <w:rPr>
          <w:rFonts w:asciiTheme="majorHAnsi" w:eastAsia="Times New Roman" w:hAnsiTheme="majorHAnsi" w:cstheme="majorHAnsi"/>
          <w:sz w:val="24"/>
          <w:szCs w:val="24"/>
          <w:lang w:val="ru-RU"/>
        </w:rPr>
        <w:t>О</w:t>
      </w:r>
      <w:r w:rsidRPr="001016F2">
        <w:rPr>
          <w:rFonts w:asciiTheme="majorHAnsi" w:eastAsia="Times New Roman" w:hAnsiTheme="majorHAnsi" w:cstheme="majorHAnsi"/>
          <w:sz w:val="24"/>
          <w:szCs w:val="24"/>
          <w:lang w:val="ro-RO"/>
        </w:rPr>
        <w:t xml:space="preserve">бщие действия”. Согласно </w:t>
      </w:r>
      <w:r w:rsidR="0025764C">
        <w:rPr>
          <w:rFonts w:asciiTheme="majorHAnsi" w:eastAsia="Times New Roman" w:hAnsiTheme="majorHAnsi" w:cstheme="majorHAnsi"/>
          <w:sz w:val="24"/>
          <w:szCs w:val="24"/>
          <w:lang w:val="ru-RU"/>
        </w:rPr>
        <w:t>объяснения</w:t>
      </w:r>
      <w:r w:rsidRPr="001016F2">
        <w:rPr>
          <w:rFonts w:asciiTheme="majorHAnsi" w:eastAsia="Times New Roman" w:hAnsiTheme="majorHAnsi" w:cstheme="majorHAnsi"/>
          <w:sz w:val="24"/>
          <w:szCs w:val="24"/>
          <w:lang w:val="ro-RO"/>
        </w:rPr>
        <w:t xml:space="preserve">м МФ, </w:t>
      </w:r>
      <w:r w:rsidR="0025764C">
        <w:rPr>
          <w:rFonts w:asciiTheme="majorHAnsi" w:eastAsia="Times New Roman" w:hAnsiTheme="majorHAnsi" w:cstheme="majorHAnsi"/>
          <w:sz w:val="24"/>
          <w:szCs w:val="24"/>
          <w:lang w:val="ru-RU"/>
        </w:rPr>
        <w:t>ассигнован</w:t>
      </w:r>
      <w:r w:rsidRPr="001016F2">
        <w:rPr>
          <w:rFonts w:asciiTheme="majorHAnsi" w:eastAsia="Times New Roman" w:hAnsiTheme="majorHAnsi" w:cstheme="majorHAnsi"/>
          <w:sz w:val="24"/>
          <w:szCs w:val="24"/>
          <w:lang w:val="ro-RO"/>
        </w:rPr>
        <w:t xml:space="preserve">ия в сумме 65,5 млн. </w:t>
      </w:r>
      <w:r w:rsidR="0025764C">
        <w:rPr>
          <w:rFonts w:asciiTheme="majorHAnsi" w:eastAsia="Times New Roman" w:hAnsiTheme="majorHAnsi" w:cstheme="majorHAnsi"/>
          <w:sz w:val="24"/>
          <w:szCs w:val="24"/>
          <w:lang w:val="ru-RU"/>
        </w:rPr>
        <w:t>л</w:t>
      </w:r>
      <w:r w:rsidR="0025764C">
        <w:rPr>
          <w:rFonts w:asciiTheme="majorHAnsi" w:eastAsia="Times New Roman" w:hAnsiTheme="majorHAnsi" w:cstheme="majorHAnsi"/>
          <w:sz w:val="24"/>
          <w:szCs w:val="24"/>
          <w:lang w:val="ro-RO"/>
        </w:rPr>
        <w:t>еев</w:t>
      </w:r>
      <w:r w:rsidRPr="001016F2">
        <w:rPr>
          <w:rFonts w:asciiTheme="majorHAnsi" w:eastAsia="Times New Roman" w:hAnsiTheme="majorHAnsi" w:cstheme="majorHAnsi"/>
          <w:sz w:val="24"/>
          <w:szCs w:val="24"/>
          <w:lang w:val="ro-RO"/>
        </w:rPr>
        <w:t xml:space="preserve"> были профинансированы и </w:t>
      </w:r>
      <w:r w:rsidR="0025764C">
        <w:rPr>
          <w:rFonts w:asciiTheme="majorHAnsi" w:eastAsia="Times New Roman" w:hAnsiTheme="majorHAnsi" w:cstheme="majorHAnsi"/>
          <w:sz w:val="24"/>
          <w:szCs w:val="24"/>
          <w:lang w:val="ru-RU"/>
        </w:rPr>
        <w:t>ис</w:t>
      </w:r>
      <w:r w:rsidRPr="001016F2">
        <w:rPr>
          <w:rFonts w:asciiTheme="majorHAnsi" w:eastAsia="Times New Roman" w:hAnsiTheme="majorHAnsi" w:cstheme="majorHAnsi"/>
          <w:sz w:val="24"/>
          <w:szCs w:val="24"/>
          <w:lang w:val="ro-RO"/>
        </w:rPr>
        <w:t xml:space="preserve">полнены за счет средств, утвержденных в качестве </w:t>
      </w:r>
      <w:r w:rsidR="0025764C">
        <w:rPr>
          <w:rFonts w:asciiTheme="majorHAnsi" w:eastAsia="Times New Roman" w:hAnsiTheme="majorHAnsi" w:cstheme="majorHAnsi"/>
          <w:sz w:val="24"/>
          <w:szCs w:val="24"/>
          <w:lang w:val="ru-RU"/>
        </w:rPr>
        <w:t>трансферт</w:t>
      </w:r>
      <w:r w:rsidRPr="001016F2">
        <w:rPr>
          <w:rFonts w:asciiTheme="majorHAnsi" w:eastAsia="Times New Roman" w:hAnsiTheme="majorHAnsi" w:cstheme="majorHAnsi"/>
          <w:sz w:val="24"/>
          <w:szCs w:val="24"/>
          <w:lang w:val="ro-RO"/>
        </w:rPr>
        <w:t xml:space="preserve">ов МПО, хотя </w:t>
      </w:r>
      <w:r w:rsidR="0025764C">
        <w:rPr>
          <w:rFonts w:asciiTheme="majorHAnsi" w:eastAsia="Times New Roman" w:hAnsiTheme="majorHAnsi" w:cstheme="majorHAnsi"/>
          <w:sz w:val="24"/>
          <w:szCs w:val="24"/>
          <w:lang w:val="ru-RU"/>
        </w:rPr>
        <w:t>указанным ПП</w:t>
      </w:r>
      <w:r w:rsidRPr="001016F2">
        <w:rPr>
          <w:rFonts w:asciiTheme="majorHAnsi" w:eastAsia="Times New Roman" w:hAnsiTheme="majorHAnsi" w:cstheme="majorHAnsi"/>
          <w:sz w:val="24"/>
          <w:szCs w:val="24"/>
          <w:lang w:val="ro-RO"/>
        </w:rPr>
        <w:t xml:space="preserve"> были перераспределены </w:t>
      </w:r>
      <w:r w:rsidR="0025764C">
        <w:rPr>
          <w:rFonts w:asciiTheme="majorHAnsi" w:eastAsia="Times New Roman" w:hAnsiTheme="majorHAnsi" w:cstheme="majorHAnsi"/>
          <w:sz w:val="24"/>
          <w:szCs w:val="24"/>
          <w:lang w:val="ru-RU"/>
        </w:rPr>
        <w:t>средства</w:t>
      </w:r>
      <w:r w:rsidRPr="001016F2">
        <w:rPr>
          <w:rFonts w:asciiTheme="majorHAnsi" w:eastAsia="Times New Roman" w:hAnsiTheme="majorHAnsi" w:cstheme="majorHAnsi"/>
          <w:sz w:val="24"/>
          <w:szCs w:val="24"/>
          <w:lang w:val="ro-RO"/>
        </w:rPr>
        <w:t xml:space="preserve">, утвержденные </w:t>
      </w:r>
      <w:r w:rsidR="0025764C">
        <w:rPr>
          <w:rFonts w:asciiTheme="majorHAnsi" w:eastAsia="Times New Roman" w:hAnsiTheme="majorHAnsi" w:cstheme="majorHAnsi"/>
          <w:sz w:val="24"/>
          <w:szCs w:val="24"/>
          <w:lang w:val="ru-RU"/>
        </w:rPr>
        <w:t>по</w:t>
      </w:r>
      <w:r w:rsidR="0025764C">
        <w:rPr>
          <w:rFonts w:asciiTheme="majorHAnsi" w:eastAsia="Times New Roman" w:hAnsiTheme="majorHAnsi" w:cstheme="majorHAnsi"/>
          <w:sz w:val="24"/>
          <w:szCs w:val="24"/>
          <w:lang w:val="ro-RO"/>
        </w:rPr>
        <w:t xml:space="preserve"> ст.</w:t>
      </w:r>
      <w:r w:rsidRPr="001016F2">
        <w:rPr>
          <w:rFonts w:asciiTheme="majorHAnsi" w:eastAsia="Times New Roman" w:hAnsiTheme="majorHAnsi" w:cstheme="majorHAnsi"/>
          <w:sz w:val="24"/>
          <w:szCs w:val="24"/>
          <w:lang w:val="ro-RO"/>
        </w:rPr>
        <w:t xml:space="preserve">3 e) </w:t>
      </w:r>
      <w:r w:rsidR="0025764C">
        <w:rPr>
          <w:rFonts w:asciiTheme="majorHAnsi" w:eastAsia="Times New Roman" w:hAnsiTheme="majorHAnsi" w:cstheme="majorHAnsi"/>
          <w:sz w:val="24"/>
          <w:szCs w:val="24"/>
          <w:lang w:val="ru-RU"/>
        </w:rPr>
        <w:t>З</w:t>
      </w:r>
      <w:r w:rsidRPr="001016F2">
        <w:rPr>
          <w:rFonts w:asciiTheme="majorHAnsi" w:eastAsia="Times New Roman" w:hAnsiTheme="majorHAnsi" w:cstheme="majorHAnsi"/>
          <w:sz w:val="24"/>
          <w:szCs w:val="24"/>
          <w:lang w:val="ro-RO"/>
        </w:rPr>
        <w:t xml:space="preserve">акона </w:t>
      </w:r>
      <w:r w:rsidR="0025764C">
        <w:rPr>
          <w:rFonts w:asciiTheme="majorHAnsi" w:eastAsia="Times New Roman" w:hAnsiTheme="majorHAnsi" w:cstheme="majorHAnsi"/>
          <w:sz w:val="24"/>
          <w:szCs w:val="24"/>
          <w:lang w:val="ru-RU"/>
        </w:rPr>
        <w:t>о ГБ</w:t>
      </w:r>
      <w:r w:rsidRPr="001016F2">
        <w:rPr>
          <w:rFonts w:asciiTheme="majorHAnsi" w:eastAsia="Times New Roman" w:hAnsiTheme="majorHAnsi" w:cstheme="majorHAnsi"/>
          <w:sz w:val="24"/>
          <w:szCs w:val="24"/>
          <w:lang w:val="ro-RO"/>
        </w:rPr>
        <w:t>. Кроме того, МФ мотивировал</w:t>
      </w:r>
      <w:r w:rsidR="0025764C" w:rsidRPr="0025764C">
        <w:rPr>
          <w:rFonts w:asciiTheme="majorHAnsi" w:eastAsia="Times New Roman" w:hAnsiTheme="majorHAnsi" w:cstheme="majorHAnsi"/>
          <w:sz w:val="24"/>
          <w:szCs w:val="24"/>
          <w:lang w:val="ro-RO"/>
        </w:rPr>
        <w:t>о</w:t>
      </w:r>
      <w:r w:rsidRPr="001016F2">
        <w:rPr>
          <w:rFonts w:asciiTheme="majorHAnsi" w:eastAsia="Times New Roman" w:hAnsiTheme="majorHAnsi" w:cstheme="majorHAnsi"/>
          <w:sz w:val="24"/>
          <w:szCs w:val="24"/>
          <w:lang w:val="ro-RO"/>
        </w:rPr>
        <w:t xml:space="preserve"> </w:t>
      </w:r>
      <w:r w:rsidR="00736AFB" w:rsidRPr="00736AFB">
        <w:rPr>
          <w:rFonts w:asciiTheme="majorHAnsi" w:eastAsia="Times New Roman" w:hAnsiTheme="majorHAnsi" w:cstheme="majorHAnsi"/>
          <w:sz w:val="24"/>
          <w:szCs w:val="24"/>
          <w:lang w:val="ro-RO"/>
        </w:rPr>
        <w:t xml:space="preserve">эту ситуацию </w:t>
      </w:r>
      <w:r w:rsidR="00736AFB" w:rsidRPr="001016F2">
        <w:rPr>
          <w:rFonts w:asciiTheme="majorHAnsi" w:eastAsia="Times New Roman" w:hAnsiTheme="majorHAnsi" w:cstheme="majorHAnsi"/>
          <w:sz w:val="24"/>
          <w:szCs w:val="24"/>
          <w:lang w:val="ro-RO"/>
        </w:rPr>
        <w:t>условия</w:t>
      </w:r>
      <w:r w:rsidR="00736AFB" w:rsidRPr="00736AFB">
        <w:rPr>
          <w:rFonts w:asciiTheme="majorHAnsi" w:eastAsia="Times New Roman" w:hAnsiTheme="majorHAnsi" w:cstheme="majorHAnsi"/>
          <w:sz w:val="24"/>
          <w:szCs w:val="24"/>
          <w:lang w:val="ro-RO"/>
        </w:rPr>
        <w:t>ми</w:t>
      </w:r>
      <w:r w:rsidR="00736AFB" w:rsidRPr="001016F2">
        <w:rPr>
          <w:rFonts w:asciiTheme="majorHAnsi" w:eastAsia="Times New Roman" w:hAnsiTheme="majorHAnsi" w:cstheme="majorHAnsi"/>
          <w:sz w:val="24"/>
          <w:szCs w:val="24"/>
          <w:lang w:val="ro-RO"/>
        </w:rPr>
        <w:t xml:space="preserve"> </w:t>
      </w:r>
      <w:r w:rsidRPr="001016F2">
        <w:rPr>
          <w:rFonts w:asciiTheme="majorHAnsi" w:eastAsia="Times New Roman" w:hAnsiTheme="majorHAnsi" w:cstheme="majorHAnsi"/>
          <w:sz w:val="24"/>
          <w:szCs w:val="24"/>
          <w:lang w:val="ro-RO"/>
        </w:rPr>
        <w:t>продвижени</w:t>
      </w:r>
      <w:r w:rsidR="00736AFB" w:rsidRPr="00736AFB">
        <w:rPr>
          <w:rFonts w:asciiTheme="majorHAnsi" w:eastAsia="Times New Roman" w:hAnsiTheme="majorHAnsi" w:cstheme="majorHAnsi"/>
          <w:sz w:val="24"/>
          <w:szCs w:val="24"/>
          <w:lang w:val="ro-RO"/>
        </w:rPr>
        <w:t>я</w:t>
      </w:r>
      <w:r w:rsidRPr="001016F2">
        <w:rPr>
          <w:rFonts w:asciiTheme="majorHAnsi" w:eastAsia="Times New Roman" w:hAnsiTheme="majorHAnsi" w:cstheme="majorHAnsi"/>
          <w:sz w:val="24"/>
          <w:szCs w:val="24"/>
          <w:lang w:val="ro-RO"/>
        </w:rPr>
        <w:t xml:space="preserve"> и приняти</w:t>
      </w:r>
      <w:r w:rsidR="00736AFB" w:rsidRPr="00736AFB">
        <w:rPr>
          <w:rFonts w:asciiTheme="majorHAnsi" w:eastAsia="Times New Roman" w:hAnsiTheme="majorHAnsi" w:cstheme="majorHAnsi"/>
          <w:sz w:val="24"/>
          <w:szCs w:val="24"/>
          <w:lang w:val="ro-RO"/>
        </w:rPr>
        <w:t>я</w:t>
      </w:r>
      <w:r w:rsidRPr="001016F2">
        <w:rPr>
          <w:rFonts w:asciiTheme="majorHAnsi" w:eastAsia="Times New Roman" w:hAnsiTheme="majorHAnsi" w:cstheme="majorHAnsi"/>
          <w:sz w:val="24"/>
          <w:szCs w:val="24"/>
          <w:lang w:val="ro-RO"/>
        </w:rPr>
        <w:t xml:space="preserve"> проекта </w:t>
      </w:r>
      <w:r w:rsidR="00736AFB" w:rsidRPr="00736AFB">
        <w:rPr>
          <w:rFonts w:asciiTheme="majorHAnsi" w:eastAsia="Times New Roman" w:hAnsiTheme="majorHAnsi" w:cstheme="majorHAnsi"/>
          <w:sz w:val="24"/>
          <w:szCs w:val="24"/>
          <w:lang w:val="ro-RO"/>
        </w:rPr>
        <w:t>З</w:t>
      </w:r>
      <w:r w:rsidRPr="001016F2">
        <w:rPr>
          <w:rFonts w:asciiTheme="majorHAnsi" w:eastAsia="Times New Roman" w:hAnsiTheme="majorHAnsi" w:cstheme="majorHAnsi"/>
          <w:sz w:val="24"/>
          <w:szCs w:val="24"/>
          <w:lang w:val="ro-RO"/>
        </w:rPr>
        <w:t xml:space="preserve">акона </w:t>
      </w:r>
      <w:r w:rsidR="00736AFB" w:rsidRPr="00736AFB">
        <w:rPr>
          <w:rFonts w:asciiTheme="majorHAnsi" w:eastAsia="Times New Roman" w:hAnsiTheme="majorHAnsi" w:cstheme="majorHAnsi"/>
          <w:sz w:val="24"/>
          <w:szCs w:val="24"/>
          <w:lang w:val="ro-RO"/>
        </w:rPr>
        <w:t>о ГБ</w:t>
      </w:r>
      <w:r w:rsidRPr="001016F2">
        <w:rPr>
          <w:rFonts w:asciiTheme="majorHAnsi" w:eastAsia="Times New Roman" w:hAnsiTheme="majorHAnsi" w:cstheme="majorHAnsi"/>
          <w:sz w:val="24"/>
          <w:szCs w:val="24"/>
          <w:lang w:val="ro-RO"/>
        </w:rPr>
        <w:t xml:space="preserve"> на 2020 год, которые не позволили проводить соответствующие консультации с МПО.</w:t>
      </w:r>
      <w:r w:rsidR="00AC6703" w:rsidRPr="00E4517B">
        <w:rPr>
          <w:rFonts w:asciiTheme="majorHAnsi" w:eastAsia="Times New Roman" w:hAnsiTheme="majorHAnsi" w:cstheme="majorHAnsi"/>
          <w:sz w:val="24"/>
          <w:szCs w:val="24"/>
          <w:lang w:val="ro-RO"/>
        </w:rPr>
        <w:t xml:space="preserve"> </w:t>
      </w:r>
      <w:r w:rsidR="00D56E43" w:rsidRPr="00E4517B">
        <w:rPr>
          <w:rFonts w:asciiTheme="majorHAnsi" w:eastAsia="Times New Roman" w:hAnsiTheme="majorHAnsi" w:cstheme="majorHAnsi"/>
          <w:sz w:val="24"/>
          <w:szCs w:val="24"/>
          <w:lang w:val="ro-RO"/>
        </w:rPr>
        <w:t xml:space="preserve"> </w:t>
      </w:r>
    </w:p>
    <w:p w:rsidR="00AC6703" w:rsidRPr="00E4517B" w:rsidRDefault="000951D9" w:rsidP="00AC6703">
      <w:pPr>
        <w:widowControl w:val="0"/>
        <w:spacing w:after="0" w:line="276" w:lineRule="auto"/>
        <w:rPr>
          <w:rFonts w:asciiTheme="majorHAnsi" w:eastAsia="Times New Roman" w:hAnsiTheme="majorHAnsi" w:cstheme="majorHAnsi"/>
          <w:color w:val="000000"/>
          <w:sz w:val="24"/>
          <w:szCs w:val="24"/>
          <w:lang w:val="ro-RO" w:eastAsia="ro-RO" w:bidi="ro-RO"/>
        </w:rPr>
      </w:pPr>
      <w:r w:rsidRPr="000951D9">
        <w:rPr>
          <w:rFonts w:asciiTheme="majorHAnsi" w:eastAsia="Times New Roman" w:hAnsiTheme="majorHAnsi" w:cstheme="majorHAnsi"/>
          <w:bCs/>
          <w:iCs/>
          <w:color w:val="000000"/>
          <w:sz w:val="24"/>
          <w:szCs w:val="24"/>
          <w:shd w:val="clear" w:color="auto" w:fill="FFFFFF"/>
          <w:lang w:val="ro-RO" w:eastAsia="ro-RO" w:bidi="ro-RO"/>
        </w:rPr>
        <w:t xml:space="preserve">Расходы на персонал были </w:t>
      </w:r>
      <w:r w:rsidR="00736AFB">
        <w:rPr>
          <w:rFonts w:asciiTheme="majorHAnsi" w:eastAsia="Times New Roman" w:hAnsiTheme="majorHAnsi" w:cstheme="majorHAnsi"/>
          <w:bCs/>
          <w:iCs/>
          <w:color w:val="000000"/>
          <w:sz w:val="24"/>
          <w:szCs w:val="24"/>
          <w:shd w:val="clear" w:color="auto" w:fill="FFFFFF"/>
          <w:lang w:val="ru-RU" w:eastAsia="ro-RO" w:bidi="ro-RO"/>
        </w:rPr>
        <w:t>ис</w:t>
      </w:r>
      <w:r w:rsidRPr="000951D9">
        <w:rPr>
          <w:rFonts w:asciiTheme="majorHAnsi" w:eastAsia="Times New Roman" w:hAnsiTheme="majorHAnsi" w:cstheme="majorHAnsi"/>
          <w:bCs/>
          <w:iCs/>
          <w:color w:val="000000"/>
          <w:sz w:val="24"/>
          <w:szCs w:val="24"/>
          <w:shd w:val="clear" w:color="auto" w:fill="FFFFFF"/>
          <w:lang w:val="ro-RO" w:eastAsia="ro-RO" w:bidi="ro-RO"/>
        </w:rPr>
        <w:t>полнены в сумме 7 040,6 млн. ле</w:t>
      </w:r>
      <w:r w:rsidR="00736AFB">
        <w:rPr>
          <w:rFonts w:asciiTheme="majorHAnsi" w:eastAsia="Times New Roman" w:hAnsiTheme="majorHAnsi" w:cstheme="majorHAnsi"/>
          <w:bCs/>
          <w:iCs/>
          <w:color w:val="000000"/>
          <w:sz w:val="24"/>
          <w:szCs w:val="24"/>
          <w:shd w:val="clear" w:color="auto" w:fill="FFFFFF"/>
          <w:lang w:val="ru-RU" w:eastAsia="ro-RO" w:bidi="ro-RO"/>
        </w:rPr>
        <w:t>ев</w:t>
      </w:r>
      <w:r w:rsidRPr="000951D9">
        <w:rPr>
          <w:rFonts w:asciiTheme="majorHAnsi" w:eastAsia="Times New Roman" w:hAnsiTheme="majorHAnsi" w:cstheme="majorHAnsi"/>
          <w:bCs/>
          <w:iCs/>
          <w:color w:val="000000"/>
          <w:sz w:val="24"/>
          <w:szCs w:val="24"/>
          <w:shd w:val="clear" w:color="auto" w:fill="FFFFFF"/>
          <w:lang w:val="ro-RO" w:eastAsia="ro-RO" w:bidi="ro-RO"/>
        </w:rPr>
        <w:t xml:space="preserve">, увеличившись на 575,3 млн. леев, или на 8,9% по сравнению с 2019 годом. Так, начиная с 1 января 2020 года, </w:t>
      </w:r>
      <w:r w:rsidR="00736AFB" w:rsidRPr="00736AFB">
        <w:rPr>
          <w:rFonts w:asciiTheme="majorHAnsi" w:eastAsia="Times New Roman" w:hAnsiTheme="majorHAnsi" w:cstheme="majorHAnsi"/>
          <w:bCs/>
          <w:iCs/>
          <w:color w:val="000000"/>
          <w:sz w:val="24"/>
          <w:szCs w:val="24"/>
          <w:shd w:val="clear" w:color="auto" w:fill="FFFFFF"/>
          <w:lang w:val="ro-RO" w:eastAsia="ro-RO" w:bidi="ro-RO"/>
        </w:rPr>
        <w:t>базов</w:t>
      </w:r>
      <w:r w:rsidRPr="000951D9">
        <w:rPr>
          <w:rFonts w:asciiTheme="majorHAnsi" w:eastAsia="Times New Roman" w:hAnsiTheme="majorHAnsi" w:cstheme="majorHAnsi"/>
          <w:bCs/>
          <w:iCs/>
          <w:color w:val="000000"/>
          <w:sz w:val="24"/>
          <w:szCs w:val="24"/>
          <w:shd w:val="clear" w:color="auto" w:fill="FFFFFF"/>
          <w:lang w:val="ro-RO" w:eastAsia="ro-RO" w:bidi="ro-RO"/>
        </w:rPr>
        <w:t>ая ст</w:t>
      </w:r>
      <w:r w:rsidR="00736AFB" w:rsidRPr="00736AFB">
        <w:rPr>
          <w:rFonts w:asciiTheme="majorHAnsi" w:eastAsia="Times New Roman" w:hAnsiTheme="majorHAnsi" w:cstheme="majorHAnsi"/>
          <w:bCs/>
          <w:iCs/>
          <w:color w:val="000000"/>
          <w:sz w:val="24"/>
          <w:szCs w:val="24"/>
          <w:shd w:val="clear" w:color="auto" w:fill="FFFFFF"/>
          <w:lang w:val="ro-RO" w:eastAsia="ro-RO" w:bidi="ro-RO"/>
        </w:rPr>
        <w:t>авка</w:t>
      </w:r>
      <w:r w:rsidRPr="000951D9">
        <w:rPr>
          <w:rFonts w:asciiTheme="majorHAnsi" w:eastAsia="Times New Roman" w:hAnsiTheme="majorHAnsi" w:cstheme="majorHAnsi"/>
          <w:bCs/>
          <w:iCs/>
          <w:color w:val="000000"/>
          <w:sz w:val="24"/>
          <w:szCs w:val="24"/>
          <w:shd w:val="clear" w:color="auto" w:fill="FFFFFF"/>
          <w:lang w:val="ro-RO" w:eastAsia="ro-RO" w:bidi="ro-RO"/>
        </w:rPr>
        <w:t xml:space="preserve"> (1650 леев) для работников бюджетного сектора увеличилась примерно на 9% по сравнению с 2019 годом (1500 леев), в соот</w:t>
      </w:r>
      <w:r w:rsidR="00736AFB">
        <w:rPr>
          <w:rFonts w:asciiTheme="majorHAnsi" w:eastAsia="Times New Roman" w:hAnsiTheme="majorHAnsi" w:cstheme="majorHAnsi"/>
          <w:bCs/>
          <w:iCs/>
          <w:color w:val="000000"/>
          <w:sz w:val="24"/>
          <w:szCs w:val="24"/>
          <w:shd w:val="clear" w:color="auto" w:fill="FFFFFF"/>
          <w:lang w:val="ro-RO" w:eastAsia="ro-RO" w:bidi="ro-RO"/>
        </w:rPr>
        <w:t xml:space="preserve">ветствии с положениями Закона </w:t>
      </w:r>
      <w:r w:rsidRPr="000951D9">
        <w:rPr>
          <w:rFonts w:asciiTheme="majorHAnsi" w:eastAsia="Times New Roman" w:hAnsiTheme="majorHAnsi" w:cstheme="majorHAnsi"/>
          <w:bCs/>
          <w:iCs/>
          <w:color w:val="000000"/>
          <w:sz w:val="24"/>
          <w:szCs w:val="24"/>
          <w:shd w:val="clear" w:color="auto" w:fill="FFFFFF"/>
          <w:lang w:val="ro-RO" w:eastAsia="ro-RO" w:bidi="ro-RO"/>
        </w:rPr>
        <w:t>о единой системе оплаты труда в бюджетном секторе</w:t>
      </w:r>
      <w:r w:rsidRPr="00736AFB">
        <w:rPr>
          <w:rFonts w:asciiTheme="majorHAnsi" w:eastAsia="Times New Roman" w:hAnsiTheme="majorHAnsi" w:cstheme="majorHAnsi"/>
          <w:bCs/>
          <w:iCs/>
          <w:color w:val="000000"/>
          <w:sz w:val="24"/>
          <w:szCs w:val="24"/>
          <w:shd w:val="clear" w:color="auto" w:fill="FFFFFF"/>
          <w:lang w:val="ro-RO" w:eastAsia="ro-RO" w:bidi="ro-RO"/>
        </w:rPr>
        <w:t xml:space="preserve"> </w:t>
      </w:r>
      <w:r w:rsidR="00736AFB">
        <w:rPr>
          <w:rFonts w:asciiTheme="majorHAnsi" w:eastAsia="Times New Roman" w:hAnsiTheme="majorHAnsi" w:cstheme="majorHAnsi"/>
          <w:bCs/>
          <w:iCs/>
          <w:color w:val="000000"/>
          <w:sz w:val="24"/>
          <w:szCs w:val="24"/>
          <w:shd w:val="clear" w:color="auto" w:fill="FFFFFF"/>
          <w:lang w:val="ro-RO" w:eastAsia="ro-RO" w:bidi="ro-RO"/>
        </w:rPr>
        <w:t>№</w:t>
      </w:r>
      <w:r w:rsidR="00736AFB" w:rsidRPr="000951D9">
        <w:rPr>
          <w:rFonts w:asciiTheme="majorHAnsi" w:eastAsia="Times New Roman" w:hAnsiTheme="majorHAnsi" w:cstheme="majorHAnsi"/>
          <w:bCs/>
          <w:iCs/>
          <w:color w:val="000000"/>
          <w:sz w:val="24"/>
          <w:szCs w:val="24"/>
          <w:shd w:val="clear" w:color="auto" w:fill="FFFFFF"/>
          <w:lang w:val="ro-RO" w:eastAsia="ro-RO" w:bidi="ro-RO"/>
        </w:rPr>
        <w:t>270/2018</w:t>
      </w:r>
      <w:r w:rsidR="00AC6703" w:rsidRPr="00E4517B">
        <w:rPr>
          <w:rFonts w:asciiTheme="majorHAnsi" w:eastAsia="Times New Roman" w:hAnsiTheme="majorHAnsi" w:cstheme="majorHAnsi"/>
          <w:color w:val="000000"/>
          <w:sz w:val="24"/>
          <w:szCs w:val="24"/>
          <w:lang w:val="ro-RO" w:eastAsia="ro-RO" w:bidi="ro-RO"/>
        </w:rPr>
        <w:t xml:space="preserve">. </w:t>
      </w:r>
    </w:p>
    <w:p w:rsidR="00AC6703" w:rsidRPr="00E4517B" w:rsidRDefault="00736AFB" w:rsidP="005E4D53">
      <w:pPr>
        <w:widowControl w:val="0"/>
        <w:spacing w:after="0" w:line="276" w:lineRule="auto"/>
        <w:rPr>
          <w:rFonts w:asciiTheme="majorHAnsi" w:eastAsia="Times New Roman" w:hAnsiTheme="majorHAnsi" w:cstheme="majorHAnsi"/>
          <w:color w:val="000000"/>
          <w:sz w:val="24"/>
          <w:szCs w:val="24"/>
          <w:lang w:val="ro-RO" w:eastAsia="ro-RO" w:bidi="ro-RO"/>
        </w:rPr>
      </w:pPr>
      <w:r>
        <w:rPr>
          <w:rFonts w:asciiTheme="majorHAnsi" w:eastAsia="Times New Roman" w:hAnsiTheme="majorHAnsi" w:cstheme="majorHAnsi"/>
          <w:color w:val="000000"/>
          <w:sz w:val="24"/>
          <w:szCs w:val="24"/>
          <w:lang w:val="ru-RU" w:eastAsia="ro-RO" w:bidi="ro-RO"/>
        </w:rPr>
        <w:lastRenderedPageBreak/>
        <w:t>В соответствии с</w:t>
      </w:r>
      <w:r w:rsidR="000951D9" w:rsidRPr="000951D9">
        <w:rPr>
          <w:rFonts w:asciiTheme="majorHAnsi" w:eastAsia="Times New Roman" w:hAnsiTheme="majorHAnsi" w:cstheme="majorHAnsi"/>
          <w:color w:val="000000"/>
          <w:sz w:val="24"/>
          <w:szCs w:val="24"/>
          <w:lang w:val="ro-RO" w:eastAsia="ro-RO" w:bidi="ro-RO"/>
        </w:rPr>
        <w:t xml:space="preserve"> </w:t>
      </w:r>
      <w:r>
        <w:rPr>
          <w:rFonts w:asciiTheme="majorHAnsi" w:eastAsia="Times New Roman" w:hAnsiTheme="majorHAnsi" w:cstheme="majorHAnsi"/>
          <w:color w:val="000000"/>
          <w:sz w:val="24"/>
          <w:szCs w:val="24"/>
          <w:lang w:val="ru-RU" w:eastAsia="ro-RO" w:bidi="ro-RO"/>
        </w:rPr>
        <w:t>ПП №</w:t>
      </w:r>
      <w:r w:rsidR="000951D9" w:rsidRPr="000951D9">
        <w:rPr>
          <w:rFonts w:asciiTheme="majorHAnsi" w:eastAsia="Times New Roman" w:hAnsiTheme="majorHAnsi" w:cstheme="majorHAnsi"/>
          <w:color w:val="000000"/>
          <w:sz w:val="24"/>
          <w:szCs w:val="24"/>
          <w:lang w:val="ro-RO" w:eastAsia="ro-RO" w:bidi="ro-RO"/>
        </w:rPr>
        <w:t>672 от 17.12.2019</w:t>
      </w:r>
      <w:r w:rsidRPr="00E4517B">
        <w:rPr>
          <w:rFonts w:asciiTheme="majorHAnsi" w:eastAsia="Times New Roman" w:hAnsiTheme="majorHAnsi" w:cstheme="majorHAnsi"/>
          <w:color w:val="000000"/>
          <w:sz w:val="24"/>
          <w:szCs w:val="24"/>
          <w:vertAlign w:val="superscript"/>
          <w:lang w:val="ro-RO" w:eastAsia="ro-RO" w:bidi="ro-RO"/>
        </w:rPr>
        <w:footnoteReference w:id="40"/>
      </w:r>
      <w:r>
        <w:rPr>
          <w:rFonts w:asciiTheme="majorHAnsi" w:eastAsia="Times New Roman" w:hAnsiTheme="majorHAnsi" w:cstheme="majorHAnsi"/>
          <w:color w:val="000000"/>
          <w:sz w:val="24"/>
          <w:szCs w:val="24"/>
          <w:lang w:val="ru-RU" w:eastAsia="ro-RO" w:bidi="ro-RO"/>
        </w:rPr>
        <w:t xml:space="preserve">, </w:t>
      </w:r>
      <w:r w:rsidR="000951D9" w:rsidRPr="000951D9">
        <w:rPr>
          <w:rFonts w:asciiTheme="majorHAnsi" w:eastAsia="Times New Roman" w:hAnsiTheme="majorHAnsi" w:cstheme="majorHAnsi"/>
          <w:color w:val="000000"/>
          <w:sz w:val="24"/>
          <w:szCs w:val="24"/>
          <w:lang w:val="ro-RO" w:eastAsia="ro-RO" w:bidi="ro-RO"/>
        </w:rPr>
        <w:t xml:space="preserve">до 31.12.2020 был применен временный мораторий на </w:t>
      </w:r>
      <w:r>
        <w:rPr>
          <w:rFonts w:asciiTheme="majorHAnsi" w:eastAsia="Times New Roman" w:hAnsiTheme="majorHAnsi" w:cstheme="majorHAnsi"/>
          <w:color w:val="000000"/>
          <w:sz w:val="24"/>
          <w:szCs w:val="24"/>
          <w:lang w:val="ru-RU" w:eastAsia="ro-RO" w:bidi="ro-RO"/>
        </w:rPr>
        <w:t>трудоустройство</w:t>
      </w:r>
      <w:r w:rsidR="000951D9" w:rsidRPr="000951D9">
        <w:rPr>
          <w:rFonts w:asciiTheme="majorHAnsi" w:eastAsia="Times New Roman" w:hAnsiTheme="majorHAnsi" w:cstheme="majorHAnsi"/>
          <w:color w:val="000000"/>
          <w:sz w:val="24"/>
          <w:szCs w:val="24"/>
          <w:lang w:val="ro-RO" w:eastAsia="ro-RO" w:bidi="ro-RO"/>
        </w:rPr>
        <w:t xml:space="preserve"> персонала в государственны</w:t>
      </w:r>
      <w:r>
        <w:rPr>
          <w:rFonts w:asciiTheme="majorHAnsi" w:eastAsia="Times New Roman" w:hAnsiTheme="majorHAnsi" w:cstheme="majorHAnsi"/>
          <w:color w:val="000000"/>
          <w:sz w:val="24"/>
          <w:szCs w:val="24"/>
          <w:lang w:val="ru-RU" w:eastAsia="ro-RO" w:bidi="ro-RO"/>
        </w:rPr>
        <w:t>х</w:t>
      </w:r>
      <w:r w:rsidR="000951D9" w:rsidRPr="000951D9">
        <w:rPr>
          <w:rFonts w:asciiTheme="majorHAnsi" w:eastAsia="Times New Roman" w:hAnsiTheme="majorHAnsi" w:cstheme="majorHAnsi"/>
          <w:color w:val="000000"/>
          <w:sz w:val="24"/>
          <w:szCs w:val="24"/>
          <w:lang w:val="ro-RO" w:eastAsia="ro-RO" w:bidi="ro-RO"/>
        </w:rPr>
        <w:t xml:space="preserve"> орган</w:t>
      </w:r>
      <w:r>
        <w:rPr>
          <w:rFonts w:asciiTheme="majorHAnsi" w:eastAsia="Times New Roman" w:hAnsiTheme="majorHAnsi" w:cstheme="majorHAnsi"/>
          <w:color w:val="000000"/>
          <w:sz w:val="24"/>
          <w:szCs w:val="24"/>
          <w:lang w:val="ru-RU" w:eastAsia="ro-RO" w:bidi="ro-RO"/>
        </w:rPr>
        <w:t>ах</w:t>
      </w:r>
      <w:r w:rsidR="000951D9" w:rsidRPr="000951D9">
        <w:rPr>
          <w:rFonts w:asciiTheme="majorHAnsi" w:eastAsia="Times New Roman" w:hAnsiTheme="majorHAnsi" w:cstheme="majorHAnsi"/>
          <w:color w:val="000000"/>
          <w:sz w:val="24"/>
          <w:szCs w:val="24"/>
          <w:lang w:val="ro-RO" w:eastAsia="ro-RO" w:bidi="ro-RO"/>
        </w:rPr>
        <w:t>/учреждения</w:t>
      </w:r>
      <w:r>
        <w:rPr>
          <w:rFonts w:asciiTheme="majorHAnsi" w:eastAsia="Times New Roman" w:hAnsiTheme="majorHAnsi" w:cstheme="majorHAnsi"/>
          <w:color w:val="000000"/>
          <w:sz w:val="24"/>
          <w:szCs w:val="24"/>
          <w:lang w:val="ru-RU" w:eastAsia="ro-RO" w:bidi="ro-RO"/>
        </w:rPr>
        <w:t>х</w:t>
      </w:r>
      <w:r w:rsidR="000951D9" w:rsidRPr="000951D9">
        <w:rPr>
          <w:rFonts w:asciiTheme="majorHAnsi" w:eastAsia="Times New Roman" w:hAnsiTheme="majorHAnsi" w:cstheme="majorHAnsi"/>
          <w:color w:val="000000"/>
          <w:sz w:val="24"/>
          <w:szCs w:val="24"/>
          <w:lang w:val="ro-RO" w:eastAsia="ro-RO" w:bidi="ro-RO"/>
        </w:rPr>
        <w:t xml:space="preserve">, финансируемые из </w:t>
      </w:r>
      <w:r>
        <w:rPr>
          <w:rFonts w:asciiTheme="majorHAnsi" w:eastAsia="Times New Roman" w:hAnsiTheme="majorHAnsi" w:cstheme="majorHAnsi"/>
          <w:color w:val="000000"/>
          <w:sz w:val="24"/>
          <w:szCs w:val="24"/>
          <w:lang w:val="ru-RU" w:eastAsia="ro-RO" w:bidi="ro-RO"/>
        </w:rPr>
        <w:t>ГБ</w:t>
      </w:r>
      <w:r w:rsidR="000951D9" w:rsidRPr="000951D9">
        <w:rPr>
          <w:rFonts w:asciiTheme="majorHAnsi" w:eastAsia="Times New Roman" w:hAnsiTheme="majorHAnsi" w:cstheme="majorHAnsi"/>
          <w:color w:val="000000"/>
          <w:sz w:val="24"/>
          <w:szCs w:val="24"/>
          <w:lang w:val="ro-RO" w:eastAsia="ro-RO" w:bidi="ro-RO"/>
        </w:rPr>
        <w:t xml:space="preserve">. Хотя в </w:t>
      </w:r>
      <w:r>
        <w:rPr>
          <w:rFonts w:asciiTheme="majorHAnsi" w:eastAsia="Times New Roman" w:hAnsiTheme="majorHAnsi" w:cstheme="majorHAnsi"/>
          <w:color w:val="000000"/>
          <w:sz w:val="24"/>
          <w:szCs w:val="24"/>
          <w:lang w:val="ru-RU" w:eastAsia="ro-RO" w:bidi="ro-RO"/>
        </w:rPr>
        <w:t>пояснитель</w:t>
      </w:r>
      <w:r w:rsidR="000951D9" w:rsidRPr="000951D9">
        <w:rPr>
          <w:rFonts w:asciiTheme="majorHAnsi" w:eastAsia="Times New Roman" w:hAnsiTheme="majorHAnsi" w:cstheme="majorHAnsi"/>
          <w:color w:val="000000"/>
          <w:sz w:val="24"/>
          <w:szCs w:val="24"/>
          <w:lang w:val="ro-RO" w:eastAsia="ro-RO" w:bidi="ro-RO"/>
        </w:rPr>
        <w:t xml:space="preserve">ных </w:t>
      </w:r>
      <w:r>
        <w:rPr>
          <w:rFonts w:asciiTheme="majorHAnsi" w:eastAsia="Times New Roman" w:hAnsiTheme="majorHAnsi" w:cstheme="majorHAnsi"/>
          <w:color w:val="000000"/>
          <w:sz w:val="24"/>
          <w:szCs w:val="24"/>
          <w:lang w:val="ru-RU" w:eastAsia="ro-RO" w:bidi="ro-RO"/>
        </w:rPr>
        <w:t>записка</w:t>
      </w:r>
      <w:r w:rsidR="000951D9" w:rsidRPr="000951D9">
        <w:rPr>
          <w:rFonts w:asciiTheme="majorHAnsi" w:eastAsia="Times New Roman" w:hAnsiTheme="majorHAnsi" w:cstheme="majorHAnsi"/>
          <w:color w:val="000000"/>
          <w:sz w:val="24"/>
          <w:szCs w:val="24"/>
          <w:lang w:val="ro-RO" w:eastAsia="ro-RO" w:bidi="ro-RO"/>
        </w:rPr>
        <w:t xml:space="preserve">х к проекту </w:t>
      </w:r>
      <w:r w:rsidRPr="000951D9">
        <w:rPr>
          <w:rFonts w:asciiTheme="majorHAnsi" w:eastAsia="Times New Roman" w:hAnsiTheme="majorHAnsi" w:cstheme="majorHAnsi"/>
          <w:color w:val="000000"/>
          <w:sz w:val="24"/>
          <w:szCs w:val="24"/>
          <w:lang w:val="ro-RO" w:eastAsia="ro-RO" w:bidi="ro-RO"/>
        </w:rPr>
        <w:t>закон</w:t>
      </w:r>
      <w:r>
        <w:rPr>
          <w:rFonts w:asciiTheme="majorHAnsi" w:eastAsia="Times New Roman" w:hAnsiTheme="majorHAnsi" w:cstheme="majorHAnsi"/>
          <w:color w:val="000000"/>
          <w:sz w:val="24"/>
          <w:szCs w:val="24"/>
          <w:lang w:val="ru-RU" w:eastAsia="ro-RO" w:bidi="ro-RO"/>
        </w:rPr>
        <w:t>а о</w:t>
      </w:r>
      <w:r w:rsidR="000951D9" w:rsidRPr="000951D9">
        <w:rPr>
          <w:rFonts w:asciiTheme="majorHAnsi" w:eastAsia="Times New Roman" w:hAnsiTheme="majorHAnsi" w:cstheme="majorHAnsi"/>
          <w:color w:val="000000"/>
          <w:sz w:val="24"/>
          <w:szCs w:val="24"/>
          <w:lang w:val="ro-RO" w:eastAsia="ro-RO" w:bidi="ro-RO"/>
        </w:rPr>
        <w:t xml:space="preserve"> внесении изменений в </w:t>
      </w:r>
      <w:r>
        <w:rPr>
          <w:rFonts w:asciiTheme="majorHAnsi" w:eastAsia="Times New Roman" w:hAnsiTheme="majorHAnsi" w:cstheme="majorHAnsi"/>
          <w:color w:val="000000"/>
          <w:sz w:val="24"/>
          <w:szCs w:val="24"/>
          <w:lang w:val="ru-RU" w:eastAsia="ro-RO" w:bidi="ro-RO"/>
        </w:rPr>
        <w:t>З</w:t>
      </w:r>
      <w:r w:rsidR="000951D9" w:rsidRPr="000951D9">
        <w:rPr>
          <w:rFonts w:asciiTheme="majorHAnsi" w:eastAsia="Times New Roman" w:hAnsiTheme="majorHAnsi" w:cstheme="majorHAnsi"/>
          <w:color w:val="000000"/>
          <w:sz w:val="24"/>
          <w:szCs w:val="24"/>
          <w:lang w:val="ro-RO" w:eastAsia="ro-RO" w:bidi="ro-RO"/>
        </w:rPr>
        <w:t xml:space="preserve">акон </w:t>
      </w:r>
      <w:r>
        <w:rPr>
          <w:rFonts w:asciiTheme="majorHAnsi" w:eastAsia="Times New Roman" w:hAnsiTheme="majorHAnsi" w:cstheme="majorHAnsi"/>
          <w:color w:val="000000"/>
          <w:sz w:val="24"/>
          <w:szCs w:val="24"/>
          <w:lang w:val="ru-RU" w:eastAsia="ro-RO" w:bidi="ro-RO"/>
        </w:rPr>
        <w:t>о</w:t>
      </w:r>
      <w:r w:rsidR="000951D9" w:rsidRPr="000951D9">
        <w:rPr>
          <w:rFonts w:asciiTheme="majorHAnsi" w:eastAsia="Times New Roman" w:hAnsiTheme="majorHAnsi" w:cstheme="majorHAnsi"/>
          <w:color w:val="000000"/>
          <w:sz w:val="24"/>
          <w:szCs w:val="24"/>
          <w:lang w:val="ro-RO" w:eastAsia="ro-RO" w:bidi="ro-RO"/>
        </w:rPr>
        <w:t xml:space="preserve"> государственном бюджете на 2020 год отмечается, что ассигнования были пересчитаны с учетом количества установленных вакантных должностей, чтобы не допустить переоценк</w:t>
      </w:r>
      <w:r>
        <w:rPr>
          <w:rFonts w:asciiTheme="majorHAnsi" w:eastAsia="Times New Roman" w:hAnsiTheme="majorHAnsi" w:cstheme="majorHAnsi"/>
          <w:color w:val="000000"/>
          <w:sz w:val="24"/>
          <w:szCs w:val="24"/>
          <w:lang w:val="ru-RU" w:eastAsia="ro-RO" w:bidi="ro-RO"/>
        </w:rPr>
        <w:t>у</w:t>
      </w:r>
      <w:r w:rsidR="000951D9" w:rsidRPr="000951D9">
        <w:rPr>
          <w:rFonts w:asciiTheme="majorHAnsi" w:eastAsia="Times New Roman" w:hAnsiTheme="majorHAnsi" w:cstheme="majorHAnsi"/>
          <w:color w:val="000000"/>
          <w:sz w:val="24"/>
          <w:szCs w:val="24"/>
          <w:lang w:val="ro-RO" w:eastAsia="ro-RO" w:bidi="ro-RO"/>
        </w:rPr>
        <w:t xml:space="preserve"> расходов в целях обеспечения выплаты заработной платы </w:t>
      </w:r>
      <w:r w:rsidR="009B229B">
        <w:rPr>
          <w:rFonts w:asciiTheme="majorHAnsi" w:eastAsia="Times New Roman" w:hAnsiTheme="majorHAnsi" w:cstheme="majorHAnsi"/>
          <w:color w:val="000000"/>
          <w:sz w:val="24"/>
          <w:szCs w:val="24"/>
          <w:lang w:val="ru-RU" w:eastAsia="ro-RO" w:bidi="ro-RO"/>
        </w:rPr>
        <w:t>действу</w:t>
      </w:r>
      <w:r w:rsidR="000951D9" w:rsidRPr="000951D9">
        <w:rPr>
          <w:rFonts w:asciiTheme="majorHAnsi" w:eastAsia="Times New Roman" w:hAnsiTheme="majorHAnsi" w:cstheme="majorHAnsi"/>
          <w:color w:val="000000"/>
          <w:sz w:val="24"/>
          <w:szCs w:val="24"/>
          <w:lang w:val="ro-RO" w:eastAsia="ro-RO" w:bidi="ro-RO"/>
        </w:rPr>
        <w:t>ющему персоналу, в результате проверок аудита было установлено, что в конце 2020 года был зарегистрирован остаток не</w:t>
      </w:r>
      <w:r w:rsidR="009B229B">
        <w:rPr>
          <w:rFonts w:asciiTheme="majorHAnsi" w:eastAsia="Times New Roman" w:hAnsiTheme="majorHAnsi" w:cstheme="majorHAnsi"/>
          <w:color w:val="000000"/>
          <w:sz w:val="24"/>
          <w:szCs w:val="24"/>
          <w:lang w:val="ru-RU" w:eastAsia="ro-RO" w:bidi="ro-RO"/>
        </w:rPr>
        <w:t>освоен</w:t>
      </w:r>
      <w:r w:rsidR="000951D9" w:rsidRPr="000951D9">
        <w:rPr>
          <w:rFonts w:asciiTheme="majorHAnsi" w:eastAsia="Times New Roman" w:hAnsiTheme="majorHAnsi" w:cstheme="majorHAnsi"/>
          <w:color w:val="000000"/>
          <w:sz w:val="24"/>
          <w:szCs w:val="24"/>
          <w:lang w:val="ro-RO" w:eastAsia="ro-RO" w:bidi="ro-RO"/>
        </w:rPr>
        <w:t xml:space="preserve">ных ассигнований на расходы </w:t>
      </w:r>
      <w:r w:rsidR="009B229B">
        <w:rPr>
          <w:rFonts w:asciiTheme="majorHAnsi" w:eastAsia="Times New Roman" w:hAnsiTheme="majorHAnsi" w:cstheme="majorHAnsi"/>
          <w:color w:val="000000"/>
          <w:sz w:val="24"/>
          <w:szCs w:val="24"/>
          <w:lang w:val="ru-RU" w:eastAsia="ro-RO" w:bidi="ro-RO"/>
        </w:rPr>
        <w:t xml:space="preserve">на </w:t>
      </w:r>
      <w:r w:rsidR="000951D9" w:rsidRPr="000951D9">
        <w:rPr>
          <w:rFonts w:asciiTheme="majorHAnsi" w:eastAsia="Times New Roman" w:hAnsiTheme="majorHAnsi" w:cstheme="majorHAnsi"/>
          <w:color w:val="000000"/>
          <w:sz w:val="24"/>
          <w:szCs w:val="24"/>
          <w:lang w:val="ro-RO" w:eastAsia="ro-RO" w:bidi="ro-RO"/>
        </w:rPr>
        <w:t xml:space="preserve">персонал на общую сумму 307,2 млн. леев, из которых 214,2 млн. леев из дополнительно </w:t>
      </w:r>
      <w:r w:rsidR="009B229B" w:rsidRPr="000951D9">
        <w:rPr>
          <w:rFonts w:asciiTheme="majorHAnsi" w:eastAsia="Times New Roman" w:hAnsiTheme="majorHAnsi" w:cstheme="majorHAnsi"/>
          <w:color w:val="000000"/>
          <w:sz w:val="24"/>
          <w:szCs w:val="24"/>
          <w:lang w:val="ro-RO" w:eastAsia="ro-RO" w:bidi="ro-RO"/>
        </w:rPr>
        <w:t xml:space="preserve">утвержденного </w:t>
      </w:r>
      <w:r w:rsidR="000951D9" w:rsidRPr="000951D9">
        <w:rPr>
          <w:rFonts w:asciiTheme="majorHAnsi" w:eastAsia="Times New Roman" w:hAnsiTheme="majorHAnsi" w:cstheme="majorHAnsi"/>
          <w:color w:val="000000"/>
          <w:sz w:val="24"/>
          <w:szCs w:val="24"/>
          <w:lang w:val="ro-RO" w:eastAsia="ro-RO" w:bidi="ro-RO"/>
        </w:rPr>
        <w:t xml:space="preserve">фонда, а 93,0 млн. леев не </w:t>
      </w:r>
      <w:r w:rsidR="009B229B">
        <w:rPr>
          <w:rFonts w:asciiTheme="majorHAnsi" w:eastAsia="Times New Roman" w:hAnsiTheme="majorHAnsi" w:cstheme="majorHAnsi"/>
          <w:color w:val="000000"/>
          <w:sz w:val="24"/>
          <w:szCs w:val="24"/>
          <w:lang w:val="ru-RU" w:eastAsia="ro-RO" w:bidi="ro-RO"/>
        </w:rPr>
        <w:t>были исполнены</w:t>
      </w:r>
      <w:r w:rsidR="000951D9" w:rsidRPr="000951D9">
        <w:rPr>
          <w:rFonts w:asciiTheme="majorHAnsi" w:eastAsia="Times New Roman" w:hAnsiTheme="majorHAnsi" w:cstheme="majorHAnsi"/>
          <w:color w:val="000000"/>
          <w:sz w:val="24"/>
          <w:szCs w:val="24"/>
          <w:lang w:val="ro-RO" w:eastAsia="ro-RO" w:bidi="ro-RO"/>
        </w:rPr>
        <w:t xml:space="preserve"> бюджетными учреждениями/</w:t>
      </w:r>
      <w:r w:rsidR="009B229B">
        <w:rPr>
          <w:rFonts w:asciiTheme="majorHAnsi" w:eastAsia="Times New Roman" w:hAnsiTheme="majorHAnsi" w:cstheme="majorHAnsi"/>
          <w:color w:val="000000"/>
          <w:sz w:val="24"/>
          <w:szCs w:val="24"/>
          <w:lang w:val="ru-RU" w:eastAsia="ro-RO" w:bidi="ro-RO"/>
        </w:rPr>
        <w:t>органа</w:t>
      </w:r>
      <w:r w:rsidR="000951D9" w:rsidRPr="000951D9">
        <w:rPr>
          <w:rFonts w:asciiTheme="majorHAnsi" w:eastAsia="Times New Roman" w:hAnsiTheme="majorHAnsi" w:cstheme="majorHAnsi"/>
          <w:color w:val="000000"/>
          <w:sz w:val="24"/>
          <w:szCs w:val="24"/>
          <w:lang w:val="ro-RO" w:eastAsia="ro-RO" w:bidi="ro-RO"/>
        </w:rPr>
        <w:t xml:space="preserve">ми. Самые </w:t>
      </w:r>
      <w:r w:rsidR="00866DAE">
        <w:rPr>
          <w:rFonts w:asciiTheme="majorHAnsi" w:eastAsia="Times New Roman" w:hAnsiTheme="majorHAnsi" w:cstheme="majorHAnsi"/>
          <w:color w:val="000000"/>
          <w:sz w:val="24"/>
          <w:szCs w:val="24"/>
          <w:lang w:val="ru-RU" w:eastAsia="ro-RO" w:bidi="ro-RO"/>
        </w:rPr>
        <w:t>значительные</w:t>
      </w:r>
      <w:r w:rsidR="000951D9" w:rsidRPr="000951D9">
        <w:rPr>
          <w:rFonts w:asciiTheme="majorHAnsi" w:eastAsia="Times New Roman" w:hAnsiTheme="majorHAnsi" w:cstheme="majorHAnsi"/>
          <w:color w:val="000000"/>
          <w:sz w:val="24"/>
          <w:szCs w:val="24"/>
          <w:lang w:val="ro-RO" w:eastAsia="ro-RO" w:bidi="ro-RO"/>
        </w:rPr>
        <w:t xml:space="preserve"> остатки ассигнований зарегистрированы в МФ</w:t>
      </w:r>
      <w:r w:rsidR="008F632D">
        <w:rPr>
          <w:rFonts w:asciiTheme="majorHAnsi" w:eastAsia="Times New Roman" w:hAnsiTheme="majorHAnsi" w:cstheme="majorHAnsi"/>
          <w:color w:val="000000"/>
          <w:sz w:val="24"/>
          <w:szCs w:val="24"/>
          <w:lang w:val="ro-RO" w:eastAsia="ro-RO" w:bidi="ro-RO"/>
        </w:rPr>
        <w:t xml:space="preserve"> </w:t>
      </w:r>
      <w:r w:rsidR="000951D9" w:rsidRPr="000951D9">
        <w:rPr>
          <w:rFonts w:asciiTheme="majorHAnsi" w:eastAsia="Times New Roman" w:hAnsiTheme="majorHAnsi" w:cstheme="majorHAnsi"/>
          <w:color w:val="000000"/>
          <w:sz w:val="24"/>
          <w:szCs w:val="24"/>
          <w:lang w:val="ro-RO" w:eastAsia="ro-RO" w:bidi="ro-RO"/>
        </w:rPr>
        <w:t>-</w:t>
      </w:r>
      <w:r w:rsidR="008F632D">
        <w:rPr>
          <w:rFonts w:asciiTheme="majorHAnsi" w:eastAsia="Times New Roman" w:hAnsiTheme="majorHAnsi" w:cstheme="majorHAnsi"/>
          <w:color w:val="000000"/>
          <w:sz w:val="24"/>
          <w:szCs w:val="24"/>
          <w:lang w:val="ro-RO" w:eastAsia="ro-RO" w:bidi="ro-RO"/>
        </w:rPr>
        <w:t xml:space="preserve"> </w:t>
      </w:r>
      <w:r w:rsidR="000951D9" w:rsidRPr="000951D9">
        <w:rPr>
          <w:rFonts w:asciiTheme="majorHAnsi" w:eastAsia="Times New Roman" w:hAnsiTheme="majorHAnsi" w:cstheme="majorHAnsi"/>
          <w:color w:val="000000"/>
          <w:sz w:val="24"/>
          <w:szCs w:val="24"/>
          <w:lang w:val="ro-RO" w:eastAsia="ro-RO" w:bidi="ro-RO"/>
        </w:rPr>
        <w:t>20,0 млн.</w:t>
      </w:r>
      <w:r w:rsidR="009B229B" w:rsidRPr="009B229B">
        <w:rPr>
          <w:rFonts w:asciiTheme="majorHAnsi" w:eastAsia="Times New Roman" w:hAnsiTheme="majorHAnsi" w:cstheme="majorHAnsi"/>
          <w:color w:val="000000"/>
          <w:sz w:val="24"/>
          <w:szCs w:val="24"/>
          <w:lang w:val="ro-RO" w:eastAsia="ro-RO" w:bidi="ro-RO"/>
        </w:rPr>
        <w:t xml:space="preserve"> леев, МЗТСЗ – 14,2 млн. леев</w:t>
      </w:r>
      <w:r w:rsidR="000951D9" w:rsidRPr="000951D9">
        <w:rPr>
          <w:rFonts w:asciiTheme="majorHAnsi" w:eastAsia="Times New Roman" w:hAnsiTheme="majorHAnsi" w:cstheme="majorHAnsi"/>
          <w:color w:val="000000"/>
          <w:sz w:val="24"/>
          <w:szCs w:val="24"/>
          <w:lang w:val="ro-RO" w:eastAsia="ro-RO" w:bidi="ro-RO"/>
        </w:rPr>
        <w:t>, С</w:t>
      </w:r>
      <w:r w:rsidR="009B229B" w:rsidRPr="009B229B">
        <w:rPr>
          <w:rFonts w:asciiTheme="majorHAnsi" w:eastAsia="Times New Roman" w:hAnsiTheme="majorHAnsi" w:cstheme="majorHAnsi"/>
          <w:color w:val="000000"/>
          <w:sz w:val="24"/>
          <w:szCs w:val="24"/>
          <w:lang w:val="ro-RO" w:eastAsia="ro-RO" w:bidi="ro-RO"/>
        </w:rPr>
        <w:t xml:space="preserve">ИБ </w:t>
      </w:r>
      <w:r w:rsidR="000951D9" w:rsidRPr="000951D9">
        <w:rPr>
          <w:rFonts w:asciiTheme="majorHAnsi" w:eastAsia="Times New Roman" w:hAnsiTheme="majorHAnsi" w:cstheme="majorHAnsi"/>
          <w:color w:val="000000"/>
          <w:sz w:val="24"/>
          <w:szCs w:val="24"/>
          <w:lang w:val="ro-RO" w:eastAsia="ro-RO" w:bidi="ro-RO"/>
        </w:rPr>
        <w:t>-</w:t>
      </w:r>
      <w:r w:rsidR="009B229B" w:rsidRPr="009B229B">
        <w:rPr>
          <w:rFonts w:asciiTheme="majorHAnsi" w:eastAsia="Times New Roman" w:hAnsiTheme="majorHAnsi" w:cstheme="majorHAnsi"/>
          <w:color w:val="000000"/>
          <w:sz w:val="24"/>
          <w:szCs w:val="24"/>
          <w:lang w:val="ro-RO" w:eastAsia="ro-RO" w:bidi="ro-RO"/>
        </w:rPr>
        <w:t xml:space="preserve"> </w:t>
      </w:r>
      <w:r w:rsidR="000951D9" w:rsidRPr="000951D9">
        <w:rPr>
          <w:rFonts w:asciiTheme="majorHAnsi" w:eastAsia="Times New Roman" w:hAnsiTheme="majorHAnsi" w:cstheme="majorHAnsi"/>
          <w:color w:val="000000"/>
          <w:sz w:val="24"/>
          <w:szCs w:val="24"/>
          <w:lang w:val="ro-RO" w:eastAsia="ro-RO" w:bidi="ro-RO"/>
        </w:rPr>
        <w:t>11,3 млн. ле</w:t>
      </w:r>
      <w:r w:rsidR="009B229B" w:rsidRPr="009B229B">
        <w:rPr>
          <w:rFonts w:asciiTheme="majorHAnsi" w:eastAsia="Times New Roman" w:hAnsiTheme="majorHAnsi" w:cstheme="majorHAnsi"/>
          <w:color w:val="000000"/>
          <w:sz w:val="24"/>
          <w:szCs w:val="24"/>
          <w:lang w:val="ro-RO" w:eastAsia="ro-RO" w:bidi="ro-RO"/>
        </w:rPr>
        <w:t>ев</w:t>
      </w:r>
      <w:r w:rsidR="000951D9" w:rsidRPr="000951D9">
        <w:rPr>
          <w:rFonts w:asciiTheme="majorHAnsi" w:eastAsia="Times New Roman" w:hAnsiTheme="majorHAnsi" w:cstheme="majorHAnsi"/>
          <w:color w:val="000000"/>
          <w:sz w:val="24"/>
          <w:szCs w:val="24"/>
          <w:lang w:val="ro-RO" w:eastAsia="ro-RO" w:bidi="ro-RO"/>
        </w:rPr>
        <w:t>, Генеральн</w:t>
      </w:r>
      <w:r w:rsidR="009B229B" w:rsidRPr="009B229B">
        <w:rPr>
          <w:rFonts w:asciiTheme="majorHAnsi" w:eastAsia="Times New Roman" w:hAnsiTheme="majorHAnsi" w:cstheme="majorHAnsi"/>
          <w:color w:val="000000"/>
          <w:sz w:val="24"/>
          <w:szCs w:val="24"/>
          <w:lang w:val="ro-RO" w:eastAsia="ro-RO" w:bidi="ro-RO"/>
        </w:rPr>
        <w:t>ой</w:t>
      </w:r>
      <w:r w:rsidR="000951D9" w:rsidRPr="000951D9">
        <w:rPr>
          <w:rFonts w:asciiTheme="majorHAnsi" w:eastAsia="Times New Roman" w:hAnsiTheme="majorHAnsi" w:cstheme="majorHAnsi"/>
          <w:color w:val="000000"/>
          <w:sz w:val="24"/>
          <w:szCs w:val="24"/>
          <w:lang w:val="ro-RO" w:eastAsia="ro-RO" w:bidi="ro-RO"/>
        </w:rPr>
        <w:t xml:space="preserve"> прокуратур</w:t>
      </w:r>
      <w:r w:rsidR="009B229B" w:rsidRPr="009B229B">
        <w:rPr>
          <w:rFonts w:asciiTheme="majorHAnsi" w:eastAsia="Times New Roman" w:hAnsiTheme="majorHAnsi" w:cstheme="majorHAnsi"/>
          <w:color w:val="000000"/>
          <w:sz w:val="24"/>
          <w:szCs w:val="24"/>
          <w:lang w:val="ro-RO" w:eastAsia="ro-RO" w:bidi="ro-RO"/>
        </w:rPr>
        <w:t xml:space="preserve">е </w:t>
      </w:r>
      <w:r w:rsidR="000951D9" w:rsidRPr="000951D9">
        <w:rPr>
          <w:rFonts w:asciiTheme="majorHAnsi" w:eastAsia="Times New Roman" w:hAnsiTheme="majorHAnsi" w:cstheme="majorHAnsi"/>
          <w:color w:val="000000"/>
          <w:sz w:val="24"/>
          <w:szCs w:val="24"/>
          <w:lang w:val="ro-RO" w:eastAsia="ro-RO" w:bidi="ro-RO"/>
        </w:rPr>
        <w:t>-</w:t>
      </w:r>
      <w:r w:rsidR="009B229B" w:rsidRPr="009B229B">
        <w:rPr>
          <w:rFonts w:asciiTheme="majorHAnsi" w:eastAsia="Times New Roman" w:hAnsiTheme="majorHAnsi" w:cstheme="majorHAnsi"/>
          <w:color w:val="000000"/>
          <w:sz w:val="24"/>
          <w:szCs w:val="24"/>
          <w:lang w:val="ro-RO" w:eastAsia="ro-RO" w:bidi="ro-RO"/>
        </w:rPr>
        <w:t xml:space="preserve"> </w:t>
      </w:r>
      <w:r w:rsidR="000951D9" w:rsidRPr="000951D9">
        <w:rPr>
          <w:rFonts w:asciiTheme="majorHAnsi" w:eastAsia="Times New Roman" w:hAnsiTheme="majorHAnsi" w:cstheme="majorHAnsi"/>
          <w:color w:val="000000"/>
          <w:sz w:val="24"/>
          <w:szCs w:val="24"/>
          <w:lang w:val="ro-RO" w:eastAsia="ro-RO" w:bidi="ro-RO"/>
        </w:rPr>
        <w:t>9,3 млн. ле</w:t>
      </w:r>
      <w:r w:rsidR="009B229B" w:rsidRPr="009B229B">
        <w:rPr>
          <w:rFonts w:asciiTheme="majorHAnsi" w:eastAsia="Times New Roman" w:hAnsiTheme="majorHAnsi" w:cstheme="majorHAnsi"/>
          <w:color w:val="000000"/>
          <w:sz w:val="24"/>
          <w:szCs w:val="24"/>
          <w:lang w:val="ro-RO" w:eastAsia="ro-RO" w:bidi="ro-RO"/>
        </w:rPr>
        <w:t>ев</w:t>
      </w:r>
      <w:r w:rsidR="000951D9" w:rsidRPr="000951D9">
        <w:rPr>
          <w:rFonts w:asciiTheme="majorHAnsi" w:eastAsia="Times New Roman" w:hAnsiTheme="majorHAnsi" w:cstheme="majorHAnsi"/>
          <w:color w:val="000000"/>
          <w:sz w:val="24"/>
          <w:szCs w:val="24"/>
          <w:lang w:val="ro-RO" w:eastAsia="ro-RO" w:bidi="ro-RO"/>
        </w:rPr>
        <w:t xml:space="preserve">, </w:t>
      </w:r>
      <w:r w:rsidR="009B229B" w:rsidRPr="009B229B">
        <w:rPr>
          <w:rFonts w:asciiTheme="majorHAnsi" w:eastAsia="Times New Roman" w:hAnsiTheme="majorHAnsi" w:cstheme="majorHAnsi"/>
          <w:color w:val="000000"/>
          <w:sz w:val="24"/>
          <w:szCs w:val="24"/>
          <w:lang w:val="ro-RO" w:eastAsia="ro-RO" w:bidi="ro-RO"/>
        </w:rPr>
        <w:t xml:space="preserve">НАН </w:t>
      </w:r>
      <w:r w:rsidR="000951D9" w:rsidRPr="000951D9">
        <w:rPr>
          <w:rFonts w:asciiTheme="majorHAnsi" w:eastAsia="Times New Roman" w:hAnsiTheme="majorHAnsi" w:cstheme="majorHAnsi"/>
          <w:color w:val="000000"/>
          <w:sz w:val="24"/>
          <w:szCs w:val="24"/>
          <w:lang w:val="ro-RO" w:eastAsia="ro-RO" w:bidi="ro-RO"/>
        </w:rPr>
        <w:t>-</w:t>
      </w:r>
      <w:r w:rsidR="009B229B" w:rsidRPr="009B229B">
        <w:rPr>
          <w:rFonts w:asciiTheme="majorHAnsi" w:eastAsia="Times New Roman" w:hAnsiTheme="majorHAnsi" w:cstheme="majorHAnsi"/>
          <w:color w:val="000000"/>
          <w:sz w:val="24"/>
          <w:szCs w:val="24"/>
          <w:lang w:val="ro-RO" w:eastAsia="ro-RO" w:bidi="ro-RO"/>
        </w:rPr>
        <w:t xml:space="preserve"> </w:t>
      </w:r>
      <w:r w:rsidR="000951D9" w:rsidRPr="000951D9">
        <w:rPr>
          <w:rFonts w:asciiTheme="majorHAnsi" w:eastAsia="Times New Roman" w:hAnsiTheme="majorHAnsi" w:cstheme="majorHAnsi"/>
          <w:color w:val="000000"/>
          <w:sz w:val="24"/>
          <w:szCs w:val="24"/>
          <w:lang w:val="ro-RO" w:eastAsia="ro-RO" w:bidi="ro-RO"/>
        </w:rPr>
        <w:t>8,4 млн. ле</w:t>
      </w:r>
      <w:r w:rsidR="009B229B" w:rsidRPr="009B229B">
        <w:rPr>
          <w:rFonts w:asciiTheme="majorHAnsi" w:eastAsia="Times New Roman" w:hAnsiTheme="majorHAnsi" w:cstheme="majorHAnsi"/>
          <w:color w:val="000000"/>
          <w:sz w:val="24"/>
          <w:szCs w:val="24"/>
          <w:lang w:val="ro-RO" w:eastAsia="ro-RO" w:bidi="ro-RO"/>
        </w:rPr>
        <w:t>ев</w:t>
      </w:r>
      <w:r w:rsidR="000951D9" w:rsidRPr="000951D9">
        <w:rPr>
          <w:rFonts w:asciiTheme="majorHAnsi" w:eastAsia="Times New Roman" w:hAnsiTheme="majorHAnsi" w:cstheme="majorHAnsi"/>
          <w:color w:val="000000"/>
          <w:sz w:val="24"/>
          <w:szCs w:val="24"/>
          <w:lang w:val="ro-RO" w:eastAsia="ro-RO" w:bidi="ro-RO"/>
        </w:rPr>
        <w:t xml:space="preserve"> и т. д</w:t>
      </w:r>
      <w:r w:rsidR="00AC6703" w:rsidRPr="00E4517B">
        <w:rPr>
          <w:rFonts w:asciiTheme="majorHAnsi" w:eastAsia="Times New Roman" w:hAnsiTheme="majorHAnsi" w:cstheme="majorHAnsi"/>
          <w:color w:val="000000"/>
          <w:sz w:val="24"/>
          <w:szCs w:val="24"/>
          <w:lang w:val="ro-RO" w:eastAsia="ro-RO" w:bidi="ro-RO"/>
        </w:rPr>
        <w:t>.</w:t>
      </w:r>
    </w:p>
    <w:p w:rsidR="005E4D53" w:rsidRPr="00F55BA6" w:rsidRDefault="005E4D53" w:rsidP="00042B0A">
      <w:pPr>
        <w:tabs>
          <w:tab w:val="left" w:pos="426"/>
        </w:tabs>
        <w:spacing w:after="0" w:line="276" w:lineRule="auto"/>
        <w:contextualSpacing/>
        <w:outlineLvl w:val="0"/>
        <w:rPr>
          <w:rFonts w:asciiTheme="majorHAnsi" w:hAnsiTheme="majorHAnsi" w:cstheme="majorHAnsi"/>
          <w:b/>
          <w:szCs w:val="28"/>
          <w:lang w:val="ro-RO"/>
        </w:rPr>
      </w:pPr>
      <w:r w:rsidRPr="00F55BA6">
        <w:rPr>
          <w:rFonts w:asciiTheme="majorHAnsi" w:hAnsiTheme="majorHAnsi" w:cstheme="majorHAnsi"/>
          <w:b/>
          <w:sz w:val="24"/>
          <w:szCs w:val="24"/>
          <w:lang w:val="ro-RO"/>
        </w:rPr>
        <w:t xml:space="preserve">6.8. </w:t>
      </w:r>
      <w:r w:rsidR="000951D9" w:rsidRPr="000951D9">
        <w:rPr>
          <w:rFonts w:asciiTheme="majorHAnsi" w:hAnsiTheme="majorHAnsi" w:cstheme="majorHAnsi"/>
          <w:b/>
          <w:sz w:val="24"/>
          <w:szCs w:val="24"/>
          <w:lang w:val="ro-RO"/>
        </w:rPr>
        <w:t xml:space="preserve">Расходы на субсидии и гранты, предоставленные из </w:t>
      </w:r>
      <w:r w:rsidR="008F632D">
        <w:rPr>
          <w:rFonts w:asciiTheme="majorHAnsi" w:hAnsiTheme="majorHAnsi" w:cstheme="majorHAnsi"/>
          <w:b/>
          <w:sz w:val="24"/>
          <w:szCs w:val="24"/>
          <w:lang w:val="ro-RO"/>
        </w:rPr>
        <w:t>ГБ</w:t>
      </w:r>
      <w:r w:rsidR="000951D9" w:rsidRPr="000951D9">
        <w:rPr>
          <w:rFonts w:asciiTheme="majorHAnsi" w:hAnsiTheme="majorHAnsi" w:cstheme="majorHAnsi"/>
          <w:b/>
          <w:sz w:val="24"/>
          <w:szCs w:val="24"/>
          <w:lang w:val="ro-RO"/>
        </w:rPr>
        <w:t xml:space="preserve">, были существенно </w:t>
      </w:r>
      <w:r w:rsidR="00753BCF" w:rsidRPr="00753BCF">
        <w:rPr>
          <w:rFonts w:asciiTheme="majorHAnsi" w:hAnsiTheme="majorHAnsi" w:cstheme="majorHAnsi"/>
          <w:b/>
          <w:sz w:val="24"/>
          <w:szCs w:val="24"/>
          <w:lang w:val="ro-RO"/>
        </w:rPr>
        <w:t>завыш</w:t>
      </w:r>
      <w:r w:rsidR="000951D9" w:rsidRPr="000951D9">
        <w:rPr>
          <w:rFonts w:asciiTheme="majorHAnsi" w:hAnsiTheme="majorHAnsi" w:cstheme="majorHAnsi"/>
          <w:b/>
          <w:sz w:val="24"/>
          <w:szCs w:val="24"/>
          <w:lang w:val="ro-RO"/>
        </w:rPr>
        <w:t>ены в течение 2020 года</w:t>
      </w:r>
      <w:r w:rsidR="00C31816">
        <w:rPr>
          <w:rFonts w:asciiTheme="majorHAnsi" w:hAnsiTheme="majorHAnsi" w:cstheme="majorHAnsi"/>
          <w:b/>
          <w:sz w:val="24"/>
          <w:szCs w:val="24"/>
          <w:lang w:val="ro-RO"/>
        </w:rPr>
        <w:t>.</w:t>
      </w:r>
    </w:p>
    <w:p w:rsidR="000830F8" w:rsidRPr="00F55BA6" w:rsidRDefault="000951D9" w:rsidP="00997BAE">
      <w:pPr>
        <w:pStyle w:val="ListParagraph"/>
        <w:tabs>
          <w:tab w:val="left" w:pos="142"/>
        </w:tabs>
        <w:spacing w:after="0" w:line="276" w:lineRule="auto"/>
        <w:ind w:left="0"/>
        <w:rPr>
          <w:rFonts w:asciiTheme="majorHAnsi" w:eastAsia="Times New Roman" w:hAnsiTheme="majorHAnsi" w:cstheme="majorHAnsi"/>
          <w:bCs/>
          <w:i/>
          <w:sz w:val="24"/>
          <w:szCs w:val="24"/>
          <w:lang w:val="ro-RO"/>
        </w:rPr>
      </w:pPr>
      <w:r w:rsidRPr="000951D9">
        <w:rPr>
          <w:rFonts w:asciiTheme="majorHAnsi" w:hAnsiTheme="majorHAnsi" w:cstheme="majorHAnsi"/>
          <w:sz w:val="24"/>
          <w:szCs w:val="24"/>
          <w:lang w:val="ro-RO"/>
        </w:rPr>
        <w:t xml:space="preserve">Первоначально </w:t>
      </w:r>
      <w:r w:rsidR="008F632D">
        <w:rPr>
          <w:rFonts w:asciiTheme="majorHAnsi" w:hAnsiTheme="majorHAnsi" w:cstheme="majorHAnsi"/>
          <w:sz w:val="24"/>
          <w:szCs w:val="24"/>
          <w:lang w:val="ru-RU"/>
        </w:rPr>
        <w:t>в</w:t>
      </w:r>
      <w:r w:rsidR="00517B11">
        <w:rPr>
          <w:rFonts w:asciiTheme="majorHAnsi" w:hAnsiTheme="majorHAnsi" w:cstheme="majorHAnsi"/>
          <w:sz w:val="24"/>
          <w:szCs w:val="24"/>
          <w:lang w:val="ro-RO"/>
        </w:rPr>
        <w:t xml:space="preserve"> Закон</w:t>
      </w:r>
      <w:r w:rsidR="008F632D">
        <w:rPr>
          <w:rFonts w:asciiTheme="majorHAnsi" w:hAnsiTheme="majorHAnsi" w:cstheme="majorHAnsi"/>
          <w:sz w:val="24"/>
          <w:szCs w:val="24"/>
          <w:lang w:val="ru-RU"/>
        </w:rPr>
        <w:t>е</w:t>
      </w:r>
      <w:r w:rsidR="00517B11">
        <w:rPr>
          <w:rFonts w:asciiTheme="majorHAnsi" w:hAnsiTheme="majorHAnsi" w:cstheme="majorHAnsi"/>
          <w:sz w:val="24"/>
          <w:szCs w:val="24"/>
          <w:lang w:val="ro-RO"/>
        </w:rPr>
        <w:t xml:space="preserve"> о ГБ </w:t>
      </w:r>
      <w:r w:rsidRPr="000951D9">
        <w:rPr>
          <w:rFonts w:asciiTheme="majorHAnsi" w:hAnsiTheme="majorHAnsi" w:cstheme="majorHAnsi"/>
          <w:sz w:val="24"/>
          <w:szCs w:val="24"/>
          <w:lang w:val="ro-RO"/>
        </w:rPr>
        <w:t>на 2020 год были утверждены ассигнования на сумму 3 964,9 млн. леев на субсидии</w:t>
      </w:r>
      <w:r w:rsidR="008F632D">
        <w:rPr>
          <w:rFonts w:asciiTheme="majorHAnsi" w:hAnsiTheme="majorHAnsi" w:cstheme="majorHAnsi"/>
          <w:sz w:val="24"/>
          <w:szCs w:val="24"/>
          <w:lang w:val="ru-RU"/>
        </w:rPr>
        <w:t>,</w:t>
      </w:r>
      <w:r w:rsidRPr="000951D9">
        <w:rPr>
          <w:rFonts w:asciiTheme="majorHAnsi" w:hAnsiTheme="majorHAnsi" w:cstheme="majorHAnsi"/>
          <w:sz w:val="24"/>
          <w:szCs w:val="24"/>
          <w:lang w:val="ro-RO"/>
        </w:rPr>
        <w:t xml:space="preserve"> и 54,2 млн. леев </w:t>
      </w:r>
      <w:r w:rsidR="008F632D">
        <w:rPr>
          <w:rFonts w:asciiTheme="majorHAnsi" w:hAnsiTheme="majorHAnsi" w:cstheme="majorHAnsi"/>
          <w:sz w:val="24"/>
          <w:szCs w:val="24"/>
          <w:lang w:val="ru-RU"/>
        </w:rPr>
        <w:t xml:space="preserve">- </w:t>
      </w:r>
      <w:r w:rsidRPr="000951D9">
        <w:rPr>
          <w:rFonts w:asciiTheme="majorHAnsi" w:hAnsiTheme="majorHAnsi" w:cstheme="majorHAnsi"/>
          <w:sz w:val="24"/>
          <w:szCs w:val="24"/>
          <w:lang w:val="ro-RO"/>
        </w:rPr>
        <w:t xml:space="preserve">на гранты, а </w:t>
      </w:r>
      <w:r w:rsidR="008F632D">
        <w:rPr>
          <w:rFonts w:asciiTheme="majorHAnsi" w:hAnsiTheme="majorHAnsi" w:cstheme="majorHAnsi"/>
          <w:sz w:val="24"/>
          <w:szCs w:val="24"/>
          <w:lang w:val="ru-RU"/>
        </w:rPr>
        <w:t>впоследствии</w:t>
      </w:r>
      <w:r w:rsidRPr="000951D9">
        <w:rPr>
          <w:rFonts w:asciiTheme="majorHAnsi" w:hAnsiTheme="majorHAnsi" w:cstheme="majorHAnsi"/>
          <w:sz w:val="24"/>
          <w:szCs w:val="24"/>
          <w:lang w:val="ro-RO"/>
        </w:rPr>
        <w:t xml:space="preserve"> </w:t>
      </w:r>
      <w:r w:rsidR="008F632D">
        <w:rPr>
          <w:rFonts w:asciiTheme="majorHAnsi" w:hAnsiTheme="majorHAnsi" w:cstheme="majorHAnsi"/>
          <w:sz w:val="24"/>
          <w:szCs w:val="24"/>
          <w:lang w:val="ru-RU"/>
        </w:rPr>
        <w:t xml:space="preserve">были </w:t>
      </w:r>
      <w:r w:rsidRPr="000951D9">
        <w:rPr>
          <w:rFonts w:asciiTheme="majorHAnsi" w:hAnsiTheme="majorHAnsi" w:cstheme="majorHAnsi"/>
          <w:sz w:val="24"/>
          <w:szCs w:val="24"/>
          <w:lang w:val="ro-RO"/>
        </w:rPr>
        <w:t xml:space="preserve">увеличены субсидии на 1 488,1 млн. леев и, соответственно, гранты на 258,5 млн. леев. В 2020 году, согласно данным </w:t>
      </w:r>
      <w:r w:rsidR="008F632D">
        <w:rPr>
          <w:rFonts w:asciiTheme="majorHAnsi" w:hAnsiTheme="majorHAnsi" w:cstheme="majorHAnsi"/>
          <w:sz w:val="24"/>
          <w:szCs w:val="24"/>
          <w:lang w:val="ru-RU"/>
        </w:rPr>
        <w:t xml:space="preserve">отчетов </w:t>
      </w:r>
      <w:r w:rsidRPr="000951D9">
        <w:rPr>
          <w:rFonts w:asciiTheme="majorHAnsi" w:hAnsiTheme="majorHAnsi" w:cstheme="majorHAnsi"/>
          <w:sz w:val="24"/>
          <w:szCs w:val="24"/>
          <w:lang w:val="ro-RO"/>
        </w:rPr>
        <w:t xml:space="preserve">МФ, </w:t>
      </w:r>
      <w:r w:rsidR="008F632D">
        <w:rPr>
          <w:rFonts w:asciiTheme="majorHAnsi" w:hAnsiTheme="majorHAnsi" w:cstheme="majorHAnsi"/>
          <w:sz w:val="24"/>
          <w:szCs w:val="24"/>
          <w:lang w:val="ro-RO"/>
        </w:rPr>
        <w:t>кассовые</w:t>
      </w:r>
      <w:r w:rsidRPr="000951D9">
        <w:rPr>
          <w:rFonts w:asciiTheme="majorHAnsi" w:hAnsiTheme="majorHAnsi" w:cstheme="majorHAnsi"/>
          <w:sz w:val="24"/>
          <w:szCs w:val="24"/>
          <w:lang w:val="ro-RO"/>
        </w:rPr>
        <w:t xml:space="preserve"> расходы на субсидии 12 бюджетны</w:t>
      </w:r>
      <w:r w:rsidR="008F632D">
        <w:rPr>
          <w:rFonts w:asciiTheme="majorHAnsi" w:hAnsiTheme="majorHAnsi" w:cstheme="majorHAnsi"/>
          <w:sz w:val="24"/>
          <w:szCs w:val="24"/>
          <w:lang w:val="ru-RU"/>
        </w:rPr>
        <w:t>м</w:t>
      </w:r>
      <w:r w:rsidRPr="000951D9">
        <w:rPr>
          <w:rFonts w:asciiTheme="majorHAnsi" w:hAnsiTheme="majorHAnsi" w:cstheme="majorHAnsi"/>
          <w:sz w:val="24"/>
          <w:szCs w:val="24"/>
          <w:lang w:val="ro-RO"/>
        </w:rPr>
        <w:t xml:space="preserve"> учреждения</w:t>
      </w:r>
      <w:r w:rsidR="008F632D">
        <w:rPr>
          <w:rFonts w:asciiTheme="majorHAnsi" w:hAnsiTheme="majorHAnsi" w:cstheme="majorHAnsi"/>
          <w:sz w:val="24"/>
          <w:szCs w:val="24"/>
          <w:lang w:val="ru-RU"/>
        </w:rPr>
        <w:t>м</w:t>
      </w:r>
      <w:r w:rsidRPr="000951D9">
        <w:rPr>
          <w:rFonts w:asciiTheme="majorHAnsi" w:hAnsiTheme="majorHAnsi" w:cstheme="majorHAnsi"/>
          <w:sz w:val="24"/>
          <w:szCs w:val="24"/>
          <w:lang w:val="ro-RO"/>
        </w:rPr>
        <w:t>/органа</w:t>
      </w:r>
      <w:r w:rsidR="008F632D">
        <w:rPr>
          <w:rFonts w:asciiTheme="majorHAnsi" w:hAnsiTheme="majorHAnsi" w:cstheme="majorHAnsi"/>
          <w:sz w:val="24"/>
          <w:szCs w:val="24"/>
          <w:lang w:val="ru-RU"/>
        </w:rPr>
        <w:t>м</w:t>
      </w:r>
      <w:r w:rsidRPr="000951D9">
        <w:rPr>
          <w:rFonts w:asciiTheme="majorHAnsi" w:hAnsiTheme="majorHAnsi" w:cstheme="majorHAnsi"/>
          <w:sz w:val="24"/>
          <w:szCs w:val="24"/>
          <w:lang w:val="ro-RO"/>
        </w:rPr>
        <w:t xml:space="preserve"> и </w:t>
      </w:r>
      <w:r w:rsidR="004071EE">
        <w:rPr>
          <w:rFonts w:asciiTheme="majorHAnsi" w:hAnsiTheme="majorHAnsi" w:cstheme="majorHAnsi"/>
          <w:sz w:val="24"/>
          <w:szCs w:val="24"/>
          <w:lang w:val="ru-RU"/>
        </w:rPr>
        <w:t xml:space="preserve">на </w:t>
      </w:r>
      <w:r w:rsidR="004071EE" w:rsidRPr="00F55BA6">
        <w:rPr>
          <w:rFonts w:asciiTheme="majorHAnsi" w:eastAsia="Times New Roman" w:hAnsiTheme="majorHAnsi" w:cstheme="majorHAnsi"/>
          <w:bCs/>
          <w:sz w:val="24"/>
          <w:szCs w:val="24"/>
          <w:lang w:val="ro-RO"/>
        </w:rPr>
        <w:t>„</w:t>
      </w:r>
      <w:r w:rsidR="004071EE">
        <w:rPr>
          <w:rFonts w:asciiTheme="majorHAnsi" w:eastAsia="Times New Roman" w:hAnsiTheme="majorHAnsi" w:cstheme="majorHAnsi"/>
          <w:bCs/>
          <w:sz w:val="24"/>
          <w:szCs w:val="24"/>
          <w:lang w:val="ru-RU"/>
        </w:rPr>
        <w:t>Общие действия</w:t>
      </w:r>
      <w:r w:rsidR="004071EE" w:rsidRPr="00F55BA6">
        <w:rPr>
          <w:rFonts w:asciiTheme="majorHAnsi" w:eastAsia="Times New Roman" w:hAnsiTheme="majorHAnsi" w:cstheme="majorHAnsi"/>
          <w:bCs/>
          <w:sz w:val="24"/>
          <w:szCs w:val="24"/>
          <w:lang w:val="ro-RO"/>
        </w:rPr>
        <w:t xml:space="preserve">” </w:t>
      </w:r>
      <w:r w:rsidRPr="000951D9">
        <w:rPr>
          <w:rFonts w:asciiTheme="majorHAnsi" w:hAnsiTheme="majorHAnsi" w:cstheme="majorHAnsi"/>
          <w:sz w:val="24"/>
          <w:szCs w:val="24"/>
          <w:lang w:val="ro-RO"/>
        </w:rPr>
        <w:t xml:space="preserve"> составляют </w:t>
      </w:r>
      <w:r w:rsidR="004071EE">
        <w:rPr>
          <w:rFonts w:asciiTheme="majorHAnsi" w:hAnsiTheme="majorHAnsi" w:cstheme="majorHAnsi"/>
          <w:sz w:val="24"/>
          <w:szCs w:val="24"/>
          <w:lang w:val="ru-RU"/>
        </w:rPr>
        <w:t xml:space="preserve">в целом </w:t>
      </w:r>
      <w:r w:rsidRPr="000951D9">
        <w:rPr>
          <w:rFonts w:asciiTheme="majorHAnsi" w:hAnsiTheme="majorHAnsi" w:cstheme="majorHAnsi"/>
          <w:sz w:val="24"/>
          <w:szCs w:val="24"/>
          <w:lang w:val="ro-RO"/>
        </w:rPr>
        <w:t xml:space="preserve">5 102,1 млн. леев, или 10,3% от </w:t>
      </w:r>
      <w:r w:rsidR="004071EE">
        <w:rPr>
          <w:rFonts w:asciiTheme="majorHAnsi" w:hAnsiTheme="majorHAnsi" w:cstheme="majorHAnsi"/>
          <w:sz w:val="24"/>
          <w:szCs w:val="24"/>
          <w:lang w:val="ru-RU"/>
        </w:rPr>
        <w:t>общи</w:t>
      </w:r>
      <w:r w:rsidRPr="000951D9">
        <w:rPr>
          <w:rFonts w:asciiTheme="majorHAnsi" w:hAnsiTheme="majorHAnsi" w:cstheme="majorHAnsi"/>
          <w:sz w:val="24"/>
          <w:szCs w:val="24"/>
          <w:lang w:val="ro-RO"/>
        </w:rPr>
        <w:t xml:space="preserve">х </w:t>
      </w:r>
      <w:r w:rsidR="004071EE">
        <w:rPr>
          <w:rFonts w:asciiTheme="majorHAnsi" w:hAnsiTheme="majorHAnsi" w:cstheme="majorHAnsi"/>
          <w:sz w:val="24"/>
          <w:szCs w:val="24"/>
          <w:lang w:val="ru-RU"/>
        </w:rPr>
        <w:t>ис</w:t>
      </w:r>
      <w:r w:rsidRPr="000951D9">
        <w:rPr>
          <w:rFonts w:asciiTheme="majorHAnsi" w:hAnsiTheme="majorHAnsi" w:cstheme="majorHAnsi"/>
          <w:sz w:val="24"/>
          <w:szCs w:val="24"/>
          <w:lang w:val="ro-RO"/>
        </w:rPr>
        <w:t xml:space="preserve">полненных расходов. Таким образом, из общего объема субсидий (5 102,1 млн. </w:t>
      </w:r>
      <w:r w:rsidR="004071EE" w:rsidRPr="004071EE">
        <w:rPr>
          <w:rFonts w:asciiTheme="majorHAnsi" w:hAnsiTheme="majorHAnsi" w:cstheme="majorHAnsi"/>
          <w:sz w:val="24"/>
          <w:szCs w:val="24"/>
          <w:lang w:val="ro-RO"/>
        </w:rPr>
        <w:t xml:space="preserve">леев), </w:t>
      </w:r>
      <w:r w:rsidRPr="000951D9">
        <w:rPr>
          <w:rFonts w:asciiTheme="majorHAnsi" w:hAnsiTheme="majorHAnsi" w:cstheme="majorHAnsi"/>
          <w:sz w:val="24"/>
          <w:szCs w:val="24"/>
          <w:lang w:val="ro-RO"/>
        </w:rPr>
        <w:t xml:space="preserve">были исполнены субсидии на конкретные цели в размере 4 157,8 млн. леев, или </w:t>
      </w:r>
      <w:r w:rsidR="004071EE" w:rsidRPr="004071EE">
        <w:rPr>
          <w:rFonts w:asciiTheme="majorHAnsi" w:hAnsiTheme="majorHAnsi" w:cstheme="majorHAnsi"/>
          <w:sz w:val="24"/>
          <w:szCs w:val="24"/>
          <w:lang w:val="ro-RO"/>
        </w:rPr>
        <w:t xml:space="preserve">на уровне </w:t>
      </w:r>
      <w:r w:rsidRPr="000951D9">
        <w:rPr>
          <w:rFonts w:asciiTheme="majorHAnsi" w:hAnsiTheme="majorHAnsi" w:cstheme="majorHAnsi"/>
          <w:sz w:val="24"/>
          <w:szCs w:val="24"/>
          <w:lang w:val="ro-RO"/>
        </w:rPr>
        <w:t>81,5%, некоторые из которых не вписываются в понятие субсидий</w:t>
      </w:r>
      <w:r w:rsidR="00AC6703" w:rsidRPr="00F55BA6">
        <w:rPr>
          <w:rFonts w:asciiTheme="majorHAnsi" w:eastAsia="Times New Roman" w:hAnsiTheme="majorHAnsi" w:cstheme="majorHAnsi"/>
          <w:bCs/>
          <w:sz w:val="24"/>
          <w:szCs w:val="24"/>
          <w:lang w:val="ro-RO"/>
        </w:rPr>
        <w:t xml:space="preserve">: </w:t>
      </w:r>
      <w:r w:rsidR="00AC6703" w:rsidRPr="00F55BA6">
        <w:rPr>
          <w:rFonts w:asciiTheme="majorHAnsi" w:eastAsia="Times New Roman" w:hAnsiTheme="majorHAnsi" w:cstheme="majorHAnsi"/>
          <w:bCs/>
          <w:i/>
          <w:sz w:val="24"/>
          <w:szCs w:val="24"/>
          <w:lang w:val="ro-RO"/>
        </w:rPr>
        <w:t>(i)</w:t>
      </w:r>
      <w:r w:rsidR="00AC6703" w:rsidRPr="00F55BA6">
        <w:rPr>
          <w:rFonts w:asciiTheme="majorHAnsi" w:eastAsia="Times New Roman" w:hAnsiTheme="majorHAnsi" w:cstheme="majorHAnsi"/>
          <w:bCs/>
          <w:sz w:val="24"/>
          <w:szCs w:val="24"/>
          <w:lang w:val="ro-RO"/>
        </w:rPr>
        <w:t xml:space="preserve"> </w:t>
      </w:r>
      <w:r w:rsidRPr="000951D9">
        <w:rPr>
          <w:rFonts w:asciiTheme="majorHAnsi" w:eastAsia="Times New Roman" w:hAnsiTheme="majorHAnsi" w:cstheme="majorHAnsi"/>
          <w:bCs/>
          <w:sz w:val="24"/>
          <w:szCs w:val="24"/>
          <w:lang w:val="ro-RO"/>
        </w:rPr>
        <w:t>Дорожный фонд (1 500,1 млн.</w:t>
      </w:r>
      <w:r w:rsidR="004071EE" w:rsidRPr="004071EE">
        <w:rPr>
          <w:rFonts w:asciiTheme="majorHAnsi" w:eastAsia="Times New Roman" w:hAnsiTheme="majorHAnsi" w:cstheme="majorHAnsi"/>
          <w:bCs/>
          <w:sz w:val="24"/>
          <w:szCs w:val="24"/>
          <w:lang w:val="ro-RO"/>
        </w:rPr>
        <w:t xml:space="preserve"> леев),</w:t>
      </w:r>
      <w:r w:rsidRPr="000951D9">
        <w:rPr>
          <w:rFonts w:asciiTheme="majorHAnsi" w:eastAsia="Times New Roman" w:hAnsiTheme="majorHAnsi" w:cstheme="majorHAnsi"/>
          <w:bCs/>
          <w:sz w:val="24"/>
          <w:szCs w:val="24"/>
          <w:lang w:val="ro-RO"/>
        </w:rPr>
        <w:t xml:space="preserve"> </w:t>
      </w:r>
      <w:r w:rsidRPr="004071EE">
        <w:rPr>
          <w:rFonts w:asciiTheme="majorHAnsi" w:eastAsia="Times New Roman" w:hAnsiTheme="majorHAnsi" w:cstheme="majorHAnsi"/>
          <w:bCs/>
          <w:i/>
          <w:sz w:val="24"/>
          <w:szCs w:val="24"/>
          <w:lang w:val="ro-RO"/>
        </w:rPr>
        <w:t>(II)</w:t>
      </w:r>
      <w:r w:rsidRPr="000951D9">
        <w:rPr>
          <w:rFonts w:asciiTheme="majorHAnsi" w:eastAsia="Times New Roman" w:hAnsiTheme="majorHAnsi" w:cstheme="majorHAnsi"/>
          <w:bCs/>
          <w:sz w:val="24"/>
          <w:szCs w:val="24"/>
          <w:lang w:val="ro-RO"/>
        </w:rPr>
        <w:t xml:space="preserve"> </w:t>
      </w:r>
      <w:r w:rsidR="004071EE" w:rsidRPr="004071EE">
        <w:rPr>
          <w:rFonts w:asciiTheme="majorHAnsi" w:eastAsia="Times New Roman" w:hAnsiTheme="majorHAnsi" w:cstheme="majorHAnsi"/>
          <w:bCs/>
          <w:sz w:val="24"/>
          <w:szCs w:val="24"/>
          <w:lang w:val="ro-RO"/>
        </w:rPr>
        <w:t>П</w:t>
      </w:r>
      <w:r w:rsidRPr="000951D9">
        <w:rPr>
          <w:rFonts w:asciiTheme="majorHAnsi" w:eastAsia="Times New Roman" w:hAnsiTheme="majorHAnsi" w:cstheme="majorHAnsi"/>
          <w:bCs/>
          <w:sz w:val="24"/>
          <w:szCs w:val="24"/>
          <w:lang w:val="ro-RO"/>
        </w:rPr>
        <w:t xml:space="preserve">рограмма ремонта национальных, местных, коммунальных публичных дорог </w:t>
      </w:r>
      <w:r w:rsidR="004071EE" w:rsidRPr="000951D9">
        <w:rPr>
          <w:rFonts w:asciiTheme="majorHAnsi" w:eastAsia="Times New Roman" w:hAnsiTheme="majorHAnsi" w:cstheme="majorHAnsi"/>
          <w:bCs/>
          <w:sz w:val="24"/>
          <w:szCs w:val="24"/>
          <w:lang w:val="ro-RO"/>
        </w:rPr>
        <w:t>и ули</w:t>
      </w:r>
      <w:r w:rsidR="004071EE" w:rsidRPr="004071EE">
        <w:rPr>
          <w:rFonts w:asciiTheme="majorHAnsi" w:eastAsia="Times New Roman" w:hAnsiTheme="majorHAnsi" w:cstheme="majorHAnsi"/>
          <w:bCs/>
          <w:sz w:val="24"/>
          <w:szCs w:val="24"/>
          <w:lang w:val="ro-RO"/>
        </w:rPr>
        <w:t>ц</w:t>
      </w:r>
      <w:r w:rsidR="004071EE" w:rsidRPr="000951D9">
        <w:rPr>
          <w:rFonts w:asciiTheme="majorHAnsi" w:eastAsia="Times New Roman" w:hAnsiTheme="majorHAnsi" w:cstheme="majorHAnsi"/>
          <w:bCs/>
          <w:sz w:val="24"/>
          <w:szCs w:val="24"/>
          <w:lang w:val="ro-RO"/>
        </w:rPr>
        <w:t xml:space="preserve"> </w:t>
      </w:r>
      <w:r w:rsidRPr="000951D9">
        <w:rPr>
          <w:rFonts w:asciiTheme="majorHAnsi" w:eastAsia="Times New Roman" w:hAnsiTheme="majorHAnsi" w:cstheme="majorHAnsi"/>
          <w:bCs/>
          <w:sz w:val="24"/>
          <w:szCs w:val="24"/>
          <w:lang w:val="ro-RO"/>
        </w:rPr>
        <w:t xml:space="preserve">(1 278,1 млн. леев), </w:t>
      </w:r>
      <w:r w:rsidRPr="004071EE">
        <w:rPr>
          <w:rFonts w:asciiTheme="majorHAnsi" w:eastAsia="Times New Roman" w:hAnsiTheme="majorHAnsi" w:cstheme="majorHAnsi"/>
          <w:bCs/>
          <w:i/>
          <w:sz w:val="24"/>
          <w:szCs w:val="24"/>
          <w:lang w:val="ro-RO"/>
        </w:rPr>
        <w:t>(iii)</w:t>
      </w:r>
      <w:r w:rsidRPr="000951D9">
        <w:rPr>
          <w:rFonts w:asciiTheme="majorHAnsi" w:eastAsia="Times New Roman" w:hAnsiTheme="majorHAnsi" w:cstheme="majorHAnsi"/>
          <w:bCs/>
          <w:sz w:val="24"/>
          <w:szCs w:val="24"/>
          <w:lang w:val="ro-RO"/>
        </w:rPr>
        <w:t xml:space="preserve"> финансирование политических партий (29,3 млн. леев), </w:t>
      </w:r>
      <w:r w:rsidRPr="004071EE">
        <w:rPr>
          <w:rFonts w:asciiTheme="majorHAnsi" w:eastAsia="Times New Roman" w:hAnsiTheme="majorHAnsi" w:cstheme="majorHAnsi"/>
          <w:bCs/>
          <w:i/>
          <w:sz w:val="24"/>
          <w:szCs w:val="24"/>
          <w:lang w:val="ro-RO"/>
        </w:rPr>
        <w:t>(iv)</w:t>
      </w:r>
      <w:r w:rsidRPr="000951D9">
        <w:rPr>
          <w:rFonts w:asciiTheme="majorHAnsi" w:eastAsia="Times New Roman" w:hAnsiTheme="majorHAnsi" w:cstheme="majorHAnsi"/>
          <w:bCs/>
          <w:sz w:val="24"/>
          <w:szCs w:val="24"/>
          <w:lang w:val="ro-RO"/>
        </w:rPr>
        <w:t xml:space="preserve"> в </w:t>
      </w:r>
      <w:r w:rsidR="004071EE" w:rsidRPr="004071EE">
        <w:rPr>
          <w:rFonts w:asciiTheme="majorHAnsi" w:eastAsia="Times New Roman" w:hAnsiTheme="majorHAnsi" w:cstheme="majorHAnsi"/>
          <w:bCs/>
          <w:sz w:val="24"/>
          <w:szCs w:val="24"/>
          <w:lang w:val="ro-RO"/>
        </w:rPr>
        <w:t>АПС</w:t>
      </w:r>
      <w:r w:rsidRPr="000951D9">
        <w:rPr>
          <w:rFonts w:asciiTheme="majorHAnsi" w:eastAsia="Times New Roman" w:hAnsiTheme="majorHAnsi" w:cstheme="majorHAnsi"/>
          <w:bCs/>
          <w:sz w:val="24"/>
          <w:szCs w:val="24"/>
          <w:lang w:val="ro-RO"/>
        </w:rPr>
        <w:t xml:space="preserve"> субсидии в размере 3,5 млн. леев (исполнен</w:t>
      </w:r>
      <w:r w:rsidR="004071EE" w:rsidRPr="004071EE">
        <w:rPr>
          <w:rFonts w:asciiTheme="majorHAnsi" w:eastAsia="Times New Roman" w:hAnsiTheme="majorHAnsi" w:cstheme="majorHAnsi"/>
          <w:bCs/>
          <w:sz w:val="24"/>
          <w:szCs w:val="24"/>
          <w:lang w:val="ro-RO"/>
        </w:rPr>
        <w:t>о</w:t>
      </w:r>
      <w:r w:rsidRPr="000951D9">
        <w:rPr>
          <w:rFonts w:asciiTheme="majorHAnsi" w:eastAsia="Times New Roman" w:hAnsiTheme="majorHAnsi" w:cstheme="majorHAnsi"/>
          <w:bCs/>
          <w:sz w:val="24"/>
          <w:szCs w:val="24"/>
          <w:lang w:val="ro-RO"/>
        </w:rPr>
        <w:t xml:space="preserve"> на питание животных – 1,5 млн. леев, на оплату труда, топливо в </w:t>
      </w:r>
      <w:r w:rsidR="00EC4DD2" w:rsidRPr="00A62144">
        <w:rPr>
          <w:rFonts w:asciiTheme="majorHAnsi" w:eastAsia="Times New Roman" w:hAnsiTheme="majorHAnsi" w:cstheme="majorHAnsi"/>
          <w:bCs/>
          <w:sz w:val="24"/>
          <w:szCs w:val="24"/>
          <w:lang w:val="ro-RO"/>
        </w:rPr>
        <w:t>АО</w:t>
      </w:r>
      <w:r w:rsidR="00EC4DD2" w:rsidRPr="00F55BA6">
        <w:rPr>
          <w:rFonts w:asciiTheme="majorHAnsi" w:eastAsia="Times New Roman" w:hAnsiTheme="majorHAnsi" w:cstheme="majorHAnsi"/>
          <w:bCs/>
          <w:sz w:val="24"/>
          <w:szCs w:val="24"/>
          <w:lang w:val="ro-RO"/>
        </w:rPr>
        <w:t xml:space="preserve"> </w:t>
      </w:r>
      <w:r w:rsidR="004071EE" w:rsidRPr="00F55BA6">
        <w:rPr>
          <w:rFonts w:asciiTheme="majorHAnsi" w:eastAsia="Times New Roman" w:hAnsiTheme="majorHAnsi" w:cstheme="majorHAnsi"/>
          <w:bCs/>
          <w:sz w:val="24"/>
          <w:szCs w:val="24"/>
          <w:lang w:val="ro-RO"/>
        </w:rPr>
        <w:t>„Sanfarm Prim”</w:t>
      </w:r>
      <w:r w:rsidR="00A62144" w:rsidRPr="00A62144">
        <w:rPr>
          <w:rFonts w:asciiTheme="majorHAnsi" w:eastAsia="Times New Roman" w:hAnsiTheme="majorHAnsi" w:cstheme="majorHAnsi"/>
          <w:bCs/>
          <w:sz w:val="24"/>
          <w:szCs w:val="24"/>
          <w:lang w:val="ro-RO"/>
        </w:rPr>
        <w:t xml:space="preserve"> </w:t>
      </w:r>
      <w:r w:rsidRPr="000951D9">
        <w:rPr>
          <w:rFonts w:asciiTheme="majorHAnsi" w:eastAsia="Times New Roman" w:hAnsiTheme="majorHAnsi" w:cstheme="majorHAnsi"/>
          <w:bCs/>
          <w:sz w:val="24"/>
          <w:szCs w:val="24"/>
          <w:lang w:val="ro-RO"/>
        </w:rPr>
        <w:t>-</w:t>
      </w:r>
      <w:r w:rsidR="00A62144" w:rsidRPr="00A62144">
        <w:rPr>
          <w:rFonts w:asciiTheme="majorHAnsi" w:eastAsia="Times New Roman" w:hAnsiTheme="majorHAnsi" w:cstheme="majorHAnsi"/>
          <w:bCs/>
          <w:sz w:val="24"/>
          <w:szCs w:val="24"/>
          <w:lang w:val="ro-RO"/>
        </w:rPr>
        <w:t xml:space="preserve"> </w:t>
      </w:r>
      <w:r w:rsidRPr="000951D9">
        <w:rPr>
          <w:rFonts w:asciiTheme="majorHAnsi" w:eastAsia="Times New Roman" w:hAnsiTheme="majorHAnsi" w:cstheme="majorHAnsi"/>
          <w:bCs/>
          <w:sz w:val="24"/>
          <w:szCs w:val="24"/>
          <w:lang w:val="ro-RO"/>
        </w:rPr>
        <w:t xml:space="preserve">1,9 млн. </w:t>
      </w:r>
      <w:r w:rsidR="00A62144" w:rsidRPr="00A62144">
        <w:rPr>
          <w:rFonts w:asciiTheme="majorHAnsi" w:eastAsia="Times New Roman" w:hAnsiTheme="majorHAnsi" w:cstheme="majorHAnsi"/>
          <w:bCs/>
          <w:sz w:val="24"/>
          <w:szCs w:val="24"/>
          <w:lang w:val="ro-RO"/>
        </w:rPr>
        <w:t xml:space="preserve">леев, и на размещение для проживания </w:t>
      </w:r>
      <w:r w:rsidRPr="000951D9">
        <w:rPr>
          <w:rFonts w:asciiTheme="majorHAnsi" w:eastAsia="Times New Roman" w:hAnsiTheme="majorHAnsi" w:cstheme="majorHAnsi"/>
          <w:bCs/>
          <w:sz w:val="24"/>
          <w:szCs w:val="24"/>
          <w:lang w:val="ro-RO"/>
        </w:rPr>
        <w:t xml:space="preserve">в отдельных номерах медицинского персонала, работавшего в центре „Covid-19” - 78,0 тыс. </w:t>
      </w:r>
      <w:r w:rsidR="00A62144" w:rsidRPr="00A62144">
        <w:rPr>
          <w:rFonts w:asciiTheme="majorHAnsi" w:eastAsia="Times New Roman" w:hAnsiTheme="majorHAnsi" w:cstheme="majorHAnsi"/>
          <w:bCs/>
          <w:sz w:val="24"/>
          <w:szCs w:val="24"/>
          <w:lang w:val="ro-RO"/>
        </w:rPr>
        <w:t>л</w:t>
      </w:r>
      <w:r w:rsidRPr="000951D9">
        <w:rPr>
          <w:rFonts w:asciiTheme="majorHAnsi" w:eastAsia="Times New Roman" w:hAnsiTheme="majorHAnsi" w:cstheme="majorHAnsi"/>
          <w:bCs/>
          <w:sz w:val="24"/>
          <w:szCs w:val="24"/>
          <w:lang w:val="ro-RO"/>
        </w:rPr>
        <w:t>еев</w:t>
      </w:r>
      <w:r w:rsidR="00A62144" w:rsidRPr="00A62144">
        <w:rPr>
          <w:rFonts w:asciiTheme="majorHAnsi" w:eastAsia="Times New Roman" w:hAnsiTheme="majorHAnsi" w:cstheme="majorHAnsi"/>
          <w:bCs/>
          <w:sz w:val="24"/>
          <w:szCs w:val="24"/>
          <w:lang w:val="ro-RO"/>
        </w:rPr>
        <w:t>)</w:t>
      </w:r>
      <w:r w:rsidRPr="000951D9">
        <w:rPr>
          <w:rFonts w:asciiTheme="majorHAnsi" w:eastAsia="Times New Roman" w:hAnsiTheme="majorHAnsi" w:cstheme="majorHAnsi"/>
          <w:bCs/>
          <w:sz w:val="24"/>
          <w:szCs w:val="24"/>
          <w:lang w:val="ro-RO"/>
        </w:rPr>
        <w:t xml:space="preserve">, </w:t>
      </w:r>
      <w:r w:rsidRPr="004071EE">
        <w:rPr>
          <w:rFonts w:asciiTheme="majorHAnsi" w:eastAsia="Times New Roman" w:hAnsiTheme="majorHAnsi" w:cstheme="majorHAnsi"/>
          <w:bCs/>
          <w:i/>
          <w:sz w:val="24"/>
          <w:szCs w:val="24"/>
          <w:lang w:val="ro-RO"/>
        </w:rPr>
        <w:t>(v)</w:t>
      </w:r>
      <w:r w:rsidRPr="000951D9">
        <w:rPr>
          <w:rFonts w:asciiTheme="majorHAnsi" w:eastAsia="Times New Roman" w:hAnsiTheme="majorHAnsi" w:cstheme="majorHAnsi"/>
          <w:bCs/>
          <w:sz w:val="24"/>
          <w:szCs w:val="24"/>
          <w:lang w:val="ro-RO"/>
        </w:rPr>
        <w:t xml:space="preserve"> </w:t>
      </w:r>
      <w:r w:rsidR="00A62144" w:rsidRPr="00A62144">
        <w:rPr>
          <w:rFonts w:asciiTheme="majorHAnsi" w:eastAsia="Times New Roman" w:hAnsiTheme="majorHAnsi" w:cstheme="majorHAnsi"/>
          <w:bCs/>
          <w:sz w:val="24"/>
          <w:szCs w:val="24"/>
          <w:lang w:val="ro-RO"/>
        </w:rPr>
        <w:t>ПУ К</w:t>
      </w:r>
      <w:r w:rsidRPr="000951D9">
        <w:rPr>
          <w:rFonts w:asciiTheme="majorHAnsi" w:eastAsia="Times New Roman" w:hAnsiTheme="majorHAnsi" w:cstheme="majorHAnsi"/>
          <w:bCs/>
          <w:sz w:val="24"/>
          <w:szCs w:val="24"/>
          <w:lang w:val="ro-RO"/>
        </w:rPr>
        <w:t>омпания „Teleradio Moldova” – 126,3 млн. леев и т. д</w:t>
      </w:r>
      <w:r w:rsidR="00AC6703" w:rsidRPr="00F55BA6">
        <w:rPr>
          <w:rFonts w:asciiTheme="majorHAnsi" w:eastAsia="Times New Roman" w:hAnsiTheme="majorHAnsi" w:cstheme="majorHAnsi"/>
          <w:bCs/>
          <w:sz w:val="24"/>
          <w:szCs w:val="24"/>
          <w:lang w:val="ro-RO"/>
        </w:rPr>
        <w:t xml:space="preserve">. </w:t>
      </w:r>
    </w:p>
    <w:p w:rsidR="00AC6703" w:rsidRPr="00F55BA6" w:rsidRDefault="000951D9" w:rsidP="000830F8">
      <w:pPr>
        <w:pStyle w:val="ListParagraph"/>
        <w:tabs>
          <w:tab w:val="left" w:pos="142"/>
        </w:tabs>
        <w:spacing w:after="0" w:line="276" w:lineRule="auto"/>
        <w:ind w:left="0"/>
        <w:rPr>
          <w:rFonts w:asciiTheme="majorHAnsi" w:eastAsia="Times New Roman" w:hAnsiTheme="majorHAnsi" w:cstheme="majorHAnsi"/>
          <w:bCs/>
          <w:i/>
          <w:sz w:val="24"/>
          <w:szCs w:val="24"/>
          <w:lang w:val="ro-RO"/>
        </w:rPr>
      </w:pPr>
      <w:r w:rsidRPr="000951D9">
        <w:rPr>
          <w:rFonts w:asciiTheme="majorHAnsi" w:eastAsia="Times New Roman" w:hAnsiTheme="majorHAnsi" w:cstheme="majorHAnsi"/>
          <w:bCs/>
          <w:iCs/>
          <w:color w:val="000000" w:themeColor="text1"/>
          <w:sz w:val="24"/>
          <w:szCs w:val="24"/>
          <w:lang w:val="ro-RO"/>
        </w:rPr>
        <w:t>При исполнении средств за счет субсидий была допущена иммобилизация финансовых ресурсов в учреждениях-бенефициарах, на 31.12.2020</w:t>
      </w:r>
      <w:r w:rsidR="00EC4DD2">
        <w:rPr>
          <w:rFonts w:asciiTheme="majorHAnsi" w:eastAsia="Times New Roman" w:hAnsiTheme="majorHAnsi" w:cstheme="majorHAnsi"/>
          <w:bCs/>
          <w:iCs/>
          <w:color w:val="000000" w:themeColor="text1"/>
          <w:sz w:val="24"/>
          <w:szCs w:val="24"/>
          <w:lang w:val="ru-RU"/>
        </w:rPr>
        <w:t xml:space="preserve"> </w:t>
      </w:r>
      <w:r w:rsidRPr="000951D9">
        <w:rPr>
          <w:rFonts w:asciiTheme="majorHAnsi" w:eastAsia="Times New Roman" w:hAnsiTheme="majorHAnsi" w:cstheme="majorHAnsi"/>
          <w:bCs/>
          <w:iCs/>
          <w:color w:val="000000" w:themeColor="text1"/>
          <w:sz w:val="24"/>
          <w:szCs w:val="24"/>
          <w:lang w:val="ro-RO"/>
        </w:rPr>
        <w:t>-</w:t>
      </w:r>
      <w:r w:rsidR="00EC4DD2">
        <w:rPr>
          <w:rFonts w:asciiTheme="majorHAnsi" w:eastAsia="Times New Roman" w:hAnsiTheme="majorHAnsi" w:cstheme="majorHAnsi"/>
          <w:bCs/>
          <w:iCs/>
          <w:color w:val="000000" w:themeColor="text1"/>
          <w:sz w:val="24"/>
          <w:szCs w:val="24"/>
          <w:lang w:val="ru-RU"/>
        </w:rPr>
        <w:t xml:space="preserve"> </w:t>
      </w:r>
      <w:r w:rsidRPr="000951D9">
        <w:rPr>
          <w:rFonts w:asciiTheme="majorHAnsi" w:eastAsia="Times New Roman" w:hAnsiTheme="majorHAnsi" w:cstheme="majorHAnsi"/>
          <w:bCs/>
          <w:iCs/>
          <w:color w:val="000000" w:themeColor="text1"/>
          <w:sz w:val="24"/>
          <w:szCs w:val="24"/>
          <w:lang w:val="ro-RO"/>
        </w:rPr>
        <w:t xml:space="preserve">на сумму 325,9 млн. леев, на неопределенный срок и которые могут быть использованы </w:t>
      </w:r>
      <w:r w:rsidR="00EC4DD2">
        <w:rPr>
          <w:rFonts w:asciiTheme="majorHAnsi" w:eastAsia="Times New Roman" w:hAnsiTheme="majorHAnsi" w:cstheme="majorHAnsi"/>
          <w:bCs/>
          <w:iCs/>
          <w:color w:val="000000" w:themeColor="text1"/>
          <w:sz w:val="24"/>
          <w:szCs w:val="24"/>
          <w:lang w:val="ru-RU"/>
        </w:rPr>
        <w:t>не по их целевому</w:t>
      </w:r>
      <w:r w:rsidRPr="000951D9">
        <w:rPr>
          <w:rFonts w:asciiTheme="majorHAnsi" w:eastAsia="Times New Roman" w:hAnsiTheme="majorHAnsi" w:cstheme="majorHAnsi"/>
          <w:bCs/>
          <w:iCs/>
          <w:color w:val="000000" w:themeColor="text1"/>
          <w:sz w:val="24"/>
          <w:szCs w:val="24"/>
          <w:lang w:val="ro-RO"/>
        </w:rPr>
        <w:t xml:space="preserve"> назначению. Аудит констатировал, что некоторые учреждения</w:t>
      </w:r>
      <w:r w:rsidR="00EC4DD2" w:rsidRPr="00F55BA6">
        <w:rPr>
          <w:rStyle w:val="FootnoteReference"/>
          <w:rFonts w:asciiTheme="majorHAnsi" w:hAnsiTheme="majorHAnsi" w:cstheme="majorHAnsi"/>
          <w:sz w:val="24"/>
          <w:szCs w:val="24"/>
          <w:lang w:val="ro-RO"/>
        </w:rPr>
        <w:footnoteReference w:id="41"/>
      </w:r>
      <w:r w:rsidRPr="000951D9">
        <w:rPr>
          <w:rFonts w:asciiTheme="majorHAnsi" w:eastAsia="Times New Roman" w:hAnsiTheme="majorHAnsi" w:cstheme="majorHAnsi"/>
          <w:bCs/>
          <w:iCs/>
          <w:color w:val="000000" w:themeColor="text1"/>
          <w:sz w:val="24"/>
          <w:szCs w:val="24"/>
          <w:lang w:val="ro-RO"/>
        </w:rPr>
        <w:t xml:space="preserve"> в </w:t>
      </w:r>
      <w:r w:rsidR="00EC4DD2">
        <w:rPr>
          <w:rFonts w:asciiTheme="majorHAnsi" w:eastAsia="Times New Roman" w:hAnsiTheme="majorHAnsi" w:cstheme="majorHAnsi"/>
          <w:bCs/>
          <w:iCs/>
          <w:color w:val="000000" w:themeColor="text1"/>
          <w:sz w:val="24"/>
          <w:szCs w:val="24"/>
          <w:lang w:val="ru-RU"/>
        </w:rPr>
        <w:t>П</w:t>
      </w:r>
      <w:r w:rsidRPr="000951D9">
        <w:rPr>
          <w:rFonts w:asciiTheme="majorHAnsi" w:eastAsia="Times New Roman" w:hAnsiTheme="majorHAnsi" w:cstheme="majorHAnsi"/>
          <w:bCs/>
          <w:iCs/>
          <w:color w:val="000000" w:themeColor="text1"/>
          <w:sz w:val="24"/>
          <w:szCs w:val="24"/>
          <w:lang w:val="ro-RO"/>
        </w:rPr>
        <w:t xml:space="preserve">риложении </w:t>
      </w:r>
      <w:r w:rsidR="00517B11">
        <w:rPr>
          <w:rFonts w:asciiTheme="majorHAnsi" w:eastAsia="Times New Roman" w:hAnsiTheme="majorHAnsi" w:cstheme="majorHAnsi"/>
          <w:bCs/>
          <w:iCs/>
          <w:color w:val="000000" w:themeColor="text1"/>
          <w:sz w:val="24"/>
          <w:szCs w:val="24"/>
          <w:lang w:val="ro-RO"/>
        </w:rPr>
        <w:t>№</w:t>
      </w:r>
      <w:r w:rsidRPr="000951D9">
        <w:rPr>
          <w:rFonts w:asciiTheme="majorHAnsi" w:eastAsia="Times New Roman" w:hAnsiTheme="majorHAnsi" w:cstheme="majorHAnsi"/>
          <w:bCs/>
          <w:iCs/>
          <w:color w:val="000000" w:themeColor="text1"/>
          <w:sz w:val="24"/>
          <w:szCs w:val="24"/>
          <w:lang w:val="ro-RO"/>
        </w:rPr>
        <w:t xml:space="preserve">1 </w:t>
      </w:r>
      <w:r w:rsidR="00EC4DD2">
        <w:rPr>
          <w:rFonts w:asciiTheme="majorHAnsi" w:eastAsia="Times New Roman" w:hAnsiTheme="majorHAnsi" w:cstheme="majorHAnsi"/>
          <w:bCs/>
          <w:iCs/>
          <w:color w:val="000000" w:themeColor="text1"/>
          <w:sz w:val="24"/>
          <w:szCs w:val="24"/>
          <w:lang w:val="ru-RU"/>
        </w:rPr>
        <w:t>к</w:t>
      </w:r>
      <w:r w:rsidRPr="000951D9">
        <w:rPr>
          <w:rFonts w:asciiTheme="majorHAnsi" w:eastAsia="Times New Roman" w:hAnsiTheme="majorHAnsi" w:cstheme="majorHAnsi"/>
          <w:bCs/>
          <w:iCs/>
          <w:color w:val="000000" w:themeColor="text1"/>
          <w:sz w:val="24"/>
          <w:szCs w:val="24"/>
          <w:lang w:val="ro-RO"/>
        </w:rPr>
        <w:t xml:space="preserve"> </w:t>
      </w:r>
      <w:r w:rsidR="00EC4DD2">
        <w:rPr>
          <w:rFonts w:asciiTheme="majorHAnsi" w:eastAsia="Times New Roman" w:hAnsiTheme="majorHAnsi" w:cstheme="majorHAnsi"/>
          <w:bCs/>
          <w:iCs/>
          <w:color w:val="000000" w:themeColor="text1"/>
          <w:sz w:val="24"/>
          <w:szCs w:val="24"/>
          <w:lang w:val="ro-RO"/>
        </w:rPr>
        <w:t>пояснитеным запискам</w:t>
      </w:r>
      <w:r w:rsidRPr="000951D9">
        <w:rPr>
          <w:rFonts w:asciiTheme="majorHAnsi" w:eastAsia="Times New Roman" w:hAnsiTheme="majorHAnsi" w:cstheme="majorHAnsi"/>
          <w:bCs/>
          <w:iCs/>
          <w:color w:val="000000" w:themeColor="text1"/>
          <w:sz w:val="24"/>
          <w:szCs w:val="24"/>
          <w:lang w:val="ro-RO"/>
        </w:rPr>
        <w:t>, представленны</w:t>
      </w:r>
      <w:r w:rsidR="00EC4DD2">
        <w:rPr>
          <w:rFonts w:asciiTheme="majorHAnsi" w:eastAsia="Times New Roman" w:hAnsiTheme="majorHAnsi" w:cstheme="majorHAnsi"/>
          <w:bCs/>
          <w:iCs/>
          <w:color w:val="000000" w:themeColor="text1"/>
          <w:sz w:val="24"/>
          <w:szCs w:val="24"/>
          <w:lang w:val="ru-RU"/>
        </w:rPr>
        <w:t>м</w:t>
      </w:r>
      <w:r w:rsidRPr="000951D9">
        <w:rPr>
          <w:rFonts w:asciiTheme="majorHAnsi" w:eastAsia="Times New Roman" w:hAnsiTheme="majorHAnsi" w:cstheme="majorHAnsi"/>
          <w:bCs/>
          <w:iCs/>
          <w:color w:val="000000" w:themeColor="text1"/>
          <w:sz w:val="24"/>
          <w:szCs w:val="24"/>
          <w:lang w:val="ro-RO"/>
        </w:rPr>
        <w:t xml:space="preserve"> в МФ, внес</w:t>
      </w:r>
      <w:r w:rsidR="00EC4DD2">
        <w:rPr>
          <w:rFonts w:asciiTheme="majorHAnsi" w:eastAsia="Times New Roman" w:hAnsiTheme="majorHAnsi" w:cstheme="majorHAnsi"/>
          <w:bCs/>
          <w:iCs/>
          <w:color w:val="000000" w:themeColor="text1"/>
          <w:sz w:val="24"/>
          <w:szCs w:val="24"/>
          <w:lang w:val="ru-RU"/>
        </w:rPr>
        <w:t>ли</w:t>
      </w:r>
      <w:r w:rsidRPr="000951D9">
        <w:rPr>
          <w:rFonts w:asciiTheme="majorHAnsi" w:eastAsia="Times New Roman" w:hAnsiTheme="majorHAnsi" w:cstheme="majorHAnsi"/>
          <w:bCs/>
          <w:iCs/>
          <w:color w:val="000000" w:themeColor="text1"/>
          <w:sz w:val="24"/>
          <w:szCs w:val="24"/>
          <w:lang w:val="ro-RO"/>
        </w:rPr>
        <w:t xml:space="preserve"> изменения в </w:t>
      </w:r>
      <w:r w:rsidR="00EC4DD2">
        <w:rPr>
          <w:rFonts w:asciiTheme="majorHAnsi" w:eastAsia="Times New Roman" w:hAnsiTheme="majorHAnsi" w:cstheme="majorHAnsi"/>
          <w:bCs/>
          <w:iCs/>
          <w:color w:val="000000" w:themeColor="text1"/>
          <w:sz w:val="24"/>
          <w:szCs w:val="24"/>
          <w:lang w:val="ru-RU"/>
        </w:rPr>
        <w:t xml:space="preserve">сторону увеличения </w:t>
      </w:r>
      <w:r w:rsidRPr="000951D9">
        <w:rPr>
          <w:rFonts w:asciiTheme="majorHAnsi" w:eastAsia="Times New Roman" w:hAnsiTheme="majorHAnsi" w:cstheme="majorHAnsi"/>
          <w:bCs/>
          <w:iCs/>
          <w:color w:val="000000" w:themeColor="text1"/>
          <w:sz w:val="24"/>
          <w:szCs w:val="24"/>
          <w:lang w:val="ro-RO"/>
        </w:rPr>
        <w:t>на 18,4 млн. ле</w:t>
      </w:r>
      <w:r w:rsidR="00EC4DD2">
        <w:rPr>
          <w:rFonts w:asciiTheme="majorHAnsi" w:eastAsia="Times New Roman" w:hAnsiTheme="majorHAnsi" w:cstheme="majorHAnsi"/>
          <w:bCs/>
          <w:iCs/>
          <w:color w:val="000000" w:themeColor="text1"/>
          <w:sz w:val="24"/>
          <w:szCs w:val="24"/>
          <w:lang w:val="ru-RU"/>
        </w:rPr>
        <w:t>ев</w:t>
      </w:r>
      <w:r w:rsidRPr="000951D9">
        <w:rPr>
          <w:rFonts w:asciiTheme="majorHAnsi" w:eastAsia="Times New Roman" w:hAnsiTheme="majorHAnsi" w:cstheme="majorHAnsi"/>
          <w:bCs/>
          <w:iCs/>
          <w:color w:val="000000" w:themeColor="text1"/>
          <w:sz w:val="24"/>
          <w:szCs w:val="24"/>
          <w:lang w:val="ro-RO"/>
        </w:rPr>
        <w:t xml:space="preserve"> первоначальн</w:t>
      </w:r>
      <w:r w:rsidR="00EC4DD2">
        <w:rPr>
          <w:rFonts w:asciiTheme="majorHAnsi" w:eastAsia="Times New Roman" w:hAnsiTheme="majorHAnsi" w:cstheme="majorHAnsi"/>
          <w:bCs/>
          <w:iCs/>
          <w:color w:val="000000" w:themeColor="text1"/>
          <w:sz w:val="24"/>
          <w:szCs w:val="24"/>
          <w:lang w:val="ru-RU"/>
        </w:rPr>
        <w:t>ого</w:t>
      </w:r>
      <w:r w:rsidRPr="000951D9">
        <w:rPr>
          <w:rFonts w:asciiTheme="majorHAnsi" w:eastAsia="Times New Roman" w:hAnsiTheme="majorHAnsi" w:cstheme="majorHAnsi"/>
          <w:bCs/>
          <w:iCs/>
          <w:color w:val="000000" w:themeColor="text1"/>
          <w:sz w:val="24"/>
          <w:szCs w:val="24"/>
          <w:lang w:val="ro-RO"/>
        </w:rPr>
        <w:t xml:space="preserve"> остат</w:t>
      </w:r>
      <w:r w:rsidR="00EC4DD2">
        <w:rPr>
          <w:rFonts w:asciiTheme="majorHAnsi" w:eastAsia="Times New Roman" w:hAnsiTheme="majorHAnsi" w:cstheme="majorHAnsi"/>
          <w:bCs/>
          <w:iCs/>
          <w:color w:val="000000" w:themeColor="text1"/>
          <w:sz w:val="24"/>
          <w:szCs w:val="24"/>
          <w:lang w:val="ru-RU"/>
        </w:rPr>
        <w:t>ка</w:t>
      </w:r>
      <w:r w:rsidRPr="000951D9">
        <w:rPr>
          <w:rFonts w:asciiTheme="majorHAnsi" w:eastAsia="Times New Roman" w:hAnsiTheme="majorHAnsi" w:cstheme="majorHAnsi"/>
          <w:bCs/>
          <w:iCs/>
          <w:color w:val="000000" w:themeColor="text1"/>
          <w:sz w:val="24"/>
          <w:szCs w:val="24"/>
          <w:lang w:val="ro-RO"/>
        </w:rPr>
        <w:t xml:space="preserve"> денежных средств по сравнению с итоговым балансом, </w:t>
      </w:r>
      <w:r w:rsidR="00753BCF">
        <w:rPr>
          <w:rFonts w:asciiTheme="majorHAnsi" w:eastAsia="Times New Roman" w:hAnsiTheme="majorHAnsi" w:cstheme="majorHAnsi"/>
          <w:bCs/>
          <w:iCs/>
          <w:color w:val="000000" w:themeColor="text1"/>
          <w:sz w:val="24"/>
          <w:szCs w:val="24"/>
          <w:lang w:val="ru-RU"/>
        </w:rPr>
        <w:t>отраженным в отчетности за</w:t>
      </w:r>
      <w:r w:rsidRPr="000951D9">
        <w:rPr>
          <w:rFonts w:asciiTheme="majorHAnsi" w:eastAsia="Times New Roman" w:hAnsiTheme="majorHAnsi" w:cstheme="majorHAnsi"/>
          <w:bCs/>
          <w:iCs/>
          <w:color w:val="000000" w:themeColor="text1"/>
          <w:sz w:val="24"/>
          <w:szCs w:val="24"/>
          <w:lang w:val="ro-RO"/>
        </w:rPr>
        <w:t xml:space="preserve"> предыдущ</w:t>
      </w:r>
      <w:r w:rsidR="00753BCF">
        <w:rPr>
          <w:rFonts w:asciiTheme="majorHAnsi" w:eastAsia="Times New Roman" w:hAnsiTheme="majorHAnsi" w:cstheme="majorHAnsi"/>
          <w:bCs/>
          <w:iCs/>
          <w:color w:val="000000" w:themeColor="text1"/>
          <w:sz w:val="24"/>
          <w:szCs w:val="24"/>
          <w:lang w:val="ru-RU"/>
        </w:rPr>
        <w:t>ий</w:t>
      </w:r>
      <w:r w:rsidRPr="000951D9">
        <w:rPr>
          <w:rFonts w:asciiTheme="majorHAnsi" w:eastAsia="Times New Roman" w:hAnsiTheme="majorHAnsi" w:cstheme="majorHAnsi"/>
          <w:bCs/>
          <w:iCs/>
          <w:color w:val="000000" w:themeColor="text1"/>
          <w:sz w:val="24"/>
          <w:szCs w:val="24"/>
          <w:lang w:val="ro-RO"/>
        </w:rPr>
        <w:t xml:space="preserve"> год. </w:t>
      </w:r>
      <w:r w:rsidRPr="00753BCF">
        <w:rPr>
          <w:rFonts w:asciiTheme="majorHAnsi" w:eastAsia="Times New Roman" w:hAnsiTheme="majorHAnsi" w:cstheme="majorHAnsi"/>
          <w:bCs/>
          <w:i/>
          <w:iCs/>
          <w:color w:val="000000" w:themeColor="text1"/>
          <w:sz w:val="24"/>
          <w:szCs w:val="24"/>
          <w:lang w:val="ro-RO"/>
        </w:rPr>
        <w:t xml:space="preserve">Синтез исполненных </w:t>
      </w:r>
      <w:r w:rsidR="00753BCF" w:rsidRPr="00753BCF">
        <w:rPr>
          <w:rFonts w:asciiTheme="majorHAnsi" w:eastAsia="Times New Roman" w:hAnsiTheme="majorHAnsi" w:cstheme="majorHAnsi"/>
          <w:bCs/>
          <w:i/>
          <w:iCs/>
          <w:color w:val="000000" w:themeColor="text1"/>
          <w:sz w:val="24"/>
          <w:szCs w:val="24"/>
          <w:lang w:val="ro-RO"/>
        </w:rPr>
        <w:t>субсидий</w:t>
      </w:r>
      <w:r w:rsidR="00753BCF" w:rsidRPr="00753BCF">
        <w:rPr>
          <w:rFonts w:asciiTheme="majorHAnsi" w:eastAsia="Times New Roman" w:hAnsiTheme="majorHAnsi" w:cstheme="majorHAnsi"/>
          <w:bCs/>
          <w:i/>
          <w:iCs/>
          <w:color w:val="000000" w:themeColor="text1"/>
          <w:sz w:val="24"/>
          <w:szCs w:val="24"/>
          <w:lang w:val="ru-RU"/>
        </w:rPr>
        <w:t xml:space="preserve"> из</w:t>
      </w:r>
      <w:r w:rsidRPr="00753BCF">
        <w:rPr>
          <w:rFonts w:asciiTheme="majorHAnsi" w:eastAsia="Times New Roman" w:hAnsiTheme="majorHAnsi" w:cstheme="majorHAnsi"/>
          <w:bCs/>
          <w:i/>
          <w:iCs/>
          <w:color w:val="000000" w:themeColor="text1"/>
          <w:sz w:val="24"/>
          <w:szCs w:val="24"/>
          <w:lang w:val="ro-RO"/>
        </w:rPr>
        <w:t xml:space="preserve"> </w:t>
      </w:r>
      <w:r w:rsidR="008F632D" w:rsidRPr="00753BCF">
        <w:rPr>
          <w:rFonts w:asciiTheme="majorHAnsi" w:eastAsia="Times New Roman" w:hAnsiTheme="majorHAnsi" w:cstheme="majorHAnsi"/>
          <w:bCs/>
          <w:i/>
          <w:iCs/>
          <w:color w:val="000000" w:themeColor="text1"/>
          <w:sz w:val="24"/>
          <w:szCs w:val="24"/>
          <w:lang w:val="ro-RO"/>
        </w:rPr>
        <w:t>ГБ</w:t>
      </w:r>
      <w:r w:rsidRPr="00753BCF">
        <w:rPr>
          <w:rFonts w:asciiTheme="majorHAnsi" w:eastAsia="Times New Roman" w:hAnsiTheme="majorHAnsi" w:cstheme="majorHAnsi"/>
          <w:bCs/>
          <w:i/>
          <w:iCs/>
          <w:color w:val="000000" w:themeColor="text1"/>
          <w:sz w:val="24"/>
          <w:szCs w:val="24"/>
          <w:lang w:val="ro-RO"/>
        </w:rPr>
        <w:t xml:space="preserve"> </w:t>
      </w:r>
      <w:r w:rsidR="00753BCF" w:rsidRPr="00753BCF">
        <w:rPr>
          <w:rFonts w:asciiTheme="majorHAnsi" w:eastAsia="Times New Roman" w:hAnsiTheme="majorHAnsi" w:cstheme="majorHAnsi"/>
          <w:bCs/>
          <w:i/>
          <w:iCs/>
          <w:color w:val="000000" w:themeColor="text1"/>
          <w:sz w:val="24"/>
          <w:szCs w:val="24"/>
          <w:lang w:val="ru-RU"/>
        </w:rPr>
        <w:t>за</w:t>
      </w:r>
      <w:r w:rsidRPr="00753BCF">
        <w:rPr>
          <w:rFonts w:asciiTheme="majorHAnsi" w:eastAsia="Times New Roman" w:hAnsiTheme="majorHAnsi" w:cstheme="majorHAnsi"/>
          <w:bCs/>
          <w:i/>
          <w:iCs/>
          <w:color w:val="000000" w:themeColor="text1"/>
          <w:sz w:val="24"/>
          <w:szCs w:val="24"/>
          <w:lang w:val="ro-RO"/>
        </w:rPr>
        <w:t xml:space="preserve"> 2020 год, и остатки </w:t>
      </w:r>
      <w:r w:rsidRPr="00753BCF">
        <w:rPr>
          <w:rFonts w:asciiTheme="majorHAnsi" w:eastAsia="Times New Roman" w:hAnsiTheme="majorHAnsi" w:cstheme="majorHAnsi"/>
          <w:bCs/>
          <w:i/>
          <w:iCs/>
          <w:color w:val="000000" w:themeColor="text1"/>
          <w:sz w:val="24"/>
          <w:szCs w:val="24"/>
          <w:lang w:val="ro-RO"/>
        </w:rPr>
        <w:lastRenderedPageBreak/>
        <w:t>денежных средств, накопленны</w:t>
      </w:r>
      <w:r w:rsidR="00753BCF" w:rsidRPr="00753BCF">
        <w:rPr>
          <w:rFonts w:asciiTheme="majorHAnsi" w:eastAsia="Times New Roman" w:hAnsiTheme="majorHAnsi" w:cstheme="majorHAnsi"/>
          <w:bCs/>
          <w:i/>
          <w:iCs/>
          <w:color w:val="000000" w:themeColor="text1"/>
          <w:sz w:val="24"/>
          <w:szCs w:val="24"/>
          <w:lang w:val="ru-RU"/>
        </w:rPr>
        <w:t>е</w:t>
      </w:r>
      <w:r w:rsidRPr="00753BCF">
        <w:rPr>
          <w:rFonts w:asciiTheme="majorHAnsi" w:eastAsia="Times New Roman" w:hAnsiTheme="majorHAnsi" w:cstheme="majorHAnsi"/>
          <w:bCs/>
          <w:i/>
          <w:iCs/>
          <w:color w:val="000000" w:themeColor="text1"/>
          <w:sz w:val="24"/>
          <w:szCs w:val="24"/>
          <w:lang w:val="ro-RO"/>
        </w:rPr>
        <w:t xml:space="preserve"> у </w:t>
      </w:r>
      <w:r w:rsidR="00753BCF" w:rsidRPr="00753BCF">
        <w:rPr>
          <w:rFonts w:asciiTheme="majorHAnsi" w:eastAsia="Times New Roman" w:hAnsiTheme="majorHAnsi" w:cstheme="majorHAnsi"/>
          <w:bCs/>
          <w:i/>
          <w:iCs/>
          <w:color w:val="000000" w:themeColor="text1"/>
          <w:sz w:val="24"/>
          <w:szCs w:val="24"/>
          <w:lang w:val="ru-RU"/>
        </w:rPr>
        <w:t>получателей</w:t>
      </w:r>
      <w:r w:rsidRPr="00753BCF">
        <w:rPr>
          <w:rFonts w:asciiTheme="majorHAnsi" w:eastAsia="Times New Roman" w:hAnsiTheme="majorHAnsi" w:cstheme="majorHAnsi"/>
          <w:bCs/>
          <w:i/>
          <w:iCs/>
          <w:color w:val="000000" w:themeColor="text1"/>
          <w:sz w:val="24"/>
          <w:szCs w:val="24"/>
          <w:lang w:val="ro-RO"/>
        </w:rPr>
        <w:t xml:space="preserve"> субсид</w:t>
      </w:r>
      <w:r w:rsidR="00753BCF" w:rsidRPr="00753BCF">
        <w:rPr>
          <w:rFonts w:asciiTheme="majorHAnsi" w:eastAsia="Times New Roman" w:hAnsiTheme="majorHAnsi" w:cstheme="majorHAnsi"/>
          <w:bCs/>
          <w:i/>
          <w:iCs/>
          <w:color w:val="000000" w:themeColor="text1"/>
          <w:sz w:val="24"/>
          <w:szCs w:val="24"/>
          <w:lang w:val="ro-RO"/>
        </w:rPr>
        <w:t>ий, представлены в Приложении №</w:t>
      </w:r>
      <w:r w:rsidRPr="00753BCF">
        <w:rPr>
          <w:rFonts w:asciiTheme="majorHAnsi" w:eastAsia="Times New Roman" w:hAnsiTheme="majorHAnsi" w:cstheme="majorHAnsi"/>
          <w:bCs/>
          <w:i/>
          <w:iCs/>
          <w:color w:val="000000" w:themeColor="text1"/>
          <w:sz w:val="24"/>
          <w:szCs w:val="24"/>
          <w:lang w:val="ro-RO"/>
        </w:rPr>
        <w:t xml:space="preserve">5 </w:t>
      </w:r>
      <w:r w:rsidR="00753BCF" w:rsidRPr="00753BCF">
        <w:rPr>
          <w:rFonts w:asciiTheme="majorHAnsi" w:eastAsia="Times New Roman" w:hAnsiTheme="majorHAnsi" w:cstheme="majorHAnsi"/>
          <w:bCs/>
          <w:i/>
          <w:iCs/>
          <w:color w:val="000000" w:themeColor="text1"/>
          <w:sz w:val="24"/>
          <w:szCs w:val="24"/>
          <w:lang w:val="ru-RU"/>
        </w:rPr>
        <w:t>к</w:t>
      </w:r>
      <w:r w:rsidRPr="00753BCF">
        <w:rPr>
          <w:rFonts w:asciiTheme="majorHAnsi" w:eastAsia="Times New Roman" w:hAnsiTheme="majorHAnsi" w:cstheme="majorHAnsi"/>
          <w:bCs/>
          <w:i/>
          <w:iCs/>
          <w:color w:val="000000" w:themeColor="text1"/>
          <w:sz w:val="24"/>
          <w:szCs w:val="24"/>
          <w:lang w:val="ro-RO"/>
        </w:rPr>
        <w:t xml:space="preserve"> настоящем</w:t>
      </w:r>
      <w:r w:rsidR="00753BCF" w:rsidRPr="00753BCF">
        <w:rPr>
          <w:rFonts w:asciiTheme="majorHAnsi" w:eastAsia="Times New Roman" w:hAnsiTheme="majorHAnsi" w:cstheme="majorHAnsi"/>
          <w:bCs/>
          <w:i/>
          <w:iCs/>
          <w:color w:val="000000" w:themeColor="text1"/>
          <w:sz w:val="24"/>
          <w:szCs w:val="24"/>
          <w:lang w:val="ru-RU"/>
        </w:rPr>
        <w:t>у</w:t>
      </w:r>
      <w:r w:rsidRPr="00753BCF">
        <w:rPr>
          <w:rFonts w:asciiTheme="majorHAnsi" w:eastAsia="Times New Roman" w:hAnsiTheme="majorHAnsi" w:cstheme="majorHAnsi"/>
          <w:bCs/>
          <w:i/>
          <w:iCs/>
          <w:color w:val="000000" w:themeColor="text1"/>
          <w:sz w:val="24"/>
          <w:szCs w:val="24"/>
          <w:lang w:val="ro-RO"/>
        </w:rPr>
        <w:t xml:space="preserve"> </w:t>
      </w:r>
      <w:r w:rsidR="00753BCF" w:rsidRPr="00753BCF">
        <w:rPr>
          <w:rFonts w:asciiTheme="majorHAnsi" w:eastAsia="Times New Roman" w:hAnsiTheme="majorHAnsi" w:cstheme="majorHAnsi"/>
          <w:bCs/>
          <w:i/>
          <w:iCs/>
          <w:color w:val="000000" w:themeColor="text1"/>
          <w:sz w:val="24"/>
          <w:szCs w:val="24"/>
          <w:lang w:val="ru-RU"/>
        </w:rPr>
        <w:t>О</w:t>
      </w:r>
      <w:r w:rsidRPr="00753BCF">
        <w:rPr>
          <w:rFonts w:asciiTheme="majorHAnsi" w:eastAsia="Times New Roman" w:hAnsiTheme="majorHAnsi" w:cstheme="majorHAnsi"/>
          <w:bCs/>
          <w:i/>
          <w:iCs/>
          <w:color w:val="000000" w:themeColor="text1"/>
          <w:sz w:val="24"/>
          <w:szCs w:val="24"/>
          <w:lang w:val="ro-RO"/>
        </w:rPr>
        <w:t>тчет</w:t>
      </w:r>
      <w:r w:rsidR="00753BCF" w:rsidRPr="00753BCF">
        <w:rPr>
          <w:rFonts w:asciiTheme="majorHAnsi" w:eastAsia="Times New Roman" w:hAnsiTheme="majorHAnsi" w:cstheme="majorHAnsi"/>
          <w:bCs/>
          <w:i/>
          <w:iCs/>
          <w:color w:val="000000" w:themeColor="text1"/>
          <w:sz w:val="24"/>
          <w:szCs w:val="24"/>
          <w:lang w:val="ru-RU"/>
        </w:rPr>
        <w:t>у</w:t>
      </w:r>
      <w:r w:rsidRPr="00753BCF">
        <w:rPr>
          <w:rFonts w:asciiTheme="majorHAnsi" w:eastAsia="Times New Roman" w:hAnsiTheme="majorHAnsi" w:cstheme="majorHAnsi"/>
          <w:bCs/>
          <w:i/>
          <w:iCs/>
          <w:color w:val="000000" w:themeColor="text1"/>
          <w:sz w:val="24"/>
          <w:szCs w:val="24"/>
          <w:lang w:val="ro-RO"/>
        </w:rPr>
        <w:t xml:space="preserve"> аудита</w:t>
      </w:r>
      <w:r w:rsidRPr="000951D9">
        <w:rPr>
          <w:rFonts w:asciiTheme="majorHAnsi" w:eastAsia="Times New Roman" w:hAnsiTheme="majorHAnsi" w:cstheme="majorHAnsi"/>
          <w:bCs/>
          <w:iCs/>
          <w:color w:val="000000" w:themeColor="text1"/>
          <w:sz w:val="24"/>
          <w:szCs w:val="24"/>
          <w:lang w:val="ro-RO"/>
        </w:rPr>
        <w:t>.</w:t>
      </w:r>
      <w:r>
        <w:rPr>
          <w:rFonts w:asciiTheme="majorHAnsi" w:eastAsia="Times New Roman" w:hAnsiTheme="majorHAnsi" w:cstheme="majorHAnsi"/>
          <w:bCs/>
          <w:iCs/>
          <w:color w:val="000000" w:themeColor="text1"/>
          <w:sz w:val="24"/>
          <w:szCs w:val="24"/>
          <w:lang w:val="ru-RU"/>
        </w:rPr>
        <w:t xml:space="preserve"> </w:t>
      </w:r>
    </w:p>
    <w:p w:rsidR="00AC6703" w:rsidRPr="00B76B9A" w:rsidRDefault="000951D9" w:rsidP="00E95A20">
      <w:pPr>
        <w:spacing w:after="0" w:line="240" w:lineRule="auto"/>
        <w:rPr>
          <w:rFonts w:asciiTheme="majorHAnsi" w:hAnsiTheme="majorHAnsi" w:cstheme="majorHAnsi"/>
          <w:sz w:val="24"/>
          <w:szCs w:val="24"/>
          <w:lang w:val="ru-MD"/>
        </w:rPr>
      </w:pPr>
      <w:r w:rsidRPr="00B76B9A">
        <w:rPr>
          <w:rFonts w:asciiTheme="majorHAnsi" w:hAnsiTheme="majorHAnsi" w:cstheme="majorHAnsi"/>
          <w:sz w:val="24"/>
          <w:szCs w:val="24"/>
          <w:lang w:val="ru-MD"/>
        </w:rPr>
        <w:t xml:space="preserve">Согласно Закону </w:t>
      </w:r>
      <w:r w:rsidR="00E95A20" w:rsidRPr="00B76B9A">
        <w:rPr>
          <w:rFonts w:asciiTheme="majorHAnsi" w:hAnsiTheme="majorHAnsi" w:cstheme="majorHAnsi"/>
          <w:sz w:val="24"/>
          <w:szCs w:val="24"/>
          <w:lang w:val="ru-MD"/>
        </w:rPr>
        <w:t>о</w:t>
      </w:r>
      <w:r w:rsidRPr="00B76B9A">
        <w:rPr>
          <w:rFonts w:asciiTheme="majorHAnsi" w:hAnsiTheme="majorHAnsi" w:cstheme="majorHAnsi"/>
          <w:sz w:val="24"/>
          <w:szCs w:val="24"/>
          <w:lang w:val="ru-MD"/>
        </w:rPr>
        <w:t xml:space="preserve"> государственном бюджете на 2020 год, изначально </w:t>
      </w:r>
      <w:r w:rsidR="00E95A20" w:rsidRPr="00B76B9A">
        <w:rPr>
          <w:rFonts w:asciiTheme="majorHAnsi" w:hAnsiTheme="majorHAnsi" w:cstheme="majorHAnsi"/>
          <w:sz w:val="24"/>
          <w:szCs w:val="24"/>
          <w:lang w:val="ru-MD"/>
        </w:rPr>
        <w:t>по позиции „Предоставленные гранты”</w:t>
      </w:r>
      <w:r w:rsidR="00E95A20" w:rsidRPr="00B76B9A">
        <w:rPr>
          <w:rStyle w:val="FootnoteReference"/>
          <w:rFonts w:asciiTheme="majorHAnsi" w:hAnsiTheme="majorHAnsi" w:cstheme="majorHAnsi"/>
          <w:sz w:val="24"/>
          <w:szCs w:val="24"/>
          <w:lang w:val="ru-MD"/>
        </w:rPr>
        <w:footnoteReference w:id="42"/>
      </w:r>
      <w:r w:rsidR="00D63656">
        <w:rPr>
          <w:rFonts w:ascii="Calibri Light" w:eastAsia="Times New Roman" w:hAnsi="Calibri Light" w:cstheme="majorHAnsi"/>
          <w:bCs/>
          <w:iCs/>
          <w:sz w:val="24"/>
          <w:szCs w:val="24"/>
          <w:vertAlign w:val="superscript"/>
          <w:lang w:val="ru-MD"/>
        </w:rPr>
        <w:t xml:space="preserve"> </w:t>
      </w:r>
      <w:r w:rsidR="00E95A20" w:rsidRPr="00B76B9A">
        <w:rPr>
          <w:rFonts w:asciiTheme="majorHAnsi" w:hAnsiTheme="majorHAnsi" w:cstheme="majorHAnsi"/>
          <w:sz w:val="24"/>
          <w:szCs w:val="24"/>
          <w:lang w:val="ru-MD"/>
        </w:rPr>
        <w:t xml:space="preserve">были утверждены ассигнования </w:t>
      </w:r>
      <w:r w:rsidRPr="00B76B9A">
        <w:rPr>
          <w:rFonts w:asciiTheme="majorHAnsi" w:hAnsiTheme="majorHAnsi" w:cstheme="majorHAnsi"/>
          <w:sz w:val="24"/>
          <w:szCs w:val="24"/>
          <w:lang w:val="ru-MD"/>
        </w:rPr>
        <w:t>в размере 54,2 млн. леев</w:t>
      </w:r>
      <w:r w:rsidR="00E95A20" w:rsidRPr="00B76B9A">
        <w:rPr>
          <w:rFonts w:asciiTheme="majorHAnsi" w:hAnsiTheme="majorHAnsi" w:cstheme="majorHAnsi"/>
          <w:sz w:val="24"/>
          <w:szCs w:val="24"/>
          <w:lang w:val="ru-MD"/>
        </w:rPr>
        <w:t>,</w:t>
      </w:r>
      <w:r w:rsidRPr="00B76B9A">
        <w:rPr>
          <w:rFonts w:asciiTheme="majorHAnsi" w:hAnsiTheme="majorHAnsi" w:cstheme="majorHAnsi"/>
          <w:sz w:val="24"/>
          <w:szCs w:val="24"/>
          <w:lang w:val="ru-MD"/>
        </w:rPr>
        <w:t xml:space="preserve"> впоследствии были уточнены в сумме 312,7 млн. леев, </w:t>
      </w:r>
      <w:r w:rsidR="00B76B9A" w:rsidRPr="00B76B9A">
        <w:rPr>
          <w:rFonts w:asciiTheme="majorHAnsi" w:hAnsiTheme="majorHAnsi" w:cstheme="majorHAnsi"/>
          <w:sz w:val="24"/>
          <w:szCs w:val="24"/>
          <w:lang w:val="ru-MD"/>
        </w:rPr>
        <w:t xml:space="preserve">а </w:t>
      </w:r>
      <w:r w:rsidRPr="00B76B9A">
        <w:rPr>
          <w:rFonts w:asciiTheme="majorHAnsi" w:hAnsiTheme="majorHAnsi" w:cstheme="majorHAnsi"/>
          <w:sz w:val="24"/>
          <w:szCs w:val="24"/>
          <w:lang w:val="ru-MD"/>
        </w:rPr>
        <w:t>исполнен</w:t>
      </w:r>
      <w:r w:rsidR="00B76B9A" w:rsidRPr="00B76B9A">
        <w:rPr>
          <w:rFonts w:asciiTheme="majorHAnsi" w:hAnsiTheme="majorHAnsi" w:cstheme="majorHAnsi"/>
          <w:sz w:val="24"/>
          <w:szCs w:val="24"/>
          <w:lang w:val="ru-MD"/>
        </w:rPr>
        <w:t>ы</w:t>
      </w:r>
      <w:r w:rsidRPr="00B76B9A">
        <w:rPr>
          <w:rFonts w:asciiTheme="majorHAnsi" w:hAnsiTheme="majorHAnsi" w:cstheme="majorHAnsi"/>
          <w:sz w:val="24"/>
          <w:szCs w:val="24"/>
          <w:lang w:val="ru-MD"/>
        </w:rPr>
        <w:t xml:space="preserve"> в сумме 248,5 млн. леев, или на уровне 79,5% от у</w:t>
      </w:r>
      <w:r w:rsidR="00B76B9A" w:rsidRPr="00B76B9A">
        <w:rPr>
          <w:rFonts w:asciiTheme="majorHAnsi" w:hAnsiTheme="majorHAnsi" w:cstheme="majorHAnsi"/>
          <w:sz w:val="24"/>
          <w:szCs w:val="24"/>
          <w:lang w:val="ru-MD"/>
        </w:rPr>
        <w:t>точне</w:t>
      </w:r>
      <w:r w:rsidRPr="00B76B9A">
        <w:rPr>
          <w:rFonts w:asciiTheme="majorHAnsi" w:hAnsiTheme="majorHAnsi" w:cstheme="majorHAnsi"/>
          <w:sz w:val="24"/>
          <w:szCs w:val="24"/>
          <w:lang w:val="ru-MD"/>
        </w:rPr>
        <w:t xml:space="preserve">нной суммы и 458,5% от утвержденной суммы. Аудит </w:t>
      </w:r>
      <w:r w:rsidR="00B76B9A" w:rsidRPr="00B76B9A">
        <w:rPr>
          <w:rFonts w:asciiTheme="majorHAnsi" w:hAnsiTheme="majorHAnsi" w:cstheme="majorHAnsi"/>
          <w:sz w:val="24"/>
          <w:szCs w:val="24"/>
          <w:lang w:val="ru-MD"/>
        </w:rPr>
        <w:t>отмеча</w:t>
      </w:r>
      <w:r w:rsidRPr="00B76B9A">
        <w:rPr>
          <w:rFonts w:asciiTheme="majorHAnsi" w:hAnsiTheme="majorHAnsi" w:cstheme="majorHAnsi"/>
          <w:sz w:val="24"/>
          <w:szCs w:val="24"/>
          <w:lang w:val="ru-MD"/>
        </w:rPr>
        <w:t xml:space="preserve">ет, что, </w:t>
      </w:r>
      <w:proofErr w:type="gramStart"/>
      <w:r w:rsidRPr="00B76B9A">
        <w:rPr>
          <w:rFonts w:asciiTheme="majorHAnsi" w:hAnsiTheme="majorHAnsi" w:cstheme="majorHAnsi"/>
          <w:sz w:val="24"/>
          <w:szCs w:val="24"/>
          <w:lang w:val="ru-MD"/>
        </w:rPr>
        <w:t>хотя</w:t>
      </w:r>
      <w:proofErr w:type="gramEnd"/>
      <w:r w:rsidRPr="00B76B9A">
        <w:rPr>
          <w:rFonts w:asciiTheme="majorHAnsi" w:hAnsiTheme="majorHAnsi" w:cstheme="majorHAnsi"/>
          <w:sz w:val="24"/>
          <w:szCs w:val="24"/>
          <w:lang w:val="ru-MD"/>
        </w:rPr>
        <w:t xml:space="preserve"> </w:t>
      </w:r>
      <w:r w:rsidR="00B76B9A" w:rsidRPr="00B76B9A">
        <w:rPr>
          <w:rFonts w:asciiTheme="majorHAnsi" w:hAnsiTheme="majorHAnsi" w:cstheme="majorHAnsi"/>
          <w:sz w:val="24"/>
          <w:szCs w:val="24"/>
          <w:lang w:val="ru-MD"/>
        </w:rPr>
        <w:t xml:space="preserve">начиная </w:t>
      </w:r>
      <w:r w:rsidRPr="00B76B9A">
        <w:rPr>
          <w:rFonts w:asciiTheme="majorHAnsi" w:hAnsiTheme="majorHAnsi" w:cstheme="majorHAnsi"/>
          <w:sz w:val="24"/>
          <w:szCs w:val="24"/>
          <w:lang w:val="ru-MD"/>
        </w:rPr>
        <w:t xml:space="preserve">с 08.10.2019 года был исключен экономический код 263000 </w:t>
      </w:r>
      <w:r w:rsidR="00B76B9A" w:rsidRPr="00B76B9A">
        <w:rPr>
          <w:rFonts w:asciiTheme="majorHAnsi" w:hAnsiTheme="majorHAnsi" w:cstheme="majorHAnsi"/>
          <w:sz w:val="24"/>
          <w:szCs w:val="24"/>
          <w:lang w:val="ru-MD"/>
        </w:rPr>
        <w:t>из б</w:t>
      </w:r>
      <w:r w:rsidRPr="00B76B9A">
        <w:rPr>
          <w:rFonts w:asciiTheme="majorHAnsi" w:hAnsiTheme="majorHAnsi" w:cstheme="majorHAnsi"/>
          <w:sz w:val="24"/>
          <w:szCs w:val="24"/>
          <w:lang w:val="ru-MD"/>
        </w:rPr>
        <w:t xml:space="preserve">юджетной классификации, </w:t>
      </w:r>
      <w:r w:rsidR="00B76B9A" w:rsidRPr="00B76B9A">
        <w:rPr>
          <w:rFonts w:asciiTheme="majorHAnsi" w:hAnsiTheme="majorHAnsi" w:cstheme="majorHAnsi"/>
          <w:sz w:val="24"/>
          <w:szCs w:val="24"/>
          <w:lang w:val="ru-MD"/>
        </w:rPr>
        <w:t xml:space="preserve">были </w:t>
      </w:r>
      <w:r w:rsidRPr="00B76B9A">
        <w:rPr>
          <w:rFonts w:asciiTheme="majorHAnsi" w:hAnsiTheme="majorHAnsi" w:cstheme="majorHAnsi"/>
          <w:sz w:val="24"/>
          <w:szCs w:val="24"/>
          <w:lang w:val="ru-MD"/>
        </w:rPr>
        <w:t xml:space="preserve">запланированы бюджетные ассигнования на сумму 21,7 млн. леев, а при </w:t>
      </w:r>
      <w:r w:rsidR="00B76B9A" w:rsidRPr="00B76B9A">
        <w:rPr>
          <w:rFonts w:asciiTheme="majorHAnsi" w:hAnsiTheme="majorHAnsi" w:cstheme="majorHAnsi"/>
          <w:sz w:val="24"/>
          <w:szCs w:val="24"/>
          <w:lang w:val="ru-MD"/>
        </w:rPr>
        <w:t>уточн</w:t>
      </w:r>
      <w:r w:rsidRPr="00B76B9A">
        <w:rPr>
          <w:rFonts w:asciiTheme="majorHAnsi" w:hAnsiTheme="majorHAnsi" w:cstheme="majorHAnsi"/>
          <w:sz w:val="24"/>
          <w:szCs w:val="24"/>
          <w:lang w:val="ru-MD"/>
        </w:rPr>
        <w:t>ении бюджета были исключены</w:t>
      </w:r>
      <w:r w:rsidR="00AC6703" w:rsidRPr="00B76B9A">
        <w:rPr>
          <w:rFonts w:asciiTheme="majorHAnsi" w:hAnsiTheme="majorHAnsi" w:cstheme="majorHAnsi"/>
          <w:sz w:val="24"/>
          <w:szCs w:val="24"/>
          <w:lang w:val="ru-MD"/>
        </w:rPr>
        <w:t>.</w:t>
      </w:r>
      <w:r w:rsidR="00AC6703" w:rsidRPr="00B76B9A">
        <w:rPr>
          <w:rFonts w:asciiTheme="majorHAnsi" w:hAnsiTheme="majorHAnsi" w:cstheme="majorHAnsi"/>
          <w:i/>
          <w:sz w:val="24"/>
          <w:szCs w:val="24"/>
          <w:lang w:val="ru-MD"/>
        </w:rPr>
        <w:t xml:space="preserve"> </w:t>
      </w:r>
    </w:p>
    <w:p w:rsidR="00AC6703" w:rsidRPr="00F55BA6" w:rsidRDefault="000951D9" w:rsidP="00CB512D">
      <w:pPr>
        <w:tabs>
          <w:tab w:val="left" w:pos="851"/>
        </w:tabs>
        <w:spacing w:line="276" w:lineRule="auto"/>
        <w:contextualSpacing/>
        <w:rPr>
          <w:rFonts w:asciiTheme="majorHAnsi" w:eastAsia="Times New Roman" w:hAnsiTheme="majorHAnsi" w:cstheme="majorHAnsi"/>
          <w:bCs/>
          <w:iCs/>
          <w:sz w:val="24"/>
          <w:szCs w:val="24"/>
          <w:lang w:val="ro-RO"/>
        </w:rPr>
      </w:pPr>
      <w:r w:rsidRPr="000951D9">
        <w:rPr>
          <w:rFonts w:asciiTheme="majorHAnsi" w:eastAsia="Times New Roman" w:hAnsiTheme="majorHAnsi" w:cstheme="majorHAnsi"/>
          <w:bCs/>
          <w:iCs/>
          <w:sz w:val="24"/>
          <w:szCs w:val="24"/>
          <w:lang w:val="ro-RO"/>
        </w:rPr>
        <w:t>В 2020 году на реконструкцию Национальной филармонии им. Сергея Лункевича были накоплены денежные средства в виде пожертвовани</w:t>
      </w:r>
      <w:r w:rsidR="00D63656">
        <w:rPr>
          <w:rFonts w:asciiTheme="majorHAnsi" w:eastAsia="Times New Roman" w:hAnsiTheme="majorHAnsi" w:cstheme="majorHAnsi"/>
          <w:bCs/>
          <w:iCs/>
          <w:sz w:val="24"/>
          <w:szCs w:val="24"/>
          <w:lang w:val="ru-RU"/>
        </w:rPr>
        <w:t>й</w:t>
      </w:r>
      <w:r w:rsidRPr="000951D9">
        <w:rPr>
          <w:rFonts w:asciiTheme="majorHAnsi" w:eastAsia="Times New Roman" w:hAnsiTheme="majorHAnsi" w:cstheme="majorHAnsi"/>
          <w:bCs/>
          <w:iCs/>
          <w:sz w:val="24"/>
          <w:szCs w:val="24"/>
          <w:lang w:val="ro-RO"/>
        </w:rPr>
        <w:t xml:space="preserve"> на общую сумму 1,7 млн. </w:t>
      </w:r>
      <w:r w:rsidR="00D63656">
        <w:rPr>
          <w:rFonts w:asciiTheme="majorHAnsi" w:eastAsia="Times New Roman" w:hAnsiTheme="majorHAnsi" w:cstheme="majorHAnsi"/>
          <w:bCs/>
          <w:iCs/>
          <w:sz w:val="24"/>
          <w:szCs w:val="24"/>
          <w:lang w:val="ru-RU"/>
        </w:rPr>
        <w:t>л</w:t>
      </w:r>
      <w:r w:rsidR="0025764C">
        <w:rPr>
          <w:rFonts w:asciiTheme="majorHAnsi" w:eastAsia="Times New Roman" w:hAnsiTheme="majorHAnsi" w:cstheme="majorHAnsi"/>
          <w:bCs/>
          <w:iCs/>
          <w:sz w:val="24"/>
          <w:szCs w:val="24"/>
          <w:lang w:val="ro-RO"/>
        </w:rPr>
        <w:t>еев</w:t>
      </w:r>
      <w:r w:rsidRPr="000951D9">
        <w:rPr>
          <w:rFonts w:asciiTheme="majorHAnsi" w:eastAsia="Times New Roman" w:hAnsiTheme="majorHAnsi" w:cstheme="majorHAnsi"/>
          <w:bCs/>
          <w:iCs/>
          <w:sz w:val="24"/>
          <w:szCs w:val="24"/>
          <w:lang w:val="ro-RO"/>
        </w:rPr>
        <w:t xml:space="preserve">. Из </w:t>
      </w:r>
      <w:r w:rsidR="00D63656" w:rsidRPr="00D63656">
        <w:rPr>
          <w:rFonts w:asciiTheme="majorHAnsi" w:eastAsia="Times New Roman" w:hAnsiTheme="majorHAnsi" w:cstheme="majorHAnsi"/>
          <w:bCs/>
          <w:iCs/>
          <w:sz w:val="24"/>
          <w:szCs w:val="24"/>
          <w:lang w:val="ro-RO"/>
        </w:rPr>
        <w:t>ГБ</w:t>
      </w:r>
      <w:r w:rsidRPr="000951D9">
        <w:rPr>
          <w:rFonts w:asciiTheme="majorHAnsi" w:eastAsia="Times New Roman" w:hAnsiTheme="majorHAnsi" w:cstheme="majorHAnsi"/>
          <w:bCs/>
          <w:iCs/>
          <w:sz w:val="24"/>
          <w:szCs w:val="24"/>
          <w:lang w:val="ro-RO"/>
        </w:rPr>
        <w:t xml:space="preserve"> были выделены средства на общую сумму 18,95 млн. леев, из которых: субсидии-18 761,9 тыс. леев, и капитальные гранты</w:t>
      </w:r>
      <w:r w:rsidR="00D63656" w:rsidRPr="00D63656">
        <w:rPr>
          <w:rFonts w:asciiTheme="majorHAnsi" w:eastAsia="Times New Roman" w:hAnsiTheme="majorHAnsi" w:cstheme="majorHAnsi"/>
          <w:bCs/>
          <w:iCs/>
          <w:sz w:val="24"/>
          <w:szCs w:val="24"/>
          <w:lang w:val="ro-RO"/>
        </w:rPr>
        <w:t xml:space="preserve"> </w:t>
      </w:r>
      <w:r w:rsidRPr="000951D9">
        <w:rPr>
          <w:rFonts w:asciiTheme="majorHAnsi" w:eastAsia="Times New Roman" w:hAnsiTheme="majorHAnsi" w:cstheme="majorHAnsi"/>
          <w:bCs/>
          <w:iCs/>
          <w:sz w:val="24"/>
          <w:szCs w:val="24"/>
          <w:lang w:val="ro-RO"/>
        </w:rPr>
        <w:t>-</w:t>
      </w:r>
      <w:r w:rsidR="00D63656" w:rsidRPr="00D63656">
        <w:rPr>
          <w:rFonts w:asciiTheme="majorHAnsi" w:eastAsia="Times New Roman" w:hAnsiTheme="majorHAnsi" w:cstheme="majorHAnsi"/>
          <w:bCs/>
          <w:iCs/>
          <w:sz w:val="24"/>
          <w:szCs w:val="24"/>
          <w:lang w:val="ro-RO"/>
        </w:rPr>
        <w:t xml:space="preserve"> </w:t>
      </w:r>
      <w:r w:rsidRPr="000951D9">
        <w:rPr>
          <w:rFonts w:asciiTheme="majorHAnsi" w:eastAsia="Times New Roman" w:hAnsiTheme="majorHAnsi" w:cstheme="majorHAnsi"/>
          <w:bCs/>
          <w:iCs/>
          <w:sz w:val="24"/>
          <w:szCs w:val="24"/>
          <w:lang w:val="ro-RO"/>
        </w:rPr>
        <w:t xml:space="preserve">189,7 тыс. </w:t>
      </w:r>
      <w:r w:rsidR="00D63656" w:rsidRPr="00D63656">
        <w:rPr>
          <w:rFonts w:asciiTheme="majorHAnsi" w:eastAsia="Times New Roman" w:hAnsiTheme="majorHAnsi" w:cstheme="majorHAnsi"/>
          <w:bCs/>
          <w:iCs/>
          <w:sz w:val="24"/>
          <w:szCs w:val="24"/>
          <w:lang w:val="ro-RO"/>
        </w:rPr>
        <w:t>л</w:t>
      </w:r>
      <w:r w:rsidRPr="000951D9">
        <w:rPr>
          <w:rFonts w:asciiTheme="majorHAnsi" w:eastAsia="Times New Roman" w:hAnsiTheme="majorHAnsi" w:cstheme="majorHAnsi"/>
          <w:bCs/>
          <w:iCs/>
          <w:sz w:val="24"/>
          <w:szCs w:val="24"/>
          <w:lang w:val="ro-RO"/>
        </w:rPr>
        <w:t>еев</w:t>
      </w:r>
      <w:r w:rsidR="00AC6703" w:rsidRPr="00F55BA6">
        <w:rPr>
          <w:rFonts w:asciiTheme="majorHAnsi" w:eastAsia="Times New Roman" w:hAnsiTheme="majorHAnsi" w:cstheme="majorHAnsi"/>
          <w:bCs/>
          <w:iCs/>
          <w:sz w:val="24"/>
          <w:szCs w:val="24"/>
          <w:lang w:val="ro-RO"/>
        </w:rPr>
        <w:t>.</w:t>
      </w:r>
    </w:p>
    <w:p w:rsidR="00CB512D" w:rsidRPr="00F55BA6" w:rsidRDefault="00CB512D" w:rsidP="0005026F">
      <w:pPr>
        <w:tabs>
          <w:tab w:val="left" w:pos="426"/>
        </w:tabs>
        <w:spacing w:after="0" w:line="276" w:lineRule="auto"/>
        <w:contextualSpacing/>
        <w:outlineLvl w:val="0"/>
        <w:rPr>
          <w:rFonts w:asciiTheme="majorHAnsi" w:hAnsiTheme="majorHAnsi" w:cstheme="majorHAnsi"/>
          <w:b/>
          <w:szCs w:val="28"/>
          <w:lang w:val="ro-RO"/>
        </w:rPr>
      </w:pPr>
      <w:r w:rsidRPr="00F55BA6">
        <w:rPr>
          <w:rFonts w:asciiTheme="majorHAnsi" w:hAnsiTheme="majorHAnsi" w:cstheme="majorHAnsi"/>
          <w:b/>
          <w:sz w:val="24"/>
          <w:szCs w:val="24"/>
          <w:lang w:val="ro-RO"/>
        </w:rPr>
        <w:t xml:space="preserve">6.9. </w:t>
      </w:r>
      <w:r w:rsidR="000951D9" w:rsidRPr="000951D9">
        <w:rPr>
          <w:rFonts w:asciiTheme="majorHAnsi" w:hAnsiTheme="majorHAnsi" w:cstheme="majorHAnsi"/>
          <w:b/>
          <w:sz w:val="24"/>
          <w:szCs w:val="24"/>
          <w:lang w:val="ro-RO"/>
        </w:rPr>
        <w:t xml:space="preserve">Объем первоначально утвержденных ассигнований на капитальные инвестиции был значительно </w:t>
      </w:r>
      <w:r w:rsidR="00D63656" w:rsidRPr="00D63656">
        <w:rPr>
          <w:rFonts w:asciiTheme="majorHAnsi" w:hAnsiTheme="majorHAnsi" w:cstheme="majorHAnsi"/>
          <w:b/>
          <w:sz w:val="24"/>
          <w:szCs w:val="24"/>
          <w:lang w:val="ro-RO"/>
        </w:rPr>
        <w:t>заниж</w:t>
      </w:r>
      <w:r w:rsidR="000951D9" w:rsidRPr="000951D9">
        <w:rPr>
          <w:rFonts w:asciiTheme="majorHAnsi" w:hAnsiTheme="majorHAnsi" w:cstheme="majorHAnsi"/>
          <w:b/>
          <w:sz w:val="24"/>
          <w:szCs w:val="24"/>
          <w:lang w:val="ro-RO"/>
        </w:rPr>
        <w:t xml:space="preserve">ен, а исполнение расходов </w:t>
      </w:r>
      <w:r w:rsidR="00D63656" w:rsidRPr="00D63656">
        <w:rPr>
          <w:rFonts w:asciiTheme="majorHAnsi" w:hAnsiTheme="majorHAnsi" w:cstheme="majorHAnsi"/>
          <w:b/>
          <w:sz w:val="24"/>
          <w:szCs w:val="24"/>
          <w:lang w:val="ro-RO"/>
        </w:rPr>
        <w:t>оста</w:t>
      </w:r>
      <w:r w:rsidR="000951D9" w:rsidRPr="000951D9">
        <w:rPr>
          <w:rFonts w:asciiTheme="majorHAnsi" w:hAnsiTheme="majorHAnsi" w:cstheme="majorHAnsi"/>
          <w:b/>
          <w:sz w:val="24"/>
          <w:szCs w:val="24"/>
          <w:lang w:val="ro-RO"/>
        </w:rPr>
        <w:t xml:space="preserve">ется на низком уровне </w:t>
      </w:r>
      <w:r w:rsidR="00D63656" w:rsidRPr="00D63656">
        <w:rPr>
          <w:rFonts w:asciiTheme="majorHAnsi" w:hAnsiTheme="majorHAnsi" w:cstheme="majorHAnsi"/>
          <w:b/>
          <w:sz w:val="24"/>
          <w:szCs w:val="24"/>
          <w:lang w:val="ro-RO"/>
        </w:rPr>
        <w:t>освоения</w:t>
      </w:r>
      <w:r w:rsidR="000951D9" w:rsidRPr="000951D9">
        <w:rPr>
          <w:rFonts w:asciiTheme="majorHAnsi" w:hAnsiTheme="majorHAnsi" w:cstheme="majorHAnsi"/>
          <w:b/>
          <w:sz w:val="24"/>
          <w:szCs w:val="24"/>
          <w:lang w:val="ro-RO"/>
        </w:rPr>
        <w:t>, в отсутствие активной рабочей группы</w:t>
      </w:r>
      <w:r w:rsidR="00FC4D0D">
        <w:rPr>
          <w:rFonts w:asciiTheme="majorHAnsi" w:hAnsiTheme="majorHAnsi" w:cstheme="majorHAnsi"/>
          <w:b/>
          <w:sz w:val="24"/>
          <w:szCs w:val="24"/>
          <w:lang w:val="ro-RO"/>
        </w:rPr>
        <w:t>.</w:t>
      </w:r>
    </w:p>
    <w:p w:rsidR="00AC6703" w:rsidRPr="00F55BA6" w:rsidRDefault="00D63656" w:rsidP="00AC6703">
      <w:pPr>
        <w:spacing w:after="0" w:line="276" w:lineRule="auto"/>
        <w:ind w:right="49"/>
        <w:rPr>
          <w:rFonts w:asciiTheme="majorHAnsi" w:hAnsiTheme="majorHAnsi" w:cstheme="majorHAnsi"/>
          <w:sz w:val="24"/>
          <w:szCs w:val="24"/>
          <w:lang w:val="ro-RO"/>
        </w:rPr>
      </w:pPr>
      <w:r>
        <w:rPr>
          <w:rFonts w:asciiTheme="majorHAnsi" w:hAnsiTheme="majorHAnsi" w:cstheme="majorHAnsi"/>
          <w:sz w:val="24"/>
          <w:szCs w:val="24"/>
          <w:lang w:val="ru-RU"/>
        </w:rPr>
        <w:t>З</w:t>
      </w:r>
      <w:r w:rsidR="000951D9" w:rsidRPr="000951D9">
        <w:rPr>
          <w:rFonts w:asciiTheme="majorHAnsi" w:hAnsiTheme="majorHAnsi" w:cstheme="majorHAnsi"/>
          <w:sz w:val="24"/>
          <w:szCs w:val="24"/>
          <w:lang w:val="ro-RO"/>
        </w:rPr>
        <w:t xml:space="preserve">аконом </w:t>
      </w:r>
      <w:r>
        <w:rPr>
          <w:rFonts w:asciiTheme="majorHAnsi" w:hAnsiTheme="majorHAnsi" w:cstheme="majorHAnsi"/>
          <w:sz w:val="24"/>
          <w:szCs w:val="24"/>
          <w:lang w:val="ru-RU"/>
        </w:rPr>
        <w:t>о</w:t>
      </w:r>
      <w:r w:rsidR="000951D9" w:rsidRPr="000951D9">
        <w:rPr>
          <w:rFonts w:asciiTheme="majorHAnsi" w:hAnsiTheme="majorHAnsi" w:cstheme="majorHAnsi"/>
          <w:sz w:val="24"/>
          <w:szCs w:val="24"/>
          <w:lang w:val="ro-RO"/>
        </w:rPr>
        <w:t xml:space="preserve"> государственном бюджете на 2020 год</w:t>
      </w:r>
      <w:r w:rsidRPr="00F55BA6">
        <w:rPr>
          <w:rFonts w:asciiTheme="majorHAnsi" w:hAnsiTheme="majorHAnsi" w:cstheme="majorHAnsi"/>
          <w:sz w:val="24"/>
          <w:szCs w:val="24"/>
          <w:vertAlign w:val="superscript"/>
          <w:lang w:val="ro-RO"/>
        </w:rPr>
        <w:footnoteReference w:id="43"/>
      </w:r>
      <w:r w:rsidR="000951D9" w:rsidRPr="000951D9">
        <w:rPr>
          <w:rFonts w:asciiTheme="majorHAnsi" w:hAnsiTheme="majorHAnsi" w:cstheme="majorHAnsi"/>
          <w:sz w:val="24"/>
          <w:szCs w:val="24"/>
          <w:lang w:val="ro-RO"/>
        </w:rPr>
        <w:t xml:space="preserve"> изначально были утверждены ассигнования на капитальные инвестиции в размере 4 133,4 млн. леев </w:t>
      </w:r>
      <w:r>
        <w:rPr>
          <w:rFonts w:asciiTheme="majorHAnsi" w:hAnsiTheme="majorHAnsi" w:cstheme="majorHAnsi"/>
          <w:sz w:val="24"/>
          <w:szCs w:val="24"/>
          <w:lang w:val="ru-RU"/>
        </w:rPr>
        <w:t>для</w:t>
      </w:r>
      <w:r w:rsidR="000951D9" w:rsidRPr="000951D9">
        <w:rPr>
          <w:rFonts w:asciiTheme="majorHAnsi" w:hAnsiTheme="majorHAnsi" w:cstheme="majorHAnsi"/>
          <w:sz w:val="24"/>
          <w:szCs w:val="24"/>
          <w:lang w:val="ro-RO"/>
        </w:rPr>
        <w:t xml:space="preserve"> </w:t>
      </w:r>
      <w:r>
        <w:rPr>
          <w:rFonts w:asciiTheme="majorHAnsi" w:hAnsiTheme="majorHAnsi" w:cstheme="majorHAnsi"/>
          <w:sz w:val="24"/>
          <w:szCs w:val="24"/>
          <w:lang w:val="ru-RU"/>
        </w:rPr>
        <w:t>реализации</w:t>
      </w:r>
      <w:r w:rsidR="000951D9" w:rsidRPr="000951D9">
        <w:rPr>
          <w:rFonts w:asciiTheme="majorHAnsi" w:hAnsiTheme="majorHAnsi" w:cstheme="majorHAnsi"/>
          <w:sz w:val="24"/>
          <w:szCs w:val="24"/>
          <w:lang w:val="ro-RO"/>
        </w:rPr>
        <w:t xml:space="preserve"> 71 инвестиционного проекта, из которых 25 проектов с финансированием/софинансированием из внешних источников на сумму 3 699,6 млн. </w:t>
      </w:r>
      <w:r>
        <w:rPr>
          <w:rFonts w:asciiTheme="majorHAnsi" w:hAnsiTheme="majorHAnsi" w:cstheme="majorHAnsi"/>
          <w:sz w:val="24"/>
          <w:szCs w:val="24"/>
          <w:lang w:val="ru-RU"/>
        </w:rPr>
        <w:t>л</w:t>
      </w:r>
      <w:r w:rsidR="0025764C">
        <w:rPr>
          <w:rFonts w:asciiTheme="majorHAnsi" w:hAnsiTheme="majorHAnsi" w:cstheme="majorHAnsi"/>
          <w:sz w:val="24"/>
          <w:szCs w:val="24"/>
          <w:lang w:val="ro-RO"/>
        </w:rPr>
        <w:t>еев</w:t>
      </w:r>
      <w:r w:rsidR="000951D9" w:rsidRPr="000951D9">
        <w:rPr>
          <w:rFonts w:asciiTheme="majorHAnsi" w:hAnsiTheme="majorHAnsi" w:cstheme="majorHAnsi"/>
          <w:sz w:val="24"/>
          <w:szCs w:val="24"/>
          <w:lang w:val="ro-RO"/>
        </w:rPr>
        <w:t xml:space="preserve">. В результате </w:t>
      </w:r>
      <w:r>
        <w:rPr>
          <w:rFonts w:asciiTheme="majorHAnsi" w:hAnsiTheme="majorHAnsi" w:cstheme="majorHAnsi"/>
          <w:sz w:val="24"/>
          <w:szCs w:val="24"/>
          <w:lang w:val="ru-RU"/>
        </w:rPr>
        <w:t>уточн</w:t>
      </w:r>
      <w:r w:rsidR="000951D9" w:rsidRPr="000951D9">
        <w:rPr>
          <w:rFonts w:asciiTheme="majorHAnsi" w:hAnsiTheme="majorHAnsi" w:cstheme="majorHAnsi"/>
          <w:sz w:val="24"/>
          <w:szCs w:val="24"/>
          <w:lang w:val="ro-RO"/>
        </w:rPr>
        <w:t>ения бюджета</w:t>
      </w:r>
      <w:r w:rsidRPr="00F55BA6">
        <w:rPr>
          <w:rFonts w:asciiTheme="majorHAnsi" w:hAnsiTheme="majorHAnsi" w:cstheme="majorHAnsi"/>
          <w:sz w:val="24"/>
          <w:szCs w:val="24"/>
          <w:vertAlign w:val="superscript"/>
          <w:lang w:val="ro-RO"/>
        </w:rPr>
        <w:footnoteReference w:id="44"/>
      </w:r>
      <w:r w:rsidRPr="00F55BA6">
        <w:rPr>
          <w:rFonts w:asciiTheme="majorHAnsi" w:hAnsiTheme="majorHAnsi" w:cstheme="majorHAnsi"/>
          <w:sz w:val="24"/>
          <w:szCs w:val="24"/>
          <w:lang w:val="ro-RO"/>
        </w:rPr>
        <w:t>,</w:t>
      </w:r>
      <w:r w:rsidR="000951D9" w:rsidRPr="000951D9">
        <w:rPr>
          <w:rFonts w:asciiTheme="majorHAnsi" w:hAnsiTheme="majorHAnsi" w:cstheme="majorHAnsi"/>
          <w:sz w:val="24"/>
          <w:szCs w:val="24"/>
          <w:lang w:val="ro-RO"/>
        </w:rPr>
        <w:t xml:space="preserve"> ассигнования были значительно уменьшены на 2 534,7 млн. леев, или на 61,3% по сравнению с первоначально утвержденным объемом, </w:t>
      </w:r>
      <w:r>
        <w:rPr>
          <w:rFonts w:asciiTheme="majorHAnsi" w:hAnsiTheme="majorHAnsi" w:cstheme="majorHAnsi"/>
          <w:sz w:val="24"/>
          <w:szCs w:val="24"/>
          <w:lang w:val="ru-RU"/>
        </w:rPr>
        <w:t>была уточнена</w:t>
      </w:r>
      <w:r w:rsidR="000951D9" w:rsidRPr="000951D9">
        <w:rPr>
          <w:rFonts w:asciiTheme="majorHAnsi" w:hAnsiTheme="majorHAnsi" w:cstheme="majorHAnsi"/>
          <w:sz w:val="24"/>
          <w:szCs w:val="24"/>
          <w:lang w:val="ro-RO"/>
        </w:rPr>
        <w:t xml:space="preserve"> сумма в 1 598,7 млн. леев </w:t>
      </w:r>
      <w:r>
        <w:rPr>
          <w:rFonts w:asciiTheme="majorHAnsi" w:hAnsiTheme="majorHAnsi" w:cstheme="majorHAnsi"/>
          <w:sz w:val="24"/>
          <w:szCs w:val="24"/>
          <w:lang w:val="ru-RU"/>
        </w:rPr>
        <w:t>для</w:t>
      </w:r>
      <w:r w:rsidR="000951D9" w:rsidRPr="000951D9">
        <w:rPr>
          <w:rFonts w:asciiTheme="majorHAnsi" w:hAnsiTheme="majorHAnsi" w:cstheme="majorHAnsi"/>
          <w:sz w:val="24"/>
          <w:szCs w:val="24"/>
          <w:lang w:val="ro-RO"/>
        </w:rPr>
        <w:t xml:space="preserve"> 70 капитальных инвестиционных проектов. Это снижение произошло в результате перераспределения ассигнований на реализацию других мер и исключения проектов/продления сроков реализации капитальных инвестиционных проектов</w:t>
      </w:r>
      <w:r w:rsidR="00AC6703" w:rsidRPr="00F55BA6">
        <w:rPr>
          <w:rFonts w:asciiTheme="majorHAnsi" w:hAnsiTheme="majorHAnsi" w:cstheme="majorHAnsi"/>
          <w:sz w:val="24"/>
          <w:szCs w:val="24"/>
          <w:lang w:val="ro-RO"/>
        </w:rPr>
        <w:t xml:space="preserve">. </w:t>
      </w:r>
      <w:r w:rsidR="000951D9" w:rsidRPr="000951D9">
        <w:rPr>
          <w:rFonts w:asciiTheme="majorHAnsi" w:hAnsiTheme="majorHAnsi" w:cstheme="majorHAnsi"/>
          <w:sz w:val="24"/>
          <w:szCs w:val="24"/>
          <w:lang w:val="ro-RO"/>
        </w:rPr>
        <w:t>Таким образом, больше всего были сокращены ассигнования на проекты, финансируемые из внешних источников, на 2 343,3 млн. леев</w:t>
      </w:r>
      <w:r>
        <w:rPr>
          <w:rFonts w:asciiTheme="majorHAnsi" w:hAnsiTheme="majorHAnsi" w:cstheme="majorHAnsi"/>
          <w:sz w:val="24"/>
          <w:szCs w:val="24"/>
          <w:lang w:val="ru-RU"/>
        </w:rPr>
        <w:t xml:space="preserve">, </w:t>
      </w:r>
      <w:r w:rsidR="002A1979">
        <w:rPr>
          <w:rFonts w:asciiTheme="majorHAnsi" w:hAnsiTheme="majorHAnsi" w:cstheme="majorHAnsi"/>
          <w:sz w:val="24"/>
          <w:szCs w:val="24"/>
          <w:lang w:val="ru-RU"/>
        </w:rPr>
        <w:t>с</w:t>
      </w:r>
      <w:r w:rsidR="000951D9" w:rsidRPr="000951D9">
        <w:rPr>
          <w:rFonts w:asciiTheme="majorHAnsi" w:hAnsiTheme="majorHAnsi" w:cstheme="majorHAnsi"/>
          <w:sz w:val="24"/>
          <w:szCs w:val="24"/>
          <w:lang w:val="ro-RO"/>
        </w:rPr>
        <w:t xml:space="preserve"> исключен</w:t>
      </w:r>
      <w:r>
        <w:rPr>
          <w:rFonts w:asciiTheme="majorHAnsi" w:hAnsiTheme="majorHAnsi" w:cstheme="majorHAnsi"/>
          <w:sz w:val="24"/>
          <w:szCs w:val="24"/>
          <w:lang w:val="ru-RU"/>
        </w:rPr>
        <w:t>и</w:t>
      </w:r>
      <w:r w:rsidR="002A1979">
        <w:rPr>
          <w:rFonts w:asciiTheme="majorHAnsi" w:hAnsiTheme="majorHAnsi" w:cstheme="majorHAnsi"/>
          <w:sz w:val="24"/>
          <w:szCs w:val="24"/>
          <w:lang w:val="ru-RU"/>
        </w:rPr>
        <w:t>ем</w:t>
      </w:r>
      <w:r w:rsidR="000951D9" w:rsidRPr="000951D9">
        <w:rPr>
          <w:rFonts w:asciiTheme="majorHAnsi" w:hAnsiTheme="majorHAnsi" w:cstheme="majorHAnsi"/>
          <w:sz w:val="24"/>
          <w:szCs w:val="24"/>
          <w:lang w:val="ro-RO"/>
        </w:rPr>
        <w:t xml:space="preserve"> 15 инвестиционных проектов, </w:t>
      </w:r>
      <w:r>
        <w:rPr>
          <w:rFonts w:asciiTheme="majorHAnsi" w:hAnsiTheme="majorHAnsi" w:cstheme="majorHAnsi"/>
          <w:sz w:val="24"/>
          <w:szCs w:val="24"/>
          <w:lang w:val="ru-RU"/>
        </w:rPr>
        <w:t>таких, как</w:t>
      </w:r>
      <w:r w:rsidR="000951D9" w:rsidRPr="000951D9">
        <w:rPr>
          <w:rFonts w:asciiTheme="majorHAnsi" w:hAnsiTheme="majorHAnsi" w:cstheme="majorHAnsi"/>
          <w:sz w:val="24"/>
          <w:szCs w:val="24"/>
          <w:lang w:val="ro-RO"/>
        </w:rPr>
        <w:t xml:space="preserve">: </w:t>
      </w:r>
      <w:r>
        <w:rPr>
          <w:rFonts w:asciiTheme="majorHAnsi" w:hAnsiTheme="majorHAnsi" w:cstheme="majorHAnsi"/>
          <w:sz w:val="24"/>
          <w:szCs w:val="24"/>
          <w:lang w:val="ru-RU"/>
        </w:rPr>
        <w:t>П</w:t>
      </w:r>
      <w:r w:rsidR="000951D9" w:rsidRPr="000951D9">
        <w:rPr>
          <w:rFonts w:asciiTheme="majorHAnsi" w:hAnsiTheme="majorHAnsi" w:cstheme="majorHAnsi"/>
          <w:sz w:val="24"/>
          <w:szCs w:val="24"/>
          <w:lang w:val="ro-RO"/>
        </w:rPr>
        <w:t xml:space="preserve">роект </w:t>
      </w:r>
      <w:r w:rsidRPr="00D63656">
        <w:rPr>
          <w:rFonts w:asciiTheme="majorHAnsi" w:hAnsiTheme="majorHAnsi" w:cstheme="majorHAnsi"/>
          <w:sz w:val="24"/>
          <w:szCs w:val="24"/>
          <w:lang w:val="ro-MD"/>
        </w:rPr>
        <w:t>„</w:t>
      </w:r>
      <w:r w:rsidR="000951D9" w:rsidRPr="000951D9">
        <w:rPr>
          <w:rFonts w:asciiTheme="majorHAnsi" w:hAnsiTheme="majorHAnsi" w:cstheme="majorHAnsi"/>
          <w:sz w:val="24"/>
          <w:szCs w:val="24"/>
          <w:lang w:val="ro-RO"/>
        </w:rPr>
        <w:t>Программа развития дорожной инфраструктуры при поддержке Российской Федерации</w:t>
      </w:r>
      <w:r w:rsidR="002A1979" w:rsidRPr="002A1979">
        <w:rPr>
          <w:rFonts w:asciiTheme="majorHAnsi" w:hAnsiTheme="majorHAnsi" w:cstheme="majorHAnsi"/>
          <w:sz w:val="24"/>
          <w:szCs w:val="24"/>
          <w:lang w:val="ro-MD"/>
        </w:rPr>
        <w:t>”</w:t>
      </w:r>
      <w:r w:rsidR="000951D9" w:rsidRPr="000951D9">
        <w:rPr>
          <w:rFonts w:asciiTheme="majorHAnsi" w:hAnsiTheme="majorHAnsi" w:cstheme="majorHAnsi"/>
          <w:sz w:val="24"/>
          <w:szCs w:val="24"/>
          <w:lang w:val="ro-RO"/>
        </w:rPr>
        <w:t xml:space="preserve"> - 1 300,0 млн. ле</w:t>
      </w:r>
      <w:r>
        <w:rPr>
          <w:rFonts w:asciiTheme="majorHAnsi" w:hAnsiTheme="majorHAnsi" w:cstheme="majorHAnsi"/>
          <w:sz w:val="24"/>
          <w:szCs w:val="24"/>
          <w:lang w:val="ru-RU"/>
        </w:rPr>
        <w:t>ев</w:t>
      </w:r>
      <w:r w:rsidR="000951D9" w:rsidRPr="000951D9">
        <w:rPr>
          <w:rFonts w:asciiTheme="majorHAnsi" w:hAnsiTheme="majorHAnsi" w:cstheme="majorHAnsi"/>
          <w:sz w:val="24"/>
          <w:szCs w:val="24"/>
          <w:lang w:val="ro-RO"/>
        </w:rPr>
        <w:t xml:space="preserve">, </w:t>
      </w:r>
      <w:r w:rsidR="002A1979">
        <w:rPr>
          <w:rFonts w:asciiTheme="majorHAnsi" w:hAnsiTheme="majorHAnsi" w:cstheme="majorHAnsi"/>
          <w:sz w:val="24"/>
          <w:szCs w:val="24"/>
          <w:lang w:val="ru-RU"/>
        </w:rPr>
        <w:t>П</w:t>
      </w:r>
      <w:r w:rsidR="000951D9" w:rsidRPr="000951D9">
        <w:rPr>
          <w:rFonts w:asciiTheme="majorHAnsi" w:hAnsiTheme="majorHAnsi" w:cstheme="majorHAnsi"/>
          <w:sz w:val="24"/>
          <w:szCs w:val="24"/>
          <w:lang w:val="ro-RO"/>
        </w:rPr>
        <w:t xml:space="preserve">роект </w:t>
      </w:r>
      <w:r w:rsidR="002A1979" w:rsidRPr="002A1979">
        <w:rPr>
          <w:rFonts w:asciiTheme="majorHAnsi" w:hAnsiTheme="majorHAnsi" w:cstheme="majorHAnsi"/>
          <w:sz w:val="24"/>
          <w:szCs w:val="24"/>
          <w:lang w:val="ro-MD"/>
        </w:rPr>
        <w:t>„</w:t>
      </w:r>
      <w:r w:rsidR="002A1979">
        <w:rPr>
          <w:rFonts w:asciiTheme="majorHAnsi" w:hAnsiTheme="majorHAnsi" w:cstheme="majorHAnsi"/>
          <w:sz w:val="24"/>
          <w:szCs w:val="24"/>
          <w:lang w:val="ru-RU"/>
        </w:rPr>
        <w:t>С</w:t>
      </w:r>
      <w:r w:rsidR="000951D9" w:rsidRPr="000951D9">
        <w:rPr>
          <w:rFonts w:asciiTheme="majorHAnsi" w:hAnsiTheme="majorHAnsi" w:cstheme="majorHAnsi"/>
          <w:sz w:val="24"/>
          <w:szCs w:val="24"/>
          <w:lang w:val="ro-RO"/>
        </w:rPr>
        <w:t>троительство тюрьмы муниципия Кишин</w:t>
      </w:r>
      <w:r>
        <w:rPr>
          <w:rFonts w:asciiTheme="majorHAnsi" w:hAnsiTheme="majorHAnsi" w:cstheme="majorHAnsi"/>
          <w:sz w:val="24"/>
          <w:szCs w:val="24"/>
          <w:lang w:val="ru-RU"/>
        </w:rPr>
        <w:t>эу</w:t>
      </w:r>
      <w:r w:rsidR="002A1979" w:rsidRPr="002A1979">
        <w:rPr>
          <w:rFonts w:asciiTheme="majorHAnsi" w:hAnsiTheme="majorHAnsi" w:cstheme="majorHAnsi"/>
          <w:sz w:val="24"/>
          <w:szCs w:val="24"/>
          <w:lang w:val="ro-MD"/>
        </w:rPr>
        <w:t>”</w:t>
      </w:r>
      <w:r w:rsidR="000951D9" w:rsidRPr="000951D9">
        <w:rPr>
          <w:rFonts w:asciiTheme="majorHAnsi" w:hAnsiTheme="majorHAnsi" w:cstheme="majorHAnsi"/>
          <w:sz w:val="24"/>
          <w:szCs w:val="24"/>
          <w:lang w:val="ro-RO"/>
        </w:rPr>
        <w:t xml:space="preserve"> - 362,3 млн. леев и т.д.</w:t>
      </w:r>
      <w:r w:rsidR="002A1979">
        <w:rPr>
          <w:rFonts w:asciiTheme="majorHAnsi" w:hAnsiTheme="majorHAnsi" w:cstheme="majorHAnsi"/>
          <w:sz w:val="24"/>
          <w:szCs w:val="24"/>
          <w:lang w:val="ru-RU"/>
        </w:rPr>
        <w:t>,</w:t>
      </w:r>
      <w:r w:rsidR="000951D9" w:rsidRPr="000951D9">
        <w:rPr>
          <w:rFonts w:asciiTheme="majorHAnsi" w:hAnsiTheme="majorHAnsi" w:cstheme="majorHAnsi"/>
          <w:sz w:val="24"/>
          <w:szCs w:val="24"/>
          <w:lang w:val="ro-RO"/>
        </w:rPr>
        <w:t xml:space="preserve"> и включен</w:t>
      </w:r>
      <w:r w:rsidR="002A1979">
        <w:rPr>
          <w:rFonts w:asciiTheme="majorHAnsi" w:hAnsiTheme="majorHAnsi" w:cstheme="majorHAnsi"/>
          <w:sz w:val="24"/>
          <w:szCs w:val="24"/>
          <w:lang w:val="ru-RU"/>
        </w:rPr>
        <w:t xml:space="preserve">ием других </w:t>
      </w:r>
      <w:r w:rsidR="000951D9" w:rsidRPr="000951D9">
        <w:rPr>
          <w:rFonts w:asciiTheme="majorHAnsi" w:hAnsiTheme="majorHAnsi" w:cstheme="majorHAnsi"/>
          <w:sz w:val="24"/>
          <w:szCs w:val="24"/>
          <w:lang w:val="ro-RO"/>
        </w:rPr>
        <w:t xml:space="preserve">14 инвестиционных проектов на сумму 28,5 млн. леев. </w:t>
      </w:r>
    </w:p>
    <w:p w:rsidR="00AC6703" w:rsidRPr="00F55BA6" w:rsidRDefault="000951D9" w:rsidP="00AC6703">
      <w:pPr>
        <w:spacing w:after="0" w:line="276" w:lineRule="auto"/>
        <w:ind w:right="49"/>
        <w:rPr>
          <w:rFonts w:asciiTheme="majorHAnsi" w:hAnsiTheme="majorHAnsi" w:cstheme="majorHAnsi"/>
          <w:i/>
          <w:sz w:val="24"/>
          <w:szCs w:val="24"/>
          <w:lang w:val="ro-RO"/>
        </w:rPr>
      </w:pPr>
      <w:r w:rsidRPr="000951D9">
        <w:rPr>
          <w:rFonts w:asciiTheme="majorHAnsi" w:hAnsiTheme="majorHAnsi" w:cstheme="majorHAnsi"/>
          <w:sz w:val="24"/>
          <w:szCs w:val="24"/>
          <w:lang w:val="ro-RO"/>
        </w:rPr>
        <w:t xml:space="preserve">Расходы, </w:t>
      </w:r>
      <w:r w:rsidR="002A1979">
        <w:rPr>
          <w:rFonts w:asciiTheme="majorHAnsi" w:hAnsiTheme="majorHAnsi" w:cstheme="majorHAnsi"/>
          <w:sz w:val="24"/>
          <w:szCs w:val="24"/>
          <w:lang w:val="ru-RU"/>
        </w:rPr>
        <w:t>произведе</w:t>
      </w:r>
      <w:r w:rsidRPr="000951D9">
        <w:rPr>
          <w:rFonts w:asciiTheme="majorHAnsi" w:hAnsiTheme="majorHAnsi" w:cstheme="majorHAnsi"/>
          <w:sz w:val="24"/>
          <w:szCs w:val="24"/>
          <w:lang w:val="ro-RO"/>
        </w:rPr>
        <w:t>нные в 2020 году на капитальные инвестиции, составили 1 524,2 млн. леев, или 95,3% от у</w:t>
      </w:r>
      <w:r w:rsidR="002A1979">
        <w:rPr>
          <w:rFonts w:asciiTheme="majorHAnsi" w:hAnsiTheme="majorHAnsi" w:cstheme="majorHAnsi"/>
          <w:sz w:val="24"/>
          <w:szCs w:val="24"/>
          <w:lang w:val="ru-RU"/>
        </w:rPr>
        <w:t>точне</w:t>
      </w:r>
      <w:r w:rsidRPr="000951D9">
        <w:rPr>
          <w:rFonts w:asciiTheme="majorHAnsi" w:hAnsiTheme="majorHAnsi" w:cstheme="majorHAnsi"/>
          <w:sz w:val="24"/>
          <w:szCs w:val="24"/>
          <w:lang w:val="ro-RO"/>
        </w:rPr>
        <w:t xml:space="preserve">нного объема и 36,9% от первоначально утвержденного объема. </w:t>
      </w:r>
      <w:r w:rsidR="002A1979">
        <w:rPr>
          <w:rFonts w:asciiTheme="majorHAnsi" w:hAnsiTheme="majorHAnsi" w:cstheme="majorHAnsi"/>
          <w:sz w:val="24"/>
          <w:szCs w:val="24"/>
          <w:lang w:val="ru-RU"/>
        </w:rPr>
        <w:t>Отмеч</w:t>
      </w:r>
      <w:r w:rsidRPr="000951D9">
        <w:rPr>
          <w:rFonts w:asciiTheme="majorHAnsi" w:hAnsiTheme="majorHAnsi" w:cstheme="majorHAnsi"/>
          <w:sz w:val="24"/>
          <w:szCs w:val="24"/>
          <w:lang w:val="ro-RO"/>
        </w:rPr>
        <w:t xml:space="preserve">ается рост уровня исполнения капитальных инвестиций на 18,5 п. п. по сравнению с уровнем исполнения в 2019 году и на 50,7 п. п. по сравнению с 2018 годом. Исполнение </w:t>
      </w:r>
      <w:r w:rsidRPr="000951D9">
        <w:rPr>
          <w:rFonts w:asciiTheme="majorHAnsi" w:hAnsiTheme="majorHAnsi" w:cstheme="majorHAnsi"/>
          <w:sz w:val="24"/>
          <w:szCs w:val="24"/>
          <w:lang w:val="ro-RO"/>
        </w:rPr>
        <w:lastRenderedPageBreak/>
        <w:t xml:space="preserve">капитальных инвестиций в аспекте источников финансирования показывает, что уровень исполнения ассигнований из общих ресурсов и собранных доходов составляет 79,7% (193,2 млн. </w:t>
      </w:r>
      <w:r w:rsidR="002A1979">
        <w:rPr>
          <w:rFonts w:asciiTheme="majorHAnsi" w:hAnsiTheme="majorHAnsi" w:cstheme="majorHAnsi"/>
          <w:sz w:val="24"/>
          <w:szCs w:val="24"/>
          <w:lang w:val="ru-RU"/>
        </w:rPr>
        <w:t>леев) от</w:t>
      </w:r>
      <w:r w:rsidRPr="000951D9">
        <w:rPr>
          <w:rFonts w:asciiTheme="majorHAnsi" w:hAnsiTheme="majorHAnsi" w:cstheme="majorHAnsi"/>
          <w:sz w:val="24"/>
          <w:szCs w:val="24"/>
          <w:lang w:val="ro-RO"/>
        </w:rPr>
        <w:t xml:space="preserve"> у</w:t>
      </w:r>
      <w:r w:rsidR="002A1979">
        <w:rPr>
          <w:rFonts w:asciiTheme="majorHAnsi" w:hAnsiTheme="majorHAnsi" w:cstheme="majorHAnsi"/>
          <w:sz w:val="24"/>
          <w:szCs w:val="24"/>
          <w:lang w:val="ru-RU"/>
        </w:rPr>
        <w:t>точне</w:t>
      </w:r>
      <w:r w:rsidRPr="000951D9">
        <w:rPr>
          <w:rFonts w:asciiTheme="majorHAnsi" w:hAnsiTheme="majorHAnsi" w:cstheme="majorHAnsi"/>
          <w:sz w:val="24"/>
          <w:szCs w:val="24"/>
          <w:lang w:val="ro-RO"/>
        </w:rPr>
        <w:t>нного объема и 44,5% от первоначально утвержденного объема, а за счет проектов, фина</w:t>
      </w:r>
      <w:r w:rsidR="002A1979">
        <w:rPr>
          <w:rFonts w:asciiTheme="majorHAnsi" w:hAnsiTheme="majorHAnsi" w:cstheme="majorHAnsi"/>
          <w:sz w:val="24"/>
          <w:szCs w:val="24"/>
          <w:lang w:val="ro-RO"/>
        </w:rPr>
        <w:t xml:space="preserve">нсируемых из внешних источников </w:t>
      </w:r>
      <w:r w:rsidRPr="000951D9">
        <w:rPr>
          <w:rFonts w:asciiTheme="majorHAnsi" w:hAnsiTheme="majorHAnsi" w:cstheme="majorHAnsi"/>
          <w:sz w:val="24"/>
          <w:szCs w:val="24"/>
          <w:lang w:val="ro-RO"/>
        </w:rPr>
        <w:t xml:space="preserve">- 98,1% (1331,1 млн. леев) </w:t>
      </w:r>
      <w:r w:rsidR="002A1979">
        <w:rPr>
          <w:rFonts w:asciiTheme="majorHAnsi" w:hAnsiTheme="majorHAnsi" w:cstheme="majorHAnsi"/>
          <w:sz w:val="24"/>
          <w:szCs w:val="24"/>
          <w:lang w:val="ru-RU"/>
        </w:rPr>
        <w:t>от</w:t>
      </w:r>
      <w:r w:rsidR="002A1979" w:rsidRPr="000951D9">
        <w:rPr>
          <w:rFonts w:asciiTheme="majorHAnsi" w:hAnsiTheme="majorHAnsi" w:cstheme="majorHAnsi"/>
          <w:sz w:val="24"/>
          <w:szCs w:val="24"/>
          <w:lang w:val="ro-RO"/>
        </w:rPr>
        <w:t xml:space="preserve"> у</w:t>
      </w:r>
      <w:r w:rsidR="002A1979">
        <w:rPr>
          <w:rFonts w:asciiTheme="majorHAnsi" w:hAnsiTheme="majorHAnsi" w:cstheme="majorHAnsi"/>
          <w:sz w:val="24"/>
          <w:szCs w:val="24"/>
          <w:lang w:val="ru-RU"/>
        </w:rPr>
        <w:t>точне</w:t>
      </w:r>
      <w:r w:rsidR="002A1979" w:rsidRPr="000951D9">
        <w:rPr>
          <w:rFonts w:asciiTheme="majorHAnsi" w:hAnsiTheme="majorHAnsi" w:cstheme="majorHAnsi"/>
          <w:sz w:val="24"/>
          <w:szCs w:val="24"/>
          <w:lang w:val="ro-RO"/>
        </w:rPr>
        <w:t>нного</w:t>
      </w:r>
      <w:r w:rsidRPr="000951D9">
        <w:rPr>
          <w:rFonts w:asciiTheme="majorHAnsi" w:hAnsiTheme="majorHAnsi" w:cstheme="majorHAnsi"/>
          <w:sz w:val="24"/>
          <w:szCs w:val="24"/>
          <w:lang w:val="ro-RO"/>
        </w:rPr>
        <w:t xml:space="preserve"> объема и 36,0% от первоначально утвержденного объема. </w:t>
      </w:r>
      <w:r w:rsidR="002A1979" w:rsidRPr="002A1979">
        <w:rPr>
          <w:rFonts w:asciiTheme="majorHAnsi" w:hAnsiTheme="majorHAnsi" w:cstheme="majorHAnsi"/>
          <w:i/>
          <w:sz w:val="24"/>
          <w:szCs w:val="24"/>
          <w:lang w:val="ro-RO"/>
        </w:rPr>
        <w:t>Синтез</w:t>
      </w:r>
      <w:r w:rsidRPr="002A1979">
        <w:rPr>
          <w:rFonts w:asciiTheme="majorHAnsi" w:hAnsiTheme="majorHAnsi" w:cstheme="majorHAnsi"/>
          <w:i/>
          <w:sz w:val="24"/>
          <w:szCs w:val="24"/>
          <w:lang w:val="ro-RO"/>
        </w:rPr>
        <w:t xml:space="preserve"> исполнения ассигнований, утвержденных </w:t>
      </w:r>
      <w:r w:rsidR="00660D6A">
        <w:rPr>
          <w:rFonts w:asciiTheme="majorHAnsi" w:hAnsiTheme="majorHAnsi" w:cstheme="majorHAnsi"/>
          <w:i/>
          <w:sz w:val="24"/>
          <w:szCs w:val="24"/>
          <w:lang w:val="ru-RU"/>
        </w:rPr>
        <w:t>годовыь законом о</w:t>
      </w:r>
      <w:r w:rsidR="00BD71F1">
        <w:rPr>
          <w:rFonts w:asciiTheme="majorHAnsi" w:hAnsiTheme="majorHAnsi" w:cstheme="majorHAnsi"/>
          <w:i/>
          <w:sz w:val="24"/>
          <w:szCs w:val="24"/>
          <w:lang w:val="ro-RO"/>
        </w:rPr>
        <w:t xml:space="preserve"> бюджете</w:t>
      </w:r>
      <w:r w:rsidRPr="002A1979">
        <w:rPr>
          <w:rFonts w:asciiTheme="majorHAnsi" w:hAnsiTheme="majorHAnsi" w:cstheme="majorHAnsi"/>
          <w:i/>
          <w:sz w:val="24"/>
          <w:szCs w:val="24"/>
          <w:lang w:val="ro-RO"/>
        </w:rPr>
        <w:t>, предназначенны</w:t>
      </w:r>
      <w:r w:rsidR="002A1979" w:rsidRPr="002A1979">
        <w:rPr>
          <w:rFonts w:asciiTheme="majorHAnsi" w:hAnsiTheme="majorHAnsi" w:cstheme="majorHAnsi"/>
          <w:i/>
          <w:sz w:val="24"/>
          <w:szCs w:val="24"/>
          <w:lang w:val="ro-RO"/>
        </w:rPr>
        <w:t>х</w:t>
      </w:r>
      <w:r w:rsidRPr="002A1979">
        <w:rPr>
          <w:rFonts w:asciiTheme="majorHAnsi" w:hAnsiTheme="majorHAnsi" w:cstheme="majorHAnsi"/>
          <w:i/>
          <w:sz w:val="24"/>
          <w:szCs w:val="24"/>
          <w:lang w:val="ro-RO"/>
        </w:rPr>
        <w:t xml:space="preserve"> для капитальных инвестиций, представлен в Приложении №6 </w:t>
      </w:r>
      <w:r w:rsidR="002A1979" w:rsidRPr="002A1979">
        <w:rPr>
          <w:rFonts w:asciiTheme="majorHAnsi" w:hAnsiTheme="majorHAnsi" w:cstheme="majorHAnsi"/>
          <w:i/>
          <w:sz w:val="24"/>
          <w:szCs w:val="24"/>
          <w:lang w:val="ro-RO"/>
        </w:rPr>
        <w:t>к</w:t>
      </w:r>
      <w:r w:rsidRPr="002A1979">
        <w:rPr>
          <w:rFonts w:asciiTheme="majorHAnsi" w:hAnsiTheme="majorHAnsi" w:cstheme="majorHAnsi"/>
          <w:i/>
          <w:sz w:val="24"/>
          <w:szCs w:val="24"/>
          <w:lang w:val="ro-RO"/>
        </w:rPr>
        <w:t xml:space="preserve"> настоящем</w:t>
      </w:r>
      <w:r w:rsidR="002A1979" w:rsidRPr="002A1979">
        <w:rPr>
          <w:rFonts w:asciiTheme="majorHAnsi" w:hAnsiTheme="majorHAnsi" w:cstheme="majorHAnsi"/>
          <w:i/>
          <w:sz w:val="24"/>
          <w:szCs w:val="24"/>
          <w:lang w:val="ro-RO"/>
        </w:rPr>
        <w:t>у</w:t>
      </w:r>
      <w:r w:rsidRPr="002A1979">
        <w:rPr>
          <w:rFonts w:asciiTheme="majorHAnsi" w:hAnsiTheme="majorHAnsi" w:cstheme="majorHAnsi"/>
          <w:i/>
          <w:sz w:val="24"/>
          <w:szCs w:val="24"/>
          <w:lang w:val="ro-RO"/>
        </w:rPr>
        <w:t xml:space="preserve"> </w:t>
      </w:r>
      <w:r w:rsidR="002A1979" w:rsidRPr="002A1979">
        <w:rPr>
          <w:rFonts w:asciiTheme="majorHAnsi" w:hAnsiTheme="majorHAnsi" w:cstheme="majorHAnsi"/>
          <w:i/>
          <w:sz w:val="24"/>
          <w:szCs w:val="24"/>
          <w:lang w:val="ro-RO"/>
        </w:rPr>
        <w:t>О</w:t>
      </w:r>
      <w:r w:rsidRPr="002A1979">
        <w:rPr>
          <w:rFonts w:asciiTheme="majorHAnsi" w:hAnsiTheme="majorHAnsi" w:cstheme="majorHAnsi"/>
          <w:i/>
          <w:sz w:val="24"/>
          <w:szCs w:val="24"/>
          <w:lang w:val="ro-RO"/>
        </w:rPr>
        <w:t>тчет</w:t>
      </w:r>
      <w:r w:rsidR="002A1979" w:rsidRPr="002A1979">
        <w:rPr>
          <w:rFonts w:asciiTheme="majorHAnsi" w:hAnsiTheme="majorHAnsi" w:cstheme="majorHAnsi"/>
          <w:i/>
          <w:sz w:val="24"/>
          <w:szCs w:val="24"/>
          <w:lang w:val="ro-RO"/>
        </w:rPr>
        <w:t>у</w:t>
      </w:r>
      <w:r w:rsidRPr="002A1979">
        <w:rPr>
          <w:rFonts w:asciiTheme="majorHAnsi" w:hAnsiTheme="majorHAnsi" w:cstheme="majorHAnsi"/>
          <w:i/>
          <w:sz w:val="24"/>
          <w:szCs w:val="24"/>
          <w:lang w:val="ro-RO"/>
        </w:rPr>
        <w:t xml:space="preserve"> аудита</w:t>
      </w:r>
      <w:r w:rsidR="00AC6703" w:rsidRPr="00F55BA6">
        <w:rPr>
          <w:rFonts w:asciiTheme="majorHAnsi" w:hAnsiTheme="majorHAnsi" w:cstheme="majorHAnsi"/>
          <w:i/>
          <w:sz w:val="24"/>
          <w:szCs w:val="24"/>
          <w:lang w:val="ro-RO"/>
        </w:rPr>
        <w:t>.</w:t>
      </w:r>
    </w:p>
    <w:p w:rsidR="00AC6703" w:rsidRPr="00F55BA6" w:rsidRDefault="000951D9" w:rsidP="00AC6703">
      <w:pPr>
        <w:spacing w:after="0" w:line="276" w:lineRule="auto"/>
        <w:ind w:right="49"/>
        <w:rPr>
          <w:rFonts w:asciiTheme="majorHAnsi" w:hAnsiTheme="majorHAnsi" w:cstheme="majorHAnsi"/>
          <w:sz w:val="24"/>
          <w:szCs w:val="24"/>
          <w:lang w:val="ro-RO"/>
        </w:rPr>
      </w:pPr>
      <w:r w:rsidRPr="000951D9">
        <w:rPr>
          <w:rFonts w:asciiTheme="majorHAnsi" w:hAnsiTheme="majorHAnsi" w:cstheme="majorHAnsi"/>
          <w:sz w:val="24"/>
          <w:szCs w:val="24"/>
          <w:lang w:val="ro-RO"/>
        </w:rPr>
        <w:t>В результате проверк</w:t>
      </w:r>
      <w:r w:rsidR="002A1979" w:rsidRPr="002A1979">
        <w:rPr>
          <w:rFonts w:asciiTheme="majorHAnsi" w:hAnsiTheme="majorHAnsi" w:cstheme="majorHAnsi"/>
          <w:sz w:val="24"/>
          <w:szCs w:val="24"/>
          <w:lang w:val="ro-RO"/>
        </w:rPr>
        <w:t>и</w:t>
      </w:r>
      <w:r w:rsidRPr="000951D9">
        <w:rPr>
          <w:rFonts w:asciiTheme="majorHAnsi" w:hAnsiTheme="majorHAnsi" w:cstheme="majorHAnsi"/>
          <w:sz w:val="24"/>
          <w:szCs w:val="24"/>
          <w:lang w:val="ro-RO"/>
        </w:rPr>
        <w:t xml:space="preserve"> уровня исполнения </w:t>
      </w:r>
      <w:r w:rsidR="002A1979" w:rsidRPr="002A1979">
        <w:rPr>
          <w:rFonts w:asciiTheme="majorHAnsi" w:hAnsiTheme="majorHAnsi" w:cstheme="majorHAnsi"/>
          <w:sz w:val="24"/>
          <w:szCs w:val="24"/>
          <w:lang w:val="ro-RO"/>
        </w:rPr>
        <w:t xml:space="preserve">по </w:t>
      </w:r>
      <w:r w:rsidRPr="000951D9">
        <w:rPr>
          <w:rFonts w:asciiTheme="majorHAnsi" w:hAnsiTheme="majorHAnsi" w:cstheme="majorHAnsi"/>
          <w:sz w:val="24"/>
          <w:szCs w:val="24"/>
          <w:lang w:val="ro-RO"/>
        </w:rPr>
        <w:t>70 инвестиционны</w:t>
      </w:r>
      <w:r w:rsidR="002A1979" w:rsidRPr="002A1979">
        <w:rPr>
          <w:rFonts w:asciiTheme="majorHAnsi" w:hAnsiTheme="majorHAnsi" w:cstheme="majorHAnsi"/>
          <w:sz w:val="24"/>
          <w:szCs w:val="24"/>
          <w:lang w:val="ro-RO"/>
        </w:rPr>
        <w:t>м</w:t>
      </w:r>
      <w:r w:rsidRPr="000951D9">
        <w:rPr>
          <w:rFonts w:asciiTheme="majorHAnsi" w:hAnsiTheme="majorHAnsi" w:cstheme="majorHAnsi"/>
          <w:sz w:val="24"/>
          <w:szCs w:val="24"/>
          <w:lang w:val="ro-RO"/>
        </w:rPr>
        <w:t xml:space="preserve"> проект</w:t>
      </w:r>
      <w:r w:rsidR="002A1979" w:rsidRPr="002A1979">
        <w:rPr>
          <w:rFonts w:asciiTheme="majorHAnsi" w:hAnsiTheme="majorHAnsi" w:cstheme="majorHAnsi"/>
          <w:sz w:val="24"/>
          <w:szCs w:val="24"/>
          <w:lang w:val="ro-RO"/>
        </w:rPr>
        <w:t>ам</w:t>
      </w:r>
      <w:r w:rsidRPr="000951D9">
        <w:rPr>
          <w:rFonts w:asciiTheme="majorHAnsi" w:hAnsiTheme="majorHAnsi" w:cstheme="majorHAnsi"/>
          <w:sz w:val="24"/>
          <w:szCs w:val="24"/>
          <w:lang w:val="ro-RO"/>
        </w:rPr>
        <w:t>, утвержденны</w:t>
      </w:r>
      <w:r w:rsidR="002A1979" w:rsidRPr="002A1979">
        <w:rPr>
          <w:rFonts w:asciiTheme="majorHAnsi" w:hAnsiTheme="majorHAnsi" w:cstheme="majorHAnsi"/>
          <w:sz w:val="24"/>
          <w:szCs w:val="24"/>
          <w:lang w:val="ro-RO"/>
        </w:rPr>
        <w:t>м</w:t>
      </w:r>
      <w:r w:rsidRPr="000951D9">
        <w:rPr>
          <w:rFonts w:asciiTheme="majorHAnsi" w:hAnsiTheme="majorHAnsi" w:cstheme="majorHAnsi"/>
          <w:sz w:val="24"/>
          <w:szCs w:val="24"/>
          <w:lang w:val="ro-RO"/>
        </w:rPr>
        <w:t xml:space="preserve"> в </w:t>
      </w:r>
      <w:r w:rsidR="002A1979" w:rsidRPr="002A1979">
        <w:rPr>
          <w:rFonts w:asciiTheme="majorHAnsi" w:hAnsiTheme="majorHAnsi" w:cstheme="majorHAnsi"/>
          <w:sz w:val="24"/>
          <w:szCs w:val="24"/>
          <w:lang w:val="ro-RO"/>
        </w:rPr>
        <w:t>ежегодном</w:t>
      </w:r>
      <w:r w:rsidRPr="000951D9">
        <w:rPr>
          <w:rFonts w:asciiTheme="majorHAnsi" w:hAnsiTheme="majorHAnsi" w:cstheme="majorHAnsi"/>
          <w:sz w:val="24"/>
          <w:szCs w:val="24"/>
          <w:lang w:val="ro-RO"/>
        </w:rPr>
        <w:t xml:space="preserve"> бюджетном законе, аудит </w:t>
      </w:r>
      <w:r w:rsidR="002A1979" w:rsidRPr="002A1979">
        <w:rPr>
          <w:rFonts w:asciiTheme="majorHAnsi" w:hAnsiTheme="majorHAnsi" w:cstheme="majorHAnsi"/>
          <w:sz w:val="24"/>
          <w:szCs w:val="24"/>
          <w:lang w:val="ro-RO"/>
        </w:rPr>
        <w:t>показа</w:t>
      </w:r>
      <w:r w:rsidR="002A1979">
        <w:rPr>
          <w:rFonts w:asciiTheme="majorHAnsi" w:hAnsiTheme="majorHAnsi" w:cstheme="majorHAnsi"/>
          <w:sz w:val="24"/>
          <w:szCs w:val="24"/>
          <w:lang w:val="ro-RO"/>
        </w:rPr>
        <w:t>л, что</w:t>
      </w:r>
      <w:r w:rsidR="00AC6703" w:rsidRPr="00F55BA6">
        <w:rPr>
          <w:rFonts w:asciiTheme="majorHAnsi" w:hAnsiTheme="majorHAnsi" w:cstheme="majorHAnsi"/>
          <w:sz w:val="24"/>
          <w:szCs w:val="24"/>
          <w:lang w:val="ro-RO"/>
        </w:rPr>
        <w:t>:</w:t>
      </w:r>
    </w:p>
    <w:p w:rsidR="00AC6703" w:rsidRPr="00454498" w:rsidRDefault="00454498" w:rsidP="00454498">
      <w:pPr>
        <w:tabs>
          <w:tab w:val="left" w:pos="142"/>
        </w:tabs>
        <w:spacing w:after="0" w:line="276" w:lineRule="auto"/>
        <w:ind w:right="49"/>
        <w:rPr>
          <w:rFonts w:asciiTheme="majorHAnsi" w:hAnsiTheme="majorHAnsi" w:cstheme="majorHAnsi"/>
          <w:sz w:val="24"/>
          <w:szCs w:val="24"/>
          <w:lang w:val="ro-RO"/>
        </w:rPr>
      </w:pPr>
      <w:r w:rsidRPr="000951D9">
        <w:rPr>
          <w:rFonts w:asciiTheme="majorHAnsi" w:hAnsiTheme="majorHAnsi" w:cstheme="majorHAnsi"/>
          <w:sz w:val="24"/>
          <w:szCs w:val="24"/>
          <w:lang w:val="ro-RO"/>
        </w:rPr>
        <w:t xml:space="preserve">- </w:t>
      </w:r>
      <w:r w:rsidR="000951D9" w:rsidRPr="00454498">
        <w:rPr>
          <w:rFonts w:asciiTheme="majorHAnsi" w:hAnsiTheme="majorHAnsi" w:cstheme="majorHAnsi"/>
          <w:sz w:val="24"/>
          <w:szCs w:val="24"/>
          <w:lang w:val="ro-RO"/>
        </w:rPr>
        <w:t xml:space="preserve"> </w:t>
      </w:r>
      <w:r w:rsidR="002A1979" w:rsidRPr="00454498">
        <w:rPr>
          <w:rFonts w:asciiTheme="majorHAnsi" w:hAnsiTheme="majorHAnsi" w:cstheme="majorHAnsi"/>
          <w:sz w:val="24"/>
          <w:szCs w:val="24"/>
          <w:lang w:val="ru-RU"/>
        </w:rPr>
        <w:t>по</w:t>
      </w:r>
      <w:r w:rsidR="000951D9" w:rsidRPr="00454498">
        <w:rPr>
          <w:rFonts w:asciiTheme="majorHAnsi" w:hAnsiTheme="majorHAnsi" w:cstheme="majorHAnsi"/>
          <w:sz w:val="24"/>
          <w:szCs w:val="24"/>
          <w:lang w:val="ro-RO"/>
        </w:rPr>
        <w:t xml:space="preserve"> 5 проект</w:t>
      </w:r>
      <w:r w:rsidR="002A1979" w:rsidRPr="00454498">
        <w:rPr>
          <w:rFonts w:asciiTheme="majorHAnsi" w:hAnsiTheme="majorHAnsi" w:cstheme="majorHAnsi"/>
          <w:sz w:val="24"/>
          <w:szCs w:val="24"/>
          <w:lang w:val="ru-RU"/>
        </w:rPr>
        <w:t>ам</w:t>
      </w:r>
      <w:r w:rsidR="000951D9" w:rsidRPr="00454498">
        <w:rPr>
          <w:rFonts w:asciiTheme="majorHAnsi" w:hAnsiTheme="majorHAnsi" w:cstheme="majorHAnsi"/>
          <w:sz w:val="24"/>
          <w:szCs w:val="24"/>
          <w:lang w:val="ro-RO"/>
        </w:rPr>
        <w:t xml:space="preserve"> не были </w:t>
      </w:r>
      <w:r w:rsidR="002A1979" w:rsidRPr="00454498">
        <w:rPr>
          <w:rFonts w:asciiTheme="majorHAnsi" w:hAnsiTheme="majorHAnsi" w:cstheme="majorHAnsi"/>
          <w:sz w:val="24"/>
          <w:szCs w:val="24"/>
          <w:lang w:val="ru-RU"/>
        </w:rPr>
        <w:t>ис</w:t>
      </w:r>
      <w:r w:rsidR="000951D9" w:rsidRPr="00454498">
        <w:rPr>
          <w:rFonts w:asciiTheme="majorHAnsi" w:hAnsiTheme="majorHAnsi" w:cstheme="majorHAnsi"/>
          <w:sz w:val="24"/>
          <w:szCs w:val="24"/>
          <w:lang w:val="ro-RO"/>
        </w:rPr>
        <w:t>полнены расходы</w:t>
      </w:r>
      <w:r w:rsidR="002A1979" w:rsidRPr="00F55BA6">
        <w:rPr>
          <w:vertAlign w:val="superscript"/>
          <w:lang w:val="ro-RO"/>
        </w:rPr>
        <w:footnoteReference w:id="45"/>
      </w:r>
      <w:r w:rsidR="000951D9" w:rsidRPr="00454498">
        <w:rPr>
          <w:rFonts w:asciiTheme="majorHAnsi" w:hAnsiTheme="majorHAnsi" w:cstheme="majorHAnsi"/>
          <w:sz w:val="24"/>
          <w:szCs w:val="24"/>
          <w:lang w:val="ro-RO"/>
        </w:rPr>
        <w:t xml:space="preserve">, </w:t>
      </w:r>
      <w:r w:rsidRPr="00454498">
        <w:rPr>
          <w:rFonts w:asciiTheme="majorHAnsi" w:hAnsiTheme="majorHAnsi" w:cstheme="majorHAnsi"/>
          <w:sz w:val="24"/>
          <w:szCs w:val="24"/>
          <w:lang w:val="ru-RU"/>
        </w:rPr>
        <w:t xml:space="preserve">были </w:t>
      </w:r>
      <w:r w:rsidR="000951D9" w:rsidRPr="00454498">
        <w:rPr>
          <w:rFonts w:asciiTheme="majorHAnsi" w:hAnsiTheme="majorHAnsi" w:cstheme="majorHAnsi"/>
          <w:sz w:val="24"/>
          <w:szCs w:val="24"/>
          <w:lang w:val="ro-RO"/>
        </w:rPr>
        <w:t>утверждены ассигнования в размере 5,3 млн.</w:t>
      </w:r>
      <w:r w:rsidR="002A1979" w:rsidRPr="00454498">
        <w:rPr>
          <w:rFonts w:asciiTheme="majorHAnsi" w:hAnsiTheme="majorHAnsi" w:cstheme="majorHAnsi"/>
          <w:sz w:val="24"/>
          <w:szCs w:val="24"/>
          <w:lang w:val="ru-RU"/>
        </w:rPr>
        <w:t xml:space="preserve"> </w:t>
      </w:r>
      <w:r w:rsidR="000951D9" w:rsidRPr="00454498">
        <w:rPr>
          <w:rFonts w:asciiTheme="majorHAnsi" w:hAnsiTheme="majorHAnsi" w:cstheme="majorHAnsi"/>
          <w:sz w:val="24"/>
          <w:szCs w:val="24"/>
          <w:lang w:val="ro-RO"/>
        </w:rPr>
        <w:t>леев и уточнено 5,7 млн. ле</w:t>
      </w:r>
      <w:r w:rsidR="002A1979" w:rsidRPr="00454498">
        <w:rPr>
          <w:rFonts w:asciiTheme="majorHAnsi" w:hAnsiTheme="majorHAnsi" w:cstheme="majorHAnsi"/>
          <w:sz w:val="24"/>
          <w:szCs w:val="24"/>
          <w:lang w:val="ru-RU"/>
        </w:rPr>
        <w:t>ев</w:t>
      </w:r>
      <w:r w:rsidR="000951D9" w:rsidRPr="00454498">
        <w:rPr>
          <w:rFonts w:asciiTheme="majorHAnsi" w:hAnsiTheme="majorHAnsi" w:cstheme="majorHAnsi"/>
          <w:sz w:val="24"/>
          <w:szCs w:val="24"/>
          <w:lang w:val="ro-RO"/>
        </w:rPr>
        <w:t xml:space="preserve">, мотивируя это тем, что </w:t>
      </w:r>
      <w:r w:rsidR="002A1979" w:rsidRPr="00454498">
        <w:rPr>
          <w:rFonts w:asciiTheme="majorHAnsi" w:hAnsiTheme="majorHAnsi" w:cstheme="majorHAnsi"/>
          <w:sz w:val="24"/>
          <w:szCs w:val="24"/>
          <w:lang w:val="ru-RU"/>
        </w:rPr>
        <w:t>по</w:t>
      </w:r>
      <w:r w:rsidR="000951D9" w:rsidRPr="00454498">
        <w:rPr>
          <w:rFonts w:asciiTheme="majorHAnsi" w:hAnsiTheme="majorHAnsi" w:cstheme="majorHAnsi"/>
          <w:sz w:val="24"/>
          <w:szCs w:val="24"/>
          <w:lang w:val="ro-RO"/>
        </w:rPr>
        <w:t xml:space="preserve"> </w:t>
      </w:r>
      <w:r w:rsidR="002A1979" w:rsidRPr="00454498">
        <w:rPr>
          <w:rFonts w:asciiTheme="majorHAnsi" w:hAnsiTheme="majorHAnsi" w:cstheme="majorHAnsi"/>
          <w:sz w:val="24"/>
          <w:szCs w:val="24"/>
          <w:lang w:val="ru-RU"/>
        </w:rPr>
        <w:t>3</w:t>
      </w:r>
      <w:r w:rsidR="000951D9" w:rsidRPr="00454498">
        <w:rPr>
          <w:rFonts w:asciiTheme="majorHAnsi" w:hAnsiTheme="majorHAnsi" w:cstheme="majorHAnsi"/>
          <w:sz w:val="24"/>
          <w:szCs w:val="24"/>
          <w:lang w:val="ro-RO"/>
        </w:rPr>
        <w:t xml:space="preserve"> проекта</w:t>
      </w:r>
      <w:r w:rsidR="002A1979" w:rsidRPr="00454498">
        <w:rPr>
          <w:rFonts w:asciiTheme="majorHAnsi" w:hAnsiTheme="majorHAnsi" w:cstheme="majorHAnsi"/>
          <w:sz w:val="24"/>
          <w:szCs w:val="24"/>
          <w:lang w:val="ru-RU"/>
        </w:rPr>
        <w:t>м</w:t>
      </w:r>
      <w:r w:rsidR="002A1979" w:rsidRPr="00F55BA6">
        <w:rPr>
          <w:rStyle w:val="FootnoteReference"/>
          <w:rFonts w:asciiTheme="majorHAnsi" w:hAnsiTheme="majorHAnsi" w:cstheme="majorHAnsi"/>
          <w:sz w:val="24"/>
          <w:szCs w:val="24"/>
          <w:lang w:val="ro-RO"/>
        </w:rPr>
        <w:footnoteReference w:id="46"/>
      </w:r>
      <w:r w:rsidR="000951D9" w:rsidRPr="00454498">
        <w:rPr>
          <w:rFonts w:asciiTheme="majorHAnsi" w:hAnsiTheme="majorHAnsi" w:cstheme="majorHAnsi"/>
          <w:sz w:val="24"/>
          <w:szCs w:val="24"/>
          <w:lang w:val="ro-RO"/>
        </w:rPr>
        <w:t>, запущенны</w:t>
      </w:r>
      <w:r w:rsidR="002A1979" w:rsidRPr="00454498">
        <w:rPr>
          <w:rFonts w:asciiTheme="majorHAnsi" w:hAnsiTheme="majorHAnsi" w:cstheme="majorHAnsi"/>
          <w:sz w:val="24"/>
          <w:szCs w:val="24"/>
          <w:lang w:val="ru-RU"/>
        </w:rPr>
        <w:t>м</w:t>
      </w:r>
      <w:r w:rsidR="000951D9" w:rsidRPr="00454498">
        <w:rPr>
          <w:rFonts w:asciiTheme="majorHAnsi" w:hAnsiTheme="majorHAnsi" w:cstheme="majorHAnsi"/>
          <w:sz w:val="24"/>
          <w:szCs w:val="24"/>
          <w:lang w:val="ro-RO"/>
        </w:rPr>
        <w:t xml:space="preserve"> в 2017 году, финансовые средства не были выделены партнерами по развитию из-за несвоевременного утверждения МФ списка аккредитованных национальных аудиторов для проверки расходов в рамках программы POC 2014-2020 Румыния – РМ. В то же время, по одному проекту</w:t>
      </w:r>
      <w:r w:rsidRPr="00F55BA6">
        <w:rPr>
          <w:rStyle w:val="FootnoteReference"/>
          <w:rFonts w:asciiTheme="majorHAnsi" w:hAnsiTheme="majorHAnsi" w:cstheme="majorHAnsi"/>
          <w:sz w:val="24"/>
          <w:szCs w:val="24"/>
          <w:lang w:val="ro-RO"/>
        </w:rPr>
        <w:footnoteReference w:id="47"/>
      </w:r>
      <w:r w:rsidR="000951D9" w:rsidRPr="00454498">
        <w:rPr>
          <w:rFonts w:asciiTheme="majorHAnsi" w:hAnsiTheme="majorHAnsi" w:cstheme="majorHAnsi"/>
          <w:sz w:val="24"/>
          <w:szCs w:val="24"/>
          <w:lang w:val="ro-RO"/>
        </w:rPr>
        <w:t xml:space="preserve"> до </w:t>
      </w:r>
      <w:r w:rsidRPr="00454498">
        <w:rPr>
          <w:rFonts w:asciiTheme="majorHAnsi" w:hAnsiTheme="majorHAnsi" w:cstheme="majorHAnsi"/>
          <w:sz w:val="24"/>
          <w:szCs w:val="24"/>
          <w:lang w:val="ru-RU"/>
        </w:rPr>
        <w:t>настоящего времени</w:t>
      </w:r>
      <w:r w:rsidR="000951D9" w:rsidRPr="00454498">
        <w:rPr>
          <w:rFonts w:asciiTheme="majorHAnsi" w:hAnsiTheme="majorHAnsi" w:cstheme="majorHAnsi"/>
          <w:sz w:val="24"/>
          <w:szCs w:val="24"/>
          <w:lang w:val="ro-RO"/>
        </w:rPr>
        <w:t xml:space="preserve"> не был</w:t>
      </w:r>
      <w:r w:rsidRPr="00454498">
        <w:rPr>
          <w:rFonts w:asciiTheme="majorHAnsi" w:hAnsiTheme="majorHAnsi" w:cstheme="majorHAnsi"/>
          <w:sz w:val="24"/>
          <w:szCs w:val="24"/>
          <w:lang w:val="ru-RU"/>
        </w:rPr>
        <w:t>а</w:t>
      </w:r>
      <w:r w:rsidR="000951D9" w:rsidRPr="00454498">
        <w:rPr>
          <w:rFonts w:asciiTheme="majorHAnsi" w:hAnsiTheme="majorHAnsi" w:cstheme="majorHAnsi"/>
          <w:sz w:val="24"/>
          <w:szCs w:val="24"/>
          <w:lang w:val="ro-RO"/>
        </w:rPr>
        <w:t xml:space="preserve"> проведен</w:t>
      </w:r>
      <w:r w:rsidRPr="00454498">
        <w:rPr>
          <w:rFonts w:asciiTheme="majorHAnsi" w:hAnsiTheme="majorHAnsi" w:cstheme="majorHAnsi"/>
          <w:sz w:val="24"/>
          <w:szCs w:val="24"/>
          <w:lang w:val="ru-RU"/>
        </w:rPr>
        <w:t>а</w:t>
      </w:r>
      <w:r w:rsidR="000951D9" w:rsidRPr="00454498">
        <w:rPr>
          <w:rFonts w:asciiTheme="majorHAnsi" w:hAnsiTheme="majorHAnsi" w:cstheme="majorHAnsi"/>
          <w:sz w:val="24"/>
          <w:szCs w:val="24"/>
          <w:lang w:val="ro-RO"/>
        </w:rPr>
        <w:t xml:space="preserve"> передач</w:t>
      </w:r>
      <w:r w:rsidRPr="00454498">
        <w:rPr>
          <w:rFonts w:asciiTheme="majorHAnsi" w:hAnsiTheme="majorHAnsi" w:cstheme="majorHAnsi"/>
          <w:sz w:val="24"/>
          <w:szCs w:val="24"/>
          <w:lang w:val="ru-RU"/>
        </w:rPr>
        <w:t>а</w:t>
      </w:r>
      <w:r w:rsidR="000951D9" w:rsidRPr="00454498">
        <w:rPr>
          <w:rFonts w:asciiTheme="majorHAnsi" w:hAnsiTheme="majorHAnsi" w:cstheme="majorHAnsi"/>
          <w:sz w:val="24"/>
          <w:szCs w:val="24"/>
          <w:lang w:val="ro-RO"/>
        </w:rPr>
        <w:t xml:space="preserve"> </w:t>
      </w:r>
      <w:r w:rsidRPr="00454498">
        <w:rPr>
          <w:rFonts w:asciiTheme="majorHAnsi" w:hAnsiTheme="majorHAnsi" w:cstheme="majorHAnsi"/>
          <w:sz w:val="24"/>
          <w:szCs w:val="24"/>
          <w:lang w:val="ru-RU"/>
        </w:rPr>
        <w:t>от</w:t>
      </w:r>
      <w:r w:rsidRPr="00454498">
        <w:rPr>
          <w:rFonts w:asciiTheme="majorHAnsi" w:hAnsiTheme="majorHAnsi" w:cstheme="majorHAnsi"/>
          <w:sz w:val="24"/>
          <w:szCs w:val="24"/>
          <w:lang w:val="ro-RO"/>
        </w:rPr>
        <w:t xml:space="preserve"> </w:t>
      </w:r>
      <w:r w:rsidRPr="00454498">
        <w:rPr>
          <w:rFonts w:asciiTheme="majorHAnsi" w:hAnsiTheme="majorHAnsi" w:cstheme="majorHAnsi"/>
          <w:sz w:val="24"/>
          <w:szCs w:val="24"/>
          <w:lang w:val="ru-RU"/>
        </w:rPr>
        <w:t>П</w:t>
      </w:r>
      <w:r w:rsidRPr="00454498">
        <w:rPr>
          <w:rFonts w:asciiTheme="majorHAnsi" w:hAnsiTheme="majorHAnsi" w:cstheme="majorHAnsi"/>
          <w:sz w:val="24"/>
          <w:szCs w:val="24"/>
          <w:lang w:val="ro-RO"/>
        </w:rPr>
        <w:t xml:space="preserve">римэрии </w:t>
      </w:r>
      <w:r w:rsidRPr="00454498">
        <w:rPr>
          <w:rFonts w:asciiTheme="majorHAnsi" w:hAnsiTheme="majorHAnsi" w:cstheme="majorHAnsi"/>
          <w:sz w:val="24"/>
          <w:szCs w:val="24"/>
          <w:lang w:val="ru-RU"/>
        </w:rPr>
        <w:t>м</w:t>
      </w:r>
      <w:r w:rsidRPr="00454498">
        <w:rPr>
          <w:rFonts w:asciiTheme="majorHAnsi" w:hAnsiTheme="majorHAnsi" w:cstheme="majorHAnsi"/>
          <w:sz w:val="24"/>
          <w:szCs w:val="24"/>
          <w:lang w:val="ro-RO"/>
        </w:rPr>
        <w:t>ун. Кишинэу - МОКИ выбра</w:t>
      </w:r>
      <w:r w:rsidR="000951D9" w:rsidRPr="00454498">
        <w:rPr>
          <w:rFonts w:asciiTheme="majorHAnsi" w:hAnsiTheme="majorHAnsi" w:cstheme="majorHAnsi"/>
          <w:sz w:val="24"/>
          <w:szCs w:val="24"/>
          <w:lang w:val="ro-RO"/>
        </w:rPr>
        <w:t>нного п</w:t>
      </w:r>
      <w:r w:rsidRPr="00454498">
        <w:rPr>
          <w:rFonts w:asciiTheme="majorHAnsi" w:hAnsiTheme="majorHAnsi" w:cstheme="majorHAnsi"/>
          <w:sz w:val="24"/>
          <w:szCs w:val="24"/>
          <w:lang w:val="ro-RO"/>
        </w:rPr>
        <w:t>омещения</w:t>
      </w:r>
      <w:r w:rsidR="000951D9" w:rsidRPr="00454498">
        <w:rPr>
          <w:rFonts w:asciiTheme="majorHAnsi" w:hAnsiTheme="majorHAnsi" w:cstheme="majorHAnsi"/>
          <w:sz w:val="24"/>
          <w:szCs w:val="24"/>
          <w:lang w:val="ro-RO"/>
        </w:rPr>
        <w:t xml:space="preserve"> для размещения </w:t>
      </w:r>
      <w:r w:rsidRPr="00454498">
        <w:rPr>
          <w:rFonts w:asciiTheme="majorHAnsi" w:hAnsiTheme="majorHAnsi" w:cstheme="majorHAnsi"/>
          <w:sz w:val="24"/>
          <w:szCs w:val="24"/>
          <w:lang w:val="ro-RO"/>
        </w:rPr>
        <w:t>М</w:t>
      </w:r>
      <w:r w:rsidR="000951D9" w:rsidRPr="00454498">
        <w:rPr>
          <w:rFonts w:asciiTheme="majorHAnsi" w:hAnsiTheme="majorHAnsi" w:cstheme="majorHAnsi"/>
          <w:sz w:val="24"/>
          <w:szCs w:val="24"/>
          <w:lang w:val="ro-RO"/>
        </w:rPr>
        <w:t xml:space="preserve">узея, а </w:t>
      </w:r>
      <w:r w:rsidRPr="00454498">
        <w:rPr>
          <w:rFonts w:asciiTheme="majorHAnsi" w:hAnsiTheme="majorHAnsi" w:cstheme="majorHAnsi"/>
          <w:sz w:val="24"/>
          <w:szCs w:val="24"/>
          <w:lang w:val="ro-RO"/>
        </w:rPr>
        <w:t>по</w:t>
      </w:r>
      <w:r w:rsidR="000951D9" w:rsidRPr="00454498">
        <w:rPr>
          <w:rFonts w:asciiTheme="majorHAnsi" w:hAnsiTheme="majorHAnsi" w:cstheme="majorHAnsi"/>
          <w:sz w:val="24"/>
          <w:szCs w:val="24"/>
          <w:lang w:val="ro-RO"/>
        </w:rPr>
        <w:t xml:space="preserve"> другом</w:t>
      </w:r>
      <w:r w:rsidRPr="00454498">
        <w:rPr>
          <w:rFonts w:asciiTheme="majorHAnsi" w:hAnsiTheme="majorHAnsi" w:cstheme="majorHAnsi"/>
          <w:sz w:val="24"/>
          <w:szCs w:val="24"/>
          <w:lang w:val="ro-RO"/>
        </w:rPr>
        <w:t>у</w:t>
      </w:r>
      <w:r w:rsidR="000951D9" w:rsidRPr="00454498">
        <w:rPr>
          <w:rFonts w:asciiTheme="majorHAnsi" w:hAnsiTheme="majorHAnsi" w:cstheme="majorHAnsi"/>
          <w:sz w:val="24"/>
          <w:szCs w:val="24"/>
          <w:lang w:val="ro-RO"/>
        </w:rPr>
        <w:t xml:space="preserve"> проект</w:t>
      </w:r>
      <w:r w:rsidRPr="00454498">
        <w:rPr>
          <w:rFonts w:asciiTheme="majorHAnsi" w:hAnsiTheme="majorHAnsi" w:cstheme="majorHAnsi"/>
          <w:sz w:val="24"/>
          <w:szCs w:val="24"/>
          <w:lang w:val="ro-RO"/>
        </w:rPr>
        <w:t>у</w:t>
      </w:r>
      <w:r w:rsidRPr="00F55BA6">
        <w:rPr>
          <w:rStyle w:val="FootnoteReference"/>
          <w:rFonts w:asciiTheme="majorHAnsi" w:hAnsiTheme="majorHAnsi" w:cstheme="majorHAnsi"/>
          <w:sz w:val="24"/>
          <w:szCs w:val="24"/>
          <w:lang w:val="ro-RO"/>
        </w:rPr>
        <w:footnoteReference w:id="48"/>
      </w:r>
      <w:r w:rsidRPr="00454498">
        <w:rPr>
          <w:rFonts w:asciiTheme="majorHAnsi" w:hAnsiTheme="majorHAnsi" w:cstheme="majorHAnsi"/>
          <w:sz w:val="24"/>
          <w:szCs w:val="24"/>
          <w:lang w:val="ro-RO"/>
        </w:rPr>
        <w:t xml:space="preserve"> </w:t>
      </w:r>
      <w:r w:rsidR="000951D9" w:rsidRPr="00454498">
        <w:rPr>
          <w:rFonts w:asciiTheme="majorHAnsi" w:hAnsiTheme="majorHAnsi" w:cstheme="majorHAnsi"/>
          <w:sz w:val="24"/>
          <w:szCs w:val="24"/>
          <w:lang w:val="ro-RO"/>
        </w:rPr>
        <w:t xml:space="preserve"> </w:t>
      </w:r>
      <w:r w:rsidRPr="00454498">
        <w:rPr>
          <w:rFonts w:asciiTheme="majorHAnsi" w:hAnsiTheme="majorHAnsi" w:cstheme="majorHAnsi"/>
          <w:sz w:val="24"/>
          <w:szCs w:val="24"/>
          <w:lang w:val="ro-RO"/>
        </w:rPr>
        <w:t xml:space="preserve">несколько раз </w:t>
      </w:r>
      <w:r w:rsidR="000951D9" w:rsidRPr="00454498">
        <w:rPr>
          <w:rFonts w:asciiTheme="majorHAnsi" w:hAnsiTheme="majorHAnsi" w:cstheme="majorHAnsi"/>
          <w:sz w:val="24"/>
          <w:szCs w:val="24"/>
          <w:lang w:val="ro-RO"/>
        </w:rPr>
        <w:t>пров</w:t>
      </w:r>
      <w:r w:rsidRPr="00454498">
        <w:rPr>
          <w:rFonts w:asciiTheme="majorHAnsi" w:hAnsiTheme="majorHAnsi" w:cstheme="majorHAnsi"/>
          <w:sz w:val="24"/>
          <w:szCs w:val="24"/>
          <w:lang w:val="ro-RO"/>
        </w:rPr>
        <w:t>одилась</w:t>
      </w:r>
      <w:r w:rsidR="000951D9" w:rsidRPr="00454498">
        <w:rPr>
          <w:rFonts w:asciiTheme="majorHAnsi" w:hAnsiTheme="majorHAnsi" w:cstheme="majorHAnsi"/>
          <w:sz w:val="24"/>
          <w:szCs w:val="24"/>
          <w:lang w:val="ro-RO"/>
        </w:rPr>
        <w:t xml:space="preserve"> </w:t>
      </w:r>
      <w:r w:rsidRPr="00454498">
        <w:rPr>
          <w:rFonts w:asciiTheme="majorHAnsi" w:hAnsiTheme="majorHAnsi" w:cstheme="majorHAnsi"/>
          <w:sz w:val="24"/>
          <w:szCs w:val="24"/>
          <w:lang w:val="ro-RO"/>
        </w:rPr>
        <w:t>процедура государственной закупки</w:t>
      </w:r>
      <w:r w:rsidR="000951D9" w:rsidRPr="00454498">
        <w:rPr>
          <w:rFonts w:asciiTheme="majorHAnsi" w:hAnsiTheme="majorHAnsi" w:cstheme="majorHAnsi"/>
          <w:sz w:val="24"/>
          <w:szCs w:val="24"/>
          <w:lang w:val="ro-RO"/>
        </w:rPr>
        <w:t xml:space="preserve">, </w:t>
      </w:r>
      <w:r w:rsidRPr="00454498">
        <w:rPr>
          <w:rFonts w:asciiTheme="majorHAnsi" w:hAnsiTheme="majorHAnsi" w:cstheme="majorHAnsi"/>
          <w:sz w:val="24"/>
          <w:szCs w:val="24"/>
          <w:lang w:val="ro-RO"/>
        </w:rPr>
        <w:t>с назначением</w:t>
      </w:r>
      <w:r w:rsidR="000951D9" w:rsidRPr="00454498">
        <w:rPr>
          <w:rFonts w:asciiTheme="majorHAnsi" w:hAnsiTheme="majorHAnsi" w:cstheme="majorHAnsi"/>
          <w:sz w:val="24"/>
          <w:szCs w:val="24"/>
          <w:lang w:val="ro-RO"/>
        </w:rPr>
        <w:t xml:space="preserve"> победител</w:t>
      </w:r>
      <w:r w:rsidRPr="00454498">
        <w:rPr>
          <w:rFonts w:asciiTheme="majorHAnsi" w:hAnsiTheme="majorHAnsi" w:cstheme="majorHAnsi"/>
          <w:sz w:val="24"/>
          <w:szCs w:val="24"/>
          <w:lang w:val="ro-RO"/>
        </w:rPr>
        <w:t>я</w:t>
      </w:r>
      <w:r w:rsidR="000951D9" w:rsidRPr="00454498">
        <w:rPr>
          <w:rFonts w:asciiTheme="majorHAnsi" w:hAnsiTheme="majorHAnsi" w:cstheme="majorHAnsi"/>
          <w:sz w:val="24"/>
          <w:szCs w:val="24"/>
          <w:lang w:val="ro-RO"/>
        </w:rPr>
        <w:t xml:space="preserve"> в конце года</w:t>
      </w:r>
      <w:r w:rsidR="004A5EAC" w:rsidRPr="00454498">
        <w:rPr>
          <w:rFonts w:asciiTheme="majorHAnsi" w:hAnsiTheme="majorHAnsi" w:cstheme="majorHAnsi"/>
          <w:sz w:val="24"/>
          <w:szCs w:val="24"/>
          <w:lang w:val="ro-RO"/>
        </w:rPr>
        <w:t>;</w:t>
      </w:r>
    </w:p>
    <w:p w:rsidR="00AC6703" w:rsidRPr="00F55BA6" w:rsidRDefault="000951D9" w:rsidP="00454498">
      <w:pPr>
        <w:pStyle w:val="ListParagraph"/>
        <w:tabs>
          <w:tab w:val="left" w:pos="142"/>
        </w:tabs>
        <w:spacing w:after="0" w:line="276" w:lineRule="auto"/>
        <w:ind w:left="0" w:right="49"/>
        <w:rPr>
          <w:rFonts w:asciiTheme="majorHAnsi" w:hAnsiTheme="majorHAnsi" w:cstheme="majorHAnsi"/>
          <w:sz w:val="24"/>
          <w:szCs w:val="24"/>
          <w:lang w:val="ro-RO"/>
        </w:rPr>
      </w:pPr>
      <w:r w:rsidRPr="000951D9">
        <w:rPr>
          <w:rFonts w:asciiTheme="majorHAnsi" w:hAnsiTheme="majorHAnsi" w:cstheme="majorHAnsi"/>
          <w:sz w:val="24"/>
          <w:szCs w:val="24"/>
          <w:lang w:val="ro-RO"/>
        </w:rPr>
        <w:t xml:space="preserve">- </w:t>
      </w:r>
      <w:r w:rsidR="00454498">
        <w:rPr>
          <w:rFonts w:asciiTheme="majorHAnsi" w:hAnsiTheme="majorHAnsi" w:cstheme="majorHAnsi"/>
          <w:sz w:val="24"/>
          <w:szCs w:val="24"/>
          <w:lang w:val="ru-RU"/>
        </w:rPr>
        <w:t>по</w:t>
      </w:r>
      <w:r w:rsidRPr="000951D9">
        <w:rPr>
          <w:rFonts w:asciiTheme="majorHAnsi" w:hAnsiTheme="majorHAnsi" w:cstheme="majorHAnsi"/>
          <w:sz w:val="24"/>
          <w:szCs w:val="24"/>
          <w:lang w:val="ro-RO"/>
        </w:rPr>
        <w:t xml:space="preserve"> 9 проект</w:t>
      </w:r>
      <w:r w:rsidR="00454498">
        <w:rPr>
          <w:rFonts w:asciiTheme="majorHAnsi" w:hAnsiTheme="majorHAnsi" w:cstheme="majorHAnsi"/>
          <w:sz w:val="24"/>
          <w:szCs w:val="24"/>
          <w:lang w:val="ru-RU"/>
        </w:rPr>
        <w:t>ам</w:t>
      </w:r>
      <w:r w:rsidRPr="000951D9">
        <w:rPr>
          <w:rFonts w:asciiTheme="majorHAnsi" w:hAnsiTheme="majorHAnsi" w:cstheme="majorHAnsi"/>
          <w:sz w:val="24"/>
          <w:szCs w:val="24"/>
          <w:lang w:val="ro-RO"/>
        </w:rPr>
        <w:t xml:space="preserve"> были </w:t>
      </w:r>
      <w:r w:rsidR="00454498">
        <w:rPr>
          <w:rFonts w:asciiTheme="majorHAnsi" w:hAnsiTheme="majorHAnsi" w:cstheme="majorHAnsi"/>
          <w:sz w:val="24"/>
          <w:szCs w:val="24"/>
          <w:lang w:val="ru-RU"/>
        </w:rPr>
        <w:t>ис</w:t>
      </w:r>
      <w:r w:rsidRPr="000951D9">
        <w:rPr>
          <w:rFonts w:asciiTheme="majorHAnsi" w:hAnsiTheme="majorHAnsi" w:cstheme="majorHAnsi"/>
          <w:sz w:val="24"/>
          <w:szCs w:val="24"/>
          <w:lang w:val="ro-RO"/>
        </w:rPr>
        <w:t xml:space="preserve">полнены расходы от 1,2% до 44,3% по сравнению с </w:t>
      </w:r>
      <w:r w:rsidR="00454498">
        <w:rPr>
          <w:rFonts w:asciiTheme="majorHAnsi" w:hAnsiTheme="majorHAnsi" w:cstheme="majorHAnsi"/>
          <w:sz w:val="24"/>
          <w:szCs w:val="24"/>
          <w:lang w:val="ru-RU"/>
        </w:rPr>
        <w:t xml:space="preserve">уточненным </w:t>
      </w:r>
      <w:r w:rsidRPr="000951D9">
        <w:rPr>
          <w:rFonts w:asciiTheme="majorHAnsi" w:hAnsiTheme="majorHAnsi" w:cstheme="majorHAnsi"/>
          <w:sz w:val="24"/>
          <w:szCs w:val="24"/>
          <w:lang w:val="ro-RO"/>
        </w:rPr>
        <w:t>объемом ассигнований</w:t>
      </w:r>
      <w:r w:rsidR="00454498">
        <w:rPr>
          <w:rFonts w:asciiTheme="majorHAnsi" w:hAnsiTheme="majorHAnsi" w:cstheme="majorHAnsi"/>
          <w:sz w:val="24"/>
          <w:szCs w:val="24"/>
          <w:lang w:val="ru-RU"/>
        </w:rPr>
        <w:t>,</w:t>
      </w:r>
      <w:r w:rsidRPr="000951D9">
        <w:rPr>
          <w:rFonts w:asciiTheme="majorHAnsi" w:hAnsiTheme="majorHAnsi" w:cstheme="majorHAnsi"/>
          <w:sz w:val="24"/>
          <w:szCs w:val="24"/>
          <w:lang w:val="ro-RO"/>
        </w:rPr>
        <w:t xml:space="preserve"> и от 0,6% до 66,7% по сравнению с объемом первоначально утвержденных ассигнований.  </w:t>
      </w:r>
      <w:r w:rsidR="00454498" w:rsidRPr="00454498">
        <w:rPr>
          <w:rFonts w:asciiTheme="majorHAnsi" w:hAnsiTheme="majorHAnsi" w:cstheme="majorHAnsi"/>
          <w:sz w:val="24"/>
          <w:szCs w:val="24"/>
          <w:lang w:val="ro-RO"/>
        </w:rPr>
        <w:t>По</w:t>
      </w:r>
      <w:r w:rsidRPr="000951D9">
        <w:rPr>
          <w:rFonts w:asciiTheme="majorHAnsi" w:hAnsiTheme="majorHAnsi" w:cstheme="majorHAnsi"/>
          <w:sz w:val="24"/>
          <w:szCs w:val="24"/>
          <w:lang w:val="ro-RO"/>
        </w:rPr>
        <w:t xml:space="preserve"> проект</w:t>
      </w:r>
      <w:r w:rsidR="00454498" w:rsidRPr="00454498">
        <w:rPr>
          <w:rFonts w:asciiTheme="majorHAnsi" w:hAnsiTheme="majorHAnsi" w:cstheme="majorHAnsi"/>
          <w:sz w:val="24"/>
          <w:szCs w:val="24"/>
          <w:lang w:val="ro-RO"/>
        </w:rPr>
        <w:t>у</w:t>
      </w:r>
      <w:r w:rsidR="00454498" w:rsidRPr="00F55BA6">
        <w:rPr>
          <w:rStyle w:val="FootnoteReference"/>
          <w:rFonts w:asciiTheme="majorHAnsi" w:hAnsiTheme="majorHAnsi" w:cstheme="majorHAnsi"/>
          <w:sz w:val="24"/>
          <w:szCs w:val="24"/>
          <w:lang w:val="ro-RO"/>
        </w:rPr>
        <w:footnoteReference w:id="49"/>
      </w:r>
      <w:r w:rsidRPr="000951D9">
        <w:rPr>
          <w:rFonts w:asciiTheme="majorHAnsi" w:hAnsiTheme="majorHAnsi" w:cstheme="majorHAnsi"/>
          <w:sz w:val="24"/>
          <w:szCs w:val="24"/>
          <w:lang w:val="ro-RO"/>
        </w:rPr>
        <w:t xml:space="preserve"> с наименьшим уровнем исполнения (1,2%), который был запущен в 2016 году (внутренние источники), мотивируя несоблюдение</w:t>
      </w:r>
      <w:r w:rsidR="00454498" w:rsidRPr="00454498">
        <w:rPr>
          <w:rFonts w:asciiTheme="majorHAnsi" w:hAnsiTheme="majorHAnsi" w:cstheme="majorHAnsi"/>
          <w:sz w:val="24"/>
          <w:szCs w:val="24"/>
          <w:lang w:val="ro-RO"/>
        </w:rPr>
        <w:t>м</w:t>
      </w:r>
      <w:r w:rsidRPr="000951D9">
        <w:rPr>
          <w:rFonts w:asciiTheme="majorHAnsi" w:hAnsiTheme="majorHAnsi" w:cstheme="majorHAnsi"/>
          <w:sz w:val="24"/>
          <w:szCs w:val="24"/>
          <w:lang w:val="ro-RO"/>
        </w:rPr>
        <w:t xml:space="preserve"> договорных </w:t>
      </w:r>
      <w:r w:rsidR="00454498" w:rsidRPr="00454498">
        <w:rPr>
          <w:rFonts w:asciiTheme="majorHAnsi" w:hAnsiTheme="majorHAnsi" w:cstheme="majorHAnsi"/>
          <w:sz w:val="24"/>
          <w:szCs w:val="24"/>
          <w:lang w:val="ro-RO"/>
        </w:rPr>
        <w:t>услов</w:t>
      </w:r>
      <w:r w:rsidRPr="000951D9">
        <w:rPr>
          <w:rFonts w:asciiTheme="majorHAnsi" w:hAnsiTheme="majorHAnsi" w:cstheme="majorHAnsi"/>
          <w:sz w:val="24"/>
          <w:szCs w:val="24"/>
          <w:lang w:val="ro-RO"/>
        </w:rPr>
        <w:t xml:space="preserve">ий экономическим агентом, договор был расторгнут, и </w:t>
      </w:r>
      <w:r w:rsidR="00454498" w:rsidRPr="00454498">
        <w:rPr>
          <w:rFonts w:asciiTheme="majorHAnsi" w:hAnsiTheme="majorHAnsi" w:cstheme="majorHAnsi"/>
          <w:sz w:val="24"/>
          <w:szCs w:val="24"/>
          <w:lang w:val="ro-RO"/>
        </w:rPr>
        <w:t>предстоит</w:t>
      </w:r>
      <w:r w:rsidRPr="000951D9">
        <w:rPr>
          <w:rFonts w:asciiTheme="majorHAnsi" w:hAnsiTheme="majorHAnsi" w:cstheme="majorHAnsi"/>
          <w:sz w:val="24"/>
          <w:szCs w:val="24"/>
          <w:lang w:val="ro-RO"/>
        </w:rPr>
        <w:t xml:space="preserve"> инициирова</w:t>
      </w:r>
      <w:r w:rsidR="00454498" w:rsidRPr="00454498">
        <w:rPr>
          <w:rFonts w:asciiTheme="majorHAnsi" w:hAnsiTheme="majorHAnsi" w:cstheme="majorHAnsi"/>
          <w:sz w:val="24"/>
          <w:szCs w:val="24"/>
          <w:lang w:val="ro-RO"/>
        </w:rPr>
        <w:t>ть</w:t>
      </w:r>
      <w:r w:rsidRPr="000951D9">
        <w:rPr>
          <w:rFonts w:asciiTheme="majorHAnsi" w:hAnsiTheme="majorHAnsi" w:cstheme="majorHAnsi"/>
          <w:sz w:val="24"/>
          <w:szCs w:val="24"/>
          <w:lang w:val="ro-RO"/>
        </w:rPr>
        <w:t xml:space="preserve"> процедур</w:t>
      </w:r>
      <w:r w:rsidR="00454498" w:rsidRPr="00454498">
        <w:rPr>
          <w:rFonts w:asciiTheme="majorHAnsi" w:hAnsiTheme="majorHAnsi" w:cstheme="majorHAnsi"/>
          <w:sz w:val="24"/>
          <w:szCs w:val="24"/>
          <w:lang w:val="ro-RO"/>
        </w:rPr>
        <w:t>у</w:t>
      </w:r>
      <w:r w:rsidRPr="000951D9">
        <w:rPr>
          <w:rFonts w:asciiTheme="majorHAnsi" w:hAnsiTheme="majorHAnsi" w:cstheme="majorHAnsi"/>
          <w:sz w:val="24"/>
          <w:szCs w:val="24"/>
          <w:lang w:val="ro-RO"/>
        </w:rPr>
        <w:t xml:space="preserve"> </w:t>
      </w:r>
      <w:r w:rsidR="00454498" w:rsidRPr="00454498">
        <w:rPr>
          <w:rFonts w:asciiTheme="majorHAnsi" w:hAnsiTheme="majorHAnsi" w:cstheme="majorHAnsi"/>
          <w:sz w:val="24"/>
          <w:szCs w:val="24"/>
          <w:lang w:val="ro-RO"/>
        </w:rPr>
        <w:t>государственной закупки</w:t>
      </w:r>
      <w:r w:rsidR="00AC6703" w:rsidRPr="00F55BA6">
        <w:rPr>
          <w:rFonts w:asciiTheme="majorHAnsi" w:hAnsiTheme="majorHAnsi" w:cstheme="majorHAnsi"/>
          <w:sz w:val="24"/>
          <w:szCs w:val="24"/>
          <w:lang w:val="ro-RO"/>
        </w:rPr>
        <w:t>.</w:t>
      </w:r>
    </w:p>
    <w:p w:rsidR="00AC6703" w:rsidRPr="00F55BA6" w:rsidRDefault="0025321F" w:rsidP="00AC6703">
      <w:pPr>
        <w:spacing w:after="0" w:line="276" w:lineRule="auto"/>
        <w:ind w:right="49"/>
        <w:rPr>
          <w:rFonts w:asciiTheme="majorHAnsi" w:hAnsiTheme="majorHAnsi" w:cstheme="majorHAnsi"/>
          <w:sz w:val="24"/>
          <w:szCs w:val="24"/>
          <w:lang w:val="ro-RO"/>
        </w:rPr>
      </w:pPr>
      <w:r>
        <w:rPr>
          <w:rFonts w:asciiTheme="majorHAnsi" w:hAnsiTheme="majorHAnsi" w:cstheme="majorHAnsi"/>
          <w:sz w:val="24"/>
          <w:szCs w:val="24"/>
          <w:lang w:val="ru-RU"/>
        </w:rPr>
        <w:t>Кроме того</w:t>
      </w:r>
      <w:r w:rsidR="000951D9" w:rsidRPr="000951D9">
        <w:rPr>
          <w:rFonts w:asciiTheme="majorHAnsi" w:hAnsiTheme="majorHAnsi" w:cstheme="majorHAnsi"/>
          <w:sz w:val="24"/>
          <w:szCs w:val="24"/>
          <w:lang w:val="ro-RO"/>
        </w:rPr>
        <w:t xml:space="preserve">, </w:t>
      </w:r>
      <w:r>
        <w:rPr>
          <w:rFonts w:asciiTheme="majorHAnsi" w:hAnsiTheme="majorHAnsi" w:cstheme="majorHAnsi"/>
          <w:sz w:val="24"/>
          <w:szCs w:val="24"/>
          <w:lang w:val="ru-RU"/>
        </w:rPr>
        <w:t>на</w:t>
      </w:r>
      <w:r w:rsidR="000951D9" w:rsidRPr="000951D9">
        <w:rPr>
          <w:rFonts w:asciiTheme="majorHAnsi" w:hAnsiTheme="majorHAnsi" w:cstheme="majorHAnsi"/>
          <w:sz w:val="24"/>
          <w:szCs w:val="24"/>
          <w:lang w:val="ro-RO"/>
        </w:rPr>
        <w:t xml:space="preserve"> „</w:t>
      </w:r>
      <w:r>
        <w:rPr>
          <w:rFonts w:asciiTheme="majorHAnsi" w:hAnsiTheme="majorHAnsi" w:cstheme="majorHAnsi"/>
          <w:sz w:val="24"/>
          <w:szCs w:val="24"/>
          <w:lang w:val="ru-RU"/>
        </w:rPr>
        <w:t>С</w:t>
      </w:r>
      <w:r w:rsidR="000951D9" w:rsidRPr="000951D9">
        <w:rPr>
          <w:rFonts w:asciiTheme="majorHAnsi" w:hAnsiTheme="majorHAnsi" w:cstheme="majorHAnsi"/>
          <w:sz w:val="24"/>
          <w:szCs w:val="24"/>
          <w:lang w:val="ro-RO"/>
        </w:rPr>
        <w:t>троительств</w:t>
      </w:r>
      <w:r>
        <w:rPr>
          <w:rFonts w:asciiTheme="majorHAnsi" w:hAnsiTheme="majorHAnsi" w:cstheme="majorHAnsi"/>
          <w:sz w:val="24"/>
          <w:szCs w:val="24"/>
          <w:lang w:val="ru-RU"/>
        </w:rPr>
        <w:t>о</w:t>
      </w:r>
      <w:r w:rsidR="000951D9" w:rsidRPr="000951D9">
        <w:rPr>
          <w:rFonts w:asciiTheme="majorHAnsi" w:hAnsiTheme="majorHAnsi" w:cstheme="majorHAnsi"/>
          <w:sz w:val="24"/>
          <w:szCs w:val="24"/>
          <w:lang w:val="ro-RO"/>
        </w:rPr>
        <w:t xml:space="preserve"> комплекса </w:t>
      </w:r>
      <w:r>
        <w:rPr>
          <w:rFonts w:asciiTheme="majorHAnsi" w:hAnsiTheme="majorHAnsi" w:cstheme="majorHAnsi"/>
          <w:sz w:val="24"/>
          <w:szCs w:val="24"/>
          <w:lang w:val="ru-RU"/>
        </w:rPr>
        <w:t>П</w:t>
      </w:r>
      <w:r w:rsidR="000951D9" w:rsidRPr="000951D9">
        <w:rPr>
          <w:rFonts w:asciiTheme="majorHAnsi" w:hAnsiTheme="majorHAnsi" w:cstheme="majorHAnsi"/>
          <w:sz w:val="24"/>
          <w:szCs w:val="24"/>
          <w:lang w:val="ro-RO"/>
        </w:rPr>
        <w:t>осольства РМ в Республике Беларусь, г. Минск</w:t>
      </w:r>
      <w:r w:rsidRPr="000951D9">
        <w:rPr>
          <w:rFonts w:asciiTheme="majorHAnsi" w:hAnsiTheme="majorHAnsi" w:cstheme="majorHAnsi"/>
          <w:sz w:val="24"/>
          <w:szCs w:val="24"/>
          <w:lang w:val="ro-RO"/>
        </w:rPr>
        <w:t>”</w:t>
      </w:r>
      <w:r w:rsidR="000951D9" w:rsidRPr="000951D9">
        <w:rPr>
          <w:rFonts w:asciiTheme="majorHAnsi" w:hAnsiTheme="majorHAnsi" w:cstheme="majorHAnsi"/>
          <w:sz w:val="24"/>
          <w:szCs w:val="24"/>
          <w:lang w:val="ro-RO"/>
        </w:rPr>
        <w:t xml:space="preserve"> расходы были </w:t>
      </w:r>
      <w:r>
        <w:rPr>
          <w:rFonts w:asciiTheme="majorHAnsi" w:hAnsiTheme="majorHAnsi" w:cstheme="majorHAnsi"/>
          <w:sz w:val="24"/>
          <w:szCs w:val="24"/>
          <w:lang w:val="ru-RU"/>
        </w:rPr>
        <w:t>ис</w:t>
      </w:r>
      <w:r w:rsidR="000951D9" w:rsidRPr="000951D9">
        <w:rPr>
          <w:rFonts w:asciiTheme="majorHAnsi" w:hAnsiTheme="majorHAnsi" w:cstheme="majorHAnsi"/>
          <w:sz w:val="24"/>
          <w:szCs w:val="24"/>
          <w:lang w:val="ro-RO"/>
        </w:rPr>
        <w:t>полнены на уровне 16,7%</w:t>
      </w:r>
      <w:r>
        <w:rPr>
          <w:rFonts w:asciiTheme="majorHAnsi" w:hAnsiTheme="majorHAnsi" w:cstheme="majorHAnsi"/>
          <w:sz w:val="24"/>
          <w:szCs w:val="24"/>
          <w:lang w:val="ru-RU"/>
        </w:rPr>
        <w:t>,</w:t>
      </w:r>
      <w:r w:rsidR="000951D9" w:rsidRPr="000951D9">
        <w:rPr>
          <w:rFonts w:asciiTheme="majorHAnsi" w:hAnsiTheme="majorHAnsi" w:cstheme="majorHAnsi"/>
          <w:sz w:val="24"/>
          <w:szCs w:val="24"/>
          <w:lang w:val="ro-RO"/>
        </w:rPr>
        <w:t xml:space="preserve"> поскольку проектная и сметная документация, разработанная </w:t>
      </w:r>
      <w:r w:rsidR="0066158B">
        <w:rPr>
          <w:rFonts w:asciiTheme="majorHAnsi" w:hAnsiTheme="majorHAnsi" w:cstheme="majorHAnsi"/>
          <w:sz w:val="24"/>
          <w:szCs w:val="24"/>
          <w:lang w:val="ru-RU"/>
        </w:rPr>
        <w:t>в</w:t>
      </w:r>
      <w:r w:rsidR="000951D9" w:rsidRPr="000951D9">
        <w:rPr>
          <w:rFonts w:asciiTheme="majorHAnsi" w:hAnsiTheme="majorHAnsi" w:cstheme="majorHAnsi"/>
          <w:sz w:val="24"/>
          <w:szCs w:val="24"/>
          <w:lang w:val="ro-RO"/>
        </w:rPr>
        <w:t xml:space="preserve"> 2014 год</w:t>
      </w:r>
      <w:r w:rsidR="0066158B">
        <w:rPr>
          <w:rFonts w:asciiTheme="majorHAnsi" w:hAnsiTheme="majorHAnsi" w:cstheme="majorHAnsi"/>
          <w:sz w:val="24"/>
          <w:szCs w:val="24"/>
          <w:lang w:val="ru-RU"/>
        </w:rPr>
        <w:t>у</w:t>
      </w:r>
      <w:r w:rsidR="000951D9" w:rsidRPr="000951D9">
        <w:rPr>
          <w:rFonts w:asciiTheme="majorHAnsi" w:hAnsiTheme="majorHAnsi" w:cstheme="majorHAnsi"/>
          <w:sz w:val="24"/>
          <w:szCs w:val="24"/>
          <w:lang w:val="ro-RO"/>
        </w:rPr>
        <w:t xml:space="preserve">, устарела и не соответствует законодательству Республики Беларусь, </w:t>
      </w:r>
      <w:r w:rsidR="0066158B">
        <w:rPr>
          <w:rFonts w:asciiTheme="majorHAnsi" w:hAnsiTheme="majorHAnsi" w:cstheme="majorHAnsi"/>
          <w:sz w:val="24"/>
          <w:szCs w:val="24"/>
          <w:lang w:val="ru-RU"/>
        </w:rPr>
        <w:t xml:space="preserve">она </w:t>
      </w:r>
      <w:r w:rsidR="000951D9" w:rsidRPr="000951D9">
        <w:rPr>
          <w:rFonts w:asciiTheme="majorHAnsi" w:hAnsiTheme="majorHAnsi" w:cstheme="majorHAnsi"/>
          <w:sz w:val="24"/>
          <w:szCs w:val="24"/>
          <w:lang w:val="ro-RO"/>
        </w:rPr>
        <w:t xml:space="preserve">была скорректирована в 2020 году, а работы </w:t>
      </w:r>
      <w:r w:rsidR="0066158B">
        <w:rPr>
          <w:rFonts w:asciiTheme="majorHAnsi" w:hAnsiTheme="majorHAnsi" w:cstheme="majorHAnsi"/>
          <w:sz w:val="24"/>
          <w:szCs w:val="24"/>
          <w:lang w:val="ru-RU"/>
        </w:rPr>
        <w:t xml:space="preserve">еще </w:t>
      </w:r>
      <w:r w:rsidR="000951D9" w:rsidRPr="000951D9">
        <w:rPr>
          <w:rFonts w:asciiTheme="majorHAnsi" w:hAnsiTheme="majorHAnsi" w:cstheme="majorHAnsi"/>
          <w:sz w:val="24"/>
          <w:szCs w:val="24"/>
          <w:lang w:val="ro-RO"/>
        </w:rPr>
        <w:t xml:space="preserve">не </w:t>
      </w:r>
      <w:r w:rsidR="0066158B">
        <w:rPr>
          <w:rFonts w:asciiTheme="majorHAnsi" w:hAnsiTheme="majorHAnsi" w:cstheme="majorHAnsi"/>
          <w:sz w:val="24"/>
          <w:szCs w:val="24"/>
          <w:lang w:val="ru-RU"/>
        </w:rPr>
        <w:t xml:space="preserve">были </w:t>
      </w:r>
      <w:r w:rsidR="000951D9" w:rsidRPr="000951D9">
        <w:rPr>
          <w:rFonts w:asciiTheme="majorHAnsi" w:hAnsiTheme="majorHAnsi" w:cstheme="majorHAnsi"/>
          <w:sz w:val="24"/>
          <w:szCs w:val="24"/>
          <w:lang w:val="ro-RO"/>
        </w:rPr>
        <w:t>нача</w:t>
      </w:r>
      <w:r w:rsidR="0066158B">
        <w:rPr>
          <w:rFonts w:asciiTheme="majorHAnsi" w:hAnsiTheme="majorHAnsi" w:cstheme="majorHAnsi"/>
          <w:sz w:val="24"/>
          <w:szCs w:val="24"/>
          <w:lang w:val="ru-RU"/>
        </w:rPr>
        <w:t>ты</w:t>
      </w:r>
      <w:r w:rsidR="004A5EAC" w:rsidRPr="00F55BA6">
        <w:rPr>
          <w:rFonts w:asciiTheme="majorHAnsi" w:hAnsiTheme="majorHAnsi" w:cstheme="majorHAnsi"/>
          <w:sz w:val="24"/>
          <w:szCs w:val="24"/>
          <w:lang w:val="ro-RO"/>
        </w:rPr>
        <w:t>;</w:t>
      </w:r>
    </w:p>
    <w:p w:rsidR="00AC6703" w:rsidRPr="00F55BA6" w:rsidRDefault="000951D9" w:rsidP="0066158B">
      <w:pPr>
        <w:pStyle w:val="ListParagraph"/>
        <w:tabs>
          <w:tab w:val="left" w:pos="142"/>
        </w:tabs>
        <w:spacing w:after="0" w:line="276" w:lineRule="auto"/>
        <w:ind w:left="0" w:right="49"/>
        <w:rPr>
          <w:rFonts w:asciiTheme="majorHAnsi" w:hAnsiTheme="majorHAnsi" w:cstheme="majorHAnsi"/>
          <w:sz w:val="24"/>
          <w:szCs w:val="24"/>
          <w:lang w:val="ro-RO"/>
        </w:rPr>
      </w:pPr>
      <w:r w:rsidRPr="000951D9">
        <w:rPr>
          <w:rFonts w:asciiTheme="majorHAnsi" w:hAnsiTheme="majorHAnsi" w:cstheme="majorHAnsi"/>
          <w:sz w:val="24"/>
          <w:szCs w:val="24"/>
          <w:lang w:val="ro-RO"/>
        </w:rPr>
        <w:t xml:space="preserve">- </w:t>
      </w:r>
      <w:r w:rsidR="0066158B">
        <w:rPr>
          <w:rFonts w:asciiTheme="majorHAnsi" w:hAnsiTheme="majorHAnsi" w:cstheme="majorHAnsi"/>
          <w:sz w:val="24"/>
          <w:szCs w:val="24"/>
          <w:lang w:val="ru-RU"/>
        </w:rPr>
        <w:t>по</w:t>
      </w:r>
      <w:r w:rsidRPr="000951D9">
        <w:rPr>
          <w:rFonts w:asciiTheme="majorHAnsi" w:hAnsiTheme="majorHAnsi" w:cstheme="majorHAnsi"/>
          <w:sz w:val="24"/>
          <w:szCs w:val="24"/>
          <w:lang w:val="ro-RO"/>
        </w:rPr>
        <w:t xml:space="preserve"> 17 проект</w:t>
      </w:r>
      <w:r w:rsidR="0066158B">
        <w:rPr>
          <w:rFonts w:asciiTheme="majorHAnsi" w:hAnsiTheme="majorHAnsi" w:cstheme="majorHAnsi"/>
          <w:sz w:val="24"/>
          <w:szCs w:val="24"/>
          <w:lang w:val="ru-RU"/>
        </w:rPr>
        <w:t>ам</w:t>
      </w:r>
      <w:r w:rsidRPr="000951D9">
        <w:rPr>
          <w:rFonts w:asciiTheme="majorHAnsi" w:hAnsiTheme="majorHAnsi" w:cstheme="majorHAnsi"/>
          <w:sz w:val="24"/>
          <w:szCs w:val="24"/>
          <w:lang w:val="ro-RO"/>
        </w:rPr>
        <w:t xml:space="preserve"> были </w:t>
      </w:r>
      <w:r w:rsidR="0066158B">
        <w:rPr>
          <w:rFonts w:asciiTheme="majorHAnsi" w:hAnsiTheme="majorHAnsi" w:cstheme="majorHAnsi"/>
          <w:sz w:val="24"/>
          <w:szCs w:val="24"/>
          <w:lang w:val="ru-RU"/>
        </w:rPr>
        <w:t>ис</w:t>
      </w:r>
      <w:r w:rsidRPr="000951D9">
        <w:rPr>
          <w:rFonts w:asciiTheme="majorHAnsi" w:hAnsiTheme="majorHAnsi" w:cstheme="majorHAnsi"/>
          <w:sz w:val="24"/>
          <w:szCs w:val="24"/>
          <w:lang w:val="ro-RO"/>
        </w:rPr>
        <w:t xml:space="preserve">полнены расходы от 50,4% до 88,7% по сравнению с объемом </w:t>
      </w:r>
      <w:r w:rsidR="0066158B">
        <w:rPr>
          <w:rFonts w:asciiTheme="majorHAnsi" w:hAnsiTheme="majorHAnsi" w:cstheme="majorHAnsi"/>
          <w:sz w:val="24"/>
          <w:szCs w:val="24"/>
          <w:lang w:val="ro-RO"/>
        </w:rPr>
        <w:t>уточненных</w:t>
      </w:r>
      <w:r w:rsidRPr="000951D9">
        <w:rPr>
          <w:rFonts w:asciiTheme="majorHAnsi" w:hAnsiTheme="majorHAnsi" w:cstheme="majorHAnsi"/>
          <w:sz w:val="24"/>
          <w:szCs w:val="24"/>
          <w:lang w:val="ro-RO"/>
        </w:rPr>
        <w:t xml:space="preserve"> ассигнований</w:t>
      </w:r>
      <w:r w:rsidR="0066158B">
        <w:rPr>
          <w:rFonts w:asciiTheme="majorHAnsi" w:hAnsiTheme="majorHAnsi" w:cstheme="majorHAnsi"/>
          <w:sz w:val="24"/>
          <w:szCs w:val="24"/>
          <w:lang w:val="ru-RU"/>
        </w:rPr>
        <w:t>,</w:t>
      </w:r>
      <w:r w:rsidRPr="000951D9">
        <w:rPr>
          <w:rFonts w:asciiTheme="majorHAnsi" w:hAnsiTheme="majorHAnsi" w:cstheme="majorHAnsi"/>
          <w:sz w:val="24"/>
          <w:szCs w:val="24"/>
          <w:lang w:val="ro-RO"/>
        </w:rPr>
        <w:t xml:space="preserve"> и от 24,0% до 129,7% по сравнению с объемом первоначально утвержденных ассигнований .  П</w:t>
      </w:r>
      <w:r w:rsidR="0066158B">
        <w:rPr>
          <w:rFonts w:asciiTheme="majorHAnsi" w:hAnsiTheme="majorHAnsi" w:cstheme="majorHAnsi"/>
          <w:sz w:val="24"/>
          <w:szCs w:val="24"/>
          <w:lang w:val="ru-RU"/>
        </w:rPr>
        <w:t>о</w:t>
      </w:r>
      <w:r w:rsidRPr="000951D9">
        <w:rPr>
          <w:rFonts w:asciiTheme="majorHAnsi" w:hAnsiTheme="majorHAnsi" w:cstheme="majorHAnsi"/>
          <w:sz w:val="24"/>
          <w:szCs w:val="24"/>
          <w:lang w:val="ro-RO"/>
        </w:rPr>
        <w:t xml:space="preserve"> проект</w:t>
      </w:r>
      <w:r w:rsidR="0066158B">
        <w:rPr>
          <w:rFonts w:asciiTheme="majorHAnsi" w:hAnsiTheme="majorHAnsi" w:cstheme="majorHAnsi"/>
          <w:sz w:val="24"/>
          <w:szCs w:val="24"/>
          <w:lang w:val="ru-RU"/>
        </w:rPr>
        <w:t>у</w:t>
      </w:r>
      <w:r w:rsidR="0066158B" w:rsidRPr="00F55BA6">
        <w:rPr>
          <w:rStyle w:val="FootnoteReference"/>
          <w:rFonts w:asciiTheme="majorHAnsi" w:hAnsiTheme="majorHAnsi" w:cstheme="majorHAnsi"/>
          <w:sz w:val="24"/>
          <w:szCs w:val="24"/>
          <w:lang w:val="ro-RO"/>
        </w:rPr>
        <w:footnoteReference w:id="50"/>
      </w:r>
      <w:r w:rsidRPr="000951D9">
        <w:rPr>
          <w:rFonts w:asciiTheme="majorHAnsi" w:hAnsiTheme="majorHAnsi" w:cstheme="majorHAnsi"/>
          <w:sz w:val="24"/>
          <w:szCs w:val="24"/>
          <w:lang w:val="ro-RO"/>
        </w:rPr>
        <w:t xml:space="preserve"> с наименьшим уровнем исполнения (50,4%)</w:t>
      </w:r>
      <w:r w:rsidR="0066158B">
        <w:rPr>
          <w:rFonts w:asciiTheme="majorHAnsi" w:hAnsiTheme="majorHAnsi" w:cstheme="majorHAnsi"/>
          <w:sz w:val="24"/>
          <w:szCs w:val="24"/>
          <w:lang w:val="ru-RU"/>
        </w:rPr>
        <w:t>,</w:t>
      </w:r>
      <w:r w:rsidRPr="000951D9">
        <w:rPr>
          <w:rFonts w:asciiTheme="majorHAnsi" w:hAnsiTheme="majorHAnsi" w:cstheme="majorHAnsi"/>
          <w:sz w:val="24"/>
          <w:szCs w:val="24"/>
          <w:lang w:val="ro-RO"/>
        </w:rPr>
        <w:t xml:space="preserve"> </w:t>
      </w:r>
      <w:r w:rsidRPr="000951D9">
        <w:rPr>
          <w:rFonts w:asciiTheme="majorHAnsi" w:hAnsiTheme="majorHAnsi" w:cstheme="majorHAnsi"/>
          <w:sz w:val="24"/>
          <w:szCs w:val="24"/>
          <w:lang w:val="ro-RO"/>
        </w:rPr>
        <w:lastRenderedPageBreak/>
        <w:t xml:space="preserve">доходы от гранта не были полностью </w:t>
      </w:r>
      <w:r w:rsidR="0066158B">
        <w:rPr>
          <w:rFonts w:asciiTheme="majorHAnsi" w:hAnsiTheme="majorHAnsi" w:cstheme="majorHAnsi"/>
          <w:sz w:val="24"/>
          <w:szCs w:val="24"/>
          <w:lang w:val="ro-RO"/>
        </w:rPr>
        <w:t>исполнены</w:t>
      </w:r>
      <w:r w:rsidRPr="000951D9">
        <w:rPr>
          <w:rFonts w:asciiTheme="majorHAnsi" w:hAnsiTheme="majorHAnsi" w:cstheme="majorHAnsi"/>
          <w:sz w:val="24"/>
          <w:szCs w:val="24"/>
          <w:lang w:val="ro-RO"/>
        </w:rPr>
        <w:t xml:space="preserve"> из-за затягивания выполнения строительных работ подрядчиком, </w:t>
      </w:r>
      <w:r w:rsidR="0066158B">
        <w:rPr>
          <w:rFonts w:asciiTheme="majorHAnsi" w:hAnsiTheme="majorHAnsi" w:cstheme="majorHAnsi"/>
          <w:sz w:val="24"/>
          <w:szCs w:val="24"/>
          <w:lang w:val="ru-RU"/>
        </w:rPr>
        <w:t xml:space="preserve">с </w:t>
      </w:r>
      <w:r w:rsidRPr="000951D9">
        <w:rPr>
          <w:rFonts w:asciiTheme="majorHAnsi" w:hAnsiTheme="majorHAnsi" w:cstheme="majorHAnsi"/>
          <w:sz w:val="24"/>
          <w:szCs w:val="24"/>
          <w:lang w:val="ro-RO"/>
        </w:rPr>
        <w:t>несоблюд</w:t>
      </w:r>
      <w:r w:rsidR="0066158B">
        <w:rPr>
          <w:rFonts w:asciiTheme="majorHAnsi" w:hAnsiTheme="majorHAnsi" w:cstheme="majorHAnsi"/>
          <w:sz w:val="24"/>
          <w:szCs w:val="24"/>
          <w:lang w:val="ru-RU"/>
        </w:rPr>
        <w:t>ением</w:t>
      </w:r>
      <w:r w:rsidRPr="000951D9">
        <w:rPr>
          <w:rFonts w:asciiTheme="majorHAnsi" w:hAnsiTheme="majorHAnsi" w:cstheme="majorHAnsi"/>
          <w:sz w:val="24"/>
          <w:szCs w:val="24"/>
          <w:lang w:val="ro-RO"/>
        </w:rPr>
        <w:t xml:space="preserve"> график</w:t>
      </w:r>
      <w:r w:rsidR="0066158B">
        <w:rPr>
          <w:rFonts w:asciiTheme="majorHAnsi" w:hAnsiTheme="majorHAnsi" w:cstheme="majorHAnsi"/>
          <w:sz w:val="24"/>
          <w:szCs w:val="24"/>
          <w:lang w:val="ru-RU"/>
        </w:rPr>
        <w:t>а</w:t>
      </w:r>
      <w:r w:rsidRPr="000951D9">
        <w:rPr>
          <w:rFonts w:asciiTheme="majorHAnsi" w:hAnsiTheme="majorHAnsi" w:cstheme="majorHAnsi"/>
          <w:sz w:val="24"/>
          <w:szCs w:val="24"/>
          <w:lang w:val="ro-RO"/>
        </w:rPr>
        <w:t xml:space="preserve"> </w:t>
      </w:r>
      <w:r w:rsidR="0066158B">
        <w:rPr>
          <w:rFonts w:asciiTheme="majorHAnsi" w:hAnsiTheme="majorHAnsi" w:cstheme="majorHAnsi"/>
          <w:sz w:val="24"/>
          <w:szCs w:val="24"/>
          <w:lang w:val="ru-RU"/>
        </w:rPr>
        <w:t>их вы</w:t>
      </w:r>
      <w:r w:rsidRPr="000951D9">
        <w:rPr>
          <w:rFonts w:asciiTheme="majorHAnsi" w:hAnsiTheme="majorHAnsi" w:cstheme="majorHAnsi"/>
          <w:sz w:val="24"/>
          <w:szCs w:val="24"/>
          <w:lang w:val="ro-RO"/>
        </w:rPr>
        <w:t xml:space="preserve">полнения. В то же время, </w:t>
      </w:r>
      <w:r w:rsidR="0066158B" w:rsidRPr="0066158B">
        <w:rPr>
          <w:rFonts w:asciiTheme="majorHAnsi" w:hAnsiTheme="majorHAnsi" w:cstheme="majorHAnsi"/>
          <w:sz w:val="24"/>
          <w:szCs w:val="24"/>
          <w:lang w:val="ro-RO"/>
        </w:rPr>
        <w:t xml:space="preserve">на </w:t>
      </w:r>
      <w:r w:rsidR="0066158B" w:rsidRPr="00F55BA6">
        <w:rPr>
          <w:rFonts w:asciiTheme="majorHAnsi" w:hAnsiTheme="majorHAnsi" w:cstheme="majorHAnsi"/>
          <w:sz w:val="24"/>
          <w:szCs w:val="24"/>
          <w:lang w:val="ro-RO"/>
        </w:rPr>
        <w:t>„</w:t>
      </w:r>
      <w:r w:rsidR="0066158B" w:rsidRPr="0066158B">
        <w:rPr>
          <w:rFonts w:asciiTheme="majorHAnsi" w:hAnsiTheme="majorHAnsi" w:cstheme="majorHAnsi"/>
          <w:sz w:val="24"/>
          <w:szCs w:val="24"/>
          <w:lang w:val="ro-RO"/>
        </w:rPr>
        <w:t>М</w:t>
      </w:r>
      <w:r w:rsidRPr="000951D9">
        <w:rPr>
          <w:rFonts w:asciiTheme="majorHAnsi" w:hAnsiTheme="majorHAnsi" w:cstheme="majorHAnsi"/>
          <w:sz w:val="24"/>
          <w:szCs w:val="24"/>
          <w:lang w:val="ro-RO"/>
        </w:rPr>
        <w:t>одернизаци</w:t>
      </w:r>
      <w:r w:rsidR="0066158B" w:rsidRPr="0066158B">
        <w:rPr>
          <w:rFonts w:asciiTheme="majorHAnsi" w:hAnsiTheme="majorHAnsi" w:cstheme="majorHAnsi"/>
          <w:sz w:val="24"/>
          <w:szCs w:val="24"/>
          <w:lang w:val="ro-RO"/>
        </w:rPr>
        <w:t>ю</w:t>
      </w:r>
      <w:r w:rsidRPr="000951D9">
        <w:rPr>
          <w:rFonts w:asciiTheme="majorHAnsi" w:hAnsiTheme="majorHAnsi" w:cstheme="majorHAnsi"/>
          <w:sz w:val="24"/>
          <w:szCs w:val="24"/>
          <w:lang w:val="ro-RO"/>
        </w:rPr>
        <w:t xml:space="preserve"> инфраструктуры </w:t>
      </w:r>
      <w:r w:rsidR="0066158B" w:rsidRPr="0066158B">
        <w:rPr>
          <w:rFonts w:asciiTheme="majorHAnsi" w:hAnsiTheme="majorHAnsi" w:cstheme="majorHAnsi"/>
          <w:sz w:val="24"/>
          <w:szCs w:val="24"/>
          <w:lang w:val="ro-RO"/>
        </w:rPr>
        <w:t>Т</w:t>
      </w:r>
      <w:r w:rsidRPr="000951D9">
        <w:rPr>
          <w:rFonts w:asciiTheme="majorHAnsi" w:hAnsiTheme="majorHAnsi" w:cstheme="majorHAnsi"/>
          <w:sz w:val="24"/>
          <w:szCs w:val="24"/>
          <w:lang w:val="ro-RO"/>
        </w:rPr>
        <w:t>аможн</w:t>
      </w:r>
      <w:r w:rsidR="0066158B" w:rsidRPr="0066158B">
        <w:rPr>
          <w:rFonts w:asciiTheme="majorHAnsi" w:hAnsiTheme="majorHAnsi" w:cstheme="majorHAnsi"/>
          <w:sz w:val="24"/>
          <w:szCs w:val="24"/>
          <w:lang w:val="ro-RO"/>
        </w:rPr>
        <w:t>и</w:t>
      </w:r>
      <w:r w:rsidRPr="000951D9">
        <w:rPr>
          <w:rFonts w:asciiTheme="majorHAnsi" w:hAnsiTheme="majorHAnsi" w:cstheme="majorHAnsi"/>
          <w:sz w:val="24"/>
          <w:szCs w:val="24"/>
          <w:lang w:val="ro-RO"/>
        </w:rPr>
        <w:t xml:space="preserve"> Джурджулешть</w:t>
      </w:r>
      <w:r w:rsidR="0066158B" w:rsidRPr="000951D9">
        <w:rPr>
          <w:rFonts w:asciiTheme="majorHAnsi" w:hAnsiTheme="majorHAnsi" w:cstheme="majorHAnsi"/>
          <w:sz w:val="24"/>
          <w:szCs w:val="24"/>
          <w:lang w:val="ro-RO"/>
        </w:rPr>
        <w:t>”</w:t>
      </w:r>
      <w:r w:rsidRPr="000951D9">
        <w:rPr>
          <w:rFonts w:asciiTheme="majorHAnsi" w:hAnsiTheme="majorHAnsi" w:cstheme="majorHAnsi"/>
          <w:sz w:val="24"/>
          <w:szCs w:val="24"/>
          <w:lang w:val="ro-RO"/>
        </w:rPr>
        <w:t xml:space="preserve"> </w:t>
      </w:r>
      <w:r w:rsidR="0066158B" w:rsidRPr="000951D9">
        <w:rPr>
          <w:rFonts w:asciiTheme="majorHAnsi" w:hAnsiTheme="majorHAnsi" w:cstheme="majorHAnsi"/>
          <w:sz w:val="24"/>
          <w:szCs w:val="24"/>
          <w:lang w:val="ro-RO"/>
        </w:rPr>
        <w:t xml:space="preserve">расходы </w:t>
      </w:r>
      <w:r w:rsidRPr="000951D9">
        <w:rPr>
          <w:rFonts w:asciiTheme="majorHAnsi" w:hAnsiTheme="majorHAnsi" w:cstheme="majorHAnsi"/>
          <w:sz w:val="24"/>
          <w:szCs w:val="24"/>
          <w:lang w:val="ro-RO"/>
        </w:rPr>
        <w:t xml:space="preserve">были </w:t>
      </w:r>
      <w:r w:rsidR="0066158B">
        <w:rPr>
          <w:rFonts w:asciiTheme="majorHAnsi" w:hAnsiTheme="majorHAnsi" w:cstheme="majorHAnsi"/>
          <w:sz w:val="24"/>
          <w:szCs w:val="24"/>
          <w:lang w:val="ro-RO"/>
        </w:rPr>
        <w:t>исполнены</w:t>
      </w:r>
      <w:r w:rsidRPr="000951D9">
        <w:rPr>
          <w:rFonts w:asciiTheme="majorHAnsi" w:hAnsiTheme="majorHAnsi" w:cstheme="majorHAnsi"/>
          <w:sz w:val="24"/>
          <w:szCs w:val="24"/>
          <w:lang w:val="ro-RO"/>
        </w:rPr>
        <w:t xml:space="preserve"> на уровне 53,7%</w:t>
      </w:r>
      <w:r w:rsidR="0066158B" w:rsidRPr="0066158B">
        <w:rPr>
          <w:rFonts w:asciiTheme="majorHAnsi" w:hAnsiTheme="majorHAnsi" w:cstheme="majorHAnsi"/>
          <w:sz w:val="24"/>
          <w:szCs w:val="24"/>
          <w:lang w:val="ro-RO"/>
        </w:rPr>
        <w:t>,</w:t>
      </w:r>
      <w:r w:rsidRPr="000951D9">
        <w:rPr>
          <w:rFonts w:asciiTheme="majorHAnsi" w:hAnsiTheme="majorHAnsi" w:cstheme="majorHAnsi"/>
          <w:sz w:val="24"/>
          <w:szCs w:val="24"/>
          <w:lang w:val="ro-RO"/>
        </w:rPr>
        <w:t xml:space="preserve"> из-за затягивания корректировки технической документации</w:t>
      </w:r>
      <w:r w:rsidR="004A5EAC" w:rsidRPr="00F55BA6">
        <w:rPr>
          <w:rFonts w:asciiTheme="majorHAnsi" w:hAnsiTheme="majorHAnsi" w:cstheme="majorHAnsi"/>
          <w:sz w:val="24"/>
          <w:szCs w:val="24"/>
          <w:lang w:val="ro-RO"/>
        </w:rPr>
        <w:t>;</w:t>
      </w:r>
    </w:p>
    <w:p w:rsidR="00AC6703" w:rsidRPr="00F55BA6" w:rsidRDefault="003F1BDA" w:rsidP="0066158B">
      <w:pPr>
        <w:pStyle w:val="ListParagraph"/>
        <w:tabs>
          <w:tab w:val="left" w:pos="142"/>
        </w:tabs>
        <w:spacing w:after="0" w:line="276" w:lineRule="auto"/>
        <w:ind w:left="0" w:right="49"/>
        <w:rPr>
          <w:rFonts w:asciiTheme="majorHAnsi" w:hAnsiTheme="majorHAnsi" w:cstheme="majorHAnsi"/>
          <w:sz w:val="24"/>
          <w:szCs w:val="24"/>
          <w:lang w:val="ro-RO"/>
        </w:rPr>
      </w:pPr>
      <w:r w:rsidRPr="003F1BDA">
        <w:rPr>
          <w:rFonts w:asciiTheme="majorHAnsi" w:hAnsiTheme="majorHAnsi" w:cstheme="majorHAnsi"/>
          <w:sz w:val="24"/>
          <w:szCs w:val="24"/>
          <w:lang w:val="ro-RO"/>
        </w:rPr>
        <w:t xml:space="preserve">- </w:t>
      </w:r>
      <w:r w:rsidR="0066158B">
        <w:rPr>
          <w:rFonts w:asciiTheme="majorHAnsi" w:hAnsiTheme="majorHAnsi" w:cstheme="majorHAnsi"/>
          <w:sz w:val="24"/>
          <w:szCs w:val="24"/>
          <w:lang w:val="ru-RU"/>
        </w:rPr>
        <w:t>по</w:t>
      </w:r>
      <w:r w:rsidRPr="003F1BDA">
        <w:rPr>
          <w:rFonts w:asciiTheme="majorHAnsi" w:hAnsiTheme="majorHAnsi" w:cstheme="majorHAnsi"/>
          <w:sz w:val="24"/>
          <w:szCs w:val="24"/>
          <w:lang w:val="ro-RO"/>
        </w:rPr>
        <w:t xml:space="preserve"> 38 проекта</w:t>
      </w:r>
      <w:r w:rsidR="0066158B">
        <w:rPr>
          <w:rFonts w:asciiTheme="majorHAnsi" w:hAnsiTheme="majorHAnsi" w:cstheme="majorHAnsi"/>
          <w:sz w:val="24"/>
          <w:szCs w:val="24"/>
          <w:lang w:val="ru-RU"/>
        </w:rPr>
        <w:t>м</w:t>
      </w:r>
      <w:r w:rsidRPr="003F1BDA">
        <w:rPr>
          <w:rFonts w:asciiTheme="majorHAnsi" w:hAnsiTheme="majorHAnsi" w:cstheme="majorHAnsi"/>
          <w:sz w:val="24"/>
          <w:szCs w:val="24"/>
          <w:lang w:val="ro-RO"/>
        </w:rPr>
        <w:t xml:space="preserve"> </w:t>
      </w:r>
      <w:r w:rsidR="0066158B" w:rsidRPr="003F1BDA">
        <w:rPr>
          <w:rFonts w:asciiTheme="majorHAnsi" w:hAnsiTheme="majorHAnsi" w:cstheme="majorHAnsi"/>
          <w:sz w:val="24"/>
          <w:szCs w:val="24"/>
          <w:lang w:val="ro-RO"/>
        </w:rPr>
        <w:t xml:space="preserve">расходы </w:t>
      </w:r>
      <w:r w:rsidRPr="003F1BDA">
        <w:rPr>
          <w:rFonts w:asciiTheme="majorHAnsi" w:hAnsiTheme="majorHAnsi" w:cstheme="majorHAnsi"/>
          <w:sz w:val="24"/>
          <w:szCs w:val="24"/>
          <w:lang w:val="ro-RO"/>
        </w:rPr>
        <w:t xml:space="preserve">были </w:t>
      </w:r>
      <w:r w:rsidR="0066158B">
        <w:rPr>
          <w:rFonts w:asciiTheme="majorHAnsi" w:hAnsiTheme="majorHAnsi" w:cstheme="majorHAnsi"/>
          <w:sz w:val="24"/>
          <w:szCs w:val="24"/>
          <w:lang w:val="ro-RO"/>
        </w:rPr>
        <w:t>исполнены</w:t>
      </w:r>
      <w:r w:rsidRPr="003F1BDA">
        <w:rPr>
          <w:rFonts w:asciiTheme="majorHAnsi" w:hAnsiTheme="majorHAnsi" w:cstheme="majorHAnsi"/>
          <w:sz w:val="24"/>
          <w:szCs w:val="24"/>
          <w:lang w:val="ro-RO"/>
        </w:rPr>
        <w:t xml:space="preserve"> от 91,6% до 100,0% по сравнению с объемом </w:t>
      </w:r>
      <w:r w:rsidR="0066158B">
        <w:rPr>
          <w:rFonts w:asciiTheme="majorHAnsi" w:hAnsiTheme="majorHAnsi" w:cstheme="majorHAnsi"/>
          <w:sz w:val="24"/>
          <w:szCs w:val="24"/>
          <w:lang w:val="ro-RO"/>
        </w:rPr>
        <w:t>уточненных</w:t>
      </w:r>
      <w:r w:rsidRPr="003F1BDA">
        <w:rPr>
          <w:rFonts w:asciiTheme="majorHAnsi" w:hAnsiTheme="majorHAnsi" w:cstheme="majorHAnsi"/>
          <w:sz w:val="24"/>
          <w:szCs w:val="24"/>
          <w:lang w:val="ro-RO"/>
        </w:rPr>
        <w:t xml:space="preserve"> ассигнований</w:t>
      </w:r>
      <w:r w:rsidR="0066158B">
        <w:rPr>
          <w:rFonts w:asciiTheme="majorHAnsi" w:hAnsiTheme="majorHAnsi" w:cstheme="majorHAnsi"/>
          <w:sz w:val="24"/>
          <w:szCs w:val="24"/>
          <w:lang w:val="ru-RU"/>
        </w:rPr>
        <w:t>,</w:t>
      </w:r>
      <w:r w:rsidRPr="003F1BDA">
        <w:rPr>
          <w:rFonts w:asciiTheme="majorHAnsi" w:hAnsiTheme="majorHAnsi" w:cstheme="majorHAnsi"/>
          <w:sz w:val="24"/>
          <w:szCs w:val="24"/>
          <w:lang w:val="ro-RO"/>
        </w:rPr>
        <w:t xml:space="preserve"> и от 0,1% до 213,4% по сравнению с первоначально утвержденными объемами ассигнований.  Проект</w:t>
      </w:r>
      <w:r w:rsidR="0066158B" w:rsidRPr="00F55BA6">
        <w:rPr>
          <w:rStyle w:val="FootnoteReference"/>
          <w:rFonts w:asciiTheme="majorHAnsi" w:hAnsiTheme="majorHAnsi" w:cstheme="majorHAnsi"/>
          <w:sz w:val="24"/>
          <w:szCs w:val="24"/>
          <w:lang w:val="ro-RO"/>
        </w:rPr>
        <w:footnoteReference w:id="51"/>
      </w:r>
      <w:r w:rsidRPr="003F1BDA">
        <w:rPr>
          <w:rFonts w:asciiTheme="majorHAnsi" w:hAnsiTheme="majorHAnsi" w:cstheme="majorHAnsi"/>
          <w:sz w:val="24"/>
          <w:szCs w:val="24"/>
          <w:lang w:val="ro-RO"/>
        </w:rPr>
        <w:t xml:space="preserve"> с наименьшим уровнем исполнения, по сравнению с первоначально утвержденным объемом ассигнований (0,1%), был запущен в 2012 году, а в 2020 году была завершена разработка проектной документации и сметы. </w:t>
      </w:r>
      <w:r w:rsidR="00997756">
        <w:rPr>
          <w:rFonts w:asciiTheme="majorHAnsi" w:hAnsiTheme="majorHAnsi" w:cstheme="majorHAnsi"/>
          <w:sz w:val="24"/>
          <w:szCs w:val="24"/>
          <w:lang w:val="ru-RU"/>
        </w:rPr>
        <w:t>Одновременно</w:t>
      </w:r>
      <w:r w:rsidRPr="003F1BDA">
        <w:rPr>
          <w:rFonts w:asciiTheme="majorHAnsi" w:hAnsiTheme="majorHAnsi" w:cstheme="majorHAnsi"/>
          <w:sz w:val="24"/>
          <w:szCs w:val="24"/>
          <w:lang w:val="ro-RO"/>
        </w:rPr>
        <w:t xml:space="preserve">, </w:t>
      </w:r>
      <w:r w:rsidR="00997756">
        <w:rPr>
          <w:rFonts w:asciiTheme="majorHAnsi" w:hAnsiTheme="majorHAnsi" w:cstheme="majorHAnsi"/>
          <w:sz w:val="24"/>
          <w:szCs w:val="24"/>
          <w:lang w:val="ru-RU"/>
        </w:rPr>
        <w:t>по</w:t>
      </w:r>
      <w:r w:rsidRPr="003F1BDA">
        <w:rPr>
          <w:rFonts w:asciiTheme="majorHAnsi" w:hAnsiTheme="majorHAnsi" w:cstheme="majorHAnsi"/>
          <w:sz w:val="24"/>
          <w:szCs w:val="24"/>
          <w:lang w:val="ro-RO"/>
        </w:rPr>
        <w:t xml:space="preserve"> проект</w:t>
      </w:r>
      <w:r w:rsidR="00997756">
        <w:rPr>
          <w:rFonts w:asciiTheme="majorHAnsi" w:hAnsiTheme="majorHAnsi" w:cstheme="majorHAnsi"/>
          <w:sz w:val="24"/>
          <w:szCs w:val="24"/>
          <w:lang w:val="ru-RU"/>
        </w:rPr>
        <w:t>у</w:t>
      </w:r>
      <w:r w:rsidR="00997756" w:rsidRPr="00F55BA6">
        <w:rPr>
          <w:rStyle w:val="FootnoteReference"/>
          <w:rFonts w:asciiTheme="majorHAnsi" w:hAnsiTheme="majorHAnsi" w:cstheme="majorHAnsi"/>
          <w:sz w:val="24"/>
          <w:szCs w:val="24"/>
          <w:lang w:val="ro-RO"/>
        </w:rPr>
        <w:footnoteReference w:id="52"/>
      </w:r>
      <w:r w:rsidRPr="003F1BDA">
        <w:rPr>
          <w:rFonts w:asciiTheme="majorHAnsi" w:hAnsiTheme="majorHAnsi" w:cstheme="majorHAnsi"/>
          <w:sz w:val="24"/>
          <w:szCs w:val="24"/>
          <w:lang w:val="ro-RO"/>
        </w:rPr>
        <w:t xml:space="preserve"> с исполнени</w:t>
      </w:r>
      <w:r w:rsidR="00997756">
        <w:rPr>
          <w:rFonts w:asciiTheme="majorHAnsi" w:hAnsiTheme="majorHAnsi" w:cstheme="majorHAnsi"/>
          <w:sz w:val="24"/>
          <w:szCs w:val="24"/>
          <w:lang w:val="ru-RU"/>
        </w:rPr>
        <w:t>ем</w:t>
      </w:r>
      <w:r w:rsidRPr="003F1BDA">
        <w:rPr>
          <w:rFonts w:asciiTheme="majorHAnsi" w:hAnsiTheme="majorHAnsi" w:cstheme="majorHAnsi"/>
          <w:sz w:val="24"/>
          <w:szCs w:val="24"/>
          <w:lang w:val="ro-RO"/>
        </w:rPr>
        <w:t xml:space="preserve"> утвержденных </w:t>
      </w:r>
      <w:r w:rsidR="00997756" w:rsidRPr="003F1BDA">
        <w:rPr>
          <w:rFonts w:asciiTheme="majorHAnsi" w:hAnsiTheme="majorHAnsi" w:cstheme="majorHAnsi"/>
          <w:sz w:val="24"/>
          <w:szCs w:val="24"/>
          <w:lang w:val="ro-RO"/>
        </w:rPr>
        <w:t xml:space="preserve">ассигнований </w:t>
      </w:r>
      <w:r w:rsidR="00997756">
        <w:rPr>
          <w:rFonts w:asciiTheme="majorHAnsi" w:hAnsiTheme="majorHAnsi" w:cstheme="majorHAnsi"/>
          <w:sz w:val="24"/>
          <w:szCs w:val="24"/>
          <w:lang w:val="ru-RU"/>
        </w:rPr>
        <w:t xml:space="preserve">на </w:t>
      </w:r>
      <w:r w:rsidR="00997756" w:rsidRPr="003F1BDA">
        <w:rPr>
          <w:rFonts w:asciiTheme="majorHAnsi" w:hAnsiTheme="majorHAnsi" w:cstheme="majorHAnsi"/>
          <w:sz w:val="24"/>
          <w:szCs w:val="24"/>
          <w:lang w:val="ro-RO"/>
        </w:rPr>
        <w:t xml:space="preserve">уровне </w:t>
      </w:r>
      <w:r w:rsidRPr="003F1BDA">
        <w:rPr>
          <w:rFonts w:asciiTheme="majorHAnsi" w:hAnsiTheme="majorHAnsi" w:cstheme="majorHAnsi"/>
          <w:sz w:val="24"/>
          <w:szCs w:val="24"/>
          <w:lang w:val="ro-RO"/>
        </w:rPr>
        <w:t>1,2%</w:t>
      </w:r>
      <w:r w:rsidR="00997756">
        <w:rPr>
          <w:rFonts w:asciiTheme="majorHAnsi" w:hAnsiTheme="majorHAnsi" w:cstheme="majorHAnsi"/>
          <w:sz w:val="24"/>
          <w:szCs w:val="24"/>
          <w:lang w:val="ru-RU"/>
        </w:rPr>
        <w:t>,</w:t>
      </w:r>
      <w:r w:rsidRPr="003F1BDA">
        <w:rPr>
          <w:rFonts w:asciiTheme="majorHAnsi" w:hAnsiTheme="majorHAnsi" w:cstheme="majorHAnsi"/>
          <w:sz w:val="24"/>
          <w:szCs w:val="24"/>
          <w:lang w:val="ro-RO"/>
        </w:rPr>
        <w:t xml:space="preserve"> </w:t>
      </w:r>
      <w:r w:rsidR="00997756">
        <w:rPr>
          <w:rFonts w:asciiTheme="majorHAnsi" w:hAnsiTheme="majorHAnsi" w:cstheme="majorHAnsi"/>
          <w:sz w:val="24"/>
          <w:szCs w:val="24"/>
          <w:lang w:val="ru-RU"/>
        </w:rPr>
        <w:t xml:space="preserve">были </w:t>
      </w:r>
      <w:r w:rsidRPr="003F1BDA">
        <w:rPr>
          <w:rFonts w:asciiTheme="majorHAnsi" w:hAnsiTheme="majorHAnsi" w:cstheme="majorHAnsi"/>
          <w:sz w:val="24"/>
          <w:szCs w:val="24"/>
          <w:lang w:val="ro-RO"/>
        </w:rPr>
        <w:t>уменьш</w:t>
      </w:r>
      <w:r w:rsidR="00997756">
        <w:rPr>
          <w:rFonts w:asciiTheme="majorHAnsi" w:hAnsiTheme="majorHAnsi" w:cstheme="majorHAnsi"/>
          <w:sz w:val="24"/>
          <w:szCs w:val="24"/>
          <w:lang w:val="ru-RU"/>
        </w:rPr>
        <w:t>ены</w:t>
      </w:r>
      <w:r w:rsidRPr="003F1BDA">
        <w:rPr>
          <w:rFonts w:asciiTheme="majorHAnsi" w:hAnsiTheme="majorHAnsi" w:cstheme="majorHAnsi"/>
          <w:sz w:val="24"/>
          <w:szCs w:val="24"/>
          <w:lang w:val="ro-RO"/>
        </w:rPr>
        <w:t xml:space="preserve"> ассигнования </w:t>
      </w:r>
      <w:r w:rsidR="00997756">
        <w:rPr>
          <w:rFonts w:asciiTheme="majorHAnsi" w:hAnsiTheme="majorHAnsi" w:cstheme="majorHAnsi"/>
          <w:sz w:val="24"/>
          <w:szCs w:val="24"/>
          <w:lang w:val="ru-RU"/>
        </w:rPr>
        <w:t>при</w:t>
      </w:r>
      <w:r w:rsidRPr="003F1BDA">
        <w:rPr>
          <w:rFonts w:asciiTheme="majorHAnsi" w:hAnsiTheme="majorHAnsi" w:cstheme="majorHAnsi"/>
          <w:sz w:val="24"/>
          <w:szCs w:val="24"/>
          <w:lang w:val="ro-RO"/>
        </w:rPr>
        <w:t xml:space="preserve"> </w:t>
      </w:r>
      <w:r w:rsidR="00997756">
        <w:rPr>
          <w:rFonts w:asciiTheme="majorHAnsi" w:hAnsiTheme="majorHAnsi" w:cstheme="majorHAnsi"/>
          <w:sz w:val="24"/>
          <w:szCs w:val="24"/>
          <w:lang w:val="ru-RU"/>
        </w:rPr>
        <w:t>уточнении З</w:t>
      </w:r>
      <w:r w:rsidRPr="003F1BDA">
        <w:rPr>
          <w:rFonts w:asciiTheme="majorHAnsi" w:hAnsiTheme="majorHAnsi" w:cstheme="majorHAnsi"/>
          <w:sz w:val="24"/>
          <w:szCs w:val="24"/>
          <w:lang w:val="ro-RO"/>
        </w:rPr>
        <w:t xml:space="preserve">акона </w:t>
      </w:r>
      <w:r w:rsidR="00997756">
        <w:rPr>
          <w:rFonts w:asciiTheme="majorHAnsi" w:hAnsiTheme="majorHAnsi" w:cstheme="majorHAnsi"/>
          <w:sz w:val="24"/>
          <w:szCs w:val="24"/>
          <w:lang w:val="ru-RU"/>
        </w:rPr>
        <w:t xml:space="preserve">о </w:t>
      </w:r>
      <w:r w:rsidR="008F632D">
        <w:rPr>
          <w:rFonts w:asciiTheme="majorHAnsi" w:hAnsiTheme="majorHAnsi" w:cstheme="majorHAnsi"/>
          <w:sz w:val="24"/>
          <w:szCs w:val="24"/>
          <w:lang w:val="ro-RO"/>
        </w:rPr>
        <w:t>ГБ</w:t>
      </w:r>
      <w:r w:rsidRPr="003F1BDA">
        <w:rPr>
          <w:rFonts w:asciiTheme="majorHAnsi" w:hAnsiTheme="majorHAnsi" w:cstheme="majorHAnsi"/>
          <w:sz w:val="24"/>
          <w:szCs w:val="24"/>
          <w:lang w:val="ro-RO"/>
        </w:rPr>
        <w:t xml:space="preserve"> на 2020 год, поскольку было принято решение о реоргани</w:t>
      </w:r>
      <w:r w:rsidR="0066158B">
        <w:rPr>
          <w:rFonts w:asciiTheme="majorHAnsi" w:hAnsiTheme="majorHAnsi" w:cstheme="majorHAnsi"/>
          <w:sz w:val="24"/>
          <w:szCs w:val="24"/>
          <w:lang w:val="ro-RO"/>
        </w:rPr>
        <w:t xml:space="preserve">зации </w:t>
      </w:r>
      <w:r w:rsidR="00997756">
        <w:rPr>
          <w:rFonts w:asciiTheme="majorHAnsi" w:hAnsiTheme="majorHAnsi" w:cstheme="majorHAnsi"/>
          <w:sz w:val="24"/>
          <w:szCs w:val="24"/>
          <w:lang w:val="ru-RU"/>
        </w:rPr>
        <w:t>Т</w:t>
      </w:r>
      <w:r w:rsidR="0066158B">
        <w:rPr>
          <w:rFonts w:asciiTheme="majorHAnsi" w:hAnsiTheme="majorHAnsi" w:cstheme="majorHAnsi"/>
          <w:sz w:val="24"/>
          <w:szCs w:val="24"/>
          <w:lang w:val="ro-RO"/>
        </w:rPr>
        <w:t>амож</w:t>
      </w:r>
      <w:r w:rsidR="00997756">
        <w:rPr>
          <w:rFonts w:asciiTheme="majorHAnsi" w:hAnsiTheme="majorHAnsi" w:cstheme="majorHAnsi"/>
          <w:sz w:val="24"/>
          <w:szCs w:val="24"/>
          <w:lang w:val="ru-RU"/>
        </w:rPr>
        <w:t>ни</w:t>
      </w:r>
      <w:r w:rsidR="0066158B">
        <w:rPr>
          <w:rFonts w:asciiTheme="majorHAnsi" w:hAnsiTheme="majorHAnsi" w:cstheme="majorHAnsi"/>
          <w:sz w:val="24"/>
          <w:szCs w:val="24"/>
          <w:lang w:val="ro-RO"/>
        </w:rPr>
        <w:t xml:space="preserve"> Скулень</w:t>
      </w:r>
      <w:r w:rsidR="003B6EA8" w:rsidRPr="00F55BA6">
        <w:rPr>
          <w:rFonts w:asciiTheme="majorHAnsi" w:hAnsiTheme="majorHAnsi" w:cstheme="majorHAnsi"/>
          <w:sz w:val="24"/>
          <w:szCs w:val="24"/>
          <w:lang w:val="ro-RO"/>
        </w:rPr>
        <w:t>;</w:t>
      </w:r>
    </w:p>
    <w:p w:rsidR="00AC6703" w:rsidRPr="00F55BA6" w:rsidRDefault="003F1BDA" w:rsidP="00997756">
      <w:pPr>
        <w:pStyle w:val="ListParagraph"/>
        <w:tabs>
          <w:tab w:val="left" w:pos="142"/>
        </w:tabs>
        <w:spacing w:after="0" w:line="276" w:lineRule="auto"/>
        <w:ind w:left="0" w:right="49"/>
        <w:rPr>
          <w:rFonts w:asciiTheme="majorHAnsi" w:hAnsiTheme="majorHAnsi" w:cstheme="majorHAnsi"/>
          <w:sz w:val="24"/>
          <w:szCs w:val="24"/>
          <w:lang w:val="ro-RO"/>
        </w:rPr>
      </w:pPr>
      <w:r w:rsidRPr="003F1BDA">
        <w:rPr>
          <w:rFonts w:asciiTheme="majorHAnsi" w:hAnsiTheme="majorHAnsi" w:cstheme="majorHAnsi"/>
          <w:sz w:val="24"/>
          <w:szCs w:val="24"/>
          <w:lang w:val="ro-RO"/>
        </w:rPr>
        <w:t xml:space="preserve">- для </w:t>
      </w:r>
      <w:r w:rsidR="00997756">
        <w:rPr>
          <w:rFonts w:asciiTheme="majorHAnsi" w:hAnsiTheme="majorHAnsi" w:cstheme="majorHAnsi"/>
          <w:sz w:val="24"/>
          <w:szCs w:val="24"/>
          <w:lang w:val="ru-RU"/>
        </w:rPr>
        <w:t xml:space="preserve">одного </w:t>
      </w:r>
      <w:r w:rsidRPr="003F1BDA">
        <w:rPr>
          <w:rFonts w:asciiTheme="majorHAnsi" w:hAnsiTheme="majorHAnsi" w:cstheme="majorHAnsi"/>
          <w:sz w:val="24"/>
          <w:szCs w:val="24"/>
          <w:lang w:val="ro-RO"/>
        </w:rPr>
        <w:t>инвестиционного проекта</w:t>
      </w:r>
      <w:r w:rsidR="00997756" w:rsidRPr="00F55BA6">
        <w:rPr>
          <w:rFonts w:asciiTheme="majorHAnsi" w:hAnsiTheme="majorHAnsi" w:cstheme="majorHAnsi"/>
          <w:sz w:val="24"/>
          <w:szCs w:val="24"/>
          <w:vertAlign w:val="superscript"/>
          <w:lang w:val="ro-RO"/>
        </w:rPr>
        <w:footnoteReference w:id="53"/>
      </w:r>
      <w:r w:rsidRPr="003F1BDA">
        <w:rPr>
          <w:rFonts w:asciiTheme="majorHAnsi" w:hAnsiTheme="majorHAnsi" w:cstheme="majorHAnsi"/>
          <w:sz w:val="24"/>
          <w:szCs w:val="24"/>
          <w:lang w:val="ro-RO"/>
        </w:rPr>
        <w:t xml:space="preserve">, </w:t>
      </w:r>
      <w:r w:rsidR="00997756">
        <w:rPr>
          <w:rFonts w:asciiTheme="majorHAnsi" w:hAnsiTheme="majorHAnsi" w:cstheme="majorHAnsi"/>
          <w:sz w:val="24"/>
          <w:szCs w:val="24"/>
          <w:lang w:val="ru-RU"/>
        </w:rPr>
        <w:t>запущенн</w:t>
      </w:r>
      <w:r w:rsidRPr="003F1BDA">
        <w:rPr>
          <w:rFonts w:asciiTheme="majorHAnsi" w:hAnsiTheme="majorHAnsi" w:cstheme="majorHAnsi"/>
          <w:sz w:val="24"/>
          <w:szCs w:val="24"/>
          <w:lang w:val="ro-RO"/>
        </w:rPr>
        <w:t>ого в 2009 году, в</w:t>
      </w:r>
      <w:r w:rsidR="00997756">
        <w:rPr>
          <w:rFonts w:asciiTheme="majorHAnsi" w:hAnsiTheme="majorHAnsi" w:cstheme="majorHAnsi"/>
          <w:sz w:val="24"/>
          <w:szCs w:val="24"/>
          <w:lang w:val="ru-RU"/>
        </w:rPr>
        <w:t xml:space="preserve"> нарушение</w:t>
      </w:r>
      <w:r w:rsidRPr="003F1BDA">
        <w:rPr>
          <w:rFonts w:asciiTheme="majorHAnsi" w:hAnsiTheme="majorHAnsi" w:cstheme="majorHAnsi"/>
          <w:sz w:val="24"/>
          <w:szCs w:val="24"/>
          <w:lang w:val="ro-RO"/>
        </w:rPr>
        <w:t xml:space="preserve"> законодательны</w:t>
      </w:r>
      <w:r w:rsidR="00997756">
        <w:rPr>
          <w:rFonts w:asciiTheme="majorHAnsi" w:hAnsiTheme="majorHAnsi" w:cstheme="majorHAnsi"/>
          <w:sz w:val="24"/>
          <w:szCs w:val="24"/>
          <w:lang w:val="ru-RU"/>
        </w:rPr>
        <w:t>х</w:t>
      </w:r>
      <w:r w:rsidRPr="003F1BDA">
        <w:rPr>
          <w:rFonts w:asciiTheme="majorHAnsi" w:hAnsiTheme="majorHAnsi" w:cstheme="majorHAnsi"/>
          <w:sz w:val="24"/>
          <w:szCs w:val="24"/>
          <w:lang w:val="ro-RO"/>
        </w:rPr>
        <w:t xml:space="preserve"> положени</w:t>
      </w:r>
      <w:r w:rsidR="00997756">
        <w:rPr>
          <w:rFonts w:asciiTheme="majorHAnsi" w:hAnsiTheme="majorHAnsi" w:cstheme="majorHAnsi"/>
          <w:sz w:val="24"/>
          <w:szCs w:val="24"/>
          <w:lang w:val="ru-RU"/>
        </w:rPr>
        <w:t>й</w:t>
      </w:r>
      <w:r w:rsidR="00997756" w:rsidRPr="00F55BA6">
        <w:rPr>
          <w:rFonts w:asciiTheme="majorHAnsi" w:hAnsiTheme="majorHAnsi" w:cstheme="majorHAnsi"/>
          <w:sz w:val="24"/>
          <w:szCs w:val="24"/>
          <w:vertAlign w:val="superscript"/>
          <w:lang w:val="ro-RO"/>
        </w:rPr>
        <w:footnoteReference w:id="54"/>
      </w:r>
      <w:r w:rsidRPr="003F1BDA">
        <w:rPr>
          <w:rFonts w:asciiTheme="majorHAnsi" w:hAnsiTheme="majorHAnsi" w:cstheme="majorHAnsi"/>
          <w:sz w:val="24"/>
          <w:szCs w:val="24"/>
          <w:lang w:val="ro-RO"/>
        </w:rPr>
        <w:t>, был превышен лимит бюджетных ассигнований, утвержденных на 2020 год (834,3 млн. ле</w:t>
      </w:r>
      <w:r w:rsidR="00997756">
        <w:rPr>
          <w:rFonts w:asciiTheme="majorHAnsi" w:hAnsiTheme="majorHAnsi" w:cstheme="majorHAnsi"/>
          <w:sz w:val="24"/>
          <w:szCs w:val="24"/>
          <w:lang w:val="ru-RU"/>
        </w:rPr>
        <w:t>ев</w:t>
      </w:r>
      <w:r w:rsidRPr="003F1BDA">
        <w:rPr>
          <w:rFonts w:asciiTheme="majorHAnsi" w:hAnsiTheme="majorHAnsi" w:cstheme="majorHAnsi"/>
          <w:sz w:val="24"/>
          <w:szCs w:val="24"/>
          <w:lang w:val="ro-RO"/>
        </w:rPr>
        <w:t xml:space="preserve">). </w:t>
      </w:r>
      <w:r w:rsidR="00997756">
        <w:rPr>
          <w:rFonts w:asciiTheme="majorHAnsi" w:hAnsiTheme="majorHAnsi" w:cstheme="majorHAnsi"/>
          <w:sz w:val="24"/>
          <w:szCs w:val="24"/>
          <w:lang w:val="ru-RU"/>
        </w:rPr>
        <w:t>МЭИ</w:t>
      </w:r>
      <w:r w:rsidRPr="003F1BDA">
        <w:rPr>
          <w:rFonts w:asciiTheme="majorHAnsi" w:hAnsiTheme="majorHAnsi" w:cstheme="majorHAnsi"/>
          <w:sz w:val="24"/>
          <w:szCs w:val="24"/>
          <w:lang w:val="ro-RO"/>
        </w:rPr>
        <w:t xml:space="preserve"> допустил</w:t>
      </w:r>
      <w:r w:rsidR="00997756">
        <w:rPr>
          <w:rFonts w:asciiTheme="majorHAnsi" w:hAnsiTheme="majorHAnsi" w:cstheme="majorHAnsi"/>
          <w:sz w:val="24"/>
          <w:szCs w:val="24"/>
          <w:lang w:val="ru-RU"/>
        </w:rPr>
        <w:t>о</w:t>
      </w:r>
      <w:r w:rsidRPr="003F1BDA">
        <w:rPr>
          <w:rFonts w:asciiTheme="majorHAnsi" w:hAnsiTheme="majorHAnsi" w:cstheme="majorHAnsi"/>
          <w:sz w:val="24"/>
          <w:szCs w:val="24"/>
          <w:lang w:val="ro-RO"/>
        </w:rPr>
        <w:t xml:space="preserve"> исполнение </w:t>
      </w:r>
      <w:r w:rsidR="00997756">
        <w:rPr>
          <w:rFonts w:asciiTheme="majorHAnsi" w:hAnsiTheme="majorHAnsi" w:cstheme="majorHAnsi"/>
          <w:sz w:val="24"/>
          <w:szCs w:val="24"/>
          <w:lang w:val="ru-RU"/>
        </w:rPr>
        <w:t xml:space="preserve">денежных </w:t>
      </w:r>
      <w:r w:rsidRPr="003F1BDA">
        <w:rPr>
          <w:rFonts w:asciiTheme="majorHAnsi" w:hAnsiTheme="majorHAnsi" w:cstheme="majorHAnsi"/>
          <w:sz w:val="24"/>
          <w:szCs w:val="24"/>
          <w:lang w:val="ro-RO"/>
        </w:rPr>
        <w:t xml:space="preserve">средств </w:t>
      </w:r>
      <w:r w:rsidR="00997756">
        <w:rPr>
          <w:rFonts w:asciiTheme="majorHAnsi" w:hAnsiTheme="majorHAnsi" w:cstheme="majorHAnsi"/>
          <w:sz w:val="24"/>
          <w:szCs w:val="24"/>
          <w:lang w:val="ru-RU"/>
        </w:rPr>
        <w:t>в размере</w:t>
      </w:r>
      <w:r w:rsidRPr="003F1BDA">
        <w:rPr>
          <w:rFonts w:asciiTheme="majorHAnsi" w:hAnsiTheme="majorHAnsi" w:cstheme="majorHAnsi"/>
          <w:sz w:val="24"/>
          <w:szCs w:val="24"/>
          <w:lang w:val="ro-RO"/>
        </w:rPr>
        <w:t xml:space="preserve"> 910,4 млн. леев, или на 76,1 млн. леев больше</w:t>
      </w:r>
      <w:r w:rsidR="00997756">
        <w:rPr>
          <w:rFonts w:asciiTheme="majorHAnsi" w:hAnsiTheme="majorHAnsi" w:cstheme="majorHAnsi"/>
          <w:sz w:val="24"/>
          <w:szCs w:val="24"/>
          <w:lang w:val="ru-RU"/>
        </w:rPr>
        <w:t>,</w:t>
      </w:r>
      <w:r w:rsidRPr="003F1BDA">
        <w:rPr>
          <w:rFonts w:asciiTheme="majorHAnsi" w:hAnsiTheme="majorHAnsi" w:cstheme="majorHAnsi"/>
          <w:sz w:val="24"/>
          <w:szCs w:val="24"/>
          <w:lang w:val="ro-RO"/>
        </w:rPr>
        <w:t xml:space="preserve"> в отсутствие ассигнований, так как 29 декабря 2020 года ЕБРР подтвердил осуществление платежей за часть поданных прямых платежей. </w:t>
      </w:r>
      <w:r w:rsidRPr="00997756">
        <w:rPr>
          <w:rFonts w:asciiTheme="majorHAnsi" w:hAnsiTheme="majorHAnsi" w:cstheme="majorHAnsi"/>
          <w:i/>
          <w:sz w:val="24"/>
          <w:szCs w:val="24"/>
          <w:lang w:val="ro-RO"/>
        </w:rPr>
        <w:t xml:space="preserve">Анализ уровня исполнения капитальных </w:t>
      </w:r>
      <w:r w:rsidR="00997756" w:rsidRPr="00997756">
        <w:rPr>
          <w:rFonts w:asciiTheme="majorHAnsi" w:hAnsiTheme="majorHAnsi" w:cstheme="majorHAnsi"/>
          <w:i/>
          <w:sz w:val="24"/>
          <w:szCs w:val="24"/>
          <w:lang w:val="ro-RO"/>
        </w:rPr>
        <w:t>инвестиц</w:t>
      </w:r>
      <w:r w:rsidRPr="00997756">
        <w:rPr>
          <w:rFonts w:asciiTheme="majorHAnsi" w:hAnsiTheme="majorHAnsi" w:cstheme="majorHAnsi"/>
          <w:i/>
          <w:sz w:val="24"/>
          <w:szCs w:val="24"/>
          <w:lang w:val="ro-RO"/>
        </w:rPr>
        <w:t xml:space="preserve">ий по проектам </w:t>
      </w:r>
      <w:r w:rsidR="00997756" w:rsidRPr="00997756">
        <w:rPr>
          <w:rFonts w:asciiTheme="majorHAnsi" w:hAnsiTheme="majorHAnsi" w:cstheme="majorHAnsi"/>
          <w:i/>
          <w:sz w:val="24"/>
          <w:szCs w:val="24"/>
          <w:lang w:val="ro-RO"/>
        </w:rPr>
        <w:t>за</w:t>
      </w:r>
      <w:r w:rsidRPr="00997756">
        <w:rPr>
          <w:rFonts w:asciiTheme="majorHAnsi" w:hAnsiTheme="majorHAnsi" w:cstheme="majorHAnsi"/>
          <w:i/>
          <w:sz w:val="24"/>
          <w:szCs w:val="24"/>
          <w:lang w:val="ro-RO"/>
        </w:rPr>
        <w:t xml:space="preserve"> 2020 год представлен в Приложении №7 </w:t>
      </w:r>
      <w:r w:rsidR="00997756" w:rsidRPr="00997756">
        <w:rPr>
          <w:rFonts w:asciiTheme="majorHAnsi" w:hAnsiTheme="majorHAnsi" w:cstheme="majorHAnsi"/>
          <w:i/>
          <w:sz w:val="24"/>
          <w:szCs w:val="24"/>
          <w:lang w:val="ro-RO"/>
        </w:rPr>
        <w:t>к настоящему Отчету аудита</w:t>
      </w:r>
      <w:r w:rsidR="00AC6703" w:rsidRPr="00F55BA6">
        <w:rPr>
          <w:rFonts w:asciiTheme="majorHAnsi" w:hAnsiTheme="majorHAnsi" w:cstheme="majorHAnsi"/>
          <w:i/>
          <w:sz w:val="24"/>
          <w:szCs w:val="24"/>
          <w:lang w:val="ro-RO"/>
        </w:rPr>
        <w:t>.</w:t>
      </w:r>
    </w:p>
    <w:p w:rsidR="00557168" w:rsidRPr="00F55BA6" w:rsidRDefault="00997756" w:rsidP="00AC6703">
      <w:pPr>
        <w:pStyle w:val="ListParagraph"/>
        <w:tabs>
          <w:tab w:val="left" w:pos="142"/>
        </w:tabs>
        <w:spacing w:after="0" w:line="276" w:lineRule="auto"/>
        <w:ind w:left="0" w:right="49"/>
        <w:rPr>
          <w:rFonts w:asciiTheme="majorHAnsi" w:hAnsiTheme="majorHAnsi" w:cstheme="majorHAnsi"/>
          <w:i/>
          <w:sz w:val="24"/>
          <w:szCs w:val="24"/>
          <w:lang w:val="ro-RO"/>
        </w:rPr>
      </w:pPr>
      <w:r w:rsidRPr="00997756">
        <w:rPr>
          <w:rFonts w:asciiTheme="majorHAnsi" w:hAnsiTheme="majorHAnsi" w:cstheme="majorHAnsi"/>
          <w:sz w:val="24"/>
          <w:szCs w:val="24"/>
          <w:lang w:val="ro-RO"/>
        </w:rPr>
        <w:t>А</w:t>
      </w:r>
      <w:r w:rsidR="003F1BDA" w:rsidRPr="003F1BDA">
        <w:rPr>
          <w:rFonts w:asciiTheme="majorHAnsi" w:hAnsiTheme="majorHAnsi" w:cstheme="majorHAnsi"/>
          <w:sz w:val="24"/>
          <w:szCs w:val="24"/>
          <w:lang w:val="ro-RO"/>
        </w:rPr>
        <w:t>удит</w:t>
      </w:r>
      <w:r w:rsidRPr="00997756">
        <w:rPr>
          <w:rFonts w:asciiTheme="majorHAnsi" w:hAnsiTheme="majorHAnsi" w:cstheme="majorHAnsi"/>
          <w:sz w:val="24"/>
          <w:szCs w:val="24"/>
          <w:lang w:val="ro-RO"/>
        </w:rPr>
        <w:t>орская проверка в</w:t>
      </w:r>
      <w:r w:rsidR="003F1BDA" w:rsidRPr="003F1BDA">
        <w:rPr>
          <w:rFonts w:asciiTheme="majorHAnsi" w:hAnsiTheme="majorHAnsi" w:cstheme="majorHAnsi"/>
          <w:sz w:val="24"/>
          <w:szCs w:val="24"/>
          <w:lang w:val="ro-RO"/>
        </w:rPr>
        <w:t xml:space="preserve"> аспект</w:t>
      </w:r>
      <w:r w:rsidRPr="00997756">
        <w:rPr>
          <w:rFonts w:asciiTheme="majorHAnsi" w:hAnsiTheme="majorHAnsi" w:cstheme="majorHAnsi"/>
          <w:sz w:val="24"/>
          <w:szCs w:val="24"/>
          <w:lang w:val="ro-RO"/>
        </w:rPr>
        <w:t>е</w:t>
      </w:r>
      <w:r w:rsidR="003F1BDA" w:rsidRPr="003F1BDA">
        <w:rPr>
          <w:rFonts w:asciiTheme="majorHAnsi" w:hAnsiTheme="majorHAnsi" w:cstheme="majorHAnsi"/>
          <w:sz w:val="24"/>
          <w:szCs w:val="24"/>
          <w:lang w:val="ro-RO"/>
        </w:rPr>
        <w:t xml:space="preserve"> соответствия капитальных инвестиционных проектов, включенных в </w:t>
      </w:r>
      <w:r w:rsidRPr="00997756">
        <w:rPr>
          <w:rFonts w:asciiTheme="majorHAnsi" w:hAnsiTheme="majorHAnsi" w:cstheme="majorHAnsi"/>
          <w:sz w:val="24"/>
          <w:szCs w:val="24"/>
          <w:lang w:val="ro-RO"/>
        </w:rPr>
        <w:t>З</w:t>
      </w:r>
      <w:r w:rsidR="003F1BDA" w:rsidRPr="003F1BDA">
        <w:rPr>
          <w:rFonts w:asciiTheme="majorHAnsi" w:hAnsiTheme="majorHAnsi" w:cstheme="majorHAnsi"/>
          <w:sz w:val="24"/>
          <w:szCs w:val="24"/>
          <w:lang w:val="ro-RO"/>
        </w:rPr>
        <w:t xml:space="preserve">акон </w:t>
      </w:r>
      <w:r w:rsidRPr="00997756">
        <w:rPr>
          <w:rFonts w:asciiTheme="majorHAnsi" w:hAnsiTheme="majorHAnsi" w:cstheme="majorHAnsi"/>
          <w:sz w:val="24"/>
          <w:szCs w:val="24"/>
          <w:lang w:val="ro-RO"/>
        </w:rPr>
        <w:t xml:space="preserve">о </w:t>
      </w:r>
      <w:r w:rsidR="008F632D">
        <w:rPr>
          <w:rFonts w:asciiTheme="majorHAnsi" w:hAnsiTheme="majorHAnsi" w:cstheme="majorHAnsi"/>
          <w:sz w:val="24"/>
          <w:szCs w:val="24"/>
          <w:lang w:val="ro-RO"/>
        </w:rPr>
        <w:t>ГБ</w:t>
      </w:r>
      <w:r w:rsidR="003F1BDA" w:rsidRPr="003F1BDA">
        <w:rPr>
          <w:rFonts w:asciiTheme="majorHAnsi" w:hAnsiTheme="majorHAnsi" w:cstheme="majorHAnsi"/>
          <w:sz w:val="24"/>
          <w:szCs w:val="24"/>
          <w:lang w:val="ro-RO"/>
        </w:rPr>
        <w:t xml:space="preserve"> </w:t>
      </w:r>
      <w:r w:rsidRPr="00997756">
        <w:rPr>
          <w:rFonts w:asciiTheme="majorHAnsi" w:hAnsiTheme="majorHAnsi" w:cstheme="majorHAnsi"/>
          <w:sz w:val="24"/>
          <w:szCs w:val="24"/>
          <w:lang w:val="ro-RO"/>
        </w:rPr>
        <w:t>н</w:t>
      </w:r>
      <w:r w:rsidR="003F1BDA" w:rsidRPr="003F1BDA">
        <w:rPr>
          <w:rFonts w:asciiTheme="majorHAnsi" w:hAnsiTheme="majorHAnsi" w:cstheme="majorHAnsi"/>
          <w:sz w:val="24"/>
          <w:szCs w:val="24"/>
          <w:lang w:val="ro-RO"/>
        </w:rPr>
        <w:t>а 2020 год (85 инвестиционных проектов), показ</w:t>
      </w:r>
      <w:r w:rsidRPr="00997756">
        <w:rPr>
          <w:rFonts w:asciiTheme="majorHAnsi" w:hAnsiTheme="majorHAnsi" w:cstheme="majorHAnsi"/>
          <w:sz w:val="24"/>
          <w:szCs w:val="24"/>
          <w:lang w:val="ro-RO"/>
        </w:rPr>
        <w:t>ала</w:t>
      </w:r>
      <w:r w:rsidR="003F1BDA" w:rsidRPr="003F1BDA">
        <w:rPr>
          <w:rFonts w:asciiTheme="majorHAnsi" w:hAnsiTheme="majorHAnsi" w:cstheme="majorHAnsi"/>
          <w:sz w:val="24"/>
          <w:szCs w:val="24"/>
          <w:lang w:val="ro-RO"/>
        </w:rPr>
        <w:t xml:space="preserve">, что </w:t>
      </w:r>
      <w:r w:rsidRPr="00997756">
        <w:rPr>
          <w:rFonts w:asciiTheme="majorHAnsi" w:hAnsiTheme="majorHAnsi" w:cstheme="majorHAnsi"/>
          <w:sz w:val="24"/>
          <w:szCs w:val="24"/>
          <w:lang w:val="ro-RO"/>
        </w:rPr>
        <w:t>по</w:t>
      </w:r>
      <w:r w:rsidR="003F1BDA" w:rsidRPr="003F1BDA">
        <w:rPr>
          <w:rFonts w:asciiTheme="majorHAnsi" w:hAnsiTheme="majorHAnsi" w:cstheme="majorHAnsi"/>
          <w:sz w:val="24"/>
          <w:szCs w:val="24"/>
          <w:lang w:val="ro-RO"/>
        </w:rPr>
        <w:t xml:space="preserve"> 27 инвестиционны</w:t>
      </w:r>
      <w:r w:rsidRPr="00997756">
        <w:rPr>
          <w:rFonts w:asciiTheme="majorHAnsi" w:hAnsiTheme="majorHAnsi" w:cstheme="majorHAnsi"/>
          <w:sz w:val="24"/>
          <w:szCs w:val="24"/>
          <w:lang w:val="ro-RO"/>
        </w:rPr>
        <w:t>м</w:t>
      </w:r>
      <w:r w:rsidR="003F1BDA" w:rsidRPr="003F1BDA">
        <w:rPr>
          <w:rFonts w:asciiTheme="majorHAnsi" w:hAnsiTheme="majorHAnsi" w:cstheme="majorHAnsi"/>
          <w:sz w:val="24"/>
          <w:szCs w:val="24"/>
          <w:lang w:val="ro-RO"/>
        </w:rPr>
        <w:t xml:space="preserve"> проекта</w:t>
      </w:r>
      <w:r w:rsidRPr="00997756">
        <w:rPr>
          <w:rFonts w:asciiTheme="majorHAnsi" w:hAnsiTheme="majorHAnsi" w:cstheme="majorHAnsi"/>
          <w:sz w:val="24"/>
          <w:szCs w:val="24"/>
          <w:lang w:val="ro-RO"/>
        </w:rPr>
        <w:t>м</w:t>
      </w:r>
      <w:r w:rsidR="003F1BDA" w:rsidRPr="003F1BDA">
        <w:rPr>
          <w:rFonts w:asciiTheme="majorHAnsi" w:hAnsiTheme="majorHAnsi" w:cstheme="majorHAnsi"/>
          <w:sz w:val="24"/>
          <w:szCs w:val="24"/>
          <w:lang w:val="ro-RO"/>
        </w:rPr>
        <w:t xml:space="preserve"> общие </w:t>
      </w:r>
      <w:r w:rsidR="00133900">
        <w:rPr>
          <w:rFonts w:asciiTheme="majorHAnsi" w:hAnsiTheme="majorHAnsi" w:cstheme="majorHAnsi"/>
          <w:sz w:val="24"/>
          <w:szCs w:val="24"/>
          <w:lang w:val="ru-RU"/>
        </w:rPr>
        <w:t xml:space="preserve">сметные </w:t>
      </w:r>
      <w:r w:rsidRPr="00997756">
        <w:rPr>
          <w:rFonts w:asciiTheme="majorHAnsi" w:hAnsiTheme="majorHAnsi" w:cstheme="majorHAnsi"/>
          <w:sz w:val="24"/>
          <w:szCs w:val="24"/>
          <w:lang w:val="ro-RO"/>
        </w:rPr>
        <w:t>расход</w:t>
      </w:r>
      <w:r w:rsidR="003F1BDA" w:rsidRPr="003F1BDA">
        <w:rPr>
          <w:rFonts w:asciiTheme="majorHAnsi" w:hAnsiTheme="majorHAnsi" w:cstheme="majorHAnsi"/>
          <w:sz w:val="24"/>
          <w:szCs w:val="24"/>
          <w:lang w:val="ro-RO"/>
        </w:rPr>
        <w:t>ы на 2020 год, по сравнению с первоначальн</w:t>
      </w:r>
      <w:r w:rsidRPr="00997756">
        <w:rPr>
          <w:rFonts w:asciiTheme="majorHAnsi" w:hAnsiTheme="majorHAnsi" w:cstheme="majorHAnsi"/>
          <w:sz w:val="24"/>
          <w:szCs w:val="24"/>
          <w:lang w:val="ro-RO"/>
        </w:rPr>
        <w:t>о</w:t>
      </w:r>
      <w:r w:rsidR="003F1BDA" w:rsidRPr="003F1BDA">
        <w:rPr>
          <w:rFonts w:asciiTheme="majorHAnsi" w:hAnsiTheme="majorHAnsi" w:cstheme="majorHAnsi"/>
          <w:sz w:val="24"/>
          <w:szCs w:val="24"/>
          <w:lang w:val="ro-RO"/>
        </w:rPr>
        <w:t xml:space="preserve"> </w:t>
      </w:r>
      <w:r w:rsidRPr="00997756">
        <w:rPr>
          <w:rFonts w:asciiTheme="majorHAnsi" w:hAnsiTheme="majorHAnsi" w:cstheme="majorHAnsi"/>
          <w:sz w:val="24"/>
          <w:szCs w:val="24"/>
          <w:lang w:val="ro-RO"/>
        </w:rPr>
        <w:t>запланированн</w:t>
      </w:r>
      <w:r w:rsidR="003F1BDA" w:rsidRPr="003F1BDA">
        <w:rPr>
          <w:rFonts w:asciiTheme="majorHAnsi" w:hAnsiTheme="majorHAnsi" w:cstheme="majorHAnsi"/>
          <w:sz w:val="24"/>
          <w:szCs w:val="24"/>
          <w:lang w:val="ro-RO"/>
        </w:rPr>
        <w:t xml:space="preserve">ыми общими </w:t>
      </w:r>
      <w:r w:rsidRPr="00997756">
        <w:rPr>
          <w:rFonts w:asciiTheme="majorHAnsi" w:hAnsiTheme="majorHAnsi" w:cstheme="majorHAnsi"/>
          <w:sz w:val="24"/>
          <w:szCs w:val="24"/>
          <w:lang w:val="ro-RO"/>
        </w:rPr>
        <w:t>расход</w:t>
      </w:r>
      <w:r w:rsidR="003F1BDA" w:rsidRPr="003F1BDA">
        <w:rPr>
          <w:rFonts w:asciiTheme="majorHAnsi" w:hAnsiTheme="majorHAnsi" w:cstheme="majorHAnsi"/>
          <w:sz w:val="24"/>
          <w:szCs w:val="24"/>
          <w:lang w:val="ro-RO"/>
        </w:rPr>
        <w:t xml:space="preserve">ами на дату запуска проектов, </w:t>
      </w:r>
      <w:r w:rsidR="00133900">
        <w:rPr>
          <w:rFonts w:asciiTheme="majorHAnsi" w:hAnsiTheme="majorHAnsi" w:cstheme="majorHAnsi"/>
          <w:sz w:val="24"/>
          <w:szCs w:val="24"/>
          <w:lang w:val="ru-RU"/>
        </w:rPr>
        <w:t>зарегистрировали</w:t>
      </w:r>
      <w:r w:rsidR="003F1BDA" w:rsidRPr="003F1BDA">
        <w:rPr>
          <w:rFonts w:asciiTheme="majorHAnsi" w:hAnsiTheme="majorHAnsi" w:cstheme="majorHAnsi"/>
          <w:sz w:val="24"/>
          <w:szCs w:val="24"/>
          <w:lang w:val="ro-RO"/>
        </w:rPr>
        <w:t xml:space="preserve"> увеличение </w:t>
      </w:r>
      <w:r w:rsidR="00133900">
        <w:rPr>
          <w:rFonts w:asciiTheme="majorHAnsi" w:hAnsiTheme="majorHAnsi" w:cstheme="majorHAnsi"/>
          <w:sz w:val="24"/>
          <w:szCs w:val="24"/>
          <w:lang w:val="ru-RU"/>
        </w:rPr>
        <w:t>от</w:t>
      </w:r>
      <w:r w:rsidR="003F1BDA" w:rsidRPr="003F1BDA">
        <w:rPr>
          <w:rFonts w:asciiTheme="majorHAnsi" w:hAnsiTheme="majorHAnsi" w:cstheme="majorHAnsi"/>
          <w:sz w:val="24"/>
          <w:szCs w:val="24"/>
          <w:lang w:val="ro-RO"/>
        </w:rPr>
        <w:t xml:space="preserve"> 16,1% </w:t>
      </w:r>
      <w:r w:rsidR="00133900">
        <w:rPr>
          <w:rFonts w:asciiTheme="majorHAnsi" w:hAnsiTheme="majorHAnsi" w:cstheme="majorHAnsi"/>
          <w:sz w:val="24"/>
          <w:szCs w:val="24"/>
          <w:lang w:val="ru-RU"/>
        </w:rPr>
        <w:t>до</w:t>
      </w:r>
      <w:r w:rsidR="003F1BDA" w:rsidRPr="003F1BDA">
        <w:rPr>
          <w:rFonts w:asciiTheme="majorHAnsi" w:hAnsiTheme="majorHAnsi" w:cstheme="majorHAnsi"/>
          <w:sz w:val="24"/>
          <w:szCs w:val="24"/>
          <w:lang w:val="ro-RO"/>
        </w:rPr>
        <w:t xml:space="preserve"> 293,1%, хотя </w:t>
      </w:r>
      <w:r w:rsidR="00133900" w:rsidRPr="00133900">
        <w:rPr>
          <w:rFonts w:asciiTheme="majorHAnsi" w:hAnsiTheme="majorHAnsi" w:cstheme="majorHAnsi"/>
          <w:sz w:val="24"/>
          <w:szCs w:val="24"/>
          <w:lang w:val="ro-RO"/>
        </w:rPr>
        <w:t xml:space="preserve">общие сметные расходы по проектам утверждаются </w:t>
      </w:r>
      <w:r w:rsidR="003F1BDA" w:rsidRPr="003F1BDA">
        <w:rPr>
          <w:rFonts w:asciiTheme="majorHAnsi" w:hAnsiTheme="majorHAnsi" w:cstheme="majorHAnsi"/>
          <w:sz w:val="24"/>
          <w:szCs w:val="24"/>
          <w:lang w:val="ro-RO"/>
        </w:rPr>
        <w:t xml:space="preserve">после </w:t>
      </w:r>
      <w:r w:rsidR="002A3477">
        <w:rPr>
          <w:rFonts w:asciiTheme="majorHAnsi" w:hAnsiTheme="majorHAnsi" w:cstheme="majorHAnsi"/>
          <w:sz w:val="24"/>
          <w:szCs w:val="24"/>
          <w:lang w:val="ru-RU"/>
        </w:rPr>
        <w:t>одобр</w:t>
      </w:r>
      <w:r w:rsidR="003F1BDA" w:rsidRPr="003F1BDA">
        <w:rPr>
          <w:rFonts w:asciiTheme="majorHAnsi" w:hAnsiTheme="majorHAnsi" w:cstheme="majorHAnsi"/>
          <w:sz w:val="24"/>
          <w:szCs w:val="24"/>
          <w:lang w:val="ro-RO"/>
        </w:rPr>
        <w:t>ения их финансирования</w:t>
      </w:r>
      <w:r w:rsidR="002A3477">
        <w:rPr>
          <w:rFonts w:asciiTheme="majorHAnsi" w:hAnsiTheme="majorHAnsi" w:cstheme="majorHAnsi"/>
          <w:sz w:val="24"/>
          <w:szCs w:val="24"/>
          <w:lang w:val="ru-RU"/>
        </w:rPr>
        <w:t>,</w:t>
      </w:r>
      <w:r w:rsidR="003F1BDA" w:rsidRPr="003F1BDA">
        <w:rPr>
          <w:rFonts w:asciiTheme="majorHAnsi" w:hAnsiTheme="majorHAnsi" w:cstheme="majorHAnsi"/>
          <w:sz w:val="24"/>
          <w:szCs w:val="24"/>
          <w:lang w:val="ro-RO"/>
        </w:rPr>
        <w:t xml:space="preserve"> и могут быть изменены „из года в год </w:t>
      </w:r>
      <w:r w:rsidR="002A3477" w:rsidRPr="00133900">
        <w:rPr>
          <w:rFonts w:asciiTheme="majorHAnsi" w:hAnsiTheme="majorHAnsi" w:cstheme="majorHAnsi"/>
          <w:sz w:val="24"/>
          <w:szCs w:val="24"/>
          <w:lang w:val="ro-RO"/>
        </w:rPr>
        <w:t>в связи с инфляционными воздействиями или другими факторами, не учтенными на этапе первоначальной оценки</w:t>
      </w:r>
      <w:r w:rsidR="002A3477" w:rsidRPr="002A3477">
        <w:rPr>
          <w:rFonts w:asciiTheme="majorHAnsi" w:hAnsiTheme="majorHAnsi" w:cstheme="majorHAnsi"/>
          <w:sz w:val="24"/>
          <w:szCs w:val="24"/>
          <w:lang w:val="ro-MD"/>
        </w:rPr>
        <w:t>”</w:t>
      </w:r>
      <w:r w:rsidR="003F1BDA" w:rsidRPr="003F1BDA">
        <w:rPr>
          <w:rFonts w:asciiTheme="majorHAnsi" w:hAnsiTheme="majorHAnsi" w:cstheme="majorHAnsi"/>
          <w:sz w:val="24"/>
          <w:szCs w:val="24"/>
          <w:lang w:val="ro-RO"/>
        </w:rPr>
        <w:t xml:space="preserve"> в пределах 15,0% от первоначальной </w:t>
      </w:r>
      <w:r w:rsidR="002A3477">
        <w:rPr>
          <w:rFonts w:asciiTheme="majorHAnsi" w:hAnsiTheme="majorHAnsi" w:cstheme="majorHAnsi"/>
          <w:sz w:val="24"/>
          <w:szCs w:val="24"/>
          <w:lang w:val="ru-RU"/>
        </w:rPr>
        <w:t>смет</w:t>
      </w:r>
      <w:r w:rsidR="003F1BDA" w:rsidRPr="003F1BDA">
        <w:rPr>
          <w:rFonts w:asciiTheme="majorHAnsi" w:hAnsiTheme="majorHAnsi" w:cstheme="majorHAnsi"/>
          <w:sz w:val="24"/>
          <w:szCs w:val="24"/>
          <w:lang w:val="ro-RO"/>
        </w:rPr>
        <w:t>ной стоимости</w:t>
      </w:r>
      <w:r w:rsidR="00133900" w:rsidRPr="00133900">
        <w:rPr>
          <w:rFonts w:asciiTheme="majorHAnsi" w:hAnsiTheme="majorHAnsi" w:cstheme="majorHAnsi"/>
          <w:sz w:val="24"/>
          <w:szCs w:val="24"/>
          <w:lang w:val="ro-RO"/>
        </w:rPr>
        <w:t>.</w:t>
      </w:r>
    </w:p>
    <w:p w:rsidR="00AC6703" w:rsidRPr="00F55BA6" w:rsidRDefault="003F1BDA" w:rsidP="00AC6703">
      <w:pPr>
        <w:pStyle w:val="ListParagraph"/>
        <w:tabs>
          <w:tab w:val="left" w:pos="142"/>
        </w:tabs>
        <w:spacing w:after="0" w:line="276" w:lineRule="auto"/>
        <w:ind w:left="0" w:right="49"/>
        <w:rPr>
          <w:rFonts w:asciiTheme="majorHAnsi" w:hAnsiTheme="majorHAnsi" w:cstheme="majorHAnsi"/>
          <w:i/>
          <w:sz w:val="24"/>
          <w:szCs w:val="24"/>
          <w:lang w:val="ro-RO"/>
        </w:rPr>
      </w:pPr>
      <w:r w:rsidRPr="003F1BDA">
        <w:rPr>
          <w:rFonts w:asciiTheme="majorHAnsi" w:hAnsiTheme="majorHAnsi" w:cstheme="majorHAnsi"/>
          <w:sz w:val="24"/>
          <w:szCs w:val="24"/>
          <w:lang w:val="ro-RO"/>
        </w:rPr>
        <w:t xml:space="preserve">Отмечается, что самое значительное увеличение первоначальной общей стоимости на дату </w:t>
      </w:r>
      <w:r w:rsidR="00B63C6C">
        <w:rPr>
          <w:rFonts w:asciiTheme="majorHAnsi" w:hAnsiTheme="majorHAnsi" w:cstheme="majorHAnsi"/>
          <w:sz w:val="24"/>
          <w:szCs w:val="24"/>
          <w:lang w:val="ru-RU"/>
        </w:rPr>
        <w:t>за</w:t>
      </w:r>
      <w:r w:rsidRPr="003F1BDA">
        <w:rPr>
          <w:rFonts w:asciiTheme="majorHAnsi" w:hAnsiTheme="majorHAnsi" w:cstheme="majorHAnsi"/>
          <w:sz w:val="24"/>
          <w:szCs w:val="24"/>
          <w:lang w:val="ro-RO"/>
        </w:rPr>
        <w:t xml:space="preserve">пуска зарегистрировано </w:t>
      </w:r>
      <w:r w:rsidR="00B63C6C">
        <w:rPr>
          <w:rFonts w:asciiTheme="majorHAnsi" w:hAnsiTheme="majorHAnsi" w:cstheme="majorHAnsi"/>
          <w:sz w:val="24"/>
          <w:szCs w:val="24"/>
          <w:lang w:val="ru-RU"/>
        </w:rPr>
        <w:t>по</w:t>
      </w:r>
      <w:r w:rsidRPr="003F1BDA">
        <w:rPr>
          <w:rFonts w:asciiTheme="majorHAnsi" w:hAnsiTheme="majorHAnsi" w:cstheme="majorHAnsi"/>
          <w:sz w:val="24"/>
          <w:szCs w:val="24"/>
          <w:lang w:val="ro-RO"/>
        </w:rPr>
        <w:t xml:space="preserve"> </w:t>
      </w:r>
      <w:r w:rsidR="00B63C6C">
        <w:rPr>
          <w:rFonts w:asciiTheme="majorHAnsi" w:hAnsiTheme="majorHAnsi" w:cstheme="majorHAnsi"/>
          <w:sz w:val="24"/>
          <w:szCs w:val="24"/>
          <w:lang w:val="ru-RU"/>
        </w:rPr>
        <w:t>П</w:t>
      </w:r>
      <w:r w:rsidRPr="003F1BDA">
        <w:rPr>
          <w:rFonts w:asciiTheme="majorHAnsi" w:hAnsiTheme="majorHAnsi" w:cstheme="majorHAnsi"/>
          <w:sz w:val="24"/>
          <w:szCs w:val="24"/>
          <w:lang w:val="ro-RO"/>
        </w:rPr>
        <w:t>роект</w:t>
      </w:r>
      <w:r w:rsidR="00B63C6C">
        <w:rPr>
          <w:rFonts w:asciiTheme="majorHAnsi" w:hAnsiTheme="majorHAnsi" w:cstheme="majorHAnsi"/>
          <w:sz w:val="24"/>
          <w:szCs w:val="24"/>
          <w:lang w:val="ru-RU"/>
        </w:rPr>
        <w:t>у</w:t>
      </w:r>
      <w:r w:rsidRPr="003F1BDA">
        <w:rPr>
          <w:rFonts w:asciiTheme="majorHAnsi" w:hAnsiTheme="majorHAnsi" w:cstheme="majorHAnsi"/>
          <w:sz w:val="24"/>
          <w:szCs w:val="24"/>
          <w:lang w:val="ro-RO"/>
        </w:rPr>
        <w:t xml:space="preserve"> </w:t>
      </w:r>
      <w:r w:rsidR="002A3477" w:rsidRPr="002A3477">
        <w:rPr>
          <w:rFonts w:asciiTheme="majorHAnsi" w:hAnsiTheme="majorHAnsi" w:cstheme="majorHAnsi"/>
          <w:sz w:val="24"/>
          <w:szCs w:val="24"/>
          <w:lang w:val="ro-MD"/>
        </w:rPr>
        <w:t>„</w:t>
      </w:r>
      <w:r w:rsidR="00B63C6C">
        <w:rPr>
          <w:rFonts w:asciiTheme="majorHAnsi" w:hAnsiTheme="majorHAnsi" w:cstheme="majorHAnsi"/>
          <w:sz w:val="24"/>
          <w:szCs w:val="24"/>
          <w:lang w:val="ru-RU"/>
        </w:rPr>
        <w:t>Р</w:t>
      </w:r>
      <w:r w:rsidRPr="003F1BDA">
        <w:rPr>
          <w:rFonts w:asciiTheme="majorHAnsi" w:hAnsiTheme="majorHAnsi" w:cstheme="majorHAnsi"/>
          <w:sz w:val="24"/>
          <w:szCs w:val="24"/>
          <w:lang w:val="ro-RO"/>
        </w:rPr>
        <w:t>еставрация здания Органного зала</w:t>
      </w:r>
      <w:r w:rsidR="002A3477" w:rsidRPr="002A3477">
        <w:rPr>
          <w:rFonts w:asciiTheme="majorHAnsi" w:hAnsiTheme="majorHAnsi" w:cstheme="majorHAnsi"/>
          <w:sz w:val="24"/>
          <w:szCs w:val="24"/>
          <w:lang w:val="ro-MD"/>
        </w:rPr>
        <w:t>”</w:t>
      </w:r>
      <w:r w:rsidRPr="003F1BDA">
        <w:rPr>
          <w:rFonts w:asciiTheme="majorHAnsi" w:hAnsiTheme="majorHAnsi" w:cstheme="majorHAnsi"/>
          <w:sz w:val="24"/>
          <w:szCs w:val="24"/>
          <w:lang w:val="ro-RO"/>
        </w:rPr>
        <w:t>, запущен</w:t>
      </w:r>
      <w:r w:rsidR="00B63C6C">
        <w:rPr>
          <w:rFonts w:asciiTheme="majorHAnsi" w:hAnsiTheme="majorHAnsi" w:cstheme="majorHAnsi"/>
          <w:sz w:val="24"/>
          <w:szCs w:val="24"/>
          <w:lang w:val="ru-RU"/>
        </w:rPr>
        <w:t>ному</w:t>
      </w:r>
      <w:r w:rsidRPr="003F1BDA">
        <w:rPr>
          <w:rFonts w:asciiTheme="majorHAnsi" w:hAnsiTheme="majorHAnsi" w:cstheme="majorHAnsi"/>
          <w:sz w:val="24"/>
          <w:szCs w:val="24"/>
          <w:lang w:val="ro-RO"/>
        </w:rPr>
        <w:t xml:space="preserve"> в 2008 году</w:t>
      </w:r>
      <w:r w:rsidR="00B63C6C">
        <w:rPr>
          <w:rFonts w:asciiTheme="majorHAnsi" w:hAnsiTheme="majorHAnsi" w:cstheme="majorHAnsi"/>
          <w:sz w:val="24"/>
          <w:szCs w:val="24"/>
          <w:lang w:val="ru-RU"/>
        </w:rPr>
        <w:t>,</w:t>
      </w:r>
      <w:r w:rsidRPr="003F1BDA">
        <w:rPr>
          <w:rFonts w:asciiTheme="majorHAnsi" w:hAnsiTheme="majorHAnsi" w:cstheme="majorHAnsi"/>
          <w:sz w:val="24"/>
          <w:szCs w:val="24"/>
          <w:lang w:val="ro-RO"/>
        </w:rPr>
        <w:t xml:space="preserve"> </w:t>
      </w:r>
      <w:r w:rsidR="00B63C6C">
        <w:rPr>
          <w:rFonts w:asciiTheme="majorHAnsi" w:hAnsiTheme="majorHAnsi" w:cstheme="majorHAnsi"/>
          <w:sz w:val="24"/>
          <w:szCs w:val="24"/>
          <w:lang w:val="ru-RU"/>
        </w:rPr>
        <w:t xml:space="preserve">которое </w:t>
      </w:r>
      <w:r w:rsidRPr="003F1BDA">
        <w:rPr>
          <w:rFonts w:asciiTheme="majorHAnsi" w:hAnsiTheme="majorHAnsi" w:cstheme="majorHAnsi"/>
          <w:sz w:val="24"/>
          <w:szCs w:val="24"/>
          <w:lang w:val="ro-RO"/>
        </w:rPr>
        <w:t>с 23,5 млн. леев к 2020 году составило 92,2 млн. леев, или на 68,7 млн. леев</w:t>
      </w:r>
      <w:r w:rsidR="00C070E4">
        <w:rPr>
          <w:rFonts w:asciiTheme="majorHAnsi" w:hAnsiTheme="majorHAnsi" w:cstheme="majorHAnsi"/>
          <w:sz w:val="24"/>
          <w:szCs w:val="24"/>
          <w:lang w:val="ru-RU"/>
        </w:rPr>
        <w:t xml:space="preserve"> </w:t>
      </w:r>
      <w:r w:rsidRPr="003F1BDA">
        <w:rPr>
          <w:rFonts w:asciiTheme="majorHAnsi" w:hAnsiTheme="majorHAnsi" w:cstheme="majorHAnsi"/>
          <w:sz w:val="24"/>
          <w:szCs w:val="24"/>
          <w:lang w:val="ro-RO"/>
        </w:rPr>
        <w:t xml:space="preserve">(293,1%) </w:t>
      </w:r>
      <w:r w:rsidR="00C070E4">
        <w:rPr>
          <w:rFonts w:asciiTheme="majorHAnsi" w:hAnsiTheme="majorHAnsi" w:cstheme="majorHAnsi"/>
          <w:sz w:val="24"/>
          <w:szCs w:val="24"/>
          <w:lang w:val="ru-RU"/>
        </w:rPr>
        <w:t>больше.</w:t>
      </w:r>
      <w:r w:rsidR="00C070E4" w:rsidRPr="003F1BDA">
        <w:rPr>
          <w:rFonts w:asciiTheme="majorHAnsi" w:hAnsiTheme="majorHAnsi" w:cstheme="majorHAnsi"/>
          <w:sz w:val="24"/>
          <w:szCs w:val="24"/>
          <w:lang w:val="ro-RO"/>
        </w:rPr>
        <w:t xml:space="preserve"> </w:t>
      </w:r>
      <w:r w:rsidRPr="003F1BDA">
        <w:rPr>
          <w:rFonts w:asciiTheme="majorHAnsi" w:hAnsiTheme="majorHAnsi" w:cstheme="majorHAnsi"/>
          <w:sz w:val="24"/>
          <w:szCs w:val="24"/>
          <w:lang w:val="ro-RO"/>
        </w:rPr>
        <w:t xml:space="preserve">Из </w:t>
      </w:r>
      <w:r w:rsidR="00C070E4" w:rsidRPr="003F1BDA">
        <w:rPr>
          <w:rFonts w:asciiTheme="majorHAnsi" w:hAnsiTheme="majorHAnsi" w:cstheme="majorHAnsi"/>
          <w:sz w:val="24"/>
          <w:szCs w:val="24"/>
          <w:lang w:val="ro-RO"/>
        </w:rPr>
        <w:t>первоначально утвержденн</w:t>
      </w:r>
      <w:r w:rsidR="00C070E4">
        <w:rPr>
          <w:rFonts w:asciiTheme="majorHAnsi" w:hAnsiTheme="majorHAnsi" w:cstheme="majorHAnsi"/>
          <w:sz w:val="24"/>
          <w:szCs w:val="24"/>
          <w:lang w:val="ru-RU"/>
        </w:rPr>
        <w:t>ого</w:t>
      </w:r>
      <w:r w:rsidR="00C070E4" w:rsidRPr="003F1BDA">
        <w:rPr>
          <w:rFonts w:asciiTheme="majorHAnsi" w:hAnsiTheme="majorHAnsi" w:cstheme="majorHAnsi"/>
          <w:sz w:val="24"/>
          <w:szCs w:val="24"/>
          <w:lang w:val="ro-RO"/>
        </w:rPr>
        <w:t xml:space="preserve"> </w:t>
      </w:r>
      <w:r w:rsidRPr="003F1BDA">
        <w:rPr>
          <w:rFonts w:asciiTheme="majorHAnsi" w:hAnsiTheme="majorHAnsi" w:cstheme="majorHAnsi"/>
          <w:sz w:val="24"/>
          <w:szCs w:val="24"/>
          <w:lang w:val="ro-RO"/>
        </w:rPr>
        <w:t xml:space="preserve">объема ассигнований на 2020 год в </w:t>
      </w:r>
      <w:r w:rsidR="00C070E4">
        <w:rPr>
          <w:rFonts w:asciiTheme="majorHAnsi" w:hAnsiTheme="majorHAnsi" w:cstheme="majorHAnsi"/>
          <w:sz w:val="24"/>
          <w:szCs w:val="24"/>
          <w:lang w:val="ru-RU"/>
        </w:rPr>
        <w:t xml:space="preserve">размере </w:t>
      </w:r>
      <w:r w:rsidRPr="003F1BDA">
        <w:rPr>
          <w:rFonts w:asciiTheme="majorHAnsi" w:hAnsiTheme="majorHAnsi" w:cstheme="majorHAnsi"/>
          <w:sz w:val="24"/>
          <w:szCs w:val="24"/>
          <w:lang w:val="ro-RO"/>
        </w:rPr>
        <w:t>2,0 млн. леев</w:t>
      </w:r>
      <w:r w:rsidR="00C070E4">
        <w:rPr>
          <w:rFonts w:asciiTheme="majorHAnsi" w:hAnsiTheme="majorHAnsi" w:cstheme="majorHAnsi"/>
          <w:sz w:val="24"/>
          <w:szCs w:val="24"/>
          <w:lang w:val="ru-RU"/>
        </w:rPr>
        <w:t>,</w:t>
      </w:r>
      <w:r w:rsidRPr="003F1BDA">
        <w:rPr>
          <w:rFonts w:asciiTheme="majorHAnsi" w:hAnsiTheme="majorHAnsi" w:cstheme="majorHAnsi"/>
          <w:sz w:val="24"/>
          <w:szCs w:val="24"/>
          <w:lang w:val="ro-RO"/>
        </w:rPr>
        <w:t xml:space="preserve"> было исполнено 0,1 млн. леев, </w:t>
      </w:r>
      <w:r w:rsidR="00C070E4">
        <w:rPr>
          <w:rFonts w:asciiTheme="majorHAnsi" w:hAnsiTheme="majorHAnsi" w:cstheme="majorHAnsi"/>
          <w:sz w:val="24"/>
          <w:szCs w:val="24"/>
          <w:lang w:val="ru-RU"/>
        </w:rPr>
        <w:t xml:space="preserve">по </w:t>
      </w:r>
      <w:r w:rsidRPr="003F1BDA">
        <w:rPr>
          <w:rFonts w:asciiTheme="majorHAnsi" w:hAnsiTheme="majorHAnsi" w:cstheme="majorHAnsi"/>
          <w:sz w:val="24"/>
          <w:szCs w:val="24"/>
          <w:lang w:val="ro-RO"/>
        </w:rPr>
        <w:t>причин</w:t>
      </w:r>
      <w:r w:rsidR="00C070E4">
        <w:rPr>
          <w:rFonts w:asciiTheme="majorHAnsi" w:hAnsiTheme="majorHAnsi" w:cstheme="majorHAnsi"/>
          <w:sz w:val="24"/>
          <w:szCs w:val="24"/>
          <w:lang w:val="ru-RU"/>
        </w:rPr>
        <w:t>ам</w:t>
      </w:r>
      <w:r w:rsidRPr="003F1BDA">
        <w:rPr>
          <w:rFonts w:asciiTheme="majorHAnsi" w:hAnsiTheme="majorHAnsi" w:cstheme="majorHAnsi"/>
          <w:sz w:val="24"/>
          <w:szCs w:val="24"/>
          <w:lang w:val="ro-RO"/>
        </w:rPr>
        <w:t xml:space="preserve">, </w:t>
      </w:r>
      <w:r w:rsidR="00C070E4">
        <w:rPr>
          <w:rFonts w:asciiTheme="majorHAnsi" w:hAnsiTheme="majorHAnsi" w:cstheme="majorHAnsi"/>
          <w:sz w:val="24"/>
          <w:szCs w:val="24"/>
          <w:lang w:val="ru-RU"/>
        </w:rPr>
        <w:t>на которые ссылается</w:t>
      </w:r>
      <w:r w:rsidRPr="003F1BDA">
        <w:rPr>
          <w:rFonts w:asciiTheme="majorHAnsi" w:hAnsiTheme="majorHAnsi" w:cstheme="majorHAnsi"/>
          <w:sz w:val="24"/>
          <w:szCs w:val="24"/>
          <w:lang w:val="ro-RO"/>
        </w:rPr>
        <w:t xml:space="preserve"> МФ, не</w:t>
      </w:r>
      <w:r w:rsidR="00C070E4">
        <w:rPr>
          <w:rFonts w:asciiTheme="majorHAnsi" w:hAnsiTheme="majorHAnsi" w:cstheme="majorHAnsi"/>
          <w:sz w:val="24"/>
          <w:szCs w:val="24"/>
          <w:lang w:val="ru-RU"/>
        </w:rPr>
        <w:t>инициирования</w:t>
      </w:r>
      <w:r w:rsidRPr="003F1BDA">
        <w:rPr>
          <w:rFonts w:asciiTheme="majorHAnsi" w:hAnsiTheme="majorHAnsi" w:cstheme="majorHAnsi"/>
          <w:sz w:val="24"/>
          <w:szCs w:val="24"/>
          <w:lang w:val="ro-RO"/>
        </w:rPr>
        <w:t xml:space="preserve"> следующего этапа </w:t>
      </w:r>
      <w:r w:rsidR="00C070E4">
        <w:rPr>
          <w:rFonts w:asciiTheme="majorHAnsi" w:hAnsiTheme="majorHAnsi" w:cstheme="majorHAnsi"/>
          <w:sz w:val="24"/>
          <w:szCs w:val="24"/>
          <w:lang w:val="ru-RU"/>
        </w:rPr>
        <w:t>реставрации</w:t>
      </w:r>
      <w:r w:rsidRPr="003F1BDA">
        <w:rPr>
          <w:rFonts w:asciiTheme="majorHAnsi" w:hAnsiTheme="majorHAnsi" w:cstheme="majorHAnsi"/>
          <w:sz w:val="24"/>
          <w:szCs w:val="24"/>
          <w:lang w:val="ro-RO"/>
        </w:rPr>
        <w:t xml:space="preserve"> и не</w:t>
      </w:r>
      <w:r w:rsidR="00C070E4">
        <w:rPr>
          <w:rFonts w:asciiTheme="majorHAnsi" w:hAnsiTheme="majorHAnsi" w:cstheme="majorHAnsi"/>
          <w:sz w:val="24"/>
          <w:szCs w:val="24"/>
          <w:lang w:val="ru-RU"/>
        </w:rPr>
        <w:t>заключения</w:t>
      </w:r>
      <w:r w:rsidRPr="003F1BDA">
        <w:rPr>
          <w:rFonts w:asciiTheme="majorHAnsi" w:hAnsiTheme="majorHAnsi" w:cstheme="majorHAnsi"/>
          <w:sz w:val="24"/>
          <w:szCs w:val="24"/>
          <w:lang w:val="ro-RO"/>
        </w:rPr>
        <w:t xml:space="preserve"> новых контрактов. Так, только рабочая группа может принять решение о переоценке или прекращении проекта, если </w:t>
      </w:r>
      <w:r w:rsidR="00C070E4">
        <w:rPr>
          <w:rFonts w:asciiTheme="majorHAnsi" w:hAnsiTheme="majorHAnsi" w:cstheme="majorHAnsi"/>
          <w:sz w:val="24"/>
          <w:szCs w:val="24"/>
          <w:lang w:val="ru-RU"/>
        </w:rPr>
        <w:t xml:space="preserve">выясняется, что </w:t>
      </w:r>
      <w:r w:rsidRPr="003F1BDA">
        <w:rPr>
          <w:rFonts w:asciiTheme="majorHAnsi" w:hAnsiTheme="majorHAnsi" w:cstheme="majorHAnsi"/>
          <w:sz w:val="24"/>
          <w:szCs w:val="24"/>
          <w:lang w:val="ro-RO"/>
        </w:rPr>
        <w:t xml:space="preserve">стоимость проекта увеличилась более чем на 15% по сравнению с </w:t>
      </w:r>
      <w:r w:rsidRPr="003F1BDA">
        <w:rPr>
          <w:rFonts w:asciiTheme="majorHAnsi" w:hAnsiTheme="majorHAnsi" w:cstheme="majorHAnsi"/>
          <w:sz w:val="24"/>
          <w:szCs w:val="24"/>
          <w:lang w:val="ro-RO"/>
        </w:rPr>
        <w:lastRenderedPageBreak/>
        <w:t xml:space="preserve">первоначальной </w:t>
      </w:r>
      <w:r w:rsidR="00C070E4">
        <w:rPr>
          <w:rFonts w:asciiTheme="majorHAnsi" w:hAnsiTheme="majorHAnsi" w:cstheme="majorHAnsi"/>
          <w:sz w:val="24"/>
          <w:szCs w:val="24"/>
          <w:lang w:val="ru-RU"/>
        </w:rPr>
        <w:t>смет</w:t>
      </w:r>
      <w:r w:rsidRPr="003F1BDA">
        <w:rPr>
          <w:rFonts w:asciiTheme="majorHAnsi" w:hAnsiTheme="majorHAnsi" w:cstheme="majorHAnsi"/>
          <w:sz w:val="24"/>
          <w:szCs w:val="24"/>
          <w:lang w:val="ro-RO"/>
        </w:rPr>
        <w:t xml:space="preserve">ной </w:t>
      </w:r>
      <w:r w:rsidR="00C070E4">
        <w:rPr>
          <w:rFonts w:asciiTheme="majorHAnsi" w:hAnsiTheme="majorHAnsi" w:cstheme="majorHAnsi"/>
          <w:sz w:val="24"/>
          <w:szCs w:val="24"/>
          <w:lang w:val="ru-RU"/>
        </w:rPr>
        <w:t>стоимостью</w:t>
      </w:r>
      <w:r w:rsidRPr="003F1BDA">
        <w:rPr>
          <w:rFonts w:asciiTheme="majorHAnsi" w:hAnsiTheme="majorHAnsi" w:cstheme="majorHAnsi"/>
          <w:sz w:val="24"/>
          <w:szCs w:val="24"/>
          <w:lang w:val="ro-RO"/>
        </w:rPr>
        <w:t xml:space="preserve">, но она </w:t>
      </w:r>
      <w:r w:rsidR="00C070E4" w:rsidRPr="003F1BDA">
        <w:rPr>
          <w:rFonts w:asciiTheme="majorHAnsi" w:hAnsiTheme="majorHAnsi" w:cstheme="majorHAnsi"/>
          <w:sz w:val="24"/>
          <w:szCs w:val="24"/>
          <w:lang w:val="ro-RO"/>
        </w:rPr>
        <w:t xml:space="preserve">не </w:t>
      </w:r>
      <w:r w:rsidRPr="003F1BDA">
        <w:rPr>
          <w:rFonts w:asciiTheme="majorHAnsi" w:hAnsiTheme="majorHAnsi" w:cstheme="majorHAnsi"/>
          <w:sz w:val="24"/>
          <w:szCs w:val="24"/>
          <w:lang w:val="ro-RO"/>
        </w:rPr>
        <w:t>функцион</w:t>
      </w:r>
      <w:r w:rsidR="00C070E4">
        <w:rPr>
          <w:rFonts w:asciiTheme="majorHAnsi" w:hAnsiTheme="majorHAnsi" w:cstheme="majorHAnsi"/>
          <w:sz w:val="24"/>
          <w:szCs w:val="24"/>
          <w:lang w:val="ru-RU"/>
        </w:rPr>
        <w:t>ирует</w:t>
      </w:r>
      <w:r w:rsidRPr="003F1BDA">
        <w:rPr>
          <w:rFonts w:asciiTheme="majorHAnsi" w:hAnsiTheme="majorHAnsi" w:cstheme="majorHAnsi"/>
          <w:sz w:val="24"/>
          <w:szCs w:val="24"/>
          <w:lang w:val="ro-RO"/>
        </w:rPr>
        <w:t xml:space="preserve">. </w:t>
      </w:r>
      <w:r w:rsidRPr="00C070E4">
        <w:rPr>
          <w:rFonts w:asciiTheme="majorHAnsi" w:hAnsiTheme="majorHAnsi" w:cstheme="majorHAnsi"/>
          <w:i/>
          <w:sz w:val="24"/>
          <w:szCs w:val="24"/>
          <w:lang w:val="ro-RO"/>
        </w:rPr>
        <w:t xml:space="preserve">Синтез инвестиционных проектов, </w:t>
      </w:r>
      <w:r w:rsidR="00B32E63" w:rsidRPr="00B32E63">
        <w:rPr>
          <w:rFonts w:asciiTheme="majorHAnsi" w:hAnsiTheme="majorHAnsi" w:cstheme="majorHAnsi"/>
          <w:i/>
          <w:sz w:val="24"/>
          <w:szCs w:val="24"/>
          <w:lang w:val="ro-RO"/>
        </w:rPr>
        <w:t>по которым первоначально оцененные общие расходы были увеличены более чем на 15,0%</w:t>
      </w:r>
      <w:r w:rsidRPr="00C070E4">
        <w:rPr>
          <w:rFonts w:asciiTheme="majorHAnsi" w:hAnsiTheme="majorHAnsi" w:cstheme="majorHAnsi"/>
          <w:i/>
          <w:sz w:val="24"/>
          <w:szCs w:val="24"/>
          <w:lang w:val="ro-RO"/>
        </w:rPr>
        <w:t xml:space="preserve">, представлен в </w:t>
      </w:r>
      <w:r w:rsidR="00B32E63" w:rsidRPr="00B32E63">
        <w:rPr>
          <w:rFonts w:asciiTheme="majorHAnsi" w:hAnsiTheme="majorHAnsi" w:cstheme="majorHAnsi"/>
          <w:i/>
          <w:sz w:val="24"/>
          <w:szCs w:val="24"/>
          <w:lang w:val="ro-RO"/>
        </w:rPr>
        <w:t>П</w:t>
      </w:r>
      <w:r w:rsidRPr="00C070E4">
        <w:rPr>
          <w:rFonts w:asciiTheme="majorHAnsi" w:hAnsiTheme="majorHAnsi" w:cstheme="majorHAnsi"/>
          <w:i/>
          <w:sz w:val="24"/>
          <w:szCs w:val="24"/>
          <w:lang w:val="ro-RO"/>
        </w:rPr>
        <w:t xml:space="preserve">риложении </w:t>
      </w:r>
      <w:r w:rsidR="00517B11" w:rsidRPr="00C070E4">
        <w:rPr>
          <w:rFonts w:asciiTheme="majorHAnsi" w:hAnsiTheme="majorHAnsi" w:cstheme="majorHAnsi"/>
          <w:i/>
          <w:sz w:val="24"/>
          <w:szCs w:val="24"/>
          <w:lang w:val="ro-RO"/>
        </w:rPr>
        <w:t>№</w:t>
      </w:r>
      <w:r w:rsidRPr="00C070E4">
        <w:rPr>
          <w:rFonts w:asciiTheme="majorHAnsi" w:hAnsiTheme="majorHAnsi" w:cstheme="majorHAnsi"/>
          <w:i/>
          <w:sz w:val="24"/>
          <w:szCs w:val="24"/>
          <w:lang w:val="ro-RO"/>
        </w:rPr>
        <w:t xml:space="preserve">8 </w:t>
      </w:r>
      <w:r w:rsidR="00997756" w:rsidRPr="00C070E4">
        <w:rPr>
          <w:rFonts w:asciiTheme="majorHAnsi" w:hAnsiTheme="majorHAnsi" w:cstheme="majorHAnsi"/>
          <w:i/>
          <w:sz w:val="24"/>
          <w:szCs w:val="24"/>
          <w:lang w:val="ro-RO"/>
        </w:rPr>
        <w:t>к настоящему Отчету аудита</w:t>
      </w:r>
      <w:r w:rsidR="00AC6703" w:rsidRPr="00F55BA6">
        <w:rPr>
          <w:rFonts w:asciiTheme="majorHAnsi" w:hAnsiTheme="majorHAnsi" w:cstheme="majorHAnsi"/>
          <w:i/>
          <w:sz w:val="24"/>
          <w:szCs w:val="24"/>
          <w:lang w:val="ro-RO"/>
        </w:rPr>
        <w:t xml:space="preserve">. </w:t>
      </w:r>
    </w:p>
    <w:p w:rsidR="00AC6703" w:rsidRPr="00F55BA6" w:rsidRDefault="003F1BDA" w:rsidP="00AC6703">
      <w:pPr>
        <w:pStyle w:val="ListParagraph"/>
        <w:tabs>
          <w:tab w:val="left" w:pos="142"/>
        </w:tabs>
        <w:spacing w:after="0" w:line="276" w:lineRule="auto"/>
        <w:ind w:left="0" w:right="49"/>
        <w:rPr>
          <w:rFonts w:asciiTheme="majorHAnsi" w:hAnsiTheme="majorHAnsi" w:cstheme="majorHAnsi"/>
          <w:sz w:val="24"/>
          <w:szCs w:val="24"/>
          <w:lang w:val="ro-RO"/>
        </w:rPr>
      </w:pPr>
      <w:r w:rsidRPr="003F1BDA">
        <w:rPr>
          <w:rFonts w:asciiTheme="majorHAnsi" w:hAnsiTheme="majorHAnsi" w:cstheme="majorHAnsi"/>
          <w:sz w:val="24"/>
          <w:szCs w:val="24"/>
          <w:lang w:val="ro-RO"/>
        </w:rPr>
        <w:t xml:space="preserve">В результате </w:t>
      </w:r>
      <w:r w:rsidR="00B32E63" w:rsidRPr="003F1BDA">
        <w:rPr>
          <w:rFonts w:asciiTheme="majorHAnsi" w:hAnsiTheme="majorHAnsi" w:cstheme="majorHAnsi"/>
          <w:sz w:val="24"/>
          <w:szCs w:val="24"/>
          <w:lang w:val="ro-RO"/>
        </w:rPr>
        <w:t>аудит</w:t>
      </w:r>
      <w:r w:rsidR="00B32E63">
        <w:rPr>
          <w:rFonts w:asciiTheme="majorHAnsi" w:hAnsiTheme="majorHAnsi" w:cstheme="majorHAnsi"/>
          <w:sz w:val="24"/>
          <w:szCs w:val="24"/>
          <w:lang w:val="ru-RU"/>
        </w:rPr>
        <w:t>орских</w:t>
      </w:r>
      <w:r w:rsidR="00B32E63" w:rsidRPr="003F1BDA">
        <w:rPr>
          <w:rFonts w:asciiTheme="majorHAnsi" w:hAnsiTheme="majorHAnsi" w:cstheme="majorHAnsi"/>
          <w:sz w:val="24"/>
          <w:szCs w:val="24"/>
          <w:lang w:val="ro-RO"/>
        </w:rPr>
        <w:t xml:space="preserve"> </w:t>
      </w:r>
      <w:r w:rsidRPr="003F1BDA">
        <w:rPr>
          <w:rFonts w:asciiTheme="majorHAnsi" w:hAnsiTheme="majorHAnsi" w:cstheme="majorHAnsi"/>
          <w:sz w:val="24"/>
          <w:szCs w:val="24"/>
          <w:lang w:val="ro-RO"/>
        </w:rPr>
        <w:t xml:space="preserve">проверок </w:t>
      </w:r>
      <w:r w:rsidR="00B32E63">
        <w:rPr>
          <w:rFonts w:asciiTheme="majorHAnsi" w:hAnsiTheme="majorHAnsi" w:cstheme="majorHAnsi"/>
          <w:sz w:val="24"/>
          <w:szCs w:val="24"/>
          <w:lang w:val="ru-RU"/>
        </w:rPr>
        <w:t>путем сопоставления</w:t>
      </w:r>
      <w:r w:rsidRPr="003F1BDA">
        <w:rPr>
          <w:rFonts w:asciiTheme="majorHAnsi" w:hAnsiTheme="majorHAnsi" w:cstheme="majorHAnsi"/>
          <w:sz w:val="24"/>
          <w:szCs w:val="24"/>
          <w:lang w:val="ro-RO"/>
        </w:rPr>
        <w:t xml:space="preserve"> было установлено, что </w:t>
      </w:r>
      <w:r w:rsidR="00B32E63">
        <w:rPr>
          <w:rFonts w:asciiTheme="majorHAnsi" w:hAnsiTheme="majorHAnsi" w:cstheme="majorHAnsi"/>
          <w:sz w:val="24"/>
          <w:szCs w:val="24"/>
          <w:lang w:val="ru-RU"/>
        </w:rPr>
        <w:t xml:space="preserve">между </w:t>
      </w:r>
      <w:r w:rsidRPr="003F1BDA">
        <w:rPr>
          <w:rFonts w:asciiTheme="majorHAnsi" w:hAnsiTheme="majorHAnsi" w:cstheme="majorHAnsi"/>
          <w:sz w:val="24"/>
          <w:szCs w:val="24"/>
          <w:lang w:val="ro-RO"/>
        </w:rPr>
        <w:t>данны</w:t>
      </w:r>
      <w:r w:rsidR="00B32E63">
        <w:rPr>
          <w:rFonts w:asciiTheme="majorHAnsi" w:hAnsiTheme="majorHAnsi" w:cstheme="majorHAnsi"/>
          <w:sz w:val="24"/>
          <w:szCs w:val="24"/>
          <w:lang w:val="ru-RU"/>
        </w:rPr>
        <w:t>ми</w:t>
      </w:r>
      <w:r w:rsidRPr="003F1BDA">
        <w:rPr>
          <w:rFonts w:asciiTheme="majorHAnsi" w:hAnsiTheme="majorHAnsi" w:cstheme="majorHAnsi"/>
          <w:sz w:val="24"/>
          <w:szCs w:val="24"/>
          <w:lang w:val="ro-RO"/>
        </w:rPr>
        <w:t xml:space="preserve"> о </w:t>
      </w:r>
      <w:r w:rsidR="00B32E63">
        <w:rPr>
          <w:rFonts w:asciiTheme="majorHAnsi" w:hAnsiTheme="majorHAnsi" w:cstheme="majorHAnsi"/>
          <w:sz w:val="24"/>
          <w:szCs w:val="24"/>
          <w:lang w:val="ru-RU"/>
        </w:rPr>
        <w:t>расход</w:t>
      </w:r>
      <w:r w:rsidRPr="003F1BDA">
        <w:rPr>
          <w:rFonts w:asciiTheme="majorHAnsi" w:hAnsiTheme="majorHAnsi" w:cstheme="majorHAnsi"/>
          <w:sz w:val="24"/>
          <w:szCs w:val="24"/>
          <w:lang w:val="ro-RO"/>
        </w:rPr>
        <w:t xml:space="preserve">ах инвестиционных проектов из </w:t>
      </w:r>
      <w:r w:rsidR="00B32E63">
        <w:rPr>
          <w:rFonts w:asciiTheme="majorHAnsi" w:hAnsiTheme="majorHAnsi" w:cstheme="majorHAnsi"/>
          <w:sz w:val="24"/>
          <w:szCs w:val="24"/>
          <w:lang w:val="ro-RO"/>
        </w:rPr>
        <w:t>Пояснительных записок</w:t>
      </w:r>
      <w:r w:rsidRPr="003F1BDA">
        <w:rPr>
          <w:rFonts w:asciiTheme="majorHAnsi" w:hAnsiTheme="majorHAnsi" w:cstheme="majorHAnsi"/>
          <w:sz w:val="24"/>
          <w:szCs w:val="24"/>
          <w:lang w:val="ro-RO"/>
        </w:rPr>
        <w:t xml:space="preserve"> </w:t>
      </w:r>
      <w:r w:rsidR="00517B11">
        <w:rPr>
          <w:rFonts w:asciiTheme="majorHAnsi" w:hAnsiTheme="majorHAnsi" w:cstheme="majorHAnsi"/>
          <w:sz w:val="24"/>
          <w:szCs w:val="24"/>
          <w:lang w:val="ro-RO"/>
        </w:rPr>
        <w:t xml:space="preserve">к Закону о ГБ </w:t>
      </w:r>
      <w:r w:rsidR="00B32E63">
        <w:rPr>
          <w:rFonts w:asciiTheme="majorHAnsi" w:hAnsiTheme="majorHAnsi" w:cstheme="majorHAnsi"/>
          <w:sz w:val="24"/>
          <w:szCs w:val="24"/>
          <w:lang w:val="ru-RU"/>
        </w:rPr>
        <w:t>з</w:t>
      </w:r>
      <w:r w:rsidRPr="003F1BDA">
        <w:rPr>
          <w:rFonts w:asciiTheme="majorHAnsi" w:hAnsiTheme="majorHAnsi" w:cstheme="majorHAnsi"/>
          <w:sz w:val="24"/>
          <w:szCs w:val="24"/>
          <w:lang w:val="ro-RO"/>
        </w:rPr>
        <w:t xml:space="preserve">а 2012-2020 </w:t>
      </w:r>
      <w:r w:rsidR="00B32E63">
        <w:rPr>
          <w:rFonts w:asciiTheme="majorHAnsi" w:hAnsiTheme="majorHAnsi" w:cstheme="majorHAnsi"/>
          <w:sz w:val="24"/>
          <w:szCs w:val="24"/>
          <w:lang w:val="ru-RU"/>
        </w:rPr>
        <w:t>годы</w:t>
      </w:r>
      <w:r w:rsidRPr="003F1BDA">
        <w:rPr>
          <w:rFonts w:asciiTheme="majorHAnsi" w:hAnsiTheme="majorHAnsi" w:cstheme="majorHAnsi"/>
          <w:sz w:val="24"/>
          <w:szCs w:val="24"/>
          <w:lang w:val="ro-RO"/>
        </w:rPr>
        <w:t xml:space="preserve"> с </w:t>
      </w:r>
      <w:r w:rsidR="00B32E63">
        <w:rPr>
          <w:rFonts w:asciiTheme="majorHAnsi" w:hAnsiTheme="majorHAnsi" w:cstheme="majorHAnsi"/>
          <w:sz w:val="24"/>
          <w:szCs w:val="24"/>
          <w:lang w:val="ru-RU"/>
        </w:rPr>
        <w:t>Г</w:t>
      </w:r>
      <w:r w:rsidRPr="003F1BDA">
        <w:rPr>
          <w:rFonts w:asciiTheme="majorHAnsi" w:hAnsiTheme="majorHAnsi" w:cstheme="majorHAnsi"/>
          <w:sz w:val="24"/>
          <w:szCs w:val="24"/>
          <w:lang w:val="ro-RO"/>
        </w:rPr>
        <w:t>одовыми отчетами о мониторинге, представленными ЦП</w:t>
      </w:r>
      <w:r w:rsidR="00B32E63">
        <w:rPr>
          <w:rFonts w:asciiTheme="majorHAnsi" w:hAnsiTheme="majorHAnsi" w:cstheme="majorHAnsi"/>
          <w:sz w:val="24"/>
          <w:szCs w:val="24"/>
          <w:lang w:val="ru-RU"/>
        </w:rPr>
        <w:t>О</w:t>
      </w:r>
      <w:r w:rsidRPr="003F1BDA">
        <w:rPr>
          <w:rFonts w:asciiTheme="majorHAnsi" w:hAnsiTheme="majorHAnsi" w:cstheme="majorHAnsi"/>
          <w:sz w:val="24"/>
          <w:szCs w:val="24"/>
          <w:lang w:val="ro-RO"/>
        </w:rPr>
        <w:t xml:space="preserve"> в МФ (</w:t>
      </w:r>
      <w:r w:rsidR="00B32E63">
        <w:rPr>
          <w:rFonts w:asciiTheme="majorHAnsi" w:hAnsiTheme="majorHAnsi" w:cstheme="majorHAnsi"/>
          <w:sz w:val="24"/>
          <w:szCs w:val="24"/>
          <w:lang w:val="ru-RU"/>
        </w:rPr>
        <w:t xml:space="preserve">переоценено </w:t>
      </w:r>
      <w:r w:rsidRPr="003F1BDA">
        <w:rPr>
          <w:rFonts w:asciiTheme="majorHAnsi" w:hAnsiTheme="majorHAnsi" w:cstheme="majorHAnsi"/>
          <w:sz w:val="24"/>
          <w:szCs w:val="24"/>
          <w:lang w:val="ro-RO"/>
        </w:rPr>
        <w:t>-</w:t>
      </w:r>
      <w:r w:rsidR="00B32E63">
        <w:rPr>
          <w:rFonts w:asciiTheme="majorHAnsi" w:hAnsiTheme="majorHAnsi" w:cstheme="majorHAnsi"/>
          <w:sz w:val="24"/>
          <w:szCs w:val="24"/>
          <w:lang w:val="ru-RU"/>
        </w:rPr>
        <w:t xml:space="preserve"> </w:t>
      </w:r>
      <w:r w:rsidRPr="003F1BDA">
        <w:rPr>
          <w:rFonts w:asciiTheme="majorHAnsi" w:hAnsiTheme="majorHAnsi" w:cstheme="majorHAnsi"/>
          <w:sz w:val="24"/>
          <w:szCs w:val="24"/>
          <w:lang w:val="ro-RO"/>
        </w:rPr>
        <w:t>103,1 млн. ле</w:t>
      </w:r>
      <w:r w:rsidR="00B32E63">
        <w:rPr>
          <w:rFonts w:asciiTheme="majorHAnsi" w:hAnsiTheme="majorHAnsi" w:cstheme="majorHAnsi"/>
          <w:sz w:val="24"/>
          <w:szCs w:val="24"/>
          <w:lang w:val="ru-RU"/>
        </w:rPr>
        <w:t>ев</w:t>
      </w:r>
      <w:r w:rsidRPr="003F1BDA">
        <w:rPr>
          <w:rFonts w:asciiTheme="majorHAnsi" w:hAnsiTheme="majorHAnsi" w:cstheme="majorHAnsi"/>
          <w:sz w:val="24"/>
          <w:szCs w:val="24"/>
          <w:lang w:val="ro-RO"/>
        </w:rPr>
        <w:t xml:space="preserve">, и </w:t>
      </w:r>
      <w:r w:rsidR="00B32E63">
        <w:rPr>
          <w:rFonts w:asciiTheme="majorHAnsi" w:hAnsiTheme="majorHAnsi" w:cstheme="majorHAnsi"/>
          <w:sz w:val="24"/>
          <w:szCs w:val="24"/>
          <w:lang w:val="ru-RU"/>
        </w:rPr>
        <w:t xml:space="preserve">недооценено </w:t>
      </w:r>
      <w:r w:rsidRPr="003F1BDA">
        <w:rPr>
          <w:rFonts w:asciiTheme="majorHAnsi" w:hAnsiTheme="majorHAnsi" w:cstheme="majorHAnsi"/>
          <w:sz w:val="24"/>
          <w:szCs w:val="24"/>
          <w:lang w:val="ro-RO"/>
        </w:rPr>
        <w:t>-</w:t>
      </w:r>
      <w:r w:rsidR="00B32E63">
        <w:rPr>
          <w:rFonts w:asciiTheme="majorHAnsi" w:hAnsiTheme="majorHAnsi" w:cstheme="majorHAnsi"/>
          <w:sz w:val="24"/>
          <w:szCs w:val="24"/>
          <w:lang w:val="ru-RU"/>
        </w:rPr>
        <w:t xml:space="preserve"> </w:t>
      </w:r>
      <w:r w:rsidRPr="003F1BDA">
        <w:rPr>
          <w:rFonts w:asciiTheme="majorHAnsi" w:hAnsiTheme="majorHAnsi" w:cstheme="majorHAnsi"/>
          <w:sz w:val="24"/>
          <w:szCs w:val="24"/>
          <w:lang w:val="ro-RO"/>
        </w:rPr>
        <w:t>740,5 млн. леев)</w:t>
      </w:r>
      <w:r w:rsidR="00B32E63">
        <w:rPr>
          <w:rFonts w:asciiTheme="majorHAnsi" w:hAnsiTheme="majorHAnsi" w:cstheme="majorHAnsi"/>
          <w:sz w:val="24"/>
          <w:szCs w:val="24"/>
          <w:lang w:val="ru-RU"/>
        </w:rPr>
        <w:t>,</w:t>
      </w:r>
      <w:r w:rsidRPr="003F1BDA">
        <w:rPr>
          <w:rFonts w:asciiTheme="majorHAnsi" w:hAnsiTheme="majorHAnsi" w:cstheme="majorHAnsi"/>
          <w:sz w:val="24"/>
          <w:szCs w:val="24"/>
          <w:lang w:val="ro-RO"/>
        </w:rPr>
        <w:t xml:space="preserve"> и данны</w:t>
      </w:r>
      <w:r w:rsidR="00B32E63">
        <w:rPr>
          <w:rFonts w:asciiTheme="majorHAnsi" w:hAnsiTheme="majorHAnsi" w:cstheme="majorHAnsi"/>
          <w:sz w:val="24"/>
          <w:szCs w:val="24"/>
          <w:lang w:val="ru-RU"/>
        </w:rPr>
        <w:t>ми</w:t>
      </w:r>
      <w:r w:rsidRPr="003F1BDA">
        <w:rPr>
          <w:rFonts w:asciiTheme="majorHAnsi" w:hAnsiTheme="majorHAnsi" w:cstheme="majorHAnsi"/>
          <w:sz w:val="24"/>
          <w:szCs w:val="24"/>
          <w:lang w:val="ro-RO"/>
        </w:rPr>
        <w:t>, представленны</w:t>
      </w:r>
      <w:r w:rsidR="00B32E63">
        <w:rPr>
          <w:rFonts w:asciiTheme="majorHAnsi" w:hAnsiTheme="majorHAnsi" w:cstheme="majorHAnsi"/>
          <w:sz w:val="24"/>
          <w:szCs w:val="24"/>
          <w:lang w:val="ru-RU"/>
        </w:rPr>
        <w:t>ми</w:t>
      </w:r>
      <w:r w:rsidRPr="003F1BDA">
        <w:rPr>
          <w:rFonts w:asciiTheme="majorHAnsi" w:hAnsiTheme="majorHAnsi" w:cstheme="majorHAnsi"/>
          <w:sz w:val="24"/>
          <w:szCs w:val="24"/>
          <w:lang w:val="ro-RO"/>
        </w:rPr>
        <w:t xml:space="preserve"> аудиторской группе (пере</w:t>
      </w:r>
      <w:r w:rsidR="00B32E63">
        <w:rPr>
          <w:rFonts w:asciiTheme="majorHAnsi" w:hAnsiTheme="majorHAnsi" w:cstheme="majorHAnsi"/>
          <w:sz w:val="24"/>
          <w:szCs w:val="24"/>
          <w:lang w:val="ro-RO"/>
        </w:rPr>
        <w:t>оценено – 185,8 млн. леев</w:t>
      </w:r>
      <w:r w:rsidRPr="003F1BDA">
        <w:rPr>
          <w:rFonts w:asciiTheme="majorHAnsi" w:hAnsiTheme="majorHAnsi" w:cstheme="majorHAnsi"/>
          <w:sz w:val="24"/>
          <w:szCs w:val="24"/>
          <w:lang w:val="ro-RO"/>
        </w:rPr>
        <w:t xml:space="preserve">, и </w:t>
      </w:r>
      <w:r w:rsidR="00B32E63">
        <w:rPr>
          <w:rFonts w:asciiTheme="majorHAnsi" w:hAnsiTheme="majorHAnsi" w:cstheme="majorHAnsi"/>
          <w:sz w:val="24"/>
          <w:szCs w:val="24"/>
          <w:lang w:val="ru-RU"/>
        </w:rPr>
        <w:t>недооценено</w:t>
      </w:r>
      <w:r w:rsidRPr="003F1BDA">
        <w:rPr>
          <w:rFonts w:asciiTheme="majorHAnsi" w:hAnsiTheme="majorHAnsi" w:cstheme="majorHAnsi"/>
          <w:sz w:val="24"/>
          <w:szCs w:val="24"/>
          <w:lang w:val="ro-RO"/>
        </w:rPr>
        <w:t>-571,3 млн. ле</w:t>
      </w:r>
      <w:r w:rsidR="00B32E63">
        <w:rPr>
          <w:rFonts w:asciiTheme="majorHAnsi" w:hAnsiTheme="majorHAnsi" w:cstheme="majorHAnsi"/>
          <w:sz w:val="24"/>
          <w:szCs w:val="24"/>
          <w:lang w:val="ru-RU"/>
        </w:rPr>
        <w:t>ев</w:t>
      </w:r>
      <w:r w:rsidRPr="003F1BDA">
        <w:rPr>
          <w:rFonts w:asciiTheme="majorHAnsi" w:hAnsiTheme="majorHAnsi" w:cstheme="majorHAnsi"/>
          <w:sz w:val="24"/>
          <w:szCs w:val="24"/>
          <w:lang w:val="ro-RO"/>
        </w:rPr>
        <w:t xml:space="preserve">) </w:t>
      </w:r>
      <w:r w:rsidR="00B32E63">
        <w:rPr>
          <w:rFonts w:asciiTheme="majorHAnsi" w:hAnsiTheme="majorHAnsi" w:cstheme="majorHAnsi"/>
          <w:sz w:val="24"/>
          <w:szCs w:val="24"/>
          <w:lang w:val="ru-RU"/>
        </w:rPr>
        <w:t>отмечается существенное расхождение</w:t>
      </w:r>
      <w:r w:rsidRPr="003F1BDA">
        <w:rPr>
          <w:rFonts w:asciiTheme="majorHAnsi" w:hAnsiTheme="majorHAnsi" w:cstheme="majorHAnsi"/>
          <w:sz w:val="24"/>
          <w:szCs w:val="24"/>
          <w:lang w:val="ro-RO"/>
        </w:rPr>
        <w:t xml:space="preserve">. </w:t>
      </w:r>
      <w:r w:rsidR="00B32E63">
        <w:rPr>
          <w:rFonts w:asciiTheme="majorHAnsi" w:hAnsiTheme="majorHAnsi" w:cstheme="majorHAnsi"/>
          <w:sz w:val="24"/>
          <w:szCs w:val="24"/>
          <w:lang w:val="ru-RU"/>
        </w:rPr>
        <w:t>Кроме того</w:t>
      </w:r>
      <w:r w:rsidRPr="003F1BDA">
        <w:rPr>
          <w:rFonts w:asciiTheme="majorHAnsi" w:hAnsiTheme="majorHAnsi" w:cstheme="majorHAnsi"/>
          <w:sz w:val="24"/>
          <w:szCs w:val="24"/>
          <w:lang w:val="ro-RO"/>
        </w:rPr>
        <w:t xml:space="preserve">, </w:t>
      </w:r>
      <w:r w:rsidR="00B32E63">
        <w:rPr>
          <w:rFonts w:asciiTheme="majorHAnsi" w:hAnsiTheme="majorHAnsi" w:cstheme="majorHAnsi"/>
          <w:sz w:val="24"/>
          <w:szCs w:val="24"/>
          <w:lang w:val="ru-RU"/>
        </w:rPr>
        <w:t xml:space="preserve">по исполненным в совокупности расходам </w:t>
      </w:r>
      <w:r w:rsidRPr="003F1BDA">
        <w:rPr>
          <w:rFonts w:asciiTheme="majorHAnsi" w:hAnsiTheme="majorHAnsi" w:cstheme="majorHAnsi"/>
          <w:sz w:val="24"/>
          <w:szCs w:val="24"/>
          <w:lang w:val="ro-RO"/>
        </w:rPr>
        <w:t xml:space="preserve">на </w:t>
      </w:r>
      <w:r w:rsidR="00B32E63">
        <w:rPr>
          <w:rFonts w:asciiTheme="majorHAnsi" w:hAnsiTheme="majorHAnsi" w:cstheme="majorHAnsi"/>
          <w:sz w:val="24"/>
          <w:szCs w:val="24"/>
          <w:lang w:val="ru-RU"/>
        </w:rPr>
        <w:t xml:space="preserve">один </w:t>
      </w:r>
      <w:r w:rsidRPr="003F1BDA">
        <w:rPr>
          <w:rFonts w:asciiTheme="majorHAnsi" w:hAnsiTheme="majorHAnsi" w:cstheme="majorHAnsi"/>
          <w:sz w:val="24"/>
          <w:szCs w:val="24"/>
          <w:lang w:val="ro-RO"/>
        </w:rPr>
        <w:t>проект по состоянию на 31.12.2020</w:t>
      </w:r>
      <w:r w:rsidR="00B32E63">
        <w:rPr>
          <w:rFonts w:asciiTheme="majorHAnsi" w:hAnsiTheme="majorHAnsi" w:cstheme="majorHAnsi"/>
          <w:sz w:val="24"/>
          <w:szCs w:val="24"/>
          <w:lang w:val="ru-RU"/>
        </w:rPr>
        <w:t>,</w:t>
      </w:r>
      <w:r w:rsidRPr="003F1BDA">
        <w:rPr>
          <w:rFonts w:asciiTheme="majorHAnsi" w:hAnsiTheme="majorHAnsi" w:cstheme="majorHAnsi"/>
          <w:sz w:val="24"/>
          <w:szCs w:val="24"/>
          <w:lang w:val="ro-RO"/>
        </w:rPr>
        <w:t xml:space="preserve"> аудит выявил расхождения </w:t>
      </w:r>
      <w:r w:rsidR="00B32E63">
        <w:rPr>
          <w:rFonts w:asciiTheme="majorHAnsi" w:hAnsiTheme="majorHAnsi" w:cstheme="majorHAnsi"/>
          <w:sz w:val="24"/>
          <w:szCs w:val="24"/>
          <w:lang w:val="ru-RU"/>
        </w:rPr>
        <w:t>на сумму</w:t>
      </w:r>
      <w:r w:rsidRPr="003F1BDA">
        <w:rPr>
          <w:rFonts w:asciiTheme="majorHAnsi" w:hAnsiTheme="majorHAnsi" w:cstheme="majorHAnsi"/>
          <w:sz w:val="24"/>
          <w:szCs w:val="24"/>
          <w:lang w:val="ro-RO"/>
        </w:rPr>
        <w:t xml:space="preserve"> 81,4 млн. ле</w:t>
      </w:r>
      <w:r w:rsidR="00B32E63">
        <w:rPr>
          <w:rFonts w:asciiTheme="majorHAnsi" w:hAnsiTheme="majorHAnsi" w:cstheme="majorHAnsi"/>
          <w:sz w:val="24"/>
          <w:szCs w:val="24"/>
          <w:lang w:val="ru-RU"/>
        </w:rPr>
        <w:t>ев</w:t>
      </w:r>
      <w:r w:rsidRPr="003F1BDA">
        <w:rPr>
          <w:rFonts w:asciiTheme="majorHAnsi" w:hAnsiTheme="majorHAnsi" w:cstheme="majorHAnsi"/>
          <w:sz w:val="24"/>
          <w:szCs w:val="24"/>
          <w:lang w:val="ro-RO"/>
        </w:rPr>
        <w:t xml:space="preserve"> (переоценен</w:t>
      </w:r>
      <w:r w:rsidR="00B32E63">
        <w:rPr>
          <w:rFonts w:asciiTheme="majorHAnsi" w:hAnsiTheme="majorHAnsi" w:cstheme="majorHAnsi"/>
          <w:sz w:val="24"/>
          <w:szCs w:val="24"/>
          <w:lang w:val="ru-RU"/>
        </w:rPr>
        <w:t xml:space="preserve">о </w:t>
      </w:r>
      <w:r w:rsidRPr="003F1BDA">
        <w:rPr>
          <w:rFonts w:asciiTheme="majorHAnsi" w:hAnsiTheme="majorHAnsi" w:cstheme="majorHAnsi"/>
          <w:sz w:val="24"/>
          <w:szCs w:val="24"/>
          <w:lang w:val="ro-RO"/>
        </w:rPr>
        <w:t>-</w:t>
      </w:r>
      <w:r w:rsidR="00B32E63">
        <w:rPr>
          <w:rFonts w:asciiTheme="majorHAnsi" w:hAnsiTheme="majorHAnsi" w:cstheme="majorHAnsi"/>
          <w:sz w:val="24"/>
          <w:szCs w:val="24"/>
          <w:lang w:val="ru-RU"/>
        </w:rPr>
        <w:t xml:space="preserve"> </w:t>
      </w:r>
      <w:r w:rsidRPr="003F1BDA">
        <w:rPr>
          <w:rFonts w:asciiTheme="majorHAnsi" w:hAnsiTheme="majorHAnsi" w:cstheme="majorHAnsi"/>
          <w:sz w:val="24"/>
          <w:szCs w:val="24"/>
          <w:lang w:val="ro-RO"/>
        </w:rPr>
        <w:t xml:space="preserve">16,1 млн. леев, и </w:t>
      </w:r>
      <w:r w:rsidR="00B32E63">
        <w:rPr>
          <w:rFonts w:asciiTheme="majorHAnsi" w:hAnsiTheme="majorHAnsi" w:cstheme="majorHAnsi"/>
          <w:sz w:val="24"/>
          <w:szCs w:val="24"/>
          <w:lang w:val="ru-RU"/>
        </w:rPr>
        <w:t xml:space="preserve">недооценено </w:t>
      </w:r>
      <w:r w:rsidRPr="003F1BDA">
        <w:rPr>
          <w:rFonts w:asciiTheme="majorHAnsi" w:hAnsiTheme="majorHAnsi" w:cstheme="majorHAnsi"/>
          <w:sz w:val="24"/>
          <w:szCs w:val="24"/>
          <w:lang w:val="ro-RO"/>
        </w:rPr>
        <w:t>-</w:t>
      </w:r>
      <w:r w:rsidR="00B32E63">
        <w:rPr>
          <w:rFonts w:asciiTheme="majorHAnsi" w:hAnsiTheme="majorHAnsi" w:cstheme="majorHAnsi"/>
          <w:sz w:val="24"/>
          <w:szCs w:val="24"/>
          <w:lang w:val="ru-RU"/>
        </w:rPr>
        <w:t xml:space="preserve"> </w:t>
      </w:r>
      <w:r w:rsidRPr="003F1BDA">
        <w:rPr>
          <w:rFonts w:asciiTheme="majorHAnsi" w:hAnsiTheme="majorHAnsi" w:cstheme="majorHAnsi"/>
          <w:sz w:val="24"/>
          <w:szCs w:val="24"/>
          <w:lang w:val="ro-RO"/>
        </w:rPr>
        <w:t xml:space="preserve">65,3 млн. леев) между данными, представленными </w:t>
      </w:r>
      <w:r w:rsidR="003B5B0C">
        <w:rPr>
          <w:rFonts w:asciiTheme="majorHAnsi" w:hAnsiTheme="majorHAnsi" w:cstheme="majorHAnsi"/>
          <w:sz w:val="24"/>
          <w:szCs w:val="24"/>
          <w:lang w:val="ru-RU"/>
        </w:rPr>
        <w:t>ЦПО</w:t>
      </w:r>
      <w:r w:rsidRPr="003F1BDA">
        <w:rPr>
          <w:rFonts w:asciiTheme="majorHAnsi" w:hAnsiTheme="majorHAnsi" w:cstheme="majorHAnsi"/>
          <w:sz w:val="24"/>
          <w:szCs w:val="24"/>
          <w:lang w:val="ro-RO"/>
        </w:rPr>
        <w:t xml:space="preserve"> в </w:t>
      </w:r>
      <w:r w:rsidR="003B5B0C">
        <w:rPr>
          <w:rFonts w:asciiTheme="majorHAnsi" w:hAnsiTheme="majorHAnsi" w:cstheme="majorHAnsi"/>
          <w:sz w:val="24"/>
          <w:szCs w:val="24"/>
          <w:lang w:val="ru-RU"/>
        </w:rPr>
        <w:t>МФ</w:t>
      </w:r>
      <w:r w:rsidRPr="003F1BDA">
        <w:rPr>
          <w:rFonts w:asciiTheme="majorHAnsi" w:hAnsiTheme="majorHAnsi" w:cstheme="majorHAnsi"/>
          <w:sz w:val="24"/>
          <w:szCs w:val="24"/>
          <w:lang w:val="ro-RO"/>
        </w:rPr>
        <w:t xml:space="preserve">, и данными, представленными аудиторской группе. Следует отметить, что </w:t>
      </w:r>
      <w:r w:rsidR="003B5B0C" w:rsidRPr="003B5B0C">
        <w:rPr>
          <w:rFonts w:asciiTheme="majorHAnsi" w:hAnsiTheme="majorHAnsi" w:cstheme="majorHAnsi"/>
          <w:sz w:val="24"/>
          <w:szCs w:val="24"/>
          <w:lang w:val="ro-RO"/>
        </w:rPr>
        <w:t>МОКИ</w:t>
      </w:r>
      <w:r w:rsidRPr="003F1BDA">
        <w:rPr>
          <w:rFonts w:asciiTheme="majorHAnsi" w:hAnsiTheme="majorHAnsi" w:cstheme="majorHAnsi"/>
          <w:sz w:val="24"/>
          <w:szCs w:val="24"/>
          <w:lang w:val="ro-RO"/>
        </w:rPr>
        <w:t xml:space="preserve"> не представил</w:t>
      </w:r>
      <w:r w:rsidR="003B5B0C" w:rsidRPr="003B5B0C">
        <w:rPr>
          <w:rFonts w:asciiTheme="majorHAnsi" w:hAnsiTheme="majorHAnsi" w:cstheme="majorHAnsi"/>
          <w:sz w:val="24"/>
          <w:szCs w:val="24"/>
          <w:lang w:val="ro-RO"/>
        </w:rPr>
        <w:t>о</w:t>
      </w:r>
      <w:r w:rsidRPr="003F1BDA">
        <w:rPr>
          <w:rFonts w:asciiTheme="majorHAnsi" w:hAnsiTheme="majorHAnsi" w:cstheme="majorHAnsi"/>
          <w:sz w:val="24"/>
          <w:szCs w:val="24"/>
          <w:lang w:val="ro-RO"/>
        </w:rPr>
        <w:t xml:space="preserve"> </w:t>
      </w:r>
      <w:r w:rsidR="003B5B0C" w:rsidRPr="003F1BDA">
        <w:rPr>
          <w:rFonts w:asciiTheme="majorHAnsi" w:hAnsiTheme="majorHAnsi" w:cstheme="majorHAnsi"/>
          <w:sz w:val="24"/>
          <w:szCs w:val="24"/>
          <w:lang w:val="ro-RO"/>
        </w:rPr>
        <w:t>МФ</w:t>
      </w:r>
      <w:r w:rsidR="003B5B0C" w:rsidRPr="00F55BA6">
        <w:rPr>
          <w:rStyle w:val="FootnoteReference"/>
          <w:rFonts w:asciiTheme="majorHAnsi" w:hAnsiTheme="majorHAnsi" w:cstheme="majorHAnsi"/>
          <w:sz w:val="24"/>
          <w:szCs w:val="24"/>
          <w:lang w:val="ro-RO"/>
        </w:rPr>
        <w:footnoteReference w:id="55"/>
      </w:r>
      <w:r w:rsidR="003B5B0C" w:rsidRPr="00F55BA6">
        <w:rPr>
          <w:rFonts w:asciiTheme="majorHAnsi" w:hAnsiTheme="majorHAnsi" w:cstheme="majorHAnsi"/>
          <w:sz w:val="24"/>
          <w:szCs w:val="24"/>
          <w:lang w:val="ro-RO"/>
        </w:rPr>
        <w:t xml:space="preserve"> „</w:t>
      </w:r>
      <w:r w:rsidR="003B5B0C" w:rsidRPr="003B5B0C">
        <w:rPr>
          <w:rFonts w:asciiTheme="majorHAnsi" w:hAnsiTheme="majorHAnsi" w:cstheme="majorHAnsi"/>
          <w:sz w:val="24"/>
          <w:szCs w:val="24"/>
          <w:lang w:val="ro-RO"/>
        </w:rPr>
        <w:t>Годов</w:t>
      </w:r>
      <w:r w:rsidRPr="003F1BDA">
        <w:rPr>
          <w:rFonts w:asciiTheme="majorHAnsi" w:hAnsiTheme="majorHAnsi" w:cstheme="majorHAnsi"/>
          <w:sz w:val="24"/>
          <w:szCs w:val="24"/>
          <w:lang w:val="ro-RO"/>
        </w:rPr>
        <w:t xml:space="preserve">ые отчеты по мониторингу </w:t>
      </w:r>
      <w:r w:rsidR="003B5B0C" w:rsidRPr="003B5B0C">
        <w:rPr>
          <w:rFonts w:asciiTheme="majorHAnsi" w:hAnsiTheme="majorHAnsi" w:cstheme="majorHAnsi"/>
          <w:sz w:val="24"/>
          <w:szCs w:val="24"/>
          <w:lang w:val="ro-RO"/>
        </w:rPr>
        <w:t>реализации незавершенных инвестиционных проектов капитальных инвестиций, финансируемых из государственного бюджета</w:t>
      </w:r>
      <w:r w:rsidRPr="003F1BDA">
        <w:rPr>
          <w:rFonts w:asciiTheme="majorHAnsi" w:hAnsiTheme="majorHAnsi" w:cstheme="majorHAnsi"/>
          <w:sz w:val="24"/>
          <w:szCs w:val="24"/>
          <w:lang w:val="ro-RO"/>
        </w:rPr>
        <w:t xml:space="preserve">, </w:t>
      </w:r>
      <w:r w:rsidR="003B5B0C" w:rsidRPr="003B5B0C">
        <w:rPr>
          <w:rFonts w:asciiTheme="majorHAnsi" w:hAnsiTheme="majorHAnsi" w:cstheme="majorHAnsi"/>
          <w:sz w:val="24"/>
          <w:szCs w:val="24"/>
          <w:lang w:val="ro-RO"/>
        </w:rPr>
        <w:t>з</w:t>
      </w:r>
      <w:r w:rsidRPr="003F1BDA">
        <w:rPr>
          <w:rFonts w:asciiTheme="majorHAnsi" w:hAnsiTheme="majorHAnsi" w:cstheme="majorHAnsi"/>
          <w:sz w:val="24"/>
          <w:szCs w:val="24"/>
          <w:lang w:val="ro-RO"/>
        </w:rPr>
        <w:t>а 2020 год</w:t>
      </w:r>
      <w:r w:rsidR="003B5B0C" w:rsidRPr="00F55BA6">
        <w:rPr>
          <w:rFonts w:asciiTheme="majorHAnsi" w:hAnsiTheme="majorHAnsi" w:cstheme="majorHAnsi"/>
          <w:sz w:val="24"/>
          <w:szCs w:val="24"/>
          <w:lang w:val="ro-RO"/>
        </w:rPr>
        <w:t>”</w:t>
      </w:r>
      <w:r w:rsidR="003B5B0C" w:rsidRPr="003B5B0C">
        <w:rPr>
          <w:rFonts w:asciiTheme="majorHAnsi" w:hAnsiTheme="majorHAnsi" w:cstheme="majorHAnsi"/>
          <w:sz w:val="24"/>
          <w:szCs w:val="24"/>
          <w:lang w:val="ro-RO"/>
        </w:rPr>
        <w:t>.</w:t>
      </w:r>
      <w:r w:rsidR="00AC6703" w:rsidRPr="00F55BA6">
        <w:rPr>
          <w:rFonts w:asciiTheme="majorHAnsi" w:hAnsiTheme="majorHAnsi" w:cstheme="majorHAnsi"/>
          <w:sz w:val="24"/>
          <w:szCs w:val="24"/>
          <w:lang w:val="ro-RO"/>
        </w:rPr>
        <w:t xml:space="preserve">  </w:t>
      </w:r>
    </w:p>
    <w:p w:rsidR="00AC6703" w:rsidRPr="00F55BA6" w:rsidRDefault="00FC0145" w:rsidP="00AC6703">
      <w:pPr>
        <w:pStyle w:val="ListParagraph"/>
        <w:tabs>
          <w:tab w:val="left" w:pos="142"/>
        </w:tabs>
        <w:spacing w:after="0" w:line="276" w:lineRule="auto"/>
        <w:ind w:left="0" w:right="49"/>
        <w:rPr>
          <w:rFonts w:asciiTheme="majorHAnsi" w:hAnsiTheme="majorHAnsi" w:cstheme="majorHAnsi"/>
          <w:sz w:val="24"/>
          <w:szCs w:val="24"/>
          <w:lang w:val="ro-RO"/>
        </w:rPr>
      </w:pPr>
      <w:r>
        <w:rPr>
          <w:rFonts w:asciiTheme="majorHAnsi" w:hAnsiTheme="majorHAnsi" w:cstheme="majorHAnsi"/>
          <w:sz w:val="24"/>
          <w:szCs w:val="24"/>
          <w:lang w:val="ru-RU"/>
        </w:rPr>
        <w:t>Нес</w:t>
      </w:r>
      <w:r w:rsidR="007A0DB7" w:rsidRPr="007A0DB7">
        <w:rPr>
          <w:rFonts w:asciiTheme="majorHAnsi" w:hAnsiTheme="majorHAnsi" w:cstheme="majorHAnsi"/>
          <w:sz w:val="24"/>
          <w:szCs w:val="24"/>
          <w:lang w:val="ro-RO"/>
        </w:rPr>
        <w:t>пособность/</w:t>
      </w:r>
      <w:r>
        <w:rPr>
          <w:rFonts w:asciiTheme="majorHAnsi" w:hAnsiTheme="majorHAnsi" w:cstheme="majorHAnsi"/>
          <w:sz w:val="24"/>
          <w:szCs w:val="24"/>
          <w:lang w:val="ru-RU"/>
        </w:rPr>
        <w:t>отсутствие</w:t>
      </w:r>
      <w:r w:rsidR="007A0DB7" w:rsidRPr="007A0DB7">
        <w:rPr>
          <w:rFonts w:asciiTheme="majorHAnsi" w:hAnsiTheme="majorHAnsi" w:cstheme="majorHAnsi"/>
          <w:sz w:val="24"/>
          <w:szCs w:val="24"/>
          <w:lang w:val="ro-RO"/>
        </w:rPr>
        <w:t xml:space="preserve"> вол</w:t>
      </w:r>
      <w:r>
        <w:rPr>
          <w:rFonts w:asciiTheme="majorHAnsi" w:hAnsiTheme="majorHAnsi" w:cstheme="majorHAnsi"/>
          <w:sz w:val="24"/>
          <w:szCs w:val="24"/>
          <w:lang w:val="ru-RU"/>
        </w:rPr>
        <w:t xml:space="preserve">и </w:t>
      </w:r>
      <w:r w:rsidR="007A0DB7" w:rsidRPr="007A0DB7">
        <w:rPr>
          <w:rFonts w:asciiTheme="majorHAnsi" w:hAnsiTheme="majorHAnsi" w:cstheme="majorHAnsi"/>
          <w:sz w:val="24"/>
          <w:szCs w:val="24"/>
          <w:lang w:val="ro-RO"/>
        </w:rPr>
        <w:t>ЦП</w:t>
      </w:r>
      <w:r>
        <w:rPr>
          <w:rFonts w:asciiTheme="majorHAnsi" w:hAnsiTheme="majorHAnsi" w:cstheme="majorHAnsi"/>
          <w:sz w:val="24"/>
          <w:szCs w:val="24"/>
          <w:lang w:val="ru-RU"/>
        </w:rPr>
        <w:t>О</w:t>
      </w:r>
      <w:r w:rsidR="007A0DB7" w:rsidRPr="007A0DB7">
        <w:rPr>
          <w:rFonts w:asciiTheme="majorHAnsi" w:hAnsiTheme="majorHAnsi" w:cstheme="majorHAnsi"/>
          <w:sz w:val="24"/>
          <w:szCs w:val="24"/>
          <w:lang w:val="ro-RO"/>
        </w:rPr>
        <w:t xml:space="preserve"> разрабатывать предложения </w:t>
      </w:r>
      <w:r>
        <w:rPr>
          <w:rFonts w:asciiTheme="majorHAnsi" w:hAnsiTheme="majorHAnsi" w:cstheme="majorHAnsi"/>
          <w:sz w:val="24"/>
          <w:szCs w:val="24"/>
          <w:lang w:val="ru-RU"/>
        </w:rPr>
        <w:t xml:space="preserve">о </w:t>
      </w:r>
      <w:r w:rsidR="007A0DB7" w:rsidRPr="007A0DB7">
        <w:rPr>
          <w:rFonts w:asciiTheme="majorHAnsi" w:hAnsiTheme="majorHAnsi" w:cstheme="majorHAnsi"/>
          <w:sz w:val="24"/>
          <w:szCs w:val="24"/>
          <w:lang w:val="ro-RO"/>
        </w:rPr>
        <w:t>проект</w:t>
      </w:r>
      <w:r>
        <w:rPr>
          <w:rFonts w:asciiTheme="majorHAnsi" w:hAnsiTheme="majorHAnsi" w:cstheme="majorHAnsi"/>
          <w:sz w:val="24"/>
          <w:szCs w:val="24"/>
          <w:lang w:val="ru-RU"/>
        </w:rPr>
        <w:t>ах в соответстви с установленными требованиями, а также неформирование</w:t>
      </w:r>
      <w:r w:rsidR="007A0DB7" w:rsidRPr="007A0DB7">
        <w:rPr>
          <w:rFonts w:asciiTheme="majorHAnsi" w:hAnsiTheme="majorHAnsi" w:cstheme="majorHAnsi"/>
          <w:sz w:val="24"/>
          <w:szCs w:val="24"/>
          <w:lang w:val="ro-RO"/>
        </w:rPr>
        <w:t xml:space="preserve"> </w:t>
      </w:r>
      <w:r>
        <w:rPr>
          <w:rFonts w:asciiTheme="majorHAnsi" w:hAnsiTheme="majorHAnsi" w:cstheme="majorHAnsi"/>
          <w:sz w:val="24"/>
          <w:szCs w:val="24"/>
          <w:lang w:val="ru-RU"/>
        </w:rPr>
        <w:t>Р</w:t>
      </w:r>
      <w:r w:rsidR="007A0DB7" w:rsidRPr="007A0DB7">
        <w:rPr>
          <w:rFonts w:asciiTheme="majorHAnsi" w:hAnsiTheme="majorHAnsi" w:cstheme="majorHAnsi"/>
          <w:sz w:val="24"/>
          <w:szCs w:val="24"/>
          <w:lang w:val="ro-RO"/>
        </w:rPr>
        <w:t>абоч</w:t>
      </w:r>
      <w:r>
        <w:rPr>
          <w:rFonts w:asciiTheme="majorHAnsi" w:hAnsiTheme="majorHAnsi" w:cstheme="majorHAnsi"/>
          <w:sz w:val="24"/>
          <w:szCs w:val="24"/>
          <w:lang w:val="ru-RU"/>
        </w:rPr>
        <w:t>ей</w:t>
      </w:r>
      <w:r w:rsidR="007A0DB7" w:rsidRPr="007A0DB7">
        <w:rPr>
          <w:rFonts w:asciiTheme="majorHAnsi" w:hAnsiTheme="majorHAnsi" w:cstheme="majorHAnsi"/>
          <w:sz w:val="24"/>
          <w:szCs w:val="24"/>
          <w:lang w:val="ro-RO"/>
        </w:rPr>
        <w:t xml:space="preserve"> групп</w:t>
      </w:r>
      <w:r>
        <w:rPr>
          <w:rFonts w:asciiTheme="majorHAnsi" w:hAnsiTheme="majorHAnsi" w:cstheme="majorHAnsi"/>
          <w:sz w:val="24"/>
          <w:szCs w:val="24"/>
          <w:lang w:val="ru-RU"/>
        </w:rPr>
        <w:t>ы</w:t>
      </w:r>
      <w:r w:rsidR="007A0DB7" w:rsidRPr="007A0DB7">
        <w:rPr>
          <w:rFonts w:asciiTheme="majorHAnsi" w:hAnsiTheme="majorHAnsi" w:cstheme="majorHAnsi"/>
          <w:sz w:val="24"/>
          <w:szCs w:val="24"/>
          <w:lang w:val="ro-RO"/>
        </w:rPr>
        <w:t xml:space="preserve"> по </w:t>
      </w:r>
      <w:r>
        <w:rPr>
          <w:rFonts w:asciiTheme="majorHAnsi" w:hAnsiTheme="majorHAnsi" w:cstheme="majorHAnsi"/>
          <w:sz w:val="24"/>
          <w:szCs w:val="24"/>
          <w:lang w:val="ru-RU"/>
        </w:rPr>
        <w:t xml:space="preserve">государственным </w:t>
      </w:r>
      <w:r w:rsidR="007A0DB7" w:rsidRPr="007A0DB7">
        <w:rPr>
          <w:rFonts w:asciiTheme="majorHAnsi" w:hAnsiTheme="majorHAnsi" w:cstheme="majorHAnsi"/>
          <w:sz w:val="24"/>
          <w:szCs w:val="24"/>
          <w:lang w:val="ro-RO"/>
        </w:rPr>
        <w:t>капитальным инвестициям, которая должна нести ответственность за рассмотрение и подтверждение приемлемости проектов</w:t>
      </w:r>
      <w:r w:rsidRPr="00F55BA6">
        <w:rPr>
          <w:rFonts w:asciiTheme="majorHAnsi" w:hAnsiTheme="majorHAnsi" w:cstheme="majorHAnsi"/>
          <w:sz w:val="24"/>
          <w:szCs w:val="24"/>
          <w:vertAlign w:val="superscript"/>
          <w:lang w:val="ro-RO"/>
        </w:rPr>
        <w:footnoteReference w:id="56"/>
      </w:r>
      <w:r w:rsidR="007A0DB7" w:rsidRPr="007A0DB7">
        <w:rPr>
          <w:rFonts w:asciiTheme="majorHAnsi" w:hAnsiTheme="majorHAnsi" w:cstheme="majorHAnsi"/>
          <w:sz w:val="24"/>
          <w:szCs w:val="24"/>
          <w:lang w:val="ro-RO"/>
        </w:rPr>
        <w:t xml:space="preserve">, </w:t>
      </w:r>
      <w:r>
        <w:rPr>
          <w:rFonts w:asciiTheme="majorHAnsi" w:hAnsiTheme="majorHAnsi" w:cstheme="majorHAnsi"/>
          <w:sz w:val="24"/>
          <w:szCs w:val="24"/>
          <w:lang w:val="ru-RU"/>
        </w:rPr>
        <w:t>на что неоднократно было указано</w:t>
      </w:r>
      <w:r w:rsidR="007A0DB7" w:rsidRPr="007A0DB7">
        <w:rPr>
          <w:rFonts w:asciiTheme="majorHAnsi" w:hAnsiTheme="majorHAnsi" w:cstheme="majorHAnsi"/>
          <w:sz w:val="24"/>
          <w:szCs w:val="24"/>
          <w:lang w:val="ro-RO"/>
        </w:rPr>
        <w:t xml:space="preserve"> в отчетах </w:t>
      </w:r>
      <w:r>
        <w:rPr>
          <w:rFonts w:asciiTheme="majorHAnsi" w:hAnsiTheme="majorHAnsi" w:cstheme="majorHAnsi"/>
          <w:sz w:val="24"/>
          <w:szCs w:val="24"/>
          <w:lang w:val="ru-RU"/>
        </w:rPr>
        <w:t>СПРМ</w:t>
      </w:r>
      <w:r w:rsidR="007A0DB7" w:rsidRPr="007A0DB7">
        <w:rPr>
          <w:rFonts w:asciiTheme="majorHAnsi" w:hAnsiTheme="majorHAnsi" w:cstheme="majorHAnsi"/>
          <w:sz w:val="24"/>
          <w:szCs w:val="24"/>
          <w:lang w:val="ro-RO"/>
        </w:rPr>
        <w:t xml:space="preserve"> за предыдущие годы, способствует утверждению </w:t>
      </w:r>
      <w:r>
        <w:rPr>
          <w:rFonts w:asciiTheme="majorHAnsi" w:hAnsiTheme="majorHAnsi" w:cstheme="majorHAnsi"/>
          <w:sz w:val="24"/>
          <w:szCs w:val="24"/>
          <w:lang w:val="ru-RU"/>
        </w:rPr>
        <w:t>недостаточно</w:t>
      </w:r>
      <w:r w:rsidR="007A0DB7" w:rsidRPr="007A0DB7">
        <w:rPr>
          <w:rFonts w:asciiTheme="majorHAnsi" w:hAnsiTheme="majorHAnsi" w:cstheme="majorHAnsi"/>
          <w:sz w:val="24"/>
          <w:szCs w:val="24"/>
          <w:lang w:val="ro-RO"/>
        </w:rPr>
        <w:t xml:space="preserve"> подготовленных проектов, которые впоследствии требуют значительного дополнительного финансирования и увеличивают сроки их реализации. Проверки аудита показ</w:t>
      </w:r>
      <w:r w:rsidRPr="00FC0145">
        <w:rPr>
          <w:rFonts w:asciiTheme="majorHAnsi" w:hAnsiTheme="majorHAnsi" w:cstheme="majorHAnsi"/>
          <w:sz w:val="24"/>
          <w:szCs w:val="24"/>
          <w:lang w:val="ro-RO"/>
        </w:rPr>
        <w:t>али</w:t>
      </w:r>
      <w:r w:rsidR="007A0DB7" w:rsidRPr="007A0DB7">
        <w:rPr>
          <w:rFonts w:asciiTheme="majorHAnsi" w:hAnsiTheme="majorHAnsi" w:cstheme="majorHAnsi"/>
          <w:sz w:val="24"/>
          <w:szCs w:val="24"/>
          <w:lang w:val="ro-RO"/>
        </w:rPr>
        <w:t xml:space="preserve">, что рабочая группа управляется МФ, обеспечивая секретариат и логистические договоренности в </w:t>
      </w:r>
      <w:r w:rsidRPr="00FC0145">
        <w:rPr>
          <w:rFonts w:asciiTheme="majorHAnsi" w:hAnsiTheme="majorHAnsi" w:cstheme="majorHAnsi"/>
          <w:sz w:val="24"/>
          <w:szCs w:val="24"/>
          <w:lang w:val="ro-RO"/>
        </w:rPr>
        <w:t xml:space="preserve">ее </w:t>
      </w:r>
      <w:r w:rsidR="007A0DB7" w:rsidRPr="007A0DB7">
        <w:rPr>
          <w:rFonts w:asciiTheme="majorHAnsi" w:hAnsiTheme="majorHAnsi" w:cstheme="majorHAnsi"/>
          <w:sz w:val="24"/>
          <w:szCs w:val="24"/>
          <w:lang w:val="ro-RO"/>
        </w:rPr>
        <w:t xml:space="preserve">деятельности, но </w:t>
      </w:r>
      <w:r w:rsidRPr="00FC0145">
        <w:rPr>
          <w:rFonts w:asciiTheme="majorHAnsi" w:hAnsiTheme="majorHAnsi" w:cstheme="majorHAnsi"/>
          <w:sz w:val="24"/>
          <w:szCs w:val="24"/>
          <w:lang w:val="ro-RO"/>
        </w:rPr>
        <w:t>за</w:t>
      </w:r>
      <w:r w:rsidR="007A0DB7" w:rsidRPr="007A0DB7">
        <w:rPr>
          <w:rFonts w:asciiTheme="majorHAnsi" w:hAnsiTheme="majorHAnsi" w:cstheme="majorHAnsi"/>
          <w:sz w:val="24"/>
          <w:szCs w:val="24"/>
          <w:lang w:val="ro-RO"/>
        </w:rPr>
        <w:t xml:space="preserve"> 2020 год не </w:t>
      </w:r>
      <w:r w:rsidRPr="00FC0145">
        <w:rPr>
          <w:rFonts w:asciiTheme="majorHAnsi" w:hAnsiTheme="majorHAnsi" w:cstheme="majorHAnsi"/>
          <w:sz w:val="24"/>
          <w:szCs w:val="24"/>
          <w:lang w:val="ro-RO"/>
        </w:rPr>
        <w:t xml:space="preserve">было </w:t>
      </w:r>
      <w:r w:rsidR="007A0DB7" w:rsidRPr="007A0DB7">
        <w:rPr>
          <w:rFonts w:asciiTheme="majorHAnsi" w:hAnsiTheme="majorHAnsi" w:cstheme="majorHAnsi"/>
          <w:sz w:val="24"/>
          <w:szCs w:val="24"/>
          <w:lang w:val="ro-RO"/>
        </w:rPr>
        <w:t>состав</w:t>
      </w:r>
      <w:r w:rsidRPr="00FC0145">
        <w:rPr>
          <w:rFonts w:asciiTheme="majorHAnsi" w:hAnsiTheme="majorHAnsi" w:cstheme="majorHAnsi"/>
          <w:sz w:val="24"/>
          <w:szCs w:val="24"/>
          <w:lang w:val="ro-RO"/>
        </w:rPr>
        <w:t xml:space="preserve">лено </w:t>
      </w:r>
      <w:r w:rsidR="007A0DB7" w:rsidRPr="007A0DB7">
        <w:rPr>
          <w:rFonts w:asciiTheme="majorHAnsi" w:hAnsiTheme="majorHAnsi" w:cstheme="majorHAnsi"/>
          <w:sz w:val="24"/>
          <w:szCs w:val="24"/>
          <w:lang w:val="ro-RO"/>
        </w:rPr>
        <w:t xml:space="preserve">ни одного письма </w:t>
      </w:r>
      <w:r w:rsidR="00666742" w:rsidRPr="00666742">
        <w:rPr>
          <w:rFonts w:asciiTheme="majorHAnsi" w:hAnsiTheme="majorHAnsi" w:cstheme="majorHAnsi"/>
          <w:sz w:val="24"/>
          <w:szCs w:val="24"/>
          <w:lang w:val="ro-RO"/>
        </w:rPr>
        <w:t>о привлечении</w:t>
      </w:r>
      <w:r w:rsidR="007A0DB7" w:rsidRPr="007A0DB7">
        <w:rPr>
          <w:rFonts w:asciiTheme="majorHAnsi" w:hAnsiTheme="majorHAnsi" w:cstheme="majorHAnsi"/>
          <w:sz w:val="24"/>
          <w:szCs w:val="24"/>
          <w:lang w:val="ro-RO"/>
        </w:rPr>
        <w:t xml:space="preserve"> представителей </w:t>
      </w:r>
      <w:r w:rsidR="00666742" w:rsidRPr="00666742">
        <w:rPr>
          <w:rFonts w:asciiTheme="majorHAnsi" w:hAnsiTheme="majorHAnsi" w:cstheme="majorHAnsi"/>
          <w:sz w:val="24"/>
          <w:szCs w:val="24"/>
          <w:lang w:val="ro-RO"/>
        </w:rPr>
        <w:t xml:space="preserve">из </w:t>
      </w:r>
      <w:r w:rsidR="007A0DB7" w:rsidRPr="007A0DB7">
        <w:rPr>
          <w:rFonts w:asciiTheme="majorHAnsi" w:hAnsiTheme="majorHAnsi" w:cstheme="majorHAnsi"/>
          <w:sz w:val="24"/>
          <w:szCs w:val="24"/>
          <w:lang w:val="ro-RO"/>
        </w:rPr>
        <w:t>других учреждений</w:t>
      </w:r>
      <w:r w:rsidR="00AC6703" w:rsidRPr="00F55BA6">
        <w:rPr>
          <w:rFonts w:asciiTheme="majorHAnsi" w:hAnsiTheme="majorHAnsi" w:cstheme="majorHAnsi"/>
          <w:sz w:val="24"/>
          <w:szCs w:val="24"/>
          <w:lang w:val="ro-RO"/>
        </w:rPr>
        <w:t>.</w:t>
      </w:r>
    </w:p>
    <w:p w:rsidR="00AC6703" w:rsidRPr="00F55BA6" w:rsidRDefault="007A0DB7" w:rsidP="00AC6703">
      <w:pPr>
        <w:tabs>
          <w:tab w:val="left" w:pos="284"/>
          <w:tab w:val="left" w:pos="426"/>
        </w:tabs>
        <w:spacing w:after="0" w:line="276" w:lineRule="auto"/>
        <w:rPr>
          <w:rFonts w:asciiTheme="majorHAnsi" w:hAnsiTheme="majorHAnsi" w:cstheme="majorHAnsi"/>
          <w:sz w:val="24"/>
          <w:szCs w:val="24"/>
          <w:lang w:val="ro-RO"/>
        </w:rPr>
      </w:pPr>
      <w:r w:rsidRPr="007A0DB7">
        <w:rPr>
          <w:rFonts w:asciiTheme="majorHAnsi" w:hAnsiTheme="majorHAnsi" w:cstheme="majorHAnsi"/>
          <w:sz w:val="24"/>
          <w:szCs w:val="24"/>
          <w:lang w:val="ro-RO"/>
        </w:rPr>
        <w:t xml:space="preserve">Согласно </w:t>
      </w:r>
      <w:r w:rsidR="00666742">
        <w:rPr>
          <w:rFonts w:asciiTheme="majorHAnsi" w:hAnsiTheme="majorHAnsi" w:cstheme="majorHAnsi"/>
          <w:sz w:val="24"/>
          <w:szCs w:val="24"/>
          <w:lang w:val="ru-RU"/>
        </w:rPr>
        <w:t>объяснениям МФ</w:t>
      </w:r>
      <w:r w:rsidRPr="007A0DB7">
        <w:rPr>
          <w:rFonts w:asciiTheme="majorHAnsi" w:hAnsiTheme="majorHAnsi" w:cstheme="majorHAnsi"/>
          <w:sz w:val="24"/>
          <w:szCs w:val="24"/>
          <w:lang w:val="ro-RO"/>
        </w:rPr>
        <w:t xml:space="preserve">, неудовлетворительный уровень исполнения расходов за последние 3 года </w:t>
      </w:r>
      <w:r w:rsidR="00666742">
        <w:rPr>
          <w:rFonts w:asciiTheme="majorHAnsi" w:hAnsiTheme="majorHAnsi" w:cstheme="majorHAnsi"/>
          <w:sz w:val="24"/>
          <w:szCs w:val="24"/>
          <w:lang w:val="ru-RU"/>
        </w:rPr>
        <w:t>обусловлен</w:t>
      </w:r>
      <w:r w:rsidRPr="007A0DB7">
        <w:rPr>
          <w:rFonts w:asciiTheme="majorHAnsi" w:hAnsiTheme="majorHAnsi" w:cstheme="majorHAnsi"/>
          <w:sz w:val="24"/>
          <w:szCs w:val="24"/>
          <w:lang w:val="ro-RO"/>
        </w:rPr>
        <w:t xml:space="preserve"> </w:t>
      </w:r>
      <w:r w:rsidR="00666742">
        <w:rPr>
          <w:rFonts w:asciiTheme="majorHAnsi" w:hAnsiTheme="majorHAnsi" w:cstheme="majorHAnsi"/>
          <w:sz w:val="24"/>
          <w:szCs w:val="24"/>
          <w:lang w:val="ru-RU"/>
        </w:rPr>
        <w:t>недостаточным потенциалом</w:t>
      </w:r>
      <w:r w:rsidRPr="007A0DB7">
        <w:rPr>
          <w:rFonts w:asciiTheme="majorHAnsi" w:hAnsiTheme="majorHAnsi" w:cstheme="majorHAnsi"/>
          <w:sz w:val="24"/>
          <w:szCs w:val="24"/>
          <w:lang w:val="ro-RO"/>
        </w:rPr>
        <w:t xml:space="preserve"> ЦП</w:t>
      </w:r>
      <w:r w:rsidR="00666742">
        <w:rPr>
          <w:rFonts w:asciiTheme="majorHAnsi" w:hAnsiTheme="majorHAnsi" w:cstheme="majorHAnsi"/>
          <w:sz w:val="24"/>
          <w:szCs w:val="24"/>
          <w:lang w:val="ru-RU"/>
        </w:rPr>
        <w:t>О</w:t>
      </w:r>
      <w:r w:rsidRPr="007A0DB7">
        <w:rPr>
          <w:rFonts w:asciiTheme="majorHAnsi" w:hAnsiTheme="majorHAnsi" w:cstheme="majorHAnsi"/>
          <w:sz w:val="24"/>
          <w:szCs w:val="24"/>
          <w:lang w:val="ro-RO"/>
        </w:rPr>
        <w:t xml:space="preserve">, в их </w:t>
      </w:r>
      <w:r w:rsidR="00666742">
        <w:rPr>
          <w:rFonts w:asciiTheme="majorHAnsi" w:hAnsiTheme="majorHAnsi" w:cstheme="majorHAnsi"/>
          <w:sz w:val="24"/>
          <w:szCs w:val="24"/>
          <w:lang w:val="ru-RU"/>
        </w:rPr>
        <w:t xml:space="preserve">структуре </w:t>
      </w:r>
      <w:r w:rsidRPr="007A0DB7">
        <w:rPr>
          <w:rFonts w:asciiTheme="majorHAnsi" w:hAnsiTheme="majorHAnsi" w:cstheme="majorHAnsi"/>
          <w:sz w:val="24"/>
          <w:szCs w:val="24"/>
          <w:lang w:val="ro-RO"/>
        </w:rPr>
        <w:t xml:space="preserve">нет подразделений, которые управляли бы </w:t>
      </w:r>
      <w:r w:rsidR="00666742" w:rsidRPr="007A0DB7">
        <w:rPr>
          <w:rFonts w:asciiTheme="majorHAnsi" w:hAnsiTheme="majorHAnsi" w:cstheme="majorHAnsi"/>
          <w:sz w:val="24"/>
          <w:szCs w:val="24"/>
          <w:lang w:val="ro-RO"/>
        </w:rPr>
        <w:t xml:space="preserve">проектами </w:t>
      </w:r>
      <w:r w:rsidR="00666742" w:rsidRPr="00666742">
        <w:rPr>
          <w:rFonts w:asciiTheme="majorHAnsi" w:hAnsiTheme="majorHAnsi" w:cstheme="majorHAnsi"/>
          <w:sz w:val="24"/>
          <w:szCs w:val="24"/>
          <w:lang w:val="ru-RU"/>
        </w:rPr>
        <w:t>государственных капитальных инвестиций</w:t>
      </w:r>
      <w:r w:rsidRPr="007A0DB7">
        <w:rPr>
          <w:rFonts w:asciiTheme="majorHAnsi" w:hAnsiTheme="majorHAnsi" w:cstheme="majorHAnsi"/>
          <w:sz w:val="24"/>
          <w:szCs w:val="24"/>
          <w:lang w:val="ro-RO"/>
        </w:rPr>
        <w:t>, не созда</w:t>
      </w:r>
      <w:r w:rsidR="00666742">
        <w:rPr>
          <w:rFonts w:asciiTheme="majorHAnsi" w:hAnsiTheme="majorHAnsi" w:cstheme="majorHAnsi"/>
          <w:sz w:val="24"/>
          <w:szCs w:val="24"/>
          <w:lang w:val="ru-RU"/>
        </w:rPr>
        <w:t>е</w:t>
      </w:r>
      <w:r w:rsidRPr="007A0DB7">
        <w:rPr>
          <w:rFonts w:asciiTheme="majorHAnsi" w:hAnsiTheme="majorHAnsi" w:cstheme="majorHAnsi"/>
          <w:sz w:val="24"/>
          <w:szCs w:val="24"/>
          <w:lang w:val="ro-RO"/>
        </w:rPr>
        <w:t xml:space="preserve">тся и не </w:t>
      </w:r>
      <w:r w:rsidR="00666742">
        <w:rPr>
          <w:rFonts w:asciiTheme="majorHAnsi" w:hAnsiTheme="majorHAnsi" w:cstheme="majorHAnsi"/>
          <w:sz w:val="24"/>
          <w:szCs w:val="24"/>
          <w:lang w:val="ru-RU"/>
        </w:rPr>
        <w:t>наращивае</w:t>
      </w:r>
      <w:r w:rsidRPr="007A0DB7">
        <w:rPr>
          <w:rFonts w:asciiTheme="majorHAnsi" w:hAnsiTheme="majorHAnsi" w:cstheme="majorHAnsi"/>
          <w:sz w:val="24"/>
          <w:szCs w:val="24"/>
          <w:lang w:val="ro-RO"/>
        </w:rPr>
        <w:t xml:space="preserve">тся </w:t>
      </w:r>
      <w:r w:rsidR="00666742">
        <w:rPr>
          <w:rFonts w:asciiTheme="majorHAnsi" w:hAnsiTheme="majorHAnsi" w:cstheme="majorHAnsi"/>
          <w:sz w:val="24"/>
          <w:szCs w:val="24"/>
          <w:lang w:val="ru-RU"/>
        </w:rPr>
        <w:t>потенциал</w:t>
      </w:r>
      <w:r w:rsidRPr="007A0DB7">
        <w:rPr>
          <w:rFonts w:asciiTheme="majorHAnsi" w:hAnsiTheme="majorHAnsi" w:cstheme="majorHAnsi"/>
          <w:sz w:val="24"/>
          <w:szCs w:val="24"/>
          <w:lang w:val="ro-RO"/>
        </w:rPr>
        <w:t xml:space="preserve"> ЦП</w:t>
      </w:r>
      <w:r w:rsidR="00666742">
        <w:rPr>
          <w:rFonts w:asciiTheme="majorHAnsi" w:hAnsiTheme="majorHAnsi" w:cstheme="majorHAnsi"/>
          <w:sz w:val="24"/>
          <w:szCs w:val="24"/>
          <w:lang w:val="ru-RU"/>
        </w:rPr>
        <w:t>О</w:t>
      </w:r>
      <w:r w:rsidRPr="007A0DB7">
        <w:rPr>
          <w:rFonts w:asciiTheme="majorHAnsi" w:hAnsiTheme="majorHAnsi" w:cstheme="majorHAnsi"/>
          <w:sz w:val="24"/>
          <w:szCs w:val="24"/>
          <w:lang w:val="ro-RO"/>
        </w:rPr>
        <w:t xml:space="preserve"> в этой области, что значительно снижает качество планирования и освоения предусмотренных для капитальных инвестиций ассигнований. Так, в отсутствие специализированн</w:t>
      </w:r>
      <w:r w:rsidR="00666742">
        <w:rPr>
          <w:rFonts w:asciiTheme="majorHAnsi" w:hAnsiTheme="majorHAnsi" w:cstheme="majorHAnsi"/>
          <w:sz w:val="24"/>
          <w:szCs w:val="24"/>
          <w:lang w:val="ru-RU"/>
        </w:rPr>
        <w:t>ого</w:t>
      </w:r>
      <w:r w:rsidRPr="007A0DB7">
        <w:rPr>
          <w:rFonts w:asciiTheme="majorHAnsi" w:hAnsiTheme="majorHAnsi" w:cstheme="majorHAnsi"/>
          <w:sz w:val="24"/>
          <w:szCs w:val="24"/>
          <w:lang w:val="ro-RO"/>
        </w:rPr>
        <w:t xml:space="preserve"> </w:t>
      </w:r>
      <w:r w:rsidR="00666742">
        <w:rPr>
          <w:rFonts w:asciiTheme="majorHAnsi" w:hAnsiTheme="majorHAnsi" w:cstheme="majorHAnsi"/>
          <w:sz w:val="24"/>
          <w:szCs w:val="24"/>
          <w:lang w:val="ru-RU"/>
        </w:rPr>
        <w:t>персонала</w:t>
      </w:r>
      <w:r w:rsidRPr="007A0DB7">
        <w:rPr>
          <w:rFonts w:asciiTheme="majorHAnsi" w:hAnsiTheme="majorHAnsi" w:cstheme="majorHAnsi"/>
          <w:sz w:val="24"/>
          <w:szCs w:val="24"/>
          <w:lang w:val="ro-RO"/>
        </w:rPr>
        <w:t xml:space="preserve"> в этой области, </w:t>
      </w:r>
      <w:r w:rsidR="00666742" w:rsidRPr="00666742">
        <w:rPr>
          <w:rFonts w:asciiTheme="majorHAnsi" w:hAnsiTheme="majorHAnsi" w:cstheme="majorHAnsi"/>
          <w:sz w:val="24"/>
          <w:szCs w:val="24"/>
          <w:lang w:val="ro-RO"/>
        </w:rPr>
        <w:t>МОКИ</w:t>
      </w:r>
      <w:r w:rsidRPr="007A0DB7">
        <w:rPr>
          <w:rFonts w:asciiTheme="majorHAnsi" w:hAnsiTheme="majorHAnsi" w:cstheme="majorHAnsi"/>
          <w:sz w:val="24"/>
          <w:szCs w:val="24"/>
          <w:lang w:val="ro-RO"/>
        </w:rPr>
        <w:t xml:space="preserve"> </w:t>
      </w:r>
      <w:r w:rsidR="00666742">
        <w:rPr>
          <w:rFonts w:asciiTheme="majorHAnsi" w:hAnsiTheme="majorHAnsi" w:cstheme="majorHAnsi"/>
          <w:sz w:val="24"/>
          <w:szCs w:val="24"/>
          <w:lang w:val="ru-RU"/>
        </w:rPr>
        <w:t>запросило</w:t>
      </w:r>
      <w:r w:rsidRPr="007A0DB7">
        <w:rPr>
          <w:rFonts w:asciiTheme="majorHAnsi" w:hAnsiTheme="majorHAnsi" w:cstheme="majorHAnsi"/>
          <w:sz w:val="24"/>
          <w:szCs w:val="24"/>
          <w:lang w:val="ro-RO"/>
        </w:rPr>
        <w:t xml:space="preserve"> передать свои функции по </w:t>
      </w:r>
      <w:r w:rsidR="00666742">
        <w:rPr>
          <w:rFonts w:asciiTheme="majorHAnsi" w:hAnsiTheme="majorHAnsi" w:cstheme="majorHAnsi"/>
          <w:sz w:val="24"/>
          <w:szCs w:val="24"/>
          <w:lang w:val="ru-RU"/>
        </w:rPr>
        <w:t>управле</w:t>
      </w:r>
      <w:r w:rsidRPr="007A0DB7">
        <w:rPr>
          <w:rFonts w:asciiTheme="majorHAnsi" w:hAnsiTheme="majorHAnsi" w:cstheme="majorHAnsi"/>
          <w:sz w:val="24"/>
          <w:szCs w:val="24"/>
          <w:lang w:val="ro-RO"/>
        </w:rPr>
        <w:t xml:space="preserve">нию </w:t>
      </w:r>
      <w:r w:rsidR="00666742" w:rsidRPr="007A0DB7">
        <w:rPr>
          <w:rFonts w:asciiTheme="majorHAnsi" w:hAnsiTheme="majorHAnsi" w:cstheme="majorHAnsi"/>
          <w:sz w:val="24"/>
          <w:szCs w:val="24"/>
          <w:lang w:val="ro-RO"/>
        </w:rPr>
        <w:t xml:space="preserve">проектами </w:t>
      </w:r>
      <w:r w:rsidR="00666742" w:rsidRPr="00666742">
        <w:rPr>
          <w:rFonts w:asciiTheme="majorHAnsi" w:hAnsiTheme="majorHAnsi" w:cstheme="majorHAnsi"/>
          <w:sz w:val="24"/>
          <w:szCs w:val="24"/>
          <w:lang w:val="ru-RU"/>
        </w:rPr>
        <w:t>государственных капитальных инвестиций</w:t>
      </w:r>
      <w:r w:rsidR="00666742" w:rsidRPr="007A0DB7">
        <w:rPr>
          <w:rFonts w:asciiTheme="majorHAnsi" w:hAnsiTheme="majorHAnsi" w:cstheme="majorHAnsi"/>
          <w:sz w:val="24"/>
          <w:szCs w:val="24"/>
          <w:lang w:val="ro-RO"/>
        </w:rPr>
        <w:t xml:space="preserve"> </w:t>
      </w:r>
      <w:r w:rsidR="00666742">
        <w:rPr>
          <w:rFonts w:asciiTheme="majorHAnsi" w:hAnsiTheme="majorHAnsi" w:cstheme="majorHAnsi"/>
          <w:sz w:val="24"/>
          <w:szCs w:val="24"/>
          <w:lang w:val="ru-RU"/>
        </w:rPr>
        <w:t>ФСИМ</w:t>
      </w:r>
      <w:r w:rsidRPr="007A0DB7">
        <w:rPr>
          <w:rFonts w:asciiTheme="majorHAnsi" w:hAnsiTheme="majorHAnsi" w:cstheme="majorHAnsi"/>
          <w:sz w:val="24"/>
          <w:szCs w:val="24"/>
          <w:lang w:val="ro-RO"/>
        </w:rPr>
        <w:t xml:space="preserve">, а </w:t>
      </w:r>
      <w:r w:rsidR="00666742">
        <w:rPr>
          <w:rFonts w:asciiTheme="majorHAnsi" w:hAnsiTheme="majorHAnsi" w:cstheme="majorHAnsi"/>
          <w:sz w:val="24"/>
          <w:szCs w:val="24"/>
          <w:lang w:val="ru-RU"/>
        </w:rPr>
        <w:t>МВД</w:t>
      </w:r>
      <w:r w:rsidRPr="007A0DB7">
        <w:rPr>
          <w:rFonts w:asciiTheme="majorHAnsi" w:hAnsiTheme="majorHAnsi" w:cstheme="majorHAnsi"/>
          <w:sz w:val="24"/>
          <w:szCs w:val="24"/>
          <w:lang w:val="ro-RO"/>
        </w:rPr>
        <w:t xml:space="preserve"> реализует некоторые проекты государственных капитальных инвестиций</w:t>
      </w:r>
      <w:r w:rsidR="00666742" w:rsidRPr="00F55BA6">
        <w:rPr>
          <w:rFonts w:asciiTheme="majorHAnsi" w:hAnsiTheme="majorHAnsi" w:cstheme="majorHAnsi"/>
          <w:sz w:val="24"/>
          <w:szCs w:val="24"/>
          <w:vertAlign w:val="superscript"/>
          <w:lang w:val="ro-RO"/>
        </w:rPr>
        <w:footnoteReference w:id="57"/>
      </w:r>
      <w:r w:rsidRPr="007A0DB7">
        <w:rPr>
          <w:rFonts w:asciiTheme="majorHAnsi" w:hAnsiTheme="majorHAnsi" w:cstheme="majorHAnsi"/>
          <w:sz w:val="24"/>
          <w:szCs w:val="24"/>
          <w:lang w:val="ro-RO"/>
        </w:rPr>
        <w:t xml:space="preserve">, полностью финансируемые из </w:t>
      </w:r>
      <w:r w:rsidR="008F632D">
        <w:rPr>
          <w:rFonts w:asciiTheme="majorHAnsi" w:hAnsiTheme="majorHAnsi" w:cstheme="majorHAnsi"/>
          <w:sz w:val="24"/>
          <w:szCs w:val="24"/>
          <w:lang w:val="ro-RO"/>
        </w:rPr>
        <w:t>ГБ</w:t>
      </w:r>
      <w:r w:rsidRPr="007A0DB7">
        <w:rPr>
          <w:rFonts w:asciiTheme="majorHAnsi" w:hAnsiTheme="majorHAnsi" w:cstheme="majorHAnsi"/>
          <w:sz w:val="24"/>
          <w:szCs w:val="24"/>
          <w:lang w:val="ro-RO"/>
        </w:rPr>
        <w:t>, через ПРООН</w:t>
      </w:r>
      <w:r w:rsidR="00AC6703" w:rsidRPr="00F55BA6">
        <w:rPr>
          <w:rFonts w:asciiTheme="majorHAnsi" w:hAnsiTheme="majorHAnsi" w:cstheme="majorHAnsi"/>
          <w:sz w:val="24"/>
          <w:szCs w:val="24"/>
          <w:lang w:val="ro-RO"/>
        </w:rPr>
        <w:t xml:space="preserve">. </w:t>
      </w:r>
      <w:r w:rsidRPr="007A0DB7">
        <w:rPr>
          <w:rFonts w:asciiTheme="majorHAnsi" w:hAnsiTheme="majorHAnsi" w:cstheme="majorHAnsi"/>
          <w:sz w:val="24"/>
          <w:szCs w:val="24"/>
          <w:lang w:val="ro-RO"/>
        </w:rPr>
        <w:t>Аудит констатировал, что авансовые платежи</w:t>
      </w:r>
      <w:r w:rsidR="0044553B">
        <w:rPr>
          <w:rFonts w:asciiTheme="majorHAnsi" w:hAnsiTheme="majorHAnsi" w:cstheme="majorHAnsi"/>
          <w:sz w:val="24"/>
          <w:szCs w:val="24"/>
          <w:lang w:val="ru-RU"/>
        </w:rPr>
        <w:t xml:space="preserve">, выплаченные одной </w:t>
      </w:r>
      <w:r w:rsidRPr="007A0DB7">
        <w:rPr>
          <w:rFonts w:asciiTheme="majorHAnsi" w:hAnsiTheme="majorHAnsi" w:cstheme="majorHAnsi"/>
          <w:sz w:val="24"/>
          <w:szCs w:val="24"/>
          <w:lang w:val="ro-RO"/>
        </w:rPr>
        <w:t>международной организации (ПРООН)</w:t>
      </w:r>
      <w:r w:rsidR="00666742">
        <w:rPr>
          <w:rFonts w:asciiTheme="majorHAnsi" w:hAnsiTheme="majorHAnsi" w:cstheme="majorHAnsi"/>
          <w:sz w:val="24"/>
          <w:szCs w:val="24"/>
          <w:lang w:val="ru-RU"/>
        </w:rPr>
        <w:t xml:space="preserve"> </w:t>
      </w:r>
      <w:r w:rsidR="0044553B">
        <w:rPr>
          <w:rFonts w:asciiTheme="majorHAnsi" w:hAnsiTheme="majorHAnsi" w:cstheme="majorHAnsi"/>
          <w:sz w:val="24"/>
          <w:szCs w:val="24"/>
          <w:lang w:val="ru-RU"/>
        </w:rPr>
        <w:t>в</w:t>
      </w:r>
      <w:r w:rsidRPr="007A0DB7">
        <w:rPr>
          <w:rFonts w:asciiTheme="majorHAnsi" w:hAnsiTheme="majorHAnsi" w:cstheme="majorHAnsi"/>
          <w:sz w:val="24"/>
          <w:szCs w:val="24"/>
          <w:lang w:val="ro-RO"/>
        </w:rPr>
        <w:t xml:space="preserve"> счет зак</w:t>
      </w:r>
      <w:r w:rsidR="0044553B">
        <w:rPr>
          <w:rFonts w:asciiTheme="majorHAnsi" w:hAnsiTheme="majorHAnsi" w:cstheme="majorHAnsi"/>
          <w:sz w:val="24"/>
          <w:szCs w:val="24"/>
          <w:lang w:val="ru-RU"/>
        </w:rPr>
        <w:t>онтрактова</w:t>
      </w:r>
      <w:r w:rsidRPr="007A0DB7">
        <w:rPr>
          <w:rFonts w:asciiTheme="majorHAnsi" w:hAnsiTheme="majorHAnsi" w:cstheme="majorHAnsi"/>
          <w:sz w:val="24"/>
          <w:szCs w:val="24"/>
          <w:lang w:val="ro-RO"/>
        </w:rPr>
        <w:t>нных ЦП</w:t>
      </w:r>
      <w:r w:rsidR="00666742">
        <w:rPr>
          <w:rFonts w:asciiTheme="majorHAnsi" w:hAnsiTheme="majorHAnsi" w:cstheme="majorHAnsi"/>
          <w:sz w:val="24"/>
          <w:szCs w:val="24"/>
          <w:lang w:val="ru-RU"/>
        </w:rPr>
        <w:t>О</w:t>
      </w:r>
      <w:r w:rsidRPr="007A0DB7">
        <w:rPr>
          <w:rFonts w:asciiTheme="majorHAnsi" w:hAnsiTheme="majorHAnsi" w:cstheme="majorHAnsi"/>
          <w:sz w:val="24"/>
          <w:szCs w:val="24"/>
          <w:lang w:val="ro-RO"/>
        </w:rPr>
        <w:t xml:space="preserve"> </w:t>
      </w:r>
      <w:r w:rsidR="0044553B" w:rsidRPr="007A0DB7">
        <w:rPr>
          <w:rFonts w:asciiTheme="majorHAnsi" w:hAnsiTheme="majorHAnsi" w:cstheme="majorHAnsi"/>
          <w:sz w:val="24"/>
          <w:szCs w:val="24"/>
          <w:lang w:val="ro-RO"/>
        </w:rPr>
        <w:t>услуг</w:t>
      </w:r>
      <w:r w:rsidR="0044553B">
        <w:rPr>
          <w:rFonts w:asciiTheme="majorHAnsi" w:hAnsiTheme="majorHAnsi" w:cstheme="majorHAnsi"/>
          <w:sz w:val="24"/>
          <w:szCs w:val="24"/>
          <w:lang w:val="ru-RU"/>
        </w:rPr>
        <w:t xml:space="preserve"> на сумму</w:t>
      </w:r>
      <w:r w:rsidRPr="007A0DB7">
        <w:rPr>
          <w:rFonts w:asciiTheme="majorHAnsi" w:hAnsiTheme="majorHAnsi" w:cstheme="majorHAnsi"/>
          <w:sz w:val="24"/>
          <w:szCs w:val="24"/>
          <w:lang w:val="ro-RO"/>
        </w:rPr>
        <w:t xml:space="preserve"> 17,1 млн. ле</w:t>
      </w:r>
      <w:r w:rsidR="0044553B">
        <w:rPr>
          <w:rFonts w:asciiTheme="majorHAnsi" w:hAnsiTheme="majorHAnsi" w:cstheme="majorHAnsi"/>
          <w:sz w:val="24"/>
          <w:szCs w:val="24"/>
          <w:lang w:val="ru-RU"/>
        </w:rPr>
        <w:t>ев,</w:t>
      </w:r>
      <w:r w:rsidRPr="007A0DB7">
        <w:rPr>
          <w:rFonts w:asciiTheme="majorHAnsi" w:hAnsiTheme="majorHAnsi" w:cstheme="majorHAnsi"/>
          <w:sz w:val="24"/>
          <w:szCs w:val="24"/>
          <w:lang w:val="ro-RO"/>
        </w:rPr>
        <w:t xml:space="preserve"> </w:t>
      </w:r>
      <w:r w:rsidR="0044553B">
        <w:rPr>
          <w:rFonts w:asciiTheme="majorHAnsi" w:hAnsiTheme="majorHAnsi" w:cstheme="majorHAnsi"/>
          <w:sz w:val="24"/>
          <w:szCs w:val="24"/>
          <w:lang w:val="ru-RU"/>
        </w:rPr>
        <w:t xml:space="preserve">приводят и к </w:t>
      </w:r>
      <w:r w:rsidRPr="007A0DB7">
        <w:rPr>
          <w:rFonts w:asciiTheme="majorHAnsi" w:hAnsiTheme="majorHAnsi" w:cstheme="majorHAnsi"/>
          <w:sz w:val="24"/>
          <w:szCs w:val="24"/>
          <w:lang w:val="ro-RO"/>
        </w:rPr>
        <w:t>увеличени</w:t>
      </w:r>
      <w:r w:rsidR="0044553B">
        <w:rPr>
          <w:rFonts w:asciiTheme="majorHAnsi" w:hAnsiTheme="majorHAnsi" w:cstheme="majorHAnsi"/>
          <w:sz w:val="24"/>
          <w:szCs w:val="24"/>
          <w:lang w:val="ru-RU"/>
        </w:rPr>
        <w:t>ю</w:t>
      </w:r>
      <w:r w:rsidRPr="007A0DB7">
        <w:rPr>
          <w:rFonts w:asciiTheme="majorHAnsi" w:hAnsiTheme="majorHAnsi" w:cstheme="majorHAnsi"/>
          <w:sz w:val="24"/>
          <w:szCs w:val="24"/>
          <w:lang w:val="ro-RO"/>
        </w:rPr>
        <w:t xml:space="preserve"> дебиторской задолженности в результате иммобилизации/</w:t>
      </w:r>
      <w:r w:rsidR="0044553B">
        <w:rPr>
          <w:rFonts w:asciiTheme="majorHAnsi" w:hAnsiTheme="majorHAnsi" w:cstheme="majorHAnsi"/>
          <w:sz w:val="24"/>
          <w:szCs w:val="24"/>
          <w:lang w:val="ru-RU"/>
        </w:rPr>
        <w:t>отвлечения</w:t>
      </w:r>
      <w:r w:rsidRPr="007A0DB7">
        <w:rPr>
          <w:rFonts w:asciiTheme="majorHAnsi" w:hAnsiTheme="majorHAnsi" w:cstheme="majorHAnsi"/>
          <w:sz w:val="24"/>
          <w:szCs w:val="24"/>
          <w:lang w:val="ro-RO"/>
        </w:rPr>
        <w:t xml:space="preserve"> публичных финансовых </w:t>
      </w:r>
      <w:r w:rsidR="0044553B">
        <w:rPr>
          <w:rFonts w:asciiTheme="majorHAnsi" w:hAnsiTheme="majorHAnsi" w:cstheme="majorHAnsi"/>
          <w:sz w:val="24"/>
          <w:szCs w:val="24"/>
          <w:lang w:val="ru-RU"/>
        </w:rPr>
        <w:t>средств</w:t>
      </w:r>
      <w:r w:rsidRPr="007A0DB7">
        <w:rPr>
          <w:rFonts w:asciiTheme="majorHAnsi" w:hAnsiTheme="majorHAnsi" w:cstheme="majorHAnsi"/>
          <w:sz w:val="24"/>
          <w:szCs w:val="24"/>
          <w:lang w:val="ro-RO"/>
        </w:rPr>
        <w:t xml:space="preserve"> на </w:t>
      </w:r>
      <w:r w:rsidRPr="007A0DB7">
        <w:rPr>
          <w:rFonts w:asciiTheme="majorHAnsi" w:hAnsiTheme="majorHAnsi" w:cstheme="majorHAnsi"/>
          <w:sz w:val="24"/>
          <w:szCs w:val="24"/>
          <w:lang w:val="ro-RO"/>
        </w:rPr>
        <w:lastRenderedPageBreak/>
        <w:t>неопределенный срок</w:t>
      </w:r>
      <w:r w:rsidR="0044553B">
        <w:rPr>
          <w:rFonts w:asciiTheme="majorHAnsi" w:hAnsiTheme="majorHAnsi" w:cstheme="majorHAnsi"/>
          <w:sz w:val="24"/>
          <w:szCs w:val="24"/>
          <w:lang w:val="ru-RU"/>
        </w:rPr>
        <w:t>,</w:t>
      </w:r>
      <w:r w:rsidRPr="007A0DB7">
        <w:rPr>
          <w:rFonts w:asciiTheme="majorHAnsi" w:hAnsiTheme="majorHAnsi" w:cstheme="majorHAnsi"/>
          <w:sz w:val="24"/>
          <w:szCs w:val="24"/>
          <w:lang w:val="ro-RO"/>
        </w:rPr>
        <w:t xml:space="preserve"> и </w:t>
      </w:r>
      <w:r w:rsidR="0044553B">
        <w:rPr>
          <w:rFonts w:asciiTheme="majorHAnsi" w:hAnsiTheme="majorHAnsi" w:cstheme="majorHAnsi"/>
          <w:sz w:val="24"/>
          <w:szCs w:val="24"/>
          <w:lang w:val="ru-RU"/>
        </w:rPr>
        <w:t xml:space="preserve">к </w:t>
      </w:r>
      <w:r w:rsidRPr="007A0DB7">
        <w:rPr>
          <w:rFonts w:asciiTheme="majorHAnsi" w:hAnsiTheme="majorHAnsi" w:cstheme="majorHAnsi"/>
          <w:sz w:val="24"/>
          <w:szCs w:val="24"/>
          <w:lang w:val="ro-RO"/>
        </w:rPr>
        <w:t>дополнительны</w:t>
      </w:r>
      <w:r w:rsidR="0044553B">
        <w:rPr>
          <w:rFonts w:asciiTheme="majorHAnsi" w:hAnsiTheme="majorHAnsi" w:cstheme="majorHAnsi"/>
          <w:sz w:val="24"/>
          <w:szCs w:val="24"/>
          <w:lang w:val="ru-RU"/>
        </w:rPr>
        <w:t>м</w:t>
      </w:r>
      <w:r w:rsidRPr="007A0DB7">
        <w:rPr>
          <w:rFonts w:asciiTheme="majorHAnsi" w:hAnsiTheme="majorHAnsi" w:cstheme="majorHAnsi"/>
          <w:sz w:val="24"/>
          <w:szCs w:val="24"/>
          <w:lang w:val="ro-RO"/>
        </w:rPr>
        <w:t xml:space="preserve"> расход</w:t>
      </w:r>
      <w:r w:rsidR="0044553B">
        <w:rPr>
          <w:rFonts w:asciiTheme="majorHAnsi" w:hAnsiTheme="majorHAnsi" w:cstheme="majorHAnsi"/>
          <w:sz w:val="24"/>
          <w:szCs w:val="24"/>
          <w:lang w:val="ru-RU"/>
        </w:rPr>
        <w:t>ам</w:t>
      </w:r>
      <w:r w:rsidRPr="007A0DB7">
        <w:rPr>
          <w:rFonts w:asciiTheme="majorHAnsi" w:hAnsiTheme="majorHAnsi" w:cstheme="majorHAnsi"/>
          <w:sz w:val="24"/>
          <w:szCs w:val="24"/>
          <w:lang w:val="ro-RO"/>
        </w:rPr>
        <w:t xml:space="preserve"> </w:t>
      </w:r>
      <w:r w:rsidR="0044553B">
        <w:rPr>
          <w:rFonts w:asciiTheme="majorHAnsi" w:hAnsiTheme="majorHAnsi" w:cstheme="majorHAnsi"/>
          <w:sz w:val="24"/>
          <w:szCs w:val="24"/>
          <w:lang w:val="ru-RU"/>
        </w:rPr>
        <w:t>из</w:t>
      </w:r>
      <w:r w:rsidRPr="007A0DB7">
        <w:rPr>
          <w:rFonts w:asciiTheme="majorHAnsi" w:hAnsiTheme="majorHAnsi" w:cstheme="majorHAnsi"/>
          <w:sz w:val="24"/>
          <w:szCs w:val="24"/>
          <w:lang w:val="ro-RO"/>
        </w:rPr>
        <w:t xml:space="preserve"> </w:t>
      </w:r>
      <w:r w:rsidR="008F632D">
        <w:rPr>
          <w:rFonts w:asciiTheme="majorHAnsi" w:hAnsiTheme="majorHAnsi" w:cstheme="majorHAnsi"/>
          <w:sz w:val="24"/>
          <w:szCs w:val="24"/>
          <w:lang w:val="ro-RO"/>
        </w:rPr>
        <w:t>ГБ</w:t>
      </w:r>
      <w:r w:rsidRPr="007A0DB7">
        <w:rPr>
          <w:rFonts w:asciiTheme="majorHAnsi" w:hAnsiTheme="majorHAnsi" w:cstheme="majorHAnsi"/>
          <w:sz w:val="24"/>
          <w:szCs w:val="24"/>
          <w:lang w:val="ro-RO"/>
        </w:rPr>
        <w:t>. В этом контексте</w:t>
      </w:r>
      <w:r w:rsidR="0044553B" w:rsidRPr="0044553B">
        <w:rPr>
          <w:rFonts w:asciiTheme="majorHAnsi" w:hAnsiTheme="majorHAnsi" w:cstheme="majorHAnsi"/>
          <w:sz w:val="24"/>
          <w:szCs w:val="24"/>
          <w:lang w:val="ro-RO"/>
        </w:rPr>
        <w:t>,</w:t>
      </w:r>
      <w:r w:rsidRPr="007A0DB7">
        <w:rPr>
          <w:rFonts w:asciiTheme="majorHAnsi" w:hAnsiTheme="majorHAnsi" w:cstheme="majorHAnsi"/>
          <w:sz w:val="24"/>
          <w:szCs w:val="24"/>
          <w:lang w:val="ro-RO"/>
        </w:rPr>
        <w:t xml:space="preserve"> аудит считает целесообразным инициировать соответствующие консультации </w:t>
      </w:r>
      <w:r w:rsidR="0044553B" w:rsidRPr="0044553B">
        <w:rPr>
          <w:rFonts w:asciiTheme="majorHAnsi" w:hAnsiTheme="majorHAnsi" w:cstheme="majorHAnsi"/>
          <w:sz w:val="24"/>
          <w:szCs w:val="24"/>
          <w:lang w:val="ro-RO"/>
        </w:rPr>
        <w:t>для</w:t>
      </w:r>
      <w:r w:rsidRPr="007A0DB7">
        <w:rPr>
          <w:rFonts w:asciiTheme="majorHAnsi" w:hAnsiTheme="majorHAnsi" w:cstheme="majorHAnsi"/>
          <w:sz w:val="24"/>
          <w:szCs w:val="24"/>
          <w:lang w:val="ro-RO"/>
        </w:rPr>
        <w:t xml:space="preserve"> формировани</w:t>
      </w:r>
      <w:r w:rsidR="0044553B" w:rsidRPr="0044553B">
        <w:rPr>
          <w:rFonts w:asciiTheme="majorHAnsi" w:hAnsiTheme="majorHAnsi" w:cstheme="majorHAnsi"/>
          <w:sz w:val="24"/>
          <w:szCs w:val="24"/>
          <w:lang w:val="ro-RO"/>
        </w:rPr>
        <w:t>я</w:t>
      </w:r>
      <w:r w:rsidRPr="007A0DB7">
        <w:rPr>
          <w:rFonts w:asciiTheme="majorHAnsi" w:hAnsiTheme="majorHAnsi" w:cstheme="majorHAnsi"/>
          <w:sz w:val="24"/>
          <w:szCs w:val="24"/>
          <w:lang w:val="ro-RO"/>
        </w:rPr>
        <w:t xml:space="preserve"> </w:t>
      </w:r>
      <w:r w:rsidR="0044553B" w:rsidRPr="007A0DB7">
        <w:rPr>
          <w:rFonts w:asciiTheme="majorHAnsi" w:hAnsiTheme="majorHAnsi" w:cstheme="majorHAnsi"/>
          <w:sz w:val="24"/>
          <w:szCs w:val="24"/>
          <w:lang w:val="ro-RO"/>
        </w:rPr>
        <w:t>в рамках ЦП</w:t>
      </w:r>
      <w:r w:rsidR="0044553B" w:rsidRPr="0044553B">
        <w:rPr>
          <w:rFonts w:asciiTheme="majorHAnsi" w:hAnsiTheme="majorHAnsi" w:cstheme="majorHAnsi"/>
          <w:sz w:val="24"/>
          <w:szCs w:val="24"/>
          <w:lang w:val="ro-RO"/>
        </w:rPr>
        <w:t>О единицы</w:t>
      </w:r>
      <w:r w:rsidRPr="007A0DB7">
        <w:rPr>
          <w:rFonts w:asciiTheme="majorHAnsi" w:hAnsiTheme="majorHAnsi" w:cstheme="majorHAnsi"/>
          <w:sz w:val="24"/>
          <w:szCs w:val="24"/>
          <w:lang w:val="ro-RO"/>
        </w:rPr>
        <w:t>/подразделения, ответственного за управление</w:t>
      </w:r>
      <w:r w:rsidR="0044553B" w:rsidRPr="0044553B">
        <w:rPr>
          <w:rFonts w:asciiTheme="majorHAnsi" w:hAnsiTheme="majorHAnsi" w:cstheme="majorHAnsi"/>
          <w:sz w:val="24"/>
          <w:szCs w:val="24"/>
          <w:lang w:val="ro-RO"/>
        </w:rPr>
        <w:t xml:space="preserve"> </w:t>
      </w:r>
      <w:r w:rsidR="0044553B" w:rsidRPr="007A0DB7">
        <w:rPr>
          <w:rFonts w:asciiTheme="majorHAnsi" w:hAnsiTheme="majorHAnsi" w:cstheme="majorHAnsi"/>
          <w:sz w:val="24"/>
          <w:szCs w:val="24"/>
          <w:lang w:val="ro-RO"/>
        </w:rPr>
        <w:t>государственны</w:t>
      </w:r>
      <w:r w:rsidR="0044553B" w:rsidRPr="0044553B">
        <w:rPr>
          <w:rFonts w:asciiTheme="majorHAnsi" w:hAnsiTheme="majorHAnsi" w:cstheme="majorHAnsi"/>
          <w:sz w:val="24"/>
          <w:szCs w:val="24"/>
          <w:lang w:val="ro-RO"/>
        </w:rPr>
        <w:t>ми</w:t>
      </w:r>
      <w:r w:rsidRPr="007A0DB7">
        <w:rPr>
          <w:rFonts w:asciiTheme="majorHAnsi" w:hAnsiTheme="majorHAnsi" w:cstheme="majorHAnsi"/>
          <w:sz w:val="24"/>
          <w:szCs w:val="24"/>
          <w:lang w:val="ro-RO"/>
        </w:rPr>
        <w:t xml:space="preserve"> капитальными инвестициями, что также способствовало бы функцион</w:t>
      </w:r>
      <w:r w:rsidR="0044553B" w:rsidRPr="0044553B">
        <w:rPr>
          <w:rFonts w:asciiTheme="majorHAnsi" w:hAnsiTheme="majorHAnsi" w:cstheme="majorHAnsi"/>
          <w:sz w:val="24"/>
          <w:szCs w:val="24"/>
          <w:lang w:val="ro-RO"/>
        </w:rPr>
        <w:t>ированию</w:t>
      </w:r>
      <w:r w:rsidRPr="007A0DB7">
        <w:rPr>
          <w:rFonts w:asciiTheme="majorHAnsi" w:hAnsiTheme="majorHAnsi" w:cstheme="majorHAnsi"/>
          <w:sz w:val="24"/>
          <w:szCs w:val="24"/>
          <w:lang w:val="ro-RO"/>
        </w:rPr>
        <w:t xml:space="preserve"> </w:t>
      </w:r>
      <w:r w:rsidR="0044553B" w:rsidRPr="0044553B">
        <w:rPr>
          <w:rFonts w:asciiTheme="majorHAnsi" w:hAnsiTheme="majorHAnsi" w:cstheme="majorHAnsi"/>
          <w:sz w:val="24"/>
          <w:szCs w:val="24"/>
          <w:lang w:val="ro-RO"/>
        </w:rPr>
        <w:t>Р</w:t>
      </w:r>
      <w:r w:rsidRPr="007A0DB7">
        <w:rPr>
          <w:rFonts w:asciiTheme="majorHAnsi" w:hAnsiTheme="majorHAnsi" w:cstheme="majorHAnsi"/>
          <w:sz w:val="24"/>
          <w:szCs w:val="24"/>
          <w:lang w:val="ro-RO"/>
        </w:rPr>
        <w:t xml:space="preserve">абочей группы по </w:t>
      </w:r>
      <w:r w:rsidR="0044553B" w:rsidRPr="007A0DB7">
        <w:rPr>
          <w:rFonts w:asciiTheme="majorHAnsi" w:hAnsiTheme="majorHAnsi" w:cstheme="majorHAnsi"/>
          <w:sz w:val="24"/>
          <w:szCs w:val="24"/>
          <w:lang w:val="ro-RO"/>
        </w:rPr>
        <w:t>государственны</w:t>
      </w:r>
      <w:r w:rsidR="0044553B" w:rsidRPr="0044553B">
        <w:rPr>
          <w:rFonts w:asciiTheme="majorHAnsi" w:hAnsiTheme="majorHAnsi" w:cstheme="majorHAnsi"/>
          <w:sz w:val="24"/>
          <w:szCs w:val="24"/>
          <w:lang w:val="ro-RO"/>
        </w:rPr>
        <w:t xml:space="preserve">м </w:t>
      </w:r>
      <w:r w:rsidRPr="007A0DB7">
        <w:rPr>
          <w:rFonts w:asciiTheme="majorHAnsi" w:hAnsiTheme="majorHAnsi" w:cstheme="majorHAnsi"/>
          <w:sz w:val="24"/>
          <w:szCs w:val="24"/>
          <w:lang w:val="ro-RO"/>
        </w:rPr>
        <w:t>капитальным инвестициям</w:t>
      </w:r>
      <w:r w:rsidR="00AC6703" w:rsidRPr="00F55BA6">
        <w:rPr>
          <w:rFonts w:asciiTheme="majorHAnsi" w:hAnsiTheme="majorHAnsi" w:cstheme="majorHAnsi"/>
          <w:sz w:val="24"/>
          <w:szCs w:val="24"/>
          <w:lang w:val="ro-RO"/>
        </w:rPr>
        <w:t>.</w:t>
      </w:r>
    </w:p>
    <w:p w:rsidR="00E03711" w:rsidRPr="00E4517B" w:rsidRDefault="007A0DB7" w:rsidP="00A7556E">
      <w:pPr>
        <w:spacing w:after="0"/>
        <w:rPr>
          <w:rFonts w:asciiTheme="majorHAnsi" w:hAnsiTheme="majorHAnsi" w:cstheme="majorHAnsi"/>
          <w:b/>
          <w:sz w:val="24"/>
          <w:szCs w:val="24"/>
          <w:lang w:val="ro-RO"/>
        </w:rPr>
      </w:pPr>
      <w:r w:rsidRPr="007A0DB7">
        <w:rPr>
          <w:rFonts w:asciiTheme="majorHAnsi" w:hAnsiTheme="majorHAnsi" w:cstheme="majorHAnsi"/>
          <w:sz w:val="24"/>
          <w:szCs w:val="24"/>
          <w:lang w:val="ro-RO"/>
        </w:rPr>
        <w:t xml:space="preserve">Аудиторская группа, </w:t>
      </w:r>
      <w:r w:rsidR="00435F3D">
        <w:rPr>
          <w:rFonts w:asciiTheme="majorHAnsi" w:hAnsiTheme="majorHAnsi" w:cstheme="majorHAnsi"/>
          <w:sz w:val="24"/>
          <w:szCs w:val="24"/>
          <w:lang w:val="ru-RU"/>
        </w:rPr>
        <w:t>провод</w:t>
      </w:r>
      <w:r w:rsidRPr="007A0DB7">
        <w:rPr>
          <w:rFonts w:asciiTheme="majorHAnsi" w:hAnsiTheme="majorHAnsi" w:cstheme="majorHAnsi"/>
          <w:sz w:val="24"/>
          <w:szCs w:val="24"/>
          <w:lang w:val="ro-RO"/>
        </w:rPr>
        <w:t xml:space="preserve">ившая аудиторскую миссию в </w:t>
      </w:r>
      <w:r w:rsidR="00435F3D" w:rsidRPr="00435F3D">
        <w:rPr>
          <w:rFonts w:asciiTheme="majorHAnsi" w:hAnsiTheme="majorHAnsi" w:cstheme="majorHAnsi"/>
          <w:b/>
          <w:sz w:val="24"/>
          <w:szCs w:val="24"/>
          <w:lang w:val="ru-RU"/>
        </w:rPr>
        <w:t>МЭИ</w:t>
      </w:r>
      <w:r w:rsidR="00435F3D" w:rsidRPr="00E4517B">
        <w:rPr>
          <w:rFonts w:asciiTheme="majorHAnsi" w:hAnsiTheme="majorHAnsi" w:cstheme="majorHAnsi"/>
          <w:sz w:val="24"/>
          <w:szCs w:val="24"/>
          <w:vertAlign w:val="superscript"/>
          <w:lang w:val="ro-RO"/>
        </w:rPr>
        <w:footnoteReference w:id="58"/>
      </w:r>
      <w:r w:rsidRPr="007A0DB7">
        <w:rPr>
          <w:rFonts w:asciiTheme="majorHAnsi" w:hAnsiTheme="majorHAnsi" w:cstheme="majorHAnsi"/>
          <w:sz w:val="24"/>
          <w:szCs w:val="24"/>
          <w:lang w:val="ro-RO"/>
        </w:rPr>
        <w:t xml:space="preserve">, </w:t>
      </w:r>
      <w:r w:rsidR="00435F3D">
        <w:rPr>
          <w:rFonts w:asciiTheme="majorHAnsi" w:hAnsiTheme="majorHAnsi" w:cstheme="majorHAnsi"/>
          <w:sz w:val="24"/>
          <w:szCs w:val="24"/>
          <w:lang w:val="ru-RU"/>
        </w:rPr>
        <w:t>выяви</w:t>
      </w:r>
      <w:r w:rsidRPr="007A0DB7">
        <w:rPr>
          <w:rFonts w:asciiTheme="majorHAnsi" w:hAnsiTheme="majorHAnsi" w:cstheme="majorHAnsi"/>
          <w:sz w:val="24"/>
          <w:szCs w:val="24"/>
          <w:lang w:val="ro-RO"/>
        </w:rPr>
        <w:t xml:space="preserve">ла неиспользование счета 723 </w:t>
      </w:r>
      <w:r w:rsidR="00435F3D" w:rsidRPr="00E4517B">
        <w:rPr>
          <w:rFonts w:asciiTheme="majorHAnsi" w:eastAsia="Calibri" w:hAnsiTheme="majorHAnsi" w:cstheme="majorHAnsi"/>
          <w:color w:val="000000"/>
          <w:sz w:val="24"/>
          <w:szCs w:val="24"/>
          <w:lang w:val="ro-RO" w:eastAsia="ro-RO" w:bidi="ro-RO"/>
        </w:rPr>
        <w:t>„</w:t>
      </w:r>
      <w:r w:rsidR="00435F3D">
        <w:rPr>
          <w:rFonts w:asciiTheme="majorHAnsi" w:eastAsia="Calibri" w:hAnsiTheme="majorHAnsi" w:cstheme="majorHAnsi"/>
          <w:color w:val="000000"/>
          <w:sz w:val="24"/>
          <w:szCs w:val="24"/>
          <w:lang w:val="ru-RU" w:eastAsia="ro-RO" w:bidi="ro-RO"/>
        </w:rPr>
        <w:t>И</w:t>
      </w:r>
      <w:r w:rsidRPr="007A0DB7">
        <w:rPr>
          <w:rFonts w:asciiTheme="majorHAnsi" w:hAnsiTheme="majorHAnsi" w:cstheme="majorHAnsi"/>
          <w:sz w:val="24"/>
          <w:szCs w:val="24"/>
          <w:lang w:val="ro-RO"/>
        </w:rPr>
        <w:t>справлени</w:t>
      </w:r>
      <w:r w:rsidR="00A70CFE">
        <w:rPr>
          <w:rFonts w:asciiTheme="majorHAnsi" w:hAnsiTheme="majorHAnsi" w:cstheme="majorHAnsi"/>
          <w:sz w:val="24"/>
          <w:szCs w:val="24"/>
          <w:lang w:val="ru-RU"/>
        </w:rPr>
        <w:t>е</w:t>
      </w:r>
      <w:r w:rsidRPr="007A0DB7">
        <w:rPr>
          <w:rFonts w:asciiTheme="majorHAnsi" w:hAnsiTheme="majorHAnsi" w:cstheme="majorHAnsi"/>
          <w:sz w:val="24"/>
          <w:szCs w:val="24"/>
          <w:lang w:val="ro-RO"/>
        </w:rPr>
        <w:t xml:space="preserve"> результатов предыдущих лет</w:t>
      </w:r>
      <w:r w:rsidR="00435F3D" w:rsidRPr="007A0DB7">
        <w:rPr>
          <w:rFonts w:asciiTheme="majorHAnsi" w:hAnsiTheme="majorHAnsi" w:cstheme="majorHAnsi"/>
          <w:sz w:val="24"/>
          <w:szCs w:val="24"/>
          <w:lang w:val="ro-RO"/>
        </w:rPr>
        <w:t>”</w:t>
      </w:r>
      <w:r w:rsidRPr="007A0DB7">
        <w:rPr>
          <w:rFonts w:asciiTheme="majorHAnsi" w:hAnsiTheme="majorHAnsi" w:cstheme="majorHAnsi"/>
          <w:sz w:val="24"/>
          <w:szCs w:val="24"/>
          <w:lang w:val="ro-RO"/>
        </w:rPr>
        <w:t xml:space="preserve"> для учета работ, п</w:t>
      </w:r>
      <w:r w:rsidR="00A70CFE">
        <w:rPr>
          <w:rFonts w:asciiTheme="majorHAnsi" w:hAnsiTheme="majorHAnsi" w:cstheme="majorHAnsi"/>
          <w:sz w:val="24"/>
          <w:szCs w:val="24"/>
          <w:lang w:val="ru-RU"/>
        </w:rPr>
        <w:t>ринят</w:t>
      </w:r>
      <w:r w:rsidRPr="007A0DB7">
        <w:rPr>
          <w:rFonts w:asciiTheme="majorHAnsi" w:hAnsiTheme="majorHAnsi" w:cstheme="majorHAnsi"/>
          <w:sz w:val="24"/>
          <w:szCs w:val="24"/>
          <w:lang w:val="ro-RO"/>
        </w:rPr>
        <w:t xml:space="preserve">ых </w:t>
      </w:r>
      <w:r w:rsidR="00A70CFE" w:rsidRPr="007A0DB7">
        <w:rPr>
          <w:rFonts w:asciiTheme="majorHAnsi" w:hAnsiTheme="majorHAnsi" w:cstheme="majorHAnsi"/>
          <w:sz w:val="24"/>
          <w:szCs w:val="24"/>
          <w:lang w:val="ro-RO"/>
        </w:rPr>
        <w:t>в 2018 году</w:t>
      </w:r>
      <w:r w:rsidR="00A70CFE">
        <w:rPr>
          <w:rFonts w:asciiTheme="majorHAnsi" w:hAnsiTheme="majorHAnsi" w:cstheme="majorHAnsi"/>
          <w:sz w:val="24"/>
          <w:szCs w:val="24"/>
          <w:lang w:val="ru-RU"/>
        </w:rPr>
        <w:t xml:space="preserve"> от </w:t>
      </w:r>
      <w:r w:rsidRPr="007A0DB7">
        <w:rPr>
          <w:rFonts w:asciiTheme="majorHAnsi" w:hAnsiTheme="majorHAnsi" w:cstheme="majorHAnsi"/>
          <w:sz w:val="24"/>
          <w:szCs w:val="24"/>
          <w:lang w:val="ro-RO"/>
        </w:rPr>
        <w:t xml:space="preserve">ГП </w:t>
      </w:r>
      <w:r w:rsidR="00A70CFE" w:rsidRPr="00E4517B">
        <w:rPr>
          <w:rFonts w:asciiTheme="majorHAnsi" w:eastAsia="Calibri" w:hAnsiTheme="majorHAnsi" w:cstheme="majorHAnsi"/>
          <w:color w:val="000000"/>
          <w:sz w:val="24"/>
          <w:szCs w:val="24"/>
          <w:lang w:val="ro-RO" w:eastAsia="ro-RO" w:bidi="ro-RO"/>
        </w:rPr>
        <w:t>„</w:t>
      </w:r>
      <w:r w:rsidR="00A70CFE">
        <w:rPr>
          <w:rFonts w:asciiTheme="majorHAnsi" w:eastAsia="Calibri" w:hAnsiTheme="majorHAnsi" w:cstheme="majorHAnsi"/>
          <w:color w:val="000000"/>
          <w:sz w:val="24"/>
          <w:szCs w:val="24"/>
          <w:lang w:val="ru-RU" w:eastAsia="ro-RO" w:bidi="ro-RO"/>
        </w:rPr>
        <w:t>Г</w:t>
      </w:r>
      <w:r w:rsidRPr="007A0DB7">
        <w:rPr>
          <w:rFonts w:asciiTheme="majorHAnsi" w:hAnsiTheme="majorHAnsi" w:cstheme="majorHAnsi"/>
          <w:sz w:val="24"/>
          <w:szCs w:val="24"/>
          <w:lang w:val="ro-RO"/>
        </w:rPr>
        <w:t>осударственная администрация дорог</w:t>
      </w:r>
      <w:r w:rsidR="00A70CFE" w:rsidRPr="00E4517B">
        <w:rPr>
          <w:rFonts w:asciiTheme="majorHAnsi" w:eastAsia="Calibri" w:hAnsiTheme="majorHAnsi" w:cstheme="majorHAnsi"/>
          <w:color w:val="000000"/>
          <w:sz w:val="24"/>
          <w:szCs w:val="24"/>
          <w:lang w:val="ro-RO" w:eastAsia="ro-RO" w:bidi="ro-RO"/>
        </w:rPr>
        <w:t>”</w:t>
      </w:r>
      <w:r w:rsidRPr="007A0DB7">
        <w:rPr>
          <w:rFonts w:asciiTheme="majorHAnsi" w:hAnsiTheme="majorHAnsi" w:cstheme="majorHAnsi"/>
          <w:sz w:val="24"/>
          <w:szCs w:val="24"/>
          <w:lang w:val="ro-RO"/>
        </w:rPr>
        <w:t>, относящ</w:t>
      </w:r>
      <w:r w:rsidR="00A70CFE">
        <w:rPr>
          <w:rFonts w:asciiTheme="majorHAnsi" w:hAnsiTheme="majorHAnsi" w:cstheme="majorHAnsi"/>
          <w:sz w:val="24"/>
          <w:szCs w:val="24"/>
          <w:lang w:val="ru-RU"/>
        </w:rPr>
        <w:t>их</w:t>
      </w:r>
      <w:r w:rsidRPr="007A0DB7">
        <w:rPr>
          <w:rFonts w:asciiTheme="majorHAnsi" w:hAnsiTheme="majorHAnsi" w:cstheme="majorHAnsi"/>
          <w:sz w:val="24"/>
          <w:szCs w:val="24"/>
          <w:lang w:val="ro-RO"/>
        </w:rPr>
        <w:t xml:space="preserve">ся к строительству объездного </w:t>
      </w:r>
      <w:r w:rsidR="00A70CFE">
        <w:rPr>
          <w:rFonts w:asciiTheme="majorHAnsi" w:hAnsiTheme="majorHAnsi" w:cstheme="majorHAnsi"/>
          <w:sz w:val="24"/>
          <w:szCs w:val="24"/>
          <w:lang w:val="ru-RU"/>
        </w:rPr>
        <w:t>пути</w:t>
      </w:r>
      <w:r w:rsidRPr="007A0DB7">
        <w:rPr>
          <w:rFonts w:asciiTheme="majorHAnsi" w:hAnsiTheme="majorHAnsi" w:cstheme="majorHAnsi"/>
          <w:sz w:val="24"/>
          <w:szCs w:val="24"/>
          <w:lang w:val="ro-RO"/>
        </w:rPr>
        <w:t xml:space="preserve"> г. Унгень, дорог</w:t>
      </w:r>
      <w:r w:rsidR="00A70CFE">
        <w:rPr>
          <w:rFonts w:asciiTheme="majorHAnsi" w:hAnsiTheme="majorHAnsi" w:cstheme="majorHAnsi"/>
          <w:sz w:val="24"/>
          <w:szCs w:val="24"/>
          <w:lang w:val="ru-RU"/>
        </w:rPr>
        <w:t>а</w:t>
      </w:r>
      <w:r w:rsidRPr="007A0DB7">
        <w:rPr>
          <w:rFonts w:asciiTheme="majorHAnsi" w:hAnsiTheme="majorHAnsi" w:cstheme="majorHAnsi"/>
          <w:sz w:val="24"/>
          <w:szCs w:val="24"/>
          <w:lang w:val="ro-RO"/>
        </w:rPr>
        <w:t xml:space="preserve"> R1 </w:t>
      </w:r>
      <w:r w:rsidR="00A70CFE">
        <w:rPr>
          <w:rFonts w:asciiTheme="majorHAnsi" w:hAnsiTheme="majorHAnsi" w:cstheme="majorHAnsi"/>
          <w:sz w:val="24"/>
          <w:szCs w:val="24"/>
          <w:lang w:val="ru-RU"/>
        </w:rPr>
        <w:t>участок</w:t>
      </w:r>
      <w:r w:rsidRPr="007A0DB7">
        <w:rPr>
          <w:rFonts w:asciiTheme="majorHAnsi" w:hAnsiTheme="majorHAnsi" w:cstheme="majorHAnsi"/>
          <w:sz w:val="24"/>
          <w:szCs w:val="24"/>
          <w:lang w:val="ro-RO"/>
        </w:rPr>
        <w:t xml:space="preserve"> км 96 + 200</w:t>
      </w:r>
      <w:r w:rsidR="00A70CFE">
        <w:rPr>
          <w:rFonts w:asciiTheme="majorHAnsi" w:hAnsiTheme="majorHAnsi" w:cstheme="majorHAnsi"/>
          <w:sz w:val="24"/>
          <w:szCs w:val="24"/>
          <w:lang w:val="ru-RU"/>
        </w:rPr>
        <w:t xml:space="preserve"> </w:t>
      </w:r>
      <w:r w:rsidRPr="007A0DB7">
        <w:rPr>
          <w:rFonts w:asciiTheme="majorHAnsi" w:hAnsiTheme="majorHAnsi" w:cstheme="majorHAnsi"/>
          <w:sz w:val="24"/>
          <w:szCs w:val="24"/>
          <w:lang w:val="ro-RO"/>
        </w:rPr>
        <w:t>-</w:t>
      </w:r>
      <w:r w:rsidR="00A70CFE">
        <w:rPr>
          <w:rFonts w:asciiTheme="majorHAnsi" w:hAnsiTheme="majorHAnsi" w:cstheme="majorHAnsi"/>
          <w:sz w:val="24"/>
          <w:szCs w:val="24"/>
          <w:lang w:val="ru-RU"/>
        </w:rPr>
        <w:t xml:space="preserve"> </w:t>
      </w:r>
      <w:r w:rsidRPr="007A0DB7">
        <w:rPr>
          <w:rFonts w:asciiTheme="majorHAnsi" w:hAnsiTheme="majorHAnsi" w:cstheme="majorHAnsi"/>
          <w:sz w:val="24"/>
          <w:szCs w:val="24"/>
          <w:lang w:val="ro-RO"/>
        </w:rPr>
        <w:t>км 103 + 913</w:t>
      </w:r>
      <w:r w:rsidR="00A70CFE">
        <w:rPr>
          <w:rFonts w:asciiTheme="majorHAnsi" w:hAnsiTheme="majorHAnsi" w:cstheme="majorHAnsi"/>
          <w:sz w:val="24"/>
          <w:szCs w:val="24"/>
          <w:lang w:val="ru-RU"/>
        </w:rPr>
        <w:t xml:space="preserve">, </w:t>
      </w:r>
      <w:r w:rsidRPr="007A0DB7">
        <w:rPr>
          <w:rFonts w:asciiTheme="majorHAnsi" w:hAnsiTheme="majorHAnsi" w:cstheme="majorHAnsi"/>
          <w:sz w:val="24"/>
          <w:szCs w:val="24"/>
          <w:lang w:val="ro-RO"/>
        </w:rPr>
        <w:t xml:space="preserve"> </w:t>
      </w:r>
      <w:r w:rsidR="00A70CFE">
        <w:rPr>
          <w:rFonts w:asciiTheme="majorHAnsi" w:hAnsiTheme="majorHAnsi" w:cstheme="majorHAnsi"/>
          <w:sz w:val="24"/>
          <w:szCs w:val="24"/>
          <w:lang w:val="ru-RU"/>
        </w:rPr>
        <w:t xml:space="preserve">что привело к </w:t>
      </w:r>
      <w:r w:rsidRPr="007A0DB7">
        <w:rPr>
          <w:rFonts w:asciiTheme="majorHAnsi" w:hAnsiTheme="majorHAnsi" w:cstheme="majorHAnsi"/>
          <w:sz w:val="24"/>
          <w:szCs w:val="24"/>
          <w:lang w:val="ro-RO"/>
        </w:rPr>
        <w:t>искажени</w:t>
      </w:r>
      <w:r w:rsidR="00A70CFE">
        <w:rPr>
          <w:rFonts w:asciiTheme="majorHAnsi" w:hAnsiTheme="majorHAnsi" w:cstheme="majorHAnsi"/>
          <w:sz w:val="24"/>
          <w:szCs w:val="24"/>
          <w:lang w:val="ru-RU"/>
        </w:rPr>
        <w:t>ю</w:t>
      </w:r>
      <w:r w:rsidRPr="007A0DB7">
        <w:rPr>
          <w:rFonts w:asciiTheme="majorHAnsi" w:hAnsiTheme="majorHAnsi" w:cstheme="majorHAnsi"/>
          <w:sz w:val="24"/>
          <w:szCs w:val="24"/>
          <w:lang w:val="ro-RO"/>
        </w:rPr>
        <w:t xml:space="preserve"> балансовой информации на 207,35 млн. леев, путем </w:t>
      </w:r>
      <w:r w:rsidR="00A70CFE">
        <w:rPr>
          <w:rFonts w:asciiTheme="majorHAnsi" w:hAnsiTheme="majorHAnsi" w:cstheme="majorHAnsi"/>
          <w:sz w:val="24"/>
          <w:szCs w:val="24"/>
          <w:lang w:val="ru-RU"/>
        </w:rPr>
        <w:t>завышения</w:t>
      </w:r>
      <w:r w:rsidRPr="007A0DB7">
        <w:rPr>
          <w:rFonts w:asciiTheme="majorHAnsi" w:hAnsiTheme="majorHAnsi" w:cstheme="majorHAnsi"/>
          <w:sz w:val="24"/>
          <w:szCs w:val="24"/>
          <w:lang w:val="ro-RO"/>
        </w:rPr>
        <w:t xml:space="preserve"> группы счетов 289 </w:t>
      </w:r>
      <w:r w:rsidR="00A70CFE" w:rsidRPr="00E4517B">
        <w:rPr>
          <w:rFonts w:asciiTheme="majorHAnsi" w:eastAsia="Calibri" w:hAnsiTheme="majorHAnsi" w:cstheme="majorHAnsi"/>
          <w:color w:val="000000"/>
          <w:sz w:val="24"/>
          <w:szCs w:val="24"/>
          <w:lang w:val="ro-RO" w:eastAsia="ro-RO" w:bidi="ro-RO"/>
        </w:rPr>
        <w:t>„</w:t>
      </w:r>
      <w:r w:rsidR="00A70CFE">
        <w:rPr>
          <w:rFonts w:asciiTheme="majorHAnsi" w:eastAsia="Calibri" w:hAnsiTheme="majorHAnsi" w:cstheme="majorHAnsi"/>
          <w:color w:val="000000"/>
          <w:sz w:val="24"/>
          <w:szCs w:val="24"/>
          <w:lang w:val="ru-RU" w:eastAsia="ro-RO" w:bidi="ro-RO"/>
        </w:rPr>
        <w:t>Р</w:t>
      </w:r>
      <w:r w:rsidRPr="007A0DB7">
        <w:rPr>
          <w:rFonts w:asciiTheme="majorHAnsi" w:hAnsiTheme="majorHAnsi" w:cstheme="majorHAnsi"/>
          <w:sz w:val="24"/>
          <w:szCs w:val="24"/>
          <w:lang w:val="ro-RO"/>
        </w:rPr>
        <w:t>асходы бюджетных учреждений</w:t>
      </w:r>
      <w:r w:rsidR="00A70CFE" w:rsidRPr="00E4517B">
        <w:rPr>
          <w:rFonts w:asciiTheme="majorHAnsi" w:eastAsia="Calibri" w:hAnsiTheme="majorHAnsi" w:cstheme="majorHAnsi"/>
          <w:color w:val="000000"/>
          <w:sz w:val="24"/>
          <w:szCs w:val="24"/>
          <w:lang w:val="ro-RO" w:eastAsia="ro-RO" w:bidi="ro-RO"/>
        </w:rPr>
        <w:t>”</w:t>
      </w:r>
      <w:r w:rsidR="00A70CFE">
        <w:rPr>
          <w:rFonts w:asciiTheme="majorHAnsi" w:eastAsia="Calibri" w:hAnsiTheme="majorHAnsi" w:cstheme="majorHAnsi"/>
          <w:color w:val="000000"/>
          <w:sz w:val="24"/>
          <w:szCs w:val="24"/>
          <w:lang w:val="ru-RU" w:eastAsia="ro-RO" w:bidi="ro-RO"/>
        </w:rPr>
        <w:t xml:space="preserve"> </w:t>
      </w:r>
      <w:r w:rsidRPr="007A0DB7">
        <w:rPr>
          <w:rFonts w:asciiTheme="majorHAnsi" w:hAnsiTheme="majorHAnsi" w:cstheme="majorHAnsi"/>
          <w:sz w:val="24"/>
          <w:szCs w:val="24"/>
          <w:lang w:val="ro-RO"/>
        </w:rPr>
        <w:t xml:space="preserve">и </w:t>
      </w:r>
      <w:r w:rsidR="00A70CFE">
        <w:rPr>
          <w:rFonts w:asciiTheme="majorHAnsi" w:hAnsiTheme="majorHAnsi" w:cstheme="majorHAnsi"/>
          <w:sz w:val="24"/>
          <w:szCs w:val="24"/>
          <w:lang w:val="ru-RU"/>
        </w:rPr>
        <w:t>занижения</w:t>
      </w:r>
      <w:r w:rsidRPr="007A0DB7">
        <w:rPr>
          <w:rFonts w:asciiTheme="majorHAnsi" w:hAnsiTheme="majorHAnsi" w:cstheme="majorHAnsi"/>
          <w:sz w:val="24"/>
          <w:szCs w:val="24"/>
          <w:lang w:val="ro-RO"/>
        </w:rPr>
        <w:t xml:space="preserve"> группы счетов 721</w:t>
      </w:r>
      <w:r w:rsidR="00A70CFE">
        <w:rPr>
          <w:rFonts w:asciiTheme="majorHAnsi" w:hAnsiTheme="majorHAnsi" w:cstheme="majorHAnsi"/>
          <w:sz w:val="24"/>
          <w:szCs w:val="24"/>
          <w:lang w:val="ru-RU"/>
        </w:rPr>
        <w:t xml:space="preserve"> </w:t>
      </w:r>
      <w:r w:rsidR="00435F3D" w:rsidRPr="00E4517B">
        <w:rPr>
          <w:rFonts w:asciiTheme="majorHAnsi" w:eastAsia="Calibri" w:hAnsiTheme="majorHAnsi" w:cstheme="majorHAnsi"/>
          <w:color w:val="000000"/>
          <w:sz w:val="24"/>
          <w:szCs w:val="24"/>
          <w:lang w:val="ro-RO" w:eastAsia="ro-RO" w:bidi="ro-RO"/>
        </w:rPr>
        <w:t>„</w:t>
      </w:r>
      <w:r w:rsidR="00435F3D">
        <w:rPr>
          <w:rFonts w:asciiTheme="majorHAnsi" w:eastAsia="Calibri" w:hAnsiTheme="majorHAnsi" w:cstheme="majorHAnsi"/>
          <w:color w:val="000000"/>
          <w:sz w:val="24"/>
          <w:szCs w:val="24"/>
          <w:lang w:val="ru-RU" w:eastAsia="ro-RO" w:bidi="ro-RO"/>
        </w:rPr>
        <w:t>Ф</w:t>
      </w:r>
      <w:r w:rsidR="00435F3D" w:rsidRPr="007A0DB7">
        <w:rPr>
          <w:rFonts w:asciiTheme="majorHAnsi" w:hAnsiTheme="majorHAnsi" w:cstheme="majorHAnsi"/>
          <w:sz w:val="24"/>
          <w:szCs w:val="24"/>
          <w:lang w:val="ro-RO"/>
        </w:rPr>
        <w:t xml:space="preserve">инансовый результат публичного учреждения </w:t>
      </w:r>
      <w:r w:rsidR="00435F3D">
        <w:rPr>
          <w:rFonts w:asciiTheme="majorHAnsi" w:hAnsiTheme="majorHAnsi" w:cstheme="majorHAnsi"/>
          <w:sz w:val="24"/>
          <w:szCs w:val="24"/>
          <w:lang w:val="ru-RU"/>
        </w:rPr>
        <w:t xml:space="preserve">за </w:t>
      </w:r>
      <w:r w:rsidR="00435F3D" w:rsidRPr="007A0DB7">
        <w:rPr>
          <w:rFonts w:asciiTheme="majorHAnsi" w:hAnsiTheme="majorHAnsi" w:cstheme="majorHAnsi"/>
          <w:sz w:val="24"/>
          <w:szCs w:val="24"/>
          <w:lang w:val="ro-RO"/>
        </w:rPr>
        <w:t>текущ</w:t>
      </w:r>
      <w:r w:rsidR="00435F3D">
        <w:rPr>
          <w:rFonts w:asciiTheme="majorHAnsi" w:hAnsiTheme="majorHAnsi" w:cstheme="majorHAnsi"/>
          <w:sz w:val="24"/>
          <w:szCs w:val="24"/>
          <w:lang w:val="ru-RU"/>
        </w:rPr>
        <w:t>ий</w:t>
      </w:r>
      <w:r w:rsidR="00435F3D" w:rsidRPr="007A0DB7">
        <w:rPr>
          <w:rFonts w:asciiTheme="majorHAnsi" w:hAnsiTheme="majorHAnsi" w:cstheme="majorHAnsi"/>
          <w:sz w:val="24"/>
          <w:szCs w:val="24"/>
          <w:lang w:val="ro-RO"/>
        </w:rPr>
        <w:t xml:space="preserve"> год</w:t>
      </w:r>
      <w:r w:rsidRPr="007A0DB7">
        <w:rPr>
          <w:rFonts w:asciiTheme="majorHAnsi" w:hAnsiTheme="majorHAnsi" w:cstheme="majorHAnsi"/>
          <w:sz w:val="24"/>
          <w:szCs w:val="24"/>
          <w:lang w:val="ro-RO"/>
        </w:rPr>
        <w:t>”.</w:t>
      </w:r>
      <w:r w:rsidR="00E03711" w:rsidRPr="00F55BA6">
        <w:rPr>
          <w:rFonts w:asciiTheme="majorHAnsi" w:hAnsiTheme="majorHAnsi" w:cstheme="majorHAnsi"/>
          <w:sz w:val="24"/>
          <w:szCs w:val="24"/>
          <w:lang w:val="ro-RO"/>
        </w:rPr>
        <w:t xml:space="preserve"> </w:t>
      </w:r>
      <w:r w:rsidR="00F06CCC">
        <w:rPr>
          <w:rFonts w:asciiTheme="majorHAnsi" w:hAnsiTheme="majorHAnsi" w:cstheme="majorHAnsi"/>
          <w:sz w:val="24"/>
          <w:szCs w:val="24"/>
          <w:lang w:val="ru-RU"/>
        </w:rPr>
        <w:t>Также</w:t>
      </w:r>
      <w:r w:rsidRPr="007A0DB7">
        <w:rPr>
          <w:rFonts w:asciiTheme="majorHAnsi" w:hAnsiTheme="majorHAnsi" w:cstheme="majorHAnsi"/>
          <w:sz w:val="24"/>
          <w:szCs w:val="24"/>
          <w:lang w:val="ro-RO"/>
        </w:rPr>
        <w:t>, информация из консолидированных финансовых отчетов, относящ</w:t>
      </w:r>
      <w:r w:rsidR="00A70CFE">
        <w:rPr>
          <w:rFonts w:asciiTheme="majorHAnsi" w:hAnsiTheme="majorHAnsi" w:cstheme="majorHAnsi"/>
          <w:sz w:val="24"/>
          <w:szCs w:val="24"/>
          <w:lang w:val="ru-RU"/>
        </w:rPr>
        <w:t>ая</w:t>
      </w:r>
      <w:r w:rsidRPr="007A0DB7">
        <w:rPr>
          <w:rFonts w:asciiTheme="majorHAnsi" w:hAnsiTheme="majorHAnsi" w:cstheme="majorHAnsi"/>
          <w:sz w:val="24"/>
          <w:szCs w:val="24"/>
          <w:lang w:val="ro-RO"/>
        </w:rPr>
        <w:t>ся к нефинансовым активам на совокупном уровне, была искажена их недооценкой на 32,31 млн. лей и переоценк</w:t>
      </w:r>
      <w:r w:rsidR="00F06CCC">
        <w:rPr>
          <w:rFonts w:asciiTheme="majorHAnsi" w:hAnsiTheme="majorHAnsi" w:cstheme="majorHAnsi"/>
          <w:sz w:val="24"/>
          <w:szCs w:val="24"/>
          <w:lang w:val="ru-RU"/>
        </w:rPr>
        <w:t>ой</w:t>
      </w:r>
      <w:r w:rsidRPr="007A0DB7">
        <w:rPr>
          <w:rFonts w:asciiTheme="majorHAnsi" w:hAnsiTheme="majorHAnsi" w:cstheme="majorHAnsi"/>
          <w:sz w:val="24"/>
          <w:szCs w:val="24"/>
          <w:lang w:val="ro-RO"/>
        </w:rPr>
        <w:t xml:space="preserve"> на 18,96 млн. леев, из которых: </w:t>
      </w:r>
      <w:r w:rsidRPr="00F06CCC">
        <w:rPr>
          <w:rFonts w:asciiTheme="majorHAnsi" w:hAnsiTheme="majorHAnsi" w:cstheme="majorHAnsi"/>
          <w:i/>
          <w:sz w:val="24"/>
          <w:szCs w:val="24"/>
          <w:lang w:val="ro-RO"/>
        </w:rPr>
        <w:t>(i)</w:t>
      </w:r>
      <w:r w:rsidRPr="007A0DB7">
        <w:rPr>
          <w:rFonts w:asciiTheme="majorHAnsi" w:hAnsiTheme="majorHAnsi" w:cstheme="majorHAnsi"/>
          <w:sz w:val="24"/>
          <w:szCs w:val="24"/>
          <w:lang w:val="ro-RO"/>
        </w:rPr>
        <w:t xml:space="preserve"> не</w:t>
      </w:r>
      <w:r w:rsidR="00F06CCC">
        <w:rPr>
          <w:rFonts w:asciiTheme="majorHAnsi" w:hAnsiTheme="majorHAnsi" w:cstheme="majorHAnsi"/>
          <w:sz w:val="24"/>
          <w:szCs w:val="24"/>
          <w:lang w:val="ru-RU"/>
        </w:rPr>
        <w:t>правильно</w:t>
      </w:r>
      <w:r w:rsidRPr="007A0DB7">
        <w:rPr>
          <w:rFonts w:asciiTheme="majorHAnsi" w:hAnsiTheme="majorHAnsi" w:cstheme="majorHAnsi"/>
          <w:sz w:val="24"/>
          <w:szCs w:val="24"/>
          <w:lang w:val="ro-RO"/>
        </w:rPr>
        <w:t xml:space="preserve">е </w:t>
      </w:r>
      <w:r w:rsidR="00F06CCC">
        <w:rPr>
          <w:rFonts w:asciiTheme="majorHAnsi" w:hAnsiTheme="majorHAnsi" w:cstheme="majorHAnsi"/>
          <w:sz w:val="24"/>
          <w:szCs w:val="24"/>
          <w:lang w:val="ru-RU"/>
        </w:rPr>
        <w:t>отнес</w:t>
      </w:r>
      <w:r w:rsidRPr="007A0DB7">
        <w:rPr>
          <w:rFonts w:asciiTheme="majorHAnsi" w:hAnsiTheme="majorHAnsi" w:cstheme="majorHAnsi"/>
          <w:sz w:val="24"/>
          <w:szCs w:val="24"/>
          <w:lang w:val="ro-RO"/>
        </w:rPr>
        <w:t xml:space="preserve">ение </w:t>
      </w:r>
      <w:r w:rsidR="00F06CCC">
        <w:rPr>
          <w:rFonts w:asciiTheme="majorHAnsi" w:hAnsiTheme="majorHAnsi" w:cstheme="majorHAnsi"/>
          <w:sz w:val="24"/>
          <w:szCs w:val="24"/>
          <w:lang w:val="ru-RU"/>
        </w:rPr>
        <w:t xml:space="preserve">некоторых незавершенных </w:t>
      </w:r>
      <w:r w:rsidRPr="007A0DB7">
        <w:rPr>
          <w:rFonts w:asciiTheme="majorHAnsi" w:hAnsiTheme="majorHAnsi" w:cstheme="majorHAnsi"/>
          <w:sz w:val="24"/>
          <w:szCs w:val="24"/>
          <w:lang w:val="ro-RO"/>
        </w:rPr>
        <w:t xml:space="preserve">капитальных инвестиций в активы, что обусловило </w:t>
      </w:r>
      <w:r w:rsidR="00F06CCC">
        <w:rPr>
          <w:rFonts w:asciiTheme="majorHAnsi" w:hAnsiTheme="majorHAnsi" w:cstheme="majorHAnsi"/>
          <w:sz w:val="24"/>
          <w:szCs w:val="24"/>
          <w:lang w:val="ru-RU"/>
        </w:rPr>
        <w:t>завышение</w:t>
      </w:r>
      <w:r w:rsidRPr="007A0DB7">
        <w:rPr>
          <w:rFonts w:asciiTheme="majorHAnsi" w:hAnsiTheme="majorHAnsi" w:cstheme="majorHAnsi"/>
          <w:sz w:val="24"/>
          <w:szCs w:val="24"/>
          <w:lang w:val="ro-RO"/>
        </w:rPr>
        <w:t xml:space="preserve"> группы счетов 317 </w:t>
      </w:r>
      <w:r w:rsidR="00F06CCC" w:rsidRPr="00207634">
        <w:rPr>
          <w:rFonts w:asciiTheme="majorHAnsi" w:eastAsia="Calibri" w:hAnsiTheme="majorHAnsi" w:cstheme="majorHAnsi"/>
          <w:color w:val="000000"/>
          <w:sz w:val="24"/>
          <w:szCs w:val="24"/>
          <w:lang w:val="ro-RO" w:eastAsia="ro-RO" w:bidi="ro-RO"/>
        </w:rPr>
        <w:t>„</w:t>
      </w:r>
      <w:r w:rsidR="00F06CCC">
        <w:rPr>
          <w:rFonts w:asciiTheme="majorHAnsi" w:eastAsia="Calibri" w:hAnsiTheme="majorHAnsi" w:cstheme="majorHAnsi"/>
          <w:color w:val="000000"/>
          <w:sz w:val="24"/>
          <w:szCs w:val="24"/>
          <w:lang w:val="ru-RU" w:eastAsia="ro-RO" w:bidi="ro-RO"/>
        </w:rPr>
        <w:t>Н</w:t>
      </w:r>
      <w:r w:rsidRPr="007A0DB7">
        <w:rPr>
          <w:rFonts w:asciiTheme="majorHAnsi" w:hAnsiTheme="majorHAnsi" w:cstheme="majorHAnsi"/>
          <w:sz w:val="24"/>
          <w:szCs w:val="24"/>
          <w:lang w:val="ro-RO"/>
        </w:rPr>
        <w:t>ематериальные активы</w:t>
      </w:r>
      <w:r w:rsidR="00F06CCC" w:rsidRPr="009131CF">
        <w:rPr>
          <w:rFonts w:asciiTheme="majorHAnsi" w:eastAsia="Calibri" w:hAnsiTheme="majorHAnsi" w:cstheme="majorHAnsi"/>
          <w:color w:val="000000"/>
          <w:sz w:val="24"/>
          <w:szCs w:val="24"/>
          <w:lang w:val="ro-RO" w:eastAsia="ro-RO" w:bidi="ro-RO"/>
        </w:rPr>
        <w:t>”</w:t>
      </w:r>
      <w:r w:rsidR="00F06CCC">
        <w:rPr>
          <w:rFonts w:asciiTheme="majorHAnsi" w:eastAsia="Calibri" w:hAnsiTheme="majorHAnsi" w:cstheme="majorHAnsi"/>
          <w:color w:val="000000"/>
          <w:sz w:val="24"/>
          <w:szCs w:val="24"/>
          <w:lang w:val="ru-RU" w:eastAsia="ro-RO" w:bidi="ro-RO"/>
        </w:rPr>
        <w:t xml:space="preserve"> </w:t>
      </w:r>
      <w:r w:rsidRPr="007A0DB7">
        <w:rPr>
          <w:rFonts w:asciiTheme="majorHAnsi" w:hAnsiTheme="majorHAnsi" w:cstheme="majorHAnsi"/>
          <w:sz w:val="24"/>
          <w:szCs w:val="24"/>
          <w:lang w:val="ro-RO"/>
        </w:rPr>
        <w:t>на 18,16 млн. леев</w:t>
      </w:r>
      <w:r w:rsidR="00F06CCC">
        <w:rPr>
          <w:rFonts w:asciiTheme="majorHAnsi" w:hAnsiTheme="majorHAnsi" w:cstheme="majorHAnsi"/>
          <w:sz w:val="24"/>
          <w:szCs w:val="24"/>
          <w:lang w:val="ru-RU"/>
        </w:rPr>
        <w:t>,</w:t>
      </w:r>
      <w:r w:rsidRPr="007A0DB7">
        <w:rPr>
          <w:rFonts w:asciiTheme="majorHAnsi" w:hAnsiTheme="majorHAnsi" w:cstheme="majorHAnsi"/>
          <w:sz w:val="24"/>
          <w:szCs w:val="24"/>
          <w:lang w:val="ro-RO"/>
        </w:rPr>
        <w:t xml:space="preserve"> и </w:t>
      </w:r>
      <w:r w:rsidR="00F06CCC">
        <w:rPr>
          <w:rFonts w:asciiTheme="majorHAnsi" w:hAnsiTheme="majorHAnsi" w:cstheme="majorHAnsi"/>
          <w:sz w:val="24"/>
          <w:szCs w:val="24"/>
          <w:lang w:val="ru-RU"/>
        </w:rPr>
        <w:t>занижение на ту же сумму</w:t>
      </w:r>
      <w:r w:rsidRPr="007A0DB7">
        <w:rPr>
          <w:rFonts w:asciiTheme="majorHAnsi" w:hAnsiTheme="majorHAnsi" w:cstheme="majorHAnsi"/>
          <w:sz w:val="24"/>
          <w:szCs w:val="24"/>
          <w:lang w:val="ro-RO"/>
        </w:rPr>
        <w:t xml:space="preserve"> группы счетов 319</w:t>
      </w:r>
      <w:r w:rsidR="00F06CCC">
        <w:rPr>
          <w:rFonts w:asciiTheme="majorHAnsi" w:hAnsiTheme="majorHAnsi" w:cstheme="majorHAnsi"/>
          <w:sz w:val="24"/>
          <w:szCs w:val="24"/>
          <w:lang w:val="ru-RU"/>
        </w:rPr>
        <w:t xml:space="preserve"> </w:t>
      </w:r>
      <w:r w:rsidR="00F06CCC" w:rsidRPr="00F06CCC">
        <w:rPr>
          <w:rFonts w:asciiTheme="majorHAnsi" w:hAnsiTheme="majorHAnsi" w:cstheme="majorHAnsi"/>
          <w:sz w:val="24"/>
          <w:szCs w:val="24"/>
          <w:lang w:val="ru-RU"/>
        </w:rPr>
        <w:t xml:space="preserve"> </w:t>
      </w:r>
      <w:r w:rsidR="00F06CCC" w:rsidRPr="00207634">
        <w:rPr>
          <w:rFonts w:asciiTheme="majorHAnsi" w:eastAsia="Calibri" w:hAnsiTheme="majorHAnsi" w:cstheme="majorHAnsi"/>
          <w:color w:val="000000"/>
          <w:sz w:val="24"/>
          <w:szCs w:val="24"/>
          <w:lang w:val="ro-RO" w:eastAsia="ro-RO" w:bidi="ro-RO"/>
        </w:rPr>
        <w:t>„</w:t>
      </w:r>
      <w:r w:rsidR="00F06CCC">
        <w:rPr>
          <w:rFonts w:asciiTheme="majorHAnsi" w:hAnsiTheme="majorHAnsi" w:cstheme="majorHAnsi"/>
          <w:sz w:val="24"/>
          <w:szCs w:val="24"/>
          <w:lang w:val="ru-RU"/>
        </w:rPr>
        <w:t xml:space="preserve">Незавершенные </w:t>
      </w:r>
      <w:r w:rsidR="00F06CCC" w:rsidRPr="007A0DB7">
        <w:rPr>
          <w:rFonts w:asciiTheme="majorHAnsi" w:hAnsiTheme="majorHAnsi" w:cstheme="majorHAnsi"/>
          <w:sz w:val="24"/>
          <w:szCs w:val="24"/>
          <w:lang w:val="ro-RO"/>
        </w:rPr>
        <w:t>капитальны</w:t>
      </w:r>
      <w:r w:rsidR="00F06CCC">
        <w:rPr>
          <w:rFonts w:asciiTheme="majorHAnsi" w:hAnsiTheme="majorHAnsi" w:cstheme="majorHAnsi"/>
          <w:sz w:val="24"/>
          <w:szCs w:val="24"/>
          <w:lang w:val="ru-RU"/>
        </w:rPr>
        <w:t>е</w:t>
      </w:r>
      <w:r w:rsidR="00F06CCC" w:rsidRPr="007A0DB7">
        <w:rPr>
          <w:rFonts w:asciiTheme="majorHAnsi" w:hAnsiTheme="majorHAnsi" w:cstheme="majorHAnsi"/>
          <w:sz w:val="24"/>
          <w:szCs w:val="24"/>
          <w:lang w:val="ro-RO"/>
        </w:rPr>
        <w:t xml:space="preserve"> инвестици</w:t>
      </w:r>
      <w:r w:rsidR="00F06CCC">
        <w:rPr>
          <w:rFonts w:asciiTheme="majorHAnsi" w:hAnsiTheme="majorHAnsi" w:cstheme="majorHAnsi"/>
          <w:sz w:val="24"/>
          <w:szCs w:val="24"/>
          <w:lang w:val="ru-RU"/>
        </w:rPr>
        <w:t>и</w:t>
      </w:r>
      <w:r w:rsidR="00F06CCC" w:rsidRPr="007A0DB7">
        <w:rPr>
          <w:rFonts w:asciiTheme="majorHAnsi" w:hAnsiTheme="majorHAnsi" w:cstheme="majorHAnsi"/>
          <w:sz w:val="24"/>
          <w:szCs w:val="24"/>
          <w:lang w:val="ro-RO"/>
        </w:rPr>
        <w:t xml:space="preserve"> в активы”</w:t>
      </w:r>
      <w:r w:rsidRPr="007A0DB7">
        <w:rPr>
          <w:rFonts w:asciiTheme="majorHAnsi" w:hAnsiTheme="majorHAnsi" w:cstheme="majorHAnsi"/>
          <w:sz w:val="24"/>
          <w:szCs w:val="24"/>
          <w:lang w:val="ro-RO"/>
        </w:rPr>
        <w:t xml:space="preserve">; </w:t>
      </w:r>
      <w:r w:rsidRPr="00F06CCC">
        <w:rPr>
          <w:rFonts w:asciiTheme="majorHAnsi" w:hAnsiTheme="majorHAnsi" w:cstheme="majorHAnsi"/>
          <w:i/>
          <w:sz w:val="24"/>
          <w:szCs w:val="24"/>
          <w:lang w:val="ro-RO"/>
        </w:rPr>
        <w:t>(ii)</w:t>
      </w:r>
      <w:r w:rsidRPr="007A0DB7">
        <w:rPr>
          <w:rFonts w:asciiTheme="majorHAnsi" w:hAnsiTheme="majorHAnsi" w:cstheme="majorHAnsi"/>
          <w:sz w:val="24"/>
          <w:szCs w:val="24"/>
          <w:lang w:val="ro-RO"/>
        </w:rPr>
        <w:t xml:space="preserve"> невыполнение </w:t>
      </w:r>
      <w:r w:rsidR="00F06CCC">
        <w:rPr>
          <w:rFonts w:asciiTheme="majorHAnsi" w:hAnsiTheme="majorHAnsi" w:cstheme="majorHAnsi"/>
          <w:sz w:val="24"/>
          <w:szCs w:val="24"/>
          <w:lang w:val="ru-RU"/>
        </w:rPr>
        <w:t xml:space="preserve">приемки </w:t>
      </w:r>
      <w:r w:rsidRPr="007A0DB7">
        <w:rPr>
          <w:rFonts w:asciiTheme="majorHAnsi" w:hAnsiTheme="majorHAnsi" w:cstheme="majorHAnsi"/>
          <w:sz w:val="24"/>
          <w:szCs w:val="24"/>
          <w:lang w:val="ro-RO"/>
        </w:rPr>
        <w:t xml:space="preserve">технического проекта </w:t>
      </w:r>
      <w:r w:rsidR="00F06CCC" w:rsidRPr="00207634">
        <w:rPr>
          <w:rFonts w:asciiTheme="majorHAnsi" w:eastAsia="Calibri" w:hAnsiTheme="majorHAnsi" w:cstheme="majorHAnsi"/>
          <w:color w:val="000000"/>
          <w:sz w:val="24"/>
          <w:szCs w:val="24"/>
          <w:lang w:val="ro-RO" w:eastAsia="ro-RO" w:bidi="ro-RO"/>
        </w:rPr>
        <w:t>„</w:t>
      </w:r>
      <w:r w:rsidR="00F06CCC" w:rsidRPr="00C26B17">
        <w:rPr>
          <w:rFonts w:asciiTheme="majorHAnsi" w:hAnsiTheme="majorHAnsi" w:cstheme="majorHAnsi"/>
          <w:i/>
          <w:sz w:val="24"/>
          <w:szCs w:val="24"/>
          <w:lang w:val="ru-RU"/>
        </w:rPr>
        <w:t>Т</w:t>
      </w:r>
      <w:r w:rsidRPr="00C26B17">
        <w:rPr>
          <w:rFonts w:asciiTheme="majorHAnsi" w:hAnsiTheme="majorHAnsi" w:cstheme="majorHAnsi"/>
          <w:i/>
          <w:sz w:val="24"/>
          <w:szCs w:val="24"/>
          <w:lang w:val="ro-RO"/>
        </w:rPr>
        <w:t xml:space="preserve">рубопровод </w:t>
      </w:r>
      <w:r w:rsidR="00C26B17" w:rsidRPr="00C26B17">
        <w:rPr>
          <w:rFonts w:asciiTheme="majorHAnsi" w:hAnsiTheme="majorHAnsi" w:cstheme="majorHAnsi"/>
          <w:i/>
          <w:sz w:val="24"/>
          <w:szCs w:val="24"/>
          <w:lang w:val="ru-RU"/>
        </w:rPr>
        <w:t>для</w:t>
      </w:r>
      <w:r w:rsidRPr="00C26B17">
        <w:rPr>
          <w:rFonts w:asciiTheme="majorHAnsi" w:hAnsiTheme="majorHAnsi" w:cstheme="majorHAnsi"/>
          <w:i/>
          <w:sz w:val="24"/>
          <w:szCs w:val="24"/>
          <w:lang w:val="ro-RO"/>
        </w:rPr>
        <w:t xml:space="preserve"> взаимоподключени</w:t>
      </w:r>
      <w:r w:rsidR="00C26B17" w:rsidRPr="00C26B17">
        <w:rPr>
          <w:rFonts w:asciiTheme="majorHAnsi" w:hAnsiTheme="majorHAnsi" w:cstheme="majorHAnsi"/>
          <w:i/>
          <w:sz w:val="24"/>
          <w:szCs w:val="24"/>
          <w:lang w:val="ru-RU"/>
        </w:rPr>
        <w:t>я</w:t>
      </w:r>
      <w:r w:rsidRPr="00C26B17">
        <w:rPr>
          <w:rFonts w:asciiTheme="majorHAnsi" w:hAnsiTheme="majorHAnsi" w:cstheme="majorHAnsi"/>
          <w:i/>
          <w:sz w:val="24"/>
          <w:szCs w:val="24"/>
          <w:lang w:val="ro-RO"/>
        </w:rPr>
        <w:t xml:space="preserve"> </w:t>
      </w:r>
      <w:r w:rsidR="00C26B17" w:rsidRPr="00C26B17">
        <w:rPr>
          <w:rFonts w:asciiTheme="majorHAnsi" w:hAnsiTheme="majorHAnsi" w:cstheme="majorHAnsi"/>
          <w:i/>
          <w:sz w:val="24"/>
          <w:szCs w:val="24"/>
          <w:lang w:val="ru-RU"/>
        </w:rPr>
        <w:t>С</w:t>
      </w:r>
      <w:r w:rsidRPr="00C26B17">
        <w:rPr>
          <w:rFonts w:asciiTheme="majorHAnsi" w:hAnsiTheme="majorHAnsi" w:cstheme="majorHAnsi"/>
          <w:i/>
          <w:sz w:val="24"/>
          <w:szCs w:val="24"/>
          <w:lang w:val="ro-RO"/>
        </w:rPr>
        <w:t xml:space="preserve">истемы транспортировки природного газа из Румынии с </w:t>
      </w:r>
      <w:r w:rsidR="00C26B17" w:rsidRPr="00C26B17">
        <w:rPr>
          <w:rFonts w:asciiTheme="majorHAnsi" w:hAnsiTheme="majorHAnsi" w:cstheme="majorHAnsi"/>
          <w:i/>
          <w:sz w:val="24"/>
          <w:szCs w:val="24"/>
          <w:lang w:val="ru-RU"/>
        </w:rPr>
        <w:t>С</w:t>
      </w:r>
      <w:r w:rsidRPr="00C26B17">
        <w:rPr>
          <w:rFonts w:asciiTheme="majorHAnsi" w:hAnsiTheme="majorHAnsi" w:cstheme="majorHAnsi"/>
          <w:i/>
          <w:sz w:val="24"/>
          <w:szCs w:val="24"/>
          <w:lang w:val="ro-RO"/>
        </w:rPr>
        <w:t>истемой транспортировки природного газа из Республики Молдова, II</w:t>
      </w:r>
      <w:r w:rsidR="00C26B17" w:rsidRPr="00C26B17">
        <w:rPr>
          <w:rFonts w:asciiTheme="majorHAnsi" w:hAnsiTheme="majorHAnsi" w:cstheme="majorHAnsi"/>
          <w:i/>
          <w:sz w:val="24"/>
          <w:szCs w:val="24"/>
          <w:lang w:val="ru-RU"/>
        </w:rPr>
        <w:t xml:space="preserve"> этап</w:t>
      </w:r>
      <w:r w:rsidRPr="00C26B17">
        <w:rPr>
          <w:rFonts w:asciiTheme="majorHAnsi" w:hAnsiTheme="majorHAnsi" w:cstheme="majorHAnsi"/>
          <w:i/>
          <w:sz w:val="24"/>
          <w:szCs w:val="24"/>
          <w:lang w:val="ro-RO"/>
        </w:rPr>
        <w:t>, по направлению Унгень-Кишин</w:t>
      </w:r>
      <w:r w:rsidR="00C26B17" w:rsidRPr="00C26B17">
        <w:rPr>
          <w:rFonts w:asciiTheme="majorHAnsi" w:hAnsiTheme="majorHAnsi" w:cstheme="majorHAnsi"/>
          <w:i/>
          <w:sz w:val="24"/>
          <w:szCs w:val="24"/>
          <w:lang w:val="ro-RO"/>
        </w:rPr>
        <w:t>эу</w:t>
      </w:r>
      <w:r w:rsidR="00C26B17">
        <w:rPr>
          <w:rFonts w:asciiTheme="majorHAnsi" w:eastAsia="Calibri" w:hAnsiTheme="majorHAnsi" w:cstheme="majorHAnsi"/>
          <w:color w:val="000000"/>
          <w:sz w:val="24"/>
          <w:szCs w:val="24"/>
          <w:lang w:val="ro-RO" w:eastAsia="ro-RO" w:bidi="ro-RO"/>
        </w:rPr>
        <w:t>”</w:t>
      </w:r>
      <w:r w:rsidRPr="007A0DB7">
        <w:rPr>
          <w:rFonts w:asciiTheme="majorHAnsi" w:hAnsiTheme="majorHAnsi" w:cstheme="majorHAnsi"/>
          <w:sz w:val="24"/>
          <w:szCs w:val="24"/>
          <w:lang w:val="ro-RO"/>
        </w:rPr>
        <w:t xml:space="preserve">, хотя строительные работы были завершены, что привело к завышению </w:t>
      </w:r>
      <w:r w:rsidR="00C26B17" w:rsidRPr="00C26B17">
        <w:rPr>
          <w:rFonts w:asciiTheme="majorHAnsi" w:hAnsiTheme="majorHAnsi" w:cstheme="majorHAnsi"/>
          <w:sz w:val="24"/>
          <w:szCs w:val="24"/>
          <w:lang w:val="ro-RO"/>
        </w:rPr>
        <w:t xml:space="preserve">дебиторской задолженности </w:t>
      </w:r>
      <w:r w:rsidRPr="007A0DB7">
        <w:rPr>
          <w:rFonts w:asciiTheme="majorHAnsi" w:hAnsiTheme="majorHAnsi" w:cstheme="majorHAnsi"/>
          <w:sz w:val="24"/>
          <w:szCs w:val="24"/>
          <w:lang w:val="ro-RO"/>
        </w:rPr>
        <w:t xml:space="preserve">на 11,74 млн. леев, которые должны были быть отражены как нефинансовые активы; </w:t>
      </w:r>
      <w:r w:rsidRPr="00C26B17">
        <w:rPr>
          <w:rFonts w:asciiTheme="majorHAnsi" w:hAnsiTheme="majorHAnsi" w:cstheme="majorHAnsi"/>
          <w:i/>
          <w:sz w:val="24"/>
          <w:szCs w:val="24"/>
          <w:lang w:val="ro-RO"/>
        </w:rPr>
        <w:t>(iii)</w:t>
      </w:r>
      <w:r w:rsidRPr="007A0DB7">
        <w:rPr>
          <w:rFonts w:asciiTheme="majorHAnsi" w:hAnsiTheme="majorHAnsi" w:cstheme="majorHAnsi"/>
          <w:sz w:val="24"/>
          <w:szCs w:val="24"/>
          <w:lang w:val="ro-RO"/>
        </w:rPr>
        <w:t xml:space="preserve"> не</w:t>
      </w:r>
      <w:r w:rsidR="00C26B17" w:rsidRPr="00C26B17">
        <w:rPr>
          <w:rFonts w:asciiTheme="majorHAnsi" w:hAnsiTheme="majorHAnsi" w:cstheme="majorHAnsi"/>
          <w:sz w:val="24"/>
          <w:szCs w:val="24"/>
          <w:lang w:val="ro-RO"/>
        </w:rPr>
        <w:t>правильн</w:t>
      </w:r>
      <w:r w:rsidRPr="007A0DB7">
        <w:rPr>
          <w:rFonts w:asciiTheme="majorHAnsi" w:hAnsiTheme="majorHAnsi" w:cstheme="majorHAnsi"/>
          <w:sz w:val="24"/>
          <w:szCs w:val="24"/>
          <w:lang w:val="ro-RO"/>
        </w:rPr>
        <w:t xml:space="preserve">ая классификация </w:t>
      </w:r>
      <w:r w:rsidR="00C26B17">
        <w:rPr>
          <w:rFonts w:asciiTheme="majorHAnsi" w:hAnsiTheme="majorHAnsi" w:cstheme="majorHAnsi"/>
          <w:sz w:val="24"/>
          <w:szCs w:val="24"/>
          <w:lang w:val="ru-RU"/>
        </w:rPr>
        <w:t xml:space="preserve">некоторых </w:t>
      </w:r>
      <w:r w:rsidRPr="007A0DB7">
        <w:rPr>
          <w:rFonts w:asciiTheme="majorHAnsi" w:hAnsiTheme="majorHAnsi" w:cstheme="majorHAnsi"/>
          <w:sz w:val="24"/>
          <w:szCs w:val="24"/>
          <w:lang w:val="ro-RO"/>
        </w:rPr>
        <w:t xml:space="preserve">специальных </w:t>
      </w:r>
      <w:r w:rsidR="00C26B17">
        <w:rPr>
          <w:rFonts w:asciiTheme="majorHAnsi" w:hAnsiTheme="majorHAnsi" w:cstheme="majorHAnsi"/>
          <w:sz w:val="24"/>
          <w:szCs w:val="24"/>
          <w:lang w:val="ru-RU"/>
        </w:rPr>
        <w:t>сооружен</w:t>
      </w:r>
      <w:r w:rsidRPr="007A0DB7">
        <w:rPr>
          <w:rFonts w:asciiTheme="majorHAnsi" w:hAnsiTheme="majorHAnsi" w:cstheme="majorHAnsi"/>
          <w:sz w:val="24"/>
          <w:szCs w:val="24"/>
          <w:lang w:val="ro-RO"/>
        </w:rPr>
        <w:t>ий на сумму 4,82 млн. ле</w:t>
      </w:r>
      <w:r w:rsidR="00C26B17">
        <w:rPr>
          <w:rFonts w:asciiTheme="majorHAnsi" w:hAnsiTheme="majorHAnsi" w:cstheme="majorHAnsi"/>
          <w:sz w:val="24"/>
          <w:szCs w:val="24"/>
          <w:lang w:val="ru-RU"/>
        </w:rPr>
        <w:t>ев</w:t>
      </w:r>
      <w:r w:rsidRPr="007A0DB7">
        <w:rPr>
          <w:rFonts w:asciiTheme="majorHAnsi" w:hAnsiTheme="majorHAnsi" w:cstheme="majorHAnsi"/>
          <w:sz w:val="24"/>
          <w:szCs w:val="24"/>
          <w:lang w:val="ro-RO"/>
        </w:rPr>
        <w:t xml:space="preserve"> </w:t>
      </w:r>
      <w:r w:rsidR="00C26B17">
        <w:rPr>
          <w:rFonts w:asciiTheme="majorHAnsi" w:hAnsiTheme="majorHAnsi" w:cstheme="majorHAnsi"/>
          <w:sz w:val="24"/>
          <w:szCs w:val="24"/>
          <w:lang w:val="ru-RU"/>
        </w:rPr>
        <w:t>как</w:t>
      </w:r>
      <w:r w:rsidRPr="007A0DB7">
        <w:rPr>
          <w:rFonts w:asciiTheme="majorHAnsi" w:hAnsiTheme="majorHAnsi" w:cstheme="majorHAnsi"/>
          <w:sz w:val="24"/>
          <w:szCs w:val="24"/>
          <w:lang w:val="ro-RO"/>
        </w:rPr>
        <w:t xml:space="preserve"> </w:t>
      </w:r>
      <w:r w:rsidR="00F06CCC" w:rsidRPr="00207634">
        <w:rPr>
          <w:rFonts w:asciiTheme="majorHAnsi" w:eastAsia="Calibri" w:hAnsiTheme="majorHAnsi" w:cstheme="majorHAnsi"/>
          <w:color w:val="000000"/>
          <w:sz w:val="24"/>
          <w:szCs w:val="24"/>
          <w:lang w:val="ro-RO" w:eastAsia="ro-RO" w:bidi="ro-RO"/>
        </w:rPr>
        <w:t>„</w:t>
      </w:r>
      <w:r w:rsidR="00C26B17">
        <w:rPr>
          <w:rFonts w:asciiTheme="majorHAnsi" w:hAnsiTheme="majorHAnsi" w:cstheme="majorHAnsi"/>
          <w:sz w:val="24"/>
          <w:szCs w:val="24"/>
          <w:lang w:val="ru-RU"/>
        </w:rPr>
        <w:t>Д</w:t>
      </w:r>
      <w:r w:rsidRPr="007A0DB7">
        <w:rPr>
          <w:rFonts w:asciiTheme="majorHAnsi" w:hAnsiTheme="majorHAnsi" w:cstheme="majorHAnsi"/>
          <w:sz w:val="24"/>
          <w:szCs w:val="24"/>
          <w:lang w:val="ro-RO"/>
        </w:rPr>
        <w:t>руги</w:t>
      </w:r>
      <w:r w:rsidR="00C26B17">
        <w:rPr>
          <w:rFonts w:asciiTheme="majorHAnsi" w:hAnsiTheme="majorHAnsi" w:cstheme="majorHAnsi"/>
          <w:sz w:val="24"/>
          <w:szCs w:val="24"/>
          <w:lang w:val="ru-RU"/>
        </w:rPr>
        <w:t>е</w:t>
      </w:r>
      <w:r w:rsidRPr="007A0DB7">
        <w:rPr>
          <w:rFonts w:asciiTheme="majorHAnsi" w:hAnsiTheme="majorHAnsi" w:cstheme="majorHAnsi"/>
          <w:sz w:val="24"/>
          <w:szCs w:val="24"/>
          <w:lang w:val="ro-RO"/>
        </w:rPr>
        <w:t xml:space="preserve"> </w:t>
      </w:r>
      <w:r w:rsidR="00C26B17">
        <w:rPr>
          <w:rFonts w:asciiTheme="majorHAnsi" w:hAnsiTheme="majorHAnsi" w:cstheme="majorHAnsi"/>
          <w:sz w:val="24"/>
          <w:szCs w:val="24"/>
          <w:lang w:val="ru-RU"/>
        </w:rPr>
        <w:t>основные</w:t>
      </w:r>
      <w:r w:rsidRPr="007A0DB7">
        <w:rPr>
          <w:rFonts w:asciiTheme="majorHAnsi" w:hAnsiTheme="majorHAnsi" w:cstheme="majorHAnsi"/>
          <w:sz w:val="24"/>
          <w:szCs w:val="24"/>
          <w:lang w:val="ro-RO"/>
        </w:rPr>
        <w:t xml:space="preserve"> средства</w:t>
      </w:r>
      <w:r w:rsidR="00C26B17">
        <w:rPr>
          <w:rFonts w:asciiTheme="majorHAnsi" w:eastAsia="Calibri" w:hAnsiTheme="majorHAnsi" w:cstheme="majorHAnsi"/>
          <w:color w:val="000000"/>
          <w:sz w:val="24"/>
          <w:szCs w:val="24"/>
          <w:lang w:val="ro-RO" w:eastAsia="ro-RO" w:bidi="ro-RO"/>
        </w:rPr>
        <w:t>”</w:t>
      </w:r>
      <w:r w:rsidRPr="007A0DB7">
        <w:rPr>
          <w:rFonts w:asciiTheme="majorHAnsi" w:hAnsiTheme="majorHAnsi" w:cstheme="majorHAnsi"/>
          <w:sz w:val="24"/>
          <w:szCs w:val="24"/>
          <w:lang w:val="ro-RO"/>
        </w:rPr>
        <w:t xml:space="preserve">, что </w:t>
      </w:r>
      <w:r w:rsidR="00C26B17">
        <w:rPr>
          <w:rFonts w:asciiTheme="majorHAnsi" w:hAnsiTheme="majorHAnsi" w:cstheme="majorHAnsi"/>
          <w:sz w:val="24"/>
          <w:szCs w:val="24"/>
          <w:lang w:val="ru-RU"/>
        </w:rPr>
        <w:t>приве</w:t>
      </w:r>
      <w:r w:rsidRPr="007A0DB7">
        <w:rPr>
          <w:rFonts w:asciiTheme="majorHAnsi" w:hAnsiTheme="majorHAnsi" w:cstheme="majorHAnsi"/>
          <w:sz w:val="24"/>
          <w:szCs w:val="24"/>
          <w:lang w:val="ro-RO"/>
        </w:rPr>
        <w:t xml:space="preserve">ло </w:t>
      </w:r>
      <w:r w:rsidR="00C26B17">
        <w:rPr>
          <w:rFonts w:asciiTheme="majorHAnsi" w:hAnsiTheme="majorHAnsi" w:cstheme="majorHAnsi"/>
          <w:sz w:val="24"/>
          <w:szCs w:val="24"/>
          <w:lang w:val="ru-RU"/>
        </w:rPr>
        <w:t xml:space="preserve">к </w:t>
      </w:r>
      <w:r w:rsidRPr="007A0DB7">
        <w:rPr>
          <w:rFonts w:asciiTheme="majorHAnsi" w:hAnsiTheme="majorHAnsi" w:cstheme="majorHAnsi"/>
          <w:sz w:val="24"/>
          <w:szCs w:val="24"/>
          <w:lang w:val="ro-RO"/>
        </w:rPr>
        <w:t xml:space="preserve">их </w:t>
      </w:r>
      <w:r w:rsidR="00C26B17">
        <w:rPr>
          <w:rFonts w:asciiTheme="majorHAnsi" w:hAnsiTheme="majorHAnsi" w:cstheme="majorHAnsi"/>
          <w:sz w:val="24"/>
          <w:szCs w:val="24"/>
          <w:lang w:val="ru-RU"/>
        </w:rPr>
        <w:t>недосто</w:t>
      </w:r>
      <w:r w:rsidRPr="007A0DB7">
        <w:rPr>
          <w:rFonts w:asciiTheme="majorHAnsi" w:hAnsiTheme="majorHAnsi" w:cstheme="majorHAnsi"/>
          <w:sz w:val="24"/>
          <w:szCs w:val="24"/>
          <w:lang w:val="ro-RO"/>
        </w:rPr>
        <w:t>верн</w:t>
      </w:r>
      <w:r w:rsidR="00C26B17">
        <w:rPr>
          <w:rFonts w:asciiTheme="majorHAnsi" w:hAnsiTheme="majorHAnsi" w:cstheme="majorHAnsi"/>
          <w:sz w:val="24"/>
          <w:szCs w:val="24"/>
          <w:lang w:val="ru-RU"/>
        </w:rPr>
        <w:t>ой</w:t>
      </w:r>
      <w:r w:rsidRPr="007A0DB7">
        <w:rPr>
          <w:rFonts w:asciiTheme="majorHAnsi" w:hAnsiTheme="majorHAnsi" w:cstheme="majorHAnsi"/>
          <w:sz w:val="24"/>
          <w:szCs w:val="24"/>
          <w:lang w:val="ro-RO"/>
        </w:rPr>
        <w:t xml:space="preserve"> отчетн</w:t>
      </w:r>
      <w:r w:rsidR="00F06CCC">
        <w:rPr>
          <w:rFonts w:asciiTheme="majorHAnsi" w:hAnsiTheme="majorHAnsi" w:cstheme="majorHAnsi"/>
          <w:sz w:val="24"/>
          <w:szCs w:val="24"/>
          <w:lang w:val="ro-RO"/>
        </w:rPr>
        <w:t>ост</w:t>
      </w:r>
      <w:r w:rsidR="00C26B17">
        <w:rPr>
          <w:rFonts w:asciiTheme="majorHAnsi" w:hAnsiTheme="majorHAnsi" w:cstheme="majorHAnsi"/>
          <w:sz w:val="24"/>
          <w:szCs w:val="24"/>
          <w:lang w:val="ru-RU"/>
        </w:rPr>
        <w:t>и</w:t>
      </w:r>
      <w:r w:rsidR="00F06CCC">
        <w:rPr>
          <w:rFonts w:asciiTheme="majorHAnsi" w:hAnsiTheme="majorHAnsi" w:cstheme="majorHAnsi"/>
          <w:sz w:val="24"/>
          <w:szCs w:val="24"/>
          <w:lang w:val="ro-RO"/>
        </w:rPr>
        <w:t xml:space="preserve"> и не</w:t>
      </w:r>
      <w:r w:rsidR="00C26B17">
        <w:rPr>
          <w:rFonts w:asciiTheme="majorHAnsi" w:hAnsiTheme="majorHAnsi" w:cstheme="majorHAnsi"/>
          <w:sz w:val="24"/>
          <w:szCs w:val="24"/>
          <w:lang w:val="ru-RU"/>
        </w:rPr>
        <w:t>начислению</w:t>
      </w:r>
      <w:r w:rsidR="00F06CCC">
        <w:rPr>
          <w:rFonts w:asciiTheme="majorHAnsi" w:hAnsiTheme="majorHAnsi" w:cstheme="majorHAnsi"/>
          <w:sz w:val="24"/>
          <w:szCs w:val="24"/>
          <w:lang w:val="ro-RO"/>
        </w:rPr>
        <w:t xml:space="preserve"> </w:t>
      </w:r>
      <w:r w:rsidR="00C26B17">
        <w:rPr>
          <w:rFonts w:asciiTheme="majorHAnsi" w:hAnsiTheme="majorHAnsi" w:cstheme="majorHAnsi"/>
          <w:sz w:val="24"/>
          <w:szCs w:val="24"/>
          <w:lang w:val="ru-RU"/>
        </w:rPr>
        <w:t>соответствующего</w:t>
      </w:r>
      <w:r w:rsidR="00F06CCC">
        <w:rPr>
          <w:rFonts w:asciiTheme="majorHAnsi" w:hAnsiTheme="majorHAnsi" w:cstheme="majorHAnsi"/>
          <w:sz w:val="24"/>
          <w:szCs w:val="24"/>
          <w:lang w:val="ro-RO"/>
        </w:rPr>
        <w:t xml:space="preserve"> износа</w:t>
      </w:r>
      <w:r w:rsidR="00E03711" w:rsidRPr="00E4517B">
        <w:rPr>
          <w:rFonts w:asciiTheme="majorHAnsi" w:eastAsia="Calibri" w:hAnsiTheme="majorHAnsi" w:cstheme="majorHAnsi"/>
          <w:color w:val="000000"/>
          <w:sz w:val="24"/>
          <w:szCs w:val="24"/>
          <w:lang w:val="ro-RO" w:eastAsia="ro-RO" w:bidi="ro-RO"/>
        </w:rPr>
        <w:t>.</w:t>
      </w:r>
    </w:p>
    <w:p w:rsidR="00AC6703" w:rsidRPr="00B05CFC" w:rsidRDefault="005D6AE0" w:rsidP="00A7556E">
      <w:pPr>
        <w:shd w:val="clear" w:color="auto" w:fill="FFFFFF" w:themeFill="background1"/>
        <w:tabs>
          <w:tab w:val="left" w:pos="284"/>
          <w:tab w:val="left" w:pos="993"/>
        </w:tabs>
        <w:spacing w:after="0" w:line="276" w:lineRule="auto"/>
        <w:rPr>
          <w:rFonts w:asciiTheme="majorHAnsi" w:hAnsiTheme="majorHAnsi" w:cstheme="majorHAnsi"/>
          <w:b/>
          <w:sz w:val="24"/>
          <w:szCs w:val="24"/>
          <w:lang w:val="ro-RO"/>
        </w:rPr>
      </w:pPr>
      <w:r w:rsidRPr="00F55BA6">
        <w:rPr>
          <w:rFonts w:asciiTheme="majorHAnsi" w:hAnsiTheme="majorHAnsi" w:cstheme="majorHAnsi"/>
          <w:b/>
          <w:sz w:val="24"/>
          <w:szCs w:val="24"/>
          <w:lang w:val="ro-RO"/>
        </w:rPr>
        <w:t>6.10</w:t>
      </w:r>
      <w:r w:rsidR="009613EB" w:rsidRPr="00F55BA6">
        <w:rPr>
          <w:rFonts w:asciiTheme="majorHAnsi" w:hAnsiTheme="majorHAnsi" w:cstheme="majorHAnsi"/>
          <w:b/>
          <w:sz w:val="24"/>
          <w:szCs w:val="24"/>
          <w:lang w:val="ro-RO"/>
        </w:rPr>
        <w:t xml:space="preserve"> </w:t>
      </w:r>
      <w:r w:rsidR="007A0DB7" w:rsidRPr="006628D6">
        <w:rPr>
          <w:rFonts w:asciiTheme="majorHAnsi" w:hAnsiTheme="majorHAnsi" w:cstheme="majorHAnsi"/>
          <w:b/>
          <w:sz w:val="24"/>
          <w:szCs w:val="24"/>
          <w:lang w:val="ru-MD"/>
        </w:rPr>
        <w:t>Неподтвержден</w:t>
      </w:r>
      <w:r w:rsidR="00030E5A" w:rsidRPr="006628D6">
        <w:rPr>
          <w:rFonts w:asciiTheme="majorHAnsi" w:hAnsiTheme="majorHAnsi" w:cstheme="majorHAnsi"/>
          <w:b/>
          <w:sz w:val="24"/>
          <w:szCs w:val="24"/>
          <w:lang w:val="ru-MD"/>
        </w:rPr>
        <w:t>ие</w:t>
      </w:r>
      <w:r w:rsidR="007A0DB7" w:rsidRPr="006628D6">
        <w:rPr>
          <w:rFonts w:asciiTheme="majorHAnsi" w:hAnsiTheme="majorHAnsi" w:cstheme="majorHAnsi"/>
          <w:b/>
          <w:sz w:val="24"/>
          <w:szCs w:val="24"/>
          <w:lang w:val="ru-MD"/>
        </w:rPr>
        <w:t xml:space="preserve"> исполнения средств </w:t>
      </w:r>
      <w:r w:rsidR="00030E5A" w:rsidRPr="006628D6">
        <w:rPr>
          <w:rFonts w:asciiTheme="majorHAnsi" w:hAnsiTheme="majorHAnsi" w:cstheme="majorHAnsi"/>
          <w:b/>
          <w:sz w:val="24"/>
          <w:szCs w:val="24"/>
          <w:lang w:val="ru-MD"/>
        </w:rPr>
        <w:t>по П</w:t>
      </w:r>
      <w:r w:rsidR="007A0DB7" w:rsidRPr="006628D6">
        <w:rPr>
          <w:rFonts w:asciiTheme="majorHAnsi" w:hAnsiTheme="majorHAnsi" w:cstheme="majorHAnsi"/>
          <w:b/>
          <w:sz w:val="24"/>
          <w:szCs w:val="24"/>
          <w:lang w:val="ru-MD"/>
        </w:rPr>
        <w:t>рограмм</w:t>
      </w:r>
      <w:r w:rsidR="00030E5A" w:rsidRPr="006628D6">
        <w:rPr>
          <w:rFonts w:asciiTheme="majorHAnsi" w:hAnsiTheme="majorHAnsi" w:cstheme="majorHAnsi"/>
          <w:b/>
          <w:sz w:val="24"/>
          <w:szCs w:val="24"/>
          <w:lang w:val="ru-MD"/>
        </w:rPr>
        <w:t>е</w:t>
      </w:r>
      <w:r w:rsidR="007A0DB7" w:rsidRPr="006628D6">
        <w:rPr>
          <w:rFonts w:asciiTheme="majorHAnsi" w:hAnsiTheme="majorHAnsi" w:cstheme="majorHAnsi"/>
          <w:b/>
          <w:sz w:val="24"/>
          <w:szCs w:val="24"/>
          <w:lang w:val="ru-MD"/>
        </w:rPr>
        <w:t xml:space="preserve"> </w:t>
      </w:r>
      <w:r w:rsidR="00030E5A" w:rsidRPr="006628D6">
        <w:rPr>
          <w:rFonts w:asciiTheme="majorHAnsi" w:hAnsiTheme="majorHAnsi" w:cstheme="majorHAnsi"/>
          <w:b/>
          <w:sz w:val="24"/>
          <w:szCs w:val="24"/>
          <w:lang w:val="ru-MD"/>
        </w:rPr>
        <w:t>мероприятий</w:t>
      </w:r>
      <w:r w:rsidR="007A0DB7" w:rsidRPr="006628D6">
        <w:rPr>
          <w:rFonts w:asciiTheme="majorHAnsi" w:hAnsiTheme="majorHAnsi" w:cstheme="majorHAnsi"/>
          <w:b/>
          <w:sz w:val="24"/>
          <w:szCs w:val="24"/>
          <w:lang w:val="ru-MD"/>
        </w:rPr>
        <w:t xml:space="preserve"> по реинтеграции страны </w:t>
      </w:r>
      <w:r w:rsidR="00030E5A" w:rsidRPr="006628D6">
        <w:rPr>
          <w:rFonts w:asciiTheme="majorHAnsi" w:hAnsiTheme="majorHAnsi" w:cstheme="majorHAnsi"/>
          <w:b/>
          <w:sz w:val="24"/>
          <w:szCs w:val="24"/>
          <w:lang w:val="ru-MD"/>
        </w:rPr>
        <w:t>учреждения</w:t>
      </w:r>
      <w:r w:rsidR="007A0DB7" w:rsidRPr="006628D6">
        <w:rPr>
          <w:rFonts w:asciiTheme="majorHAnsi" w:hAnsiTheme="majorHAnsi" w:cstheme="majorHAnsi"/>
          <w:b/>
          <w:sz w:val="24"/>
          <w:szCs w:val="24"/>
          <w:lang w:val="ru-MD"/>
        </w:rPr>
        <w:t xml:space="preserve">ми, получившими </w:t>
      </w:r>
      <w:r w:rsidR="00030E5A" w:rsidRPr="006628D6">
        <w:rPr>
          <w:rFonts w:asciiTheme="majorHAnsi" w:hAnsiTheme="majorHAnsi" w:cstheme="majorHAnsi"/>
          <w:b/>
          <w:sz w:val="24"/>
          <w:szCs w:val="24"/>
          <w:lang w:val="ru-MD"/>
        </w:rPr>
        <w:t>ассигнования из ГБ</w:t>
      </w:r>
      <w:r w:rsidR="007A0DB7" w:rsidRPr="006628D6">
        <w:rPr>
          <w:rFonts w:asciiTheme="majorHAnsi" w:hAnsiTheme="majorHAnsi" w:cstheme="majorHAnsi"/>
          <w:b/>
          <w:sz w:val="24"/>
          <w:szCs w:val="24"/>
          <w:lang w:val="ru-MD"/>
        </w:rPr>
        <w:t xml:space="preserve">, а при внедрении </w:t>
      </w:r>
      <w:r w:rsidR="00030E5A" w:rsidRPr="006628D6">
        <w:rPr>
          <w:rFonts w:asciiTheme="majorHAnsi" w:hAnsiTheme="majorHAnsi" w:cstheme="majorHAnsi"/>
          <w:b/>
          <w:sz w:val="24"/>
          <w:szCs w:val="24"/>
          <w:lang w:val="ru-MD"/>
        </w:rPr>
        <w:t>Г</w:t>
      </w:r>
      <w:r w:rsidR="007A0DB7" w:rsidRPr="006628D6">
        <w:rPr>
          <w:rFonts w:asciiTheme="majorHAnsi" w:hAnsiTheme="majorHAnsi" w:cstheme="majorHAnsi"/>
          <w:b/>
          <w:sz w:val="24"/>
          <w:szCs w:val="24"/>
          <w:lang w:val="ru-MD"/>
        </w:rPr>
        <w:t xml:space="preserve">осударственной программы </w:t>
      </w:r>
      <w:r w:rsidR="00030E5A" w:rsidRPr="006628D6">
        <w:rPr>
          <w:rFonts w:asciiTheme="majorHAnsi" w:hAnsiTheme="majorHAnsi" w:cstheme="majorHAnsi"/>
          <w:b/>
          <w:sz w:val="24"/>
          <w:szCs w:val="24"/>
          <w:lang w:val="ru-MD"/>
        </w:rPr>
        <w:t>„</w:t>
      </w:r>
      <w:r w:rsidR="007A0DB7" w:rsidRPr="006628D6">
        <w:rPr>
          <w:rFonts w:asciiTheme="majorHAnsi" w:hAnsiTheme="majorHAnsi" w:cstheme="majorHAnsi"/>
          <w:b/>
          <w:sz w:val="24"/>
          <w:szCs w:val="24"/>
          <w:lang w:val="ru-MD"/>
        </w:rPr>
        <w:t>Первый дом</w:t>
      </w:r>
      <w:r w:rsidR="006628D6" w:rsidRPr="006628D6">
        <w:rPr>
          <w:rFonts w:asciiTheme="majorHAnsi" w:hAnsiTheme="majorHAnsi" w:cstheme="majorHAnsi"/>
          <w:b/>
          <w:sz w:val="24"/>
          <w:szCs w:val="24"/>
          <w:lang w:val="ru-MD"/>
        </w:rPr>
        <w:t>”</w:t>
      </w:r>
      <w:r w:rsidR="007A0DB7" w:rsidRPr="006628D6">
        <w:rPr>
          <w:rFonts w:asciiTheme="majorHAnsi" w:hAnsiTheme="majorHAnsi" w:cstheme="majorHAnsi"/>
          <w:b/>
          <w:sz w:val="24"/>
          <w:szCs w:val="24"/>
          <w:lang w:val="ru-MD"/>
        </w:rPr>
        <w:t xml:space="preserve"> зарегистрирован случай активации государственной гарантии</w:t>
      </w:r>
      <w:r w:rsidR="00CE0E4D" w:rsidRPr="006628D6">
        <w:rPr>
          <w:rFonts w:asciiTheme="majorHAnsi" w:hAnsiTheme="majorHAnsi" w:cstheme="majorHAnsi"/>
          <w:b/>
          <w:sz w:val="24"/>
          <w:szCs w:val="24"/>
          <w:lang w:val="ru-MD"/>
        </w:rPr>
        <w:t>.</w:t>
      </w:r>
    </w:p>
    <w:p w:rsidR="00AC6703" w:rsidRPr="00F55BA6" w:rsidRDefault="00BD3358" w:rsidP="00AC6703">
      <w:pPr>
        <w:shd w:val="clear" w:color="auto" w:fill="FFFFFF" w:themeFill="background1"/>
        <w:tabs>
          <w:tab w:val="left" w:pos="284"/>
          <w:tab w:val="left" w:pos="993"/>
        </w:tabs>
        <w:spacing w:after="0" w:line="276" w:lineRule="auto"/>
        <w:rPr>
          <w:rFonts w:asciiTheme="majorHAnsi" w:hAnsiTheme="majorHAnsi" w:cstheme="majorHAnsi"/>
          <w:sz w:val="24"/>
          <w:szCs w:val="24"/>
          <w:lang w:val="ro-RO"/>
        </w:rPr>
      </w:pPr>
      <w:r w:rsidRPr="00BD3358">
        <w:rPr>
          <w:rFonts w:asciiTheme="majorHAnsi" w:hAnsiTheme="majorHAnsi" w:cstheme="majorHAnsi"/>
          <w:sz w:val="24"/>
          <w:szCs w:val="24"/>
          <w:lang w:val="ro-RO"/>
        </w:rPr>
        <w:t xml:space="preserve">Согласно ст.3 а) </w:t>
      </w:r>
      <w:r w:rsidR="006628D6">
        <w:rPr>
          <w:rFonts w:asciiTheme="majorHAnsi" w:hAnsiTheme="majorHAnsi" w:cstheme="majorHAnsi"/>
          <w:sz w:val="24"/>
          <w:szCs w:val="24"/>
          <w:lang w:val="ru-RU"/>
        </w:rPr>
        <w:t>З</w:t>
      </w:r>
      <w:r w:rsidRPr="00BD3358">
        <w:rPr>
          <w:rFonts w:asciiTheme="majorHAnsi" w:hAnsiTheme="majorHAnsi" w:cstheme="majorHAnsi"/>
          <w:sz w:val="24"/>
          <w:szCs w:val="24"/>
          <w:lang w:val="ro-RO"/>
        </w:rPr>
        <w:t xml:space="preserve">акона </w:t>
      </w:r>
      <w:r w:rsidR="006628D6">
        <w:rPr>
          <w:rFonts w:asciiTheme="majorHAnsi" w:hAnsiTheme="majorHAnsi" w:cstheme="majorHAnsi"/>
          <w:sz w:val="24"/>
          <w:szCs w:val="24"/>
          <w:lang w:val="ru-RU"/>
        </w:rPr>
        <w:t xml:space="preserve">о </w:t>
      </w:r>
      <w:r w:rsidR="008F632D">
        <w:rPr>
          <w:rFonts w:asciiTheme="majorHAnsi" w:hAnsiTheme="majorHAnsi" w:cstheme="majorHAnsi"/>
          <w:sz w:val="24"/>
          <w:szCs w:val="24"/>
          <w:lang w:val="ro-RO"/>
        </w:rPr>
        <w:t>ГБ</w:t>
      </w:r>
      <w:r w:rsidRPr="00BD3358">
        <w:rPr>
          <w:rFonts w:asciiTheme="majorHAnsi" w:hAnsiTheme="majorHAnsi" w:cstheme="majorHAnsi"/>
          <w:sz w:val="24"/>
          <w:szCs w:val="24"/>
          <w:lang w:val="ro-RO"/>
        </w:rPr>
        <w:t xml:space="preserve"> на 2020 год</w:t>
      </w:r>
      <w:r w:rsidR="006628D6">
        <w:rPr>
          <w:rFonts w:asciiTheme="majorHAnsi" w:hAnsiTheme="majorHAnsi" w:cstheme="majorHAnsi"/>
          <w:sz w:val="24"/>
          <w:szCs w:val="24"/>
          <w:lang w:val="ru-RU"/>
        </w:rPr>
        <w:t>,</w:t>
      </w:r>
      <w:r w:rsidRPr="00BD3358">
        <w:rPr>
          <w:rFonts w:asciiTheme="majorHAnsi" w:hAnsiTheme="majorHAnsi" w:cstheme="majorHAnsi"/>
          <w:sz w:val="24"/>
          <w:szCs w:val="24"/>
          <w:lang w:val="ro-RO"/>
        </w:rPr>
        <w:t xml:space="preserve"> на </w:t>
      </w:r>
      <w:r w:rsidR="006628D6">
        <w:rPr>
          <w:rFonts w:asciiTheme="majorHAnsi" w:hAnsiTheme="majorHAnsi" w:cstheme="majorHAnsi"/>
          <w:sz w:val="24"/>
          <w:szCs w:val="24"/>
          <w:lang w:val="ru-RU"/>
        </w:rPr>
        <w:t xml:space="preserve">мероприятия по </w:t>
      </w:r>
      <w:r w:rsidRPr="00BD3358">
        <w:rPr>
          <w:rFonts w:asciiTheme="majorHAnsi" w:hAnsiTheme="majorHAnsi" w:cstheme="majorHAnsi"/>
          <w:sz w:val="24"/>
          <w:szCs w:val="24"/>
          <w:lang w:val="ro-RO"/>
        </w:rPr>
        <w:t>реинтеграци</w:t>
      </w:r>
      <w:r w:rsidR="006628D6">
        <w:rPr>
          <w:rFonts w:asciiTheme="majorHAnsi" w:hAnsiTheme="majorHAnsi" w:cstheme="majorHAnsi"/>
          <w:sz w:val="24"/>
          <w:szCs w:val="24"/>
          <w:lang w:val="ru-RU"/>
        </w:rPr>
        <w:t>и</w:t>
      </w:r>
      <w:r w:rsidRPr="00BD3358">
        <w:rPr>
          <w:rFonts w:asciiTheme="majorHAnsi" w:hAnsiTheme="majorHAnsi" w:cstheme="majorHAnsi"/>
          <w:sz w:val="24"/>
          <w:szCs w:val="24"/>
          <w:lang w:val="ro-RO"/>
        </w:rPr>
        <w:t xml:space="preserve"> страны </w:t>
      </w:r>
      <w:r w:rsidR="002E1446" w:rsidRPr="00BD3358">
        <w:rPr>
          <w:rFonts w:asciiTheme="majorHAnsi" w:hAnsiTheme="majorHAnsi" w:cstheme="majorHAnsi"/>
          <w:sz w:val="24"/>
          <w:szCs w:val="24"/>
          <w:lang w:val="ro-RO"/>
        </w:rPr>
        <w:t xml:space="preserve">были утверждены ассигнования </w:t>
      </w:r>
      <w:r w:rsidR="006628D6">
        <w:rPr>
          <w:rFonts w:asciiTheme="majorHAnsi" w:hAnsiTheme="majorHAnsi" w:cstheme="majorHAnsi"/>
          <w:sz w:val="24"/>
          <w:szCs w:val="24"/>
          <w:lang w:val="ru-RU"/>
        </w:rPr>
        <w:t>в</w:t>
      </w:r>
      <w:r w:rsidRPr="00BD3358">
        <w:rPr>
          <w:rFonts w:asciiTheme="majorHAnsi" w:hAnsiTheme="majorHAnsi" w:cstheme="majorHAnsi"/>
          <w:sz w:val="24"/>
          <w:szCs w:val="24"/>
          <w:lang w:val="ro-RO"/>
        </w:rPr>
        <w:t xml:space="preserve"> сумм</w:t>
      </w:r>
      <w:r w:rsidR="006628D6">
        <w:rPr>
          <w:rFonts w:asciiTheme="majorHAnsi" w:hAnsiTheme="majorHAnsi" w:cstheme="majorHAnsi"/>
          <w:sz w:val="24"/>
          <w:szCs w:val="24"/>
          <w:lang w:val="ru-RU"/>
        </w:rPr>
        <w:t>е</w:t>
      </w:r>
      <w:r w:rsidRPr="00BD3358">
        <w:rPr>
          <w:rFonts w:asciiTheme="majorHAnsi" w:hAnsiTheme="majorHAnsi" w:cstheme="majorHAnsi"/>
          <w:sz w:val="24"/>
          <w:szCs w:val="24"/>
          <w:lang w:val="ro-RO"/>
        </w:rPr>
        <w:t xml:space="preserve"> 15,0 млн. ле</w:t>
      </w:r>
      <w:r w:rsidR="006628D6">
        <w:rPr>
          <w:rFonts w:asciiTheme="majorHAnsi" w:hAnsiTheme="majorHAnsi" w:cstheme="majorHAnsi"/>
          <w:sz w:val="24"/>
          <w:szCs w:val="24"/>
          <w:lang w:val="ru-RU"/>
        </w:rPr>
        <w:t>ев, которые исполнены</w:t>
      </w:r>
      <w:r w:rsidRPr="00BD3358">
        <w:rPr>
          <w:rFonts w:asciiTheme="majorHAnsi" w:hAnsiTheme="majorHAnsi" w:cstheme="majorHAnsi"/>
          <w:sz w:val="24"/>
          <w:szCs w:val="24"/>
          <w:lang w:val="ro-RO"/>
        </w:rPr>
        <w:t xml:space="preserve"> на уровне 98,0% (14,7 млн. леев), из </w:t>
      </w:r>
      <w:r w:rsidR="006628D6">
        <w:rPr>
          <w:rFonts w:asciiTheme="majorHAnsi" w:hAnsiTheme="majorHAnsi" w:cstheme="majorHAnsi"/>
          <w:sz w:val="24"/>
          <w:szCs w:val="24"/>
          <w:lang w:val="ru-RU"/>
        </w:rPr>
        <w:t>ни</w:t>
      </w:r>
      <w:r w:rsidRPr="00BD3358">
        <w:rPr>
          <w:rFonts w:asciiTheme="majorHAnsi" w:hAnsiTheme="majorHAnsi" w:cstheme="majorHAnsi"/>
          <w:sz w:val="24"/>
          <w:szCs w:val="24"/>
          <w:lang w:val="ro-RO"/>
        </w:rPr>
        <w:t>х 11,5 млн. леев были пере</w:t>
      </w:r>
      <w:r w:rsidR="006628D6">
        <w:rPr>
          <w:rFonts w:asciiTheme="majorHAnsi" w:hAnsiTheme="majorHAnsi" w:cstheme="majorHAnsi"/>
          <w:sz w:val="24"/>
          <w:szCs w:val="24"/>
          <w:lang w:val="ru-RU"/>
        </w:rPr>
        <w:t>числе</w:t>
      </w:r>
      <w:r w:rsidRPr="00BD3358">
        <w:rPr>
          <w:rFonts w:asciiTheme="majorHAnsi" w:hAnsiTheme="majorHAnsi" w:cstheme="majorHAnsi"/>
          <w:sz w:val="24"/>
          <w:szCs w:val="24"/>
          <w:lang w:val="ro-RO"/>
        </w:rPr>
        <w:t xml:space="preserve">ны местным бюджетам. Распределение этих ассигнований было осуществлено на основе </w:t>
      </w:r>
      <w:r w:rsidR="006628D6">
        <w:rPr>
          <w:rFonts w:asciiTheme="majorHAnsi" w:hAnsiTheme="majorHAnsi" w:cstheme="majorHAnsi"/>
          <w:sz w:val="24"/>
          <w:szCs w:val="24"/>
          <w:lang w:val="ru-RU"/>
        </w:rPr>
        <w:t xml:space="preserve">ПП </w:t>
      </w:r>
      <w:r w:rsidRPr="00BD3358">
        <w:rPr>
          <w:rFonts w:asciiTheme="majorHAnsi" w:hAnsiTheme="majorHAnsi" w:cstheme="majorHAnsi"/>
          <w:sz w:val="24"/>
          <w:szCs w:val="24"/>
          <w:lang w:val="ro-RO"/>
        </w:rPr>
        <w:t xml:space="preserve">№256 </w:t>
      </w:r>
      <w:r w:rsidR="006628D6">
        <w:rPr>
          <w:rFonts w:asciiTheme="majorHAnsi" w:hAnsiTheme="majorHAnsi" w:cstheme="majorHAnsi"/>
          <w:sz w:val="24"/>
          <w:szCs w:val="24"/>
          <w:lang w:val="ru-RU"/>
        </w:rPr>
        <w:t>от</w:t>
      </w:r>
      <w:r w:rsidRPr="00BD3358">
        <w:rPr>
          <w:rFonts w:asciiTheme="majorHAnsi" w:hAnsiTheme="majorHAnsi" w:cstheme="majorHAnsi"/>
          <w:sz w:val="24"/>
          <w:szCs w:val="24"/>
          <w:lang w:val="ro-RO"/>
        </w:rPr>
        <w:t xml:space="preserve"> 29.04.2020</w:t>
      </w:r>
      <w:r w:rsidR="00587FD5" w:rsidRPr="00F55BA6">
        <w:rPr>
          <w:rFonts w:asciiTheme="majorHAnsi" w:hAnsiTheme="majorHAnsi" w:cstheme="majorHAnsi"/>
          <w:sz w:val="24"/>
          <w:szCs w:val="24"/>
          <w:vertAlign w:val="superscript"/>
          <w:lang w:val="ro-RO"/>
        </w:rPr>
        <w:footnoteReference w:id="59"/>
      </w:r>
      <w:r w:rsidRPr="00BD3358">
        <w:rPr>
          <w:rFonts w:asciiTheme="majorHAnsi" w:hAnsiTheme="majorHAnsi" w:cstheme="majorHAnsi"/>
          <w:sz w:val="24"/>
          <w:szCs w:val="24"/>
          <w:lang w:val="ro-RO"/>
        </w:rPr>
        <w:t xml:space="preserve">, </w:t>
      </w:r>
      <w:r w:rsidR="002E1446">
        <w:rPr>
          <w:rFonts w:asciiTheme="majorHAnsi" w:hAnsiTheme="majorHAnsi" w:cstheme="majorHAnsi"/>
          <w:sz w:val="24"/>
          <w:szCs w:val="24"/>
          <w:lang w:val="ru-RU"/>
        </w:rPr>
        <w:t>для</w:t>
      </w:r>
      <w:r w:rsidRPr="00BD3358">
        <w:rPr>
          <w:rFonts w:asciiTheme="majorHAnsi" w:hAnsiTheme="majorHAnsi" w:cstheme="majorHAnsi"/>
          <w:sz w:val="24"/>
          <w:szCs w:val="24"/>
          <w:lang w:val="ro-RO"/>
        </w:rPr>
        <w:t xml:space="preserve">: </w:t>
      </w:r>
      <w:r w:rsidRPr="006628D6">
        <w:rPr>
          <w:rFonts w:asciiTheme="majorHAnsi" w:hAnsiTheme="majorHAnsi" w:cstheme="majorHAnsi"/>
          <w:i/>
          <w:sz w:val="24"/>
          <w:szCs w:val="24"/>
          <w:lang w:val="ro-RO"/>
        </w:rPr>
        <w:t>(i)</w:t>
      </w:r>
      <w:r w:rsidRPr="00BD3358">
        <w:rPr>
          <w:rFonts w:asciiTheme="majorHAnsi" w:hAnsiTheme="majorHAnsi" w:cstheme="majorHAnsi"/>
          <w:sz w:val="24"/>
          <w:szCs w:val="24"/>
          <w:lang w:val="ro-RO"/>
        </w:rPr>
        <w:t xml:space="preserve"> развити</w:t>
      </w:r>
      <w:r w:rsidR="002E1446">
        <w:rPr>
          <w:rFonts w:asciiTheme="majorHAnsi" w:hAnsiTheme="majorHAnsi" w:cstheme="majorHAnsi"/>
          <w:sz w:val="24"/>
          <w:szCs w:val="24"/>
          <w:lang w:val="ru-RU"/>
        </w:rPr>
        <w:t>я</w:t>
      </w:r>
      <w:r w:rsidRPr="00BD3358">
        <w:rPr>
          <w:rFonts w:asciiTheme="majorHAnsi" w:hAnsiTheme="majorHAnsi" w:cstheme="majorHAnsi"/>
          <w:sz w:val="24"/>
          <w:szCs w:val="24"/>
          <w:lang w:val="ro-RO"/>
        </w:rPr>
        <w:t xml:space="preserve"> и модернизаци</w:t>
      </w:r>
      <w:r w:rsidR="002E1446">
        <w:rPr>
          <w:rFonts w:asciiTheme="majorHAnsi" w:hAnsiTheme="majorHAnsi" w:cstheme="majorHAnsi"/>
          <w:sz w:val="24"/>
          <w:szCs w:val="24"/>
          <w:lang w:val="ru-RU"/>
        </w:rPr>
        <w:t>и</w:t>
      </w:r>
      <w:r w:rsidRPr="00BD3358">
        <w:rPr>
          <w:rFonts w:asciiTheme="majorHAnsi" w:hAnsiTheme="majorHAnsi" w:cstheme="majorHAnsi"/>
          <w:sz w:val="24"/>
          <w:szCs w:val="24"/>
          <w:lang w:val="ro-RO"/>
        </w:rPr>
        <w:t xml:space="preserve"> учреждений системы образования</w:t>
      </w:r>
      <w:r w:rsidR="002E1446">
        <w:rPr>
          <w:rFonts w:asciiTheme="majorHAnsi" w:hAnsiTheme="majorHAnsi" w:cstheme="majorHAnsi"/>
          <w:sz w:val="24"/>
          <w:szCs w:val="24"/>
          <w:lang w:val="ru-RU"/>
        </w:rPr>
        <w:t xml:space="preserve"> </w:t>
      </w:r>
      <w:r w:rsidRPr="00BD3358">
        <w:rPr>
          <w:rFonts w:asciiTheme="majorHAnsi" w:hAnsiTheme="majorHAnsi" w:cstheme="majorHAnsi"/>
          <w:sz w:val="24"/>
          <w:szCs w:val="24"/>
          <w:lang w:val="ro-RO"/>
        </w:rPr>
        <w:t>-</w:t>
      </w:r>
      <w:r w:rsidR="002E1446">
        <w:rPr>
          <w:rFonts w:asciiTheme="majorHAnsi" w:hAnsiTheme="majorHAnsi" w:cstheme="majorHAnsi"/>
          <w:sz w:val="24"/>
          <w:szCs w:val="24"/>
          <w:lang w:val="ru-RU"/>
        </w:rPr>
        <w:t xml:space="preserve"> </w:t>
      </w:r>
      <w:r w:rsidRPr="00BD3358">
        <w:rPr>
          <w:rFonts w:asciiTheme="majorHAnsi" w:hAnsiTheme="majorHAnsi" w:cstheme="majorHAnsi"/>
          <w:sz w:val="24"/>
          <w:szCs w:val="24"/>
          <w:lang w:val="ro-RO"/>
        </w:rPr>
        <w:t>5,0 млн.</w:t>
      </w:r>
      <w:r w:rsidR="002E1446">
        <w:rPr>
          <w:rFonts w:asciiTheme="majorHAnsi" w:hAnsiTheme="majorHAnsi" w:cstheme="majorHAnsi"/>
          <w:sz w:val="24"/>
          <w:szCs w:val="24"/>
          <w:lang w:val="ru-RU"/>
        </w:rPr>
        <w:t xml:space="preserve"> леев;</w:t>
      </w:r>
      <w:r w:rsidRPr="00BD3358">
        <w:rPr>
          <w:rFonts w:asciiTheme="majorHAnsi" w:hAnsiTheme="majorHAnsi" w:cstheme="majorHAnsi"/>
          <w:sz w:val="24"/>
          <w:szCs w:val="24"/>
          <w:lang w:val="ro-RO"/>
        </w:rPr>
        <w:t xml:space="preserve"> </w:t>
      </w:r>
      <w:r w:rsidRPr="006628D6">
        <w:rPr>
          <w:rFonts w:asciiTheme="majorHAnsi" w:hAnsiTheme="majorHAnsi" w:cstheme="majorHAnsi"/>
          <w:i/>
          <w:sz w:val="24"/>
          <w:szCs w:val="24"/>
          <w:lang w:val="ro-RO"/>
        </w:rPr>
        <w:t>(ii)</w:t>
      </w:r>
      <w:r w:rsidRPr="00BD3358">
        <w:rPr>
          <w:rFonts w:asciiTheme="majorHAnsi" w:hAnsiTheme="majorHAnsi" w:cstheme="majorHAnsi"/>
          <w:sz w:val="24"/>
          <w:szCs w:val="24"/>
          <w:lang w:val="ro-RO"/>
        </w:rPr>
        <w:t xml:space="preserve"> </w:t>
      </w:r>
      <w:r w:rsidR="00587FD5">
        <w:rPr>
          <w:rFonts w:asciiTheme="majorHAnsi" w:hAnsiTheme="majorHAnsi" w:cstheme="majorHAnsi"/>
          <w:bCs/>
          <w:sz w:val="24"/>
          <w:szCs w:val="24"/>
          <w:lang w:val="ru-RU"/>
        </w:rPr>
        <w:t>р</w:t>
      </w:r>
      <w:r w:rsidR="00587FD5" w:rsidRPr="00587FD5">
        <w:rPr>
          <w:rFonts w:asciiTheme="majorHAnsi" w:hAnsiTheme="majorHAnsi" w:cstheme="majorHAnsi"/>
          <w:bCs/>
          <w:sz w:val="24"/>
          <w:szCs w:val="24"/>
          <w:lang w:val="ru-RU"/>
        </w:rPr>
        <w:t>емонт</w:t>
      </w:r>
      <w:r w:rsidR="00587FD5">
        <w:rPr>
          <w:rFonts w:asciiTheme="majorHAnsi" w:hAnsiTheme="majorHAnsi" w:cstheme="majorHAnsi"/>
          <w:bCs/>
          <w:sz w:val="24"/>
          <w:szCs w:val="24"/>
          <w:lang w:val="ru-RU"/>
        </w:rPr>
        <w:t>а</w:t>
      </w:r>
      <w:r w:rsidR="00587FD5" w:rsidRPr="00587FD5">
        <w:rPr>
          <w:rFonts w:asciiTheme="majorHAnsi" w:hAnsiTheme="majorHAnsi" w:cstheme="majorHAnsi"/>
          <w:bCs/>
          <w:sz w:val="24"/>
          <w:szCs w:val="24"/>
          <w:lang w:val="ru-RU"/>
        </w:rPr>
        <w:t xml:space="preserve"> или оснащени</w:t>
      </w:r>
      <w:r w:rsidR="00587FD5">
        <w:rPr>
          <w:rFonts w:asciiTheme="majorHAnsi" w:hAnsiTheme="majorHAnsi" w:cstheme="majorHAnsi"/>
          <w:bCs/>
          <w:sz w:val="24"/>
          <w:szCs w:val="24"/>
          <w:lang w:val="ru-RU"/>
        </w:rPr>
        <w:t>я</w:t>
      </w:r>
      <w:r w:rsidR="00587FD5" w:rsidRPr="00587FD5">
        <w:rPr>
          <w:rFonts w:asciiTheme="majorHAnsi" w:hAnsiTheme="majorHAnsi" w:cstheme="majorHAnsi"/>
          <w:bCs/>
          <w:sz w:val="24"/>
          <w:szCs w:val="24"/>
          <w:lang w:val="ru-RU"/>
        </w:rPr>
        <w:t xml:space="preserve"> административных зданий, учреждений культуры и спорта, медико-санитарных учреждений</w:t>
      </w:r>
      <w:r w:rsidRPr="00BD3358">
        <w:rPr>
          <w:rFonts w:asciiTheme="majorHAnsi" w:hAnsiTheme="majorHAnsi" w:cstheme="majorHAnsi"/>
          <w:sz w:val="24"/>
          <w:szCs w:val="24"/>
          <w:lang w:val="ro-RO"/>
        </w:rPr>
        <w:t xml:space="preserve"> – 2,9 млн. ле</w:t>
      </w:r>
      <w:r w:rsidR="00587FD5">
        <w:rPr>
          <w:rFonts w:asciiTheme="majorHAnsi" w:hAnsiTheme="majorHAnsi" w:cstheme="majorHAnsi"/>
          <w:sz w:val="24"/>
          <w:szCs w:val="24"/>
          <w:lang w:val="ru-RU"/>
        </w:rPr>
        <w:t>ев</w:t>
      </w:r>
      <w:r w:rsidRPr="00BD3358">
        <w:rPr>
          <w:rFonts w:asciiTheme="majorHAnsi" w:hAnsiTheme="majorHAnsi" w:cstheme="majorHAnsi"/>
          <w:sz w:val="24"/>
          <w:szCs w:val="24"/>
          <w:lang w:val="ro-RO"/>
        </w:rPr>
        <w:t xml:space="preserve">; </w:t>
      </w:r>
      <w:r w:rsidRPr="006628D6">
        <w:rPr>
          <w:rFonts w:asciiTheme="majorHAnsi" w:hAnsiTheme="majorHAnsi" w:cstheme="majorHAnsi"/>
          <w:i/>
          <w:sz w:val="24"/>
          <w:szCs w:val="24"/>
          <w:lang w:val="ro-RO"/>
        </w:rPr>
        <w:t>(iii)</w:t>
      </w:r>
      <w:r w:rsidRPr="00BD3358">
        <w:rPr>
          <w:rFonts w:asciiTheme="majorHAnsi" w:hAnsiTheme="majorHAnsi" w:cstheme="majorHAnsi"/>
          <w:sz w:val="24"/>
          <w:szCs w:val="24"/>
          <w:lang w:val="ro-RO"/>
        </w:rPr>
        <w:t xml:space="preserve"> улично</w:t>
      </w:r>
      <w:r w:rsidR="00587FD5">
        <w:rPr>
          <w:rFonts w:asciiTheme="majorHAnsi" w:hAnsiTheme="majorHAnsi" w:cstheme="majorHAnsi"/>
          <w:sz w:val="24"/>
          <w:szCs w:val="24"/>
          <w:lang w:val="ru-RU"/>
        </w:rPr>
        <w:t>го</w:t>
      </w:r>
      <w:r w:rsidRPr="00BD3358">
        <w:rPr>
          <w:rFonts w:asciiTheme="majorHAnsi" w:hAnsiTheme="majorHAnsi" w:cstheme="majorHAnsi"/>
          <w:sz w:val="24"/>
          <w:szCs w:val="24"/>
          <w:lang w:val="ro-RO"/>
        </w:rPr>
        <w:t xml:space="preserve"> освещени</w:t>
      </w:r>
      <w:r w:rsidR="00587FD5">
        <w:rPr>
          <w:rFonts w:asciiTheme="majorHAnsi" w:hAnsiTheme="majorHAnsi" w:cstheme="majorHAnsi"/>
          <w:sz w:val="24"/>
          <w:szCs w:val="24"/>
          <w:lang w:val="ru-RU"/>
        </w:rPr>
        <w:t>я</w:t>
      </w:r>
      <w:r w:rsidRPr="00BD3358">
        <w:rPr>
          <w:rFonts w:asciiTheme="majorHAnsi" w:hAnsiTheme="majorHAnsi" w:cstheme="majorHAnsi"/>
          <w:sz w:val="24"/>
          <w:szCs w:val="24"/>
          <w:lang w:val="ro-RO"/>
        </w:rPr>
        <w:t xml:space="preserve"> и реконструкци</w:t>
      </w:r>
      <w:r w:rsidR="00587FD5">
        <w:rPr>
          <w:rFonts w:asciiTheme="majorHAnsi" w:hAnsiTheme="majorHAnsi" w:cstheme="majorHAnsi"/>
          <w:sz w:val="24"/>
          <w:szCs w:val="24"/>
          <w:lang w:val="ru-RU"/>
        </w:rPr>
        <w:t>и</w:t>
      </w:r>
      <w:r w:rsidRPr="00BD3358">
        <w:rPr>
          <w:rFonts w:asciiTheme="majorHAnsi" w:hAnsiTheme="majorHAnsi" w:cstheme="majorHAnsi"/>
          <w:sz w:val="24"/>
          <w:szCs w:val="24"/>
          <w:lang w:val="ro-RO"/>
        </w:rPr>
        <w:t xml:space="preserve"> водопровод</w:t>
      </w:r>
      <w:r w:rsidR="00587FD5">
        <w:rPr>
          <w:rFonts w:asciiTheme="majorHAnsi" w:hAnsiTheme="majorHAnsi" w:cstheme="majorHAnsi"/>
          <w:sz w:val="24"/>
          <w:szCs w:val="24"/>
          <w:lang w:val="ru-RU"/>
        </w:rPr>
        <w:t xml:space="preserve">ов </w:t>
      </w:r>
      <w:r w:rsidRPr="00BD3358">
        <w:rPr>
          <w:rFonts w:asciiTheme="majorHAnsi" w:hAnsiTheme="majorHAnsi" w:cstheme="majorHAnsi"/>
          <w:sz w:val="24"/>
          <w:szCs w:val="24"/>
          <w:lang w:val="ro-RO"/>
        </w:rPr>
        <w:t>-</w:t>
      </w:r>
      <w:r w:rsidR="00587FD5">
        <w:rPr>
          <w:rFonts w:asciiTheme="majorHAnsi" w:hAnsiTheme="majorHAnsi" w:cstheme="majorHAnsi"/>
          <w:sz w:val="24"/>
          <w:szCs w:val="24"/>
          <w:lang w:val="ru-RU"/>
        </w:rPr>
        <w:t xml:space="preserve"> </w:t>
      </w:r>
      <w:r w:rsidRPr="00BD3358">
        <w:rPr>
          <w:rFonts w:asciiTheme="majorHAnsi" w:hAnsiTheme="majorHAnsi" w:cstheme="majorHAnsi"/>
          <w:sz w:val="24"/>
          <w:szCs w:val="24"/>
          <w:lang w:val="ro-RO"/>
        </w:rPr>
        <w:t>6,2 млн. ле</w:t>
      </w:r>
      <w:r w:rsidR="00587FD5">
        <w:rPr>
          <w:rFonts w:asciiTheme="majorHAnsi" w:hAnsiTheme="majorHAnsi" w:cstheme="majorHAnsi"/>
          <w:sz w:val="24"/>
          <w:szCs w:val="24"/>
          <w:lang w:val="ru-RU"/>
        </w:rPr>
        <w:t>ев</w:t>
      </w:r>
      <w:r w:rsidRPr="00BD3358">
        <w:rPr>
          <w:rFonts w:asciiTheme="majorHAnsi" w:hAnsiTheme="majorHAnsi" w:cstheme="majorHAnsi"/>
          <w:sz w:val="24"/>
          <w:szCs w:val="24"/>
          <w:lang w:val="ro-RO"/>
        </w:rPr>
        <w:t xml:space="preserve">; </w:t>
      </w:r>
      <w:r w:rsidRPr="00587FD5">
        <w:rPr>
          <w:rFonts w:asciiTheme="majorHAnsi" w:hAnsiTheme="majorHAnsi" w:cstheme="majorHAnsi"/>
          <w:i/>
          <w:sz w:val="24"/>
          <w:szCs w:val="24"/>
          <w:lang w:val="ro-RO"/>
        </w:rPr>
        <w:t>(iv)</w:t>
      </w:r>
      <w:r w:rsidRPr="00BD3358">
        <w:rPr>
          <w:rFonts w:asciiTheme="majorHAnsi" w:hAnsiTheme="majorHAnsi" w:cstheme="majorHAnsi"/>
          <w:sz w:val="24"/>
          <w:szCs w:val="24"/>
          <w:lang w:val="ro-RO"/>
        </w:rPr>
        <w:t xml:space="preserve"> други</w:t>
      </w:r>
      <w:r w:rsidR="00587FD5">
        <w:rPr>
          <w:rFonts w:asciiTheme="majorHAnsi" w:hAnsiTheme="majorHAnsi" w:cstheme="majorHAnsi"/>
          <w:sz w:val="24"/>
          <w:szCs w:val="24"/>
          <w:lang w:val="ru-RU"/>
        </w:rPr>
        <w:t>х</w:t>
      </w:r>
      <w:r w:rsidRPr="00BD3358">
        <w:rPr>
          <w:rFonts w:asciiTheme="majorHAnsi" w:hAnsiTheme="majorHAnsi" w:cstheme="majorHAnsi"/>
          <w:sz w:val="24"/>
          <w:szCs w:val="24"/>
          <w:lang w:val="ro-RO"/>
        </w:rPr>
        <w:t xml:space="preserve"> </w:t>
      </w:r>
      <w:r w:rsidR="00587FD5">
        <w:rPr>
          <w:rFonts w:asciiTheme="majorHAnsi" w:hAnsiTheme="majorHAnsi" w:cstheme="majorHAnsi"/>
          <w:sz w:val="24"/>
          <w:szCs w:val="24"/>
          <w:lang w:val="ru-RU"/>
        </w:rPr>
        <w:t xml:space="preserve">мероприятий </w:t>
      </w:r>
      <w:r w:rsidRPr="00BD3358">
        <w:rPr>
          <w:rFonts w:asciiTheme="majorHAnsi" w:hAnsiTheme="majorHAnsi" w:cstheme="majorHAnsi"/>
          <w:sz w:val="24"/>
          <w:szCs w:val="24"/>
          <w:lang w:val="ro-RO"/>
        </w:rPr>
        <w:t>-</w:t>
      </w:r>
      <w:r w:rsidR="00587FD5">
        <w:rPr>
          <w:rFonts w:asciiTheme="majorHAnsi" w:hAnsiTheme="majorHAnsi" w:cstheme="majorHAnsi"/>
          <w:sz w:val="24"/>
          <w:szCs w:val="24"/>
          <w:lang w:val="ru-RU"/>
        </w:rPr>
        <w:t xml:space="preserve"> </w:t>
      </w:r>
      <w:r w:rsidRPr="00BD3358">
        <w:rPr>
          <w:rFonts w:asciiTheme="majorHAnsi" w:hAnsiTheme="majorHAnsi" w:cstheme="majorHAnsi"/>
          <w:sz w:val="24"/>
          <w:szCs w:val="24"/>
          <w:lang w:val="ro-RO"/>
        </w:rPr>
        <w:t xml:space="preserve">0,9 млн. </w:t>
      </w:r>
      <w:r w:rsidR="00587FD5">
        <w:rPr>
          <w:rFonts w:asciiTheme="majorHAnsi" w:hAnsiTheme="majorHAnsi" w:cstheme="majorHAnsi"/>
          <w:sz w:val="24"/>
          <w:szCs w:val="24"/>
          <w:lang w:val="ru-RU"/>
        </w:rPr>
        <w:t>л</w:t>
      </w:r>
      <w:r w:rsidR="0025764C">
        <w:rPr>
          <w:rFonts w:asciiTheme="majorHAnsi" w:hAnsiTheme="majorHAnsi" w:cstheme="majorHAnsi"/>
          <w:sz w:val="24"/>
          <w:szCs w:val="24"/>
          <w:lang w:val="ro-RO"/>
        </w:rPr>
        <w:t>еев</w:t>
      </w:r>
      <w:r w:rsidRPr="00BD3358">
        <w:rPr>
          <w:rFonts w:asciiTheme="majorHAnsi" w:hAnsiTheme="majorHAnsi" w:cstheme="majorHAnsi"/>
          <w:sz w:val="24"/>
          <w:szCs w:val="24"/>
          <w:lang w:val="ro-RO"/>
        </w:rPr>
        <w:t>.</w:t>
      </w:r>
      <w:r w:rsidRPr="00587FD5">
        <w:rPr>
          <w:rFonts w:asciiTheme="majorHAnsi" w:hAnsiTheme="majorHAnsi" w:cstheme="majorHAnsi"/>
          <w:sz w:val="24"/>
          <w:szCs w:val="24"/>
          <w:lang w:val="ru-RU"/>
        </w:rPr>
        <w:t xml:space="preserve"> </w:t>
      </w:r>
      <w:r w:rsidRPr="00BD3358">
        <w:rPr>
          <w:rFonts w:asciiTheme="majorHAnsi" w:hAnsiTheme="majorHAnsi" w:cstheme="majorHAnsi"/>
          <w:sz w:val="24"/>
          <w:szCs w:val="24"/>
          <w:lang w:val="ro-RO"/>
        </w:rPr>
        <w:t>Аудит</w:t>
      </w:r>
      <w:r w:rsidR="00587FD5">
        <w:rPr>
          <w:rFonts w:asciiTheme="majorHAnsi" w:hAnsiTheme="majorHAnsi" w:cstheme="majorHAnsi"/>
          <w:sz w:val="24"/>
          <w:szCs w:val="24"/>
          <w:lang w:val="ru-RU"/>
        </w:rPr>
        <w:t xml:space="preserve">ом установлено, </w:t>
      </w:r>
      <w:r w:rsidRPr="00BD3358">
        <w:rPr>
          <w:rFonts w:asciiTheme="majorHAnsi" w:hAnsiTheme="majorHAnsi" w:cstheme="majorHAnsi"/>
          <w:sz w:val="24"/>
          <w:szCs w:val="24"/>
          <w:lang w:val="ro-RO"/>
        </w:rPr>
        <w:t>что МФ не запросил</w:t>
      </w:r>
      <w:r w:rsidR="00587FD5">
        <w:rPr>
          <w:rFonts w:asciiTheme="majorHAnsi" w:hAnsiTheme="majorHAnsi" w:cstheme="majorHAnsi"/>
          <w:sz w:val="24"/>
          <w:szCs w:val="24"/>
          <w:lang w:val="ru-RU"/>
        </w:rPr>
        <w:t>о</w:t>
      </w:r>
      <w:r w:rsidRPr="00BD3358">
        <w:rPr>
          <w:rFonts w:asciiTheme="majorHAnsi" w:hAnsiTheme="majorHAnsi" w:cstheme="majorHAnsi"/>
          <w:sz w:val="24"/>
          <w:szCs w:val="24"/>
          <w:lang w:val="ro-RO"/>
        </w:rPr>
        <w:t xml:space="preserve"> подтверждающих документов от ЦП</w:t>
      </w:r>
      <w:r w:rsidR="00587FD5">
        <w:rPr>
          <w:rFonts w:asciiTheme="majorHAnsi" w:hAnsiTheme="majorHAnsi" w:cstheme="majorHAnsi"/>
          <w:sz w:val="24"/>
          <w:szCs w:val="24"/>
          <w:lang w:val="ru-RU"/>
        </w:rPr>
        <w:t>О</w:t>
      </w:r>
      <w:r w:rsidRPr="00BD3358">
        <w:rPr>
          <w:rFonts w:asciiTheme="majorHAnsi" w:hAnsiTheme="majorHAnsi" w:cstheme="majorHAnsi"/>
          <w:sz w:val="24"/>
          <w:szCs w:val="24"/>
          <w:lang w:val="ro-RO"/>
        </w:rPr>
        <w:t xml:space="preserve"> и МПО в качестве получателей утвержденных </w:t>
      </w:r>
      <w:r w:rsidR="00587FD5">
        <w:rPr>
          <w:rFonts w:asciiTheme="majorHAnsi" w:hAnsiTheme="majorHAnsi" w:cstheme="majorHAnsi"/>
          <w:sz w:val="24"/>
          <w:szCs w:val="24"/>
          <w:lang w:val="ru-RU"/>
        </w:rPr>
        <w:t>ассигнован</w:t>
      </w:r>
      <w:r w:rsidRPr="00BD3358">
        <w:rPr>
          <w:rFonts w:asciiTheme="majorHAnsi" w:hAnsiTheme="majorHAnsi" w:cstheme="majorHAnsi"/>
          <w:sz w:val="24"/>
          <w:szCs w:val="24"/>
          <w:lang w:val="ro-RO"/>
        </w:rPr>
        <w:t xml:space="preserve">ий, </w:t>
      </w:r>
      <w:r w:rsidR="00587FD5">
        <w:rPr>
          <w:rFonts w:asciiTheme="majorHAnsi" w:hAnsiTheme="majorHAnsi" w:cstheme="majorHAnsi"/>
          <w:sz w:val="24"/>
          <w:szCs w:val="24"/>
          <w:lang w:val="ru-RU"/>
        </w:rPr>
        <w:t>однако</w:t>
      </w:r>
      <w:r w:rsidRPr="00BD3358">
        <w:rPr>
          <w:rFonts w:asciiTheme="majorHAnsi" w:hAnsiTheme="majorHAnsi" w:cstheme="majorHAnsi"/>
          <w:sz w:val="24"/>
          <w:szCs w:val="24"/>
          <w:lang w:val="ro-RO"/>
        </w:rPr>
        <w:t xml:space="preserve"> </w:t>
      </w:r>
      <w:r w:rsidR="00587FD5">
        <w:rPr>
          <w:rFonts w:asciiTheme="majorHAnsi" w:hAnsiTheme="majorHAnsi" w:cstheme="majorHAnsi"/>
          <w:sz w:val="24"/>
          <w:szCs w:val="24"/>
          <w:lang w:val="ru-RU"/>
        </w:rPr>
        <w:t>про</w:t>
      </w:r>
      <w:r w:rsidRPr="00BD3358">
        <w:rPr>
          <w:rFonts w:asciiTheme="majorHAnsi" w:hAnsiTheme="majorHAnsi" w:cstheme="majorHAnsi"/>
          <w:sz w:val="24"/>
          <w:szCs w:val="24"/>
          <w:lang w:val="ro-RO"/>
        </w:rPr>
        <w:t>финансировал</w:t>
      </w:r>
      <w:r w:rsidR="00587FD5">
        <w:rPr>
          <w:rFonts w:asciiTheme="majorHAnsi" w:hAnsiTheme="majorHAnsi" w:cstheme="majorHAnsi"/>
          <w:sz w:val="24"/>
          <w:szCs w:val="24"/>
          <w:lang w:val="ru-RU"/>
        </w:rPr>
        <w:t>о</w:t>
      </w:r>
      <w:r w:rsidRPr="00BD3358">
        <w:rPr>
          <w:rFonts w:asciiTheme="majorHAnsi" w:hAnsiTheme="majorHAnsi" w:cstheme="majorHAnsi"/>
          <w:sz w:val="24"/>
          <w:szCs w:val="24"/>
          <w:lang w:val="ro-RO"/>
        </w:rPr>
        <w:t xml:space="preserve"> </w:t>
      </w:r>
      <w:r w:rsidR="00587FD5">
        <w:rPr>
          <w:rFonts w:asciiTheme="majorHAnsi" w:hAnsiTheme="majorHAnsi" w:cstheme="majorHAnsi"/>
          <w:sz w:val="24"/>
          <w:szCs w:val="24"/>
          <w:lang w:val="ru-RU"/>
        </w:rPr>
        <w:t>вы</w:t>
      </w:r>
      <w:r w:rsidR="00587FD5" w:rsidRPr="00BD3358">
        <w:rPr>
          <w:rFonts w:asciiTheme="majorHAnsi" w:hAnsiTheme="majorHAnsi" w:cstheme="majorHAnsi"/>
          <w:sz w:val="24"/>
          <w:szCs w:val="24"/>
          <w:lang w:val="ro-RO"/>
        </w:rPr>
        <w:t xml:space="preserve">бранные </w:t>
      </w:r>
      <w:r w:rsidRPr="00BD3358">
        <w:rPr>
          <w:rFonts w:asciiTheme="majorHAnsi" w:hAnsiTheme="majorHAnsi" w:cstheme="majorHAnsi"/>
          <w:sz w:val="24"/>
          <w:szCs w:val="24"/>
          <w:lang w:val="ro-RO"/>
        </w:rPr>
        <w:t xml:space="preserve">проекты в рамках </w:t>
      </w:r>
      <w:r w:rsidR="00587FD5">
        <w:rPr>
          <w:rFonts w:asciiTheme="majorHAnsi" w:hAnsiTheme="majorHAnsi" w:cstheme="majorHAnsi"/>
          <w:sz w:val="24"/>
          <w:szCs w:val="24"/>
          <w:lang w:val="ru-RU"/>
        </w:rPr>
        <w:t>П</w:t>
      </w:r>
      <w:r w:rsidRPr="00BD3358">
        <w:rPr>
          <w:rFonts w:asciiTheme="majorHAnsi" w:hAnsiTheme="majorHAnsi" w:cstheme="majorHAnsi"/>
          <w:sz w:val="24"/>
          <w:szCs w:val="24"/>
          <w:lang w:val="ro-RO"/>
        </w:rPr>
        <w:t xml:space="preserve">рограммы на основе представленных </w:t>
      </w:r>
      <w:r w:rsidRPr="00BD3358">
        <w:rPr>
          <w:rFonts w:asciiTheme="majorHAnsi" w:hAnsiTheme="majorHAnsi" w:cstheme="majorHAnsi"/>
          <w:sz w:val="24"/>
          <w:szCs w:val="24"/>
          <w:lang w:val="ro-RO"/>
        </w:rPr>
        <w:lastRenderedPageBreak/>
        <w:t xml:space="preserve">платежных поручений. </w:t>
      </w:r>
      <w:r w:rsidR="00587FD5" w:rsidRPr="00587FD5">
        <w:rPr>
          <w:rFonts w:asciiTheme="majorHAnsi" w:hAnsiTheme="majorHAnsi" w:cstheme="majorHAnsi"/>
          <w:sz w:val="24"/>
          <w:szCs w:val="24"/>
          <w:lang w:val="ro-RO"/>
        </w:rPr>
        <w:t>Кроме того</w:t>
      </w:r>
      <w:r w:rsidRPr="00BD3358">
        <w:rPr>
          <w:rFonts w:asciiTheme="majorHAnsi" w:hAnsiTheme="majorHAnsi" w:cstheme="majorHAnsi"/>
          <w:sz w:val="24"/>
          <w:szCs w:val="24"/>
          <w:lang w:val="ro-RO"/>
        </w:rPr>
        <w:t xml:space="preserve">, вопреки </w:t>
      </w:r>
      <w:r w:rsidR="00587FD5" w:rsidRPr="00587FD5">
        <w:rPr>
          <w:rFonts w:asciiTheme="majorHAnsi" w:hAnsiTheme="majorHAnsi" w:cstheme="majorHAnsi"/>
          <w:sz w:val="24"/>
          <w:szCs w:val="24"/>
          <w:lang w:val="ro-RO"/>
        </w:rPr>
        <w:t>требова</w:t>
      </w:r>
      <w:r w:rsidRPr="00BD3358">
        <w:rPr>
          <w:rFonts w:asciiTheme="majorHAnsi" w:hAnsiTheme="majorHAnsi" w:cstheme="majorHAnsi"/>
          <w:sz w:val="24"/>
          <w:szCs w:val="24"/>
          <w:lang w:val="ro-RO"/>
        </w:rPr>
        <w:t>ниям нормативной базы</w:t>
      </w:r>
      <w:r w:rsidR="00587FD5" w:rsidRPr="00F55BA6">
        <w:rPr>
          <w:rStyle w:val="FootnoteReference"/>
          <w:rFonts w:asciiTheme="majorHAnsi" w:hAnsiTheme="majorHAnsi" w:cstheme="majorHAnsi"/>
          <w:sz w:val="24"/>
          <w:szCs w:val="24"/>
          <w:lang w:val="ro-RO"/>
        </w:rPr>
        <w:footnoteReference w:id="60"/>
      </w:r>
      <w:r w:rsidRPr="00BD3358">
        <w:rPr>
          <w:rFonts w:asciiTheme="majorHAnsi" w:hAnsiTheme="majorHAnsi" w:cstheme="majorHAnsi"/>
          <w:sz w:val="24"/>
          <w:szCs w:val="24"/>
          <w:lang w:val="ro-RO"/>
        </w:rPr>
        <w:t xml:space="preserve">, </w:t>
      </w:r>
      <w:r w:rsidR="00587FD5" w:rsidRPr="00587FD5">
        <w:rPr>
          <w:rFonts w:asciiTheme="majorHAnsi" w:hAnsiTheme="majorHAnsi" w:cstheme="majorHAnsi"/>
          <w:sz w:val="24"/>
          <w:szCs w:val="24"/>
          <w:lang w:val="ro-RO"/>
        </w:rPr>
        <w:t>публичные учреждения,</w:t>
      </w:r>
      <w:r w:rsidRPr="00BD3358">
        <w:rPr>
          <w:rFonts w:asciiTheme="majorHAnsi" w:hAnsiTheme="majorHAnsi" w:cstheme="majorHAnsi"/>
          <w:sz w:val="24"/>
          <w:szCs w:val="24"/>
          <w:lang w:val="ro-RO"/>
        </w:rPr>
        <w:t xml:space="preserve"> получившие </w:t>
      </w:r>
      <w:r w:rsidR="00030E5A">
        <w:rPr>
          <w:rFonts w:asciiTheme="majorHAnsi" w:hAnsiTheme="majorHAnsi" w:cstheme="majorHAnsi"/>
          <w:sz w:val="24"/>
          <w:szCs w:val="24"/>
          <w:lang w:val="ro-RO"/>
        </w:rPr>
        <w:t>ассигнования из ГБ</w:t>
      </w:r>
      <w:r w:rsidRPr="00BD3358">
        <w:rPr>
          <w:rFonts w:asciiTheme="majorHAnsi" w:hAnsiTheme="majorHAnsi" w:cstheme="majorHAnsi"/>
          <w:sz w:val="24"/>
          <w:szCs w:val="24"/>
          <w:lang w:val="ro-RO"/>
        </w:rPr>
        <w:t xml:space="preserve">, не представили МФ полугодовые и годовые отчеты об использовании </w:t>
      </w:r>
      <w:r w:rsidR="00587FD5" w:rsidRPr="00BD3358">
        <w:rPr>
          <w:rFonts w:asciiTheme="majorHAnsi" w:hAnsiTheme="majorHAnsi" w:cstheme="majorHAnsi"/>
          <w:sz w:val="24"/>
          <w:szCs w:val="24"/>
          <w:lang w:val="ro-RO"/>
        </w:rPr>
        <w:t xml:space="preserve">выделенных </w:t>
      </w:r>
      <w:r w:rsidRPr="00BD3358">
        <w:rPr>
          <w:rFonts w:asciiTheme="majorHAnsi" w:hAnsiTheme="majorHAnsi" w:cstheme="majorHAnsi"/>
          <w:sz w:val="24"/>
          <w:szCs w:val="24"/>
          <w:lang w:val="ro-RO"/>
        </w:rPr>
        <w:t>средств</w:t>
      </w:r>
      <w:r w:rsidR="00587FD5" w:rsidRPr="00587FD5">
        <w:rPr>
          <w:rFonts w:asciiTheme="majorHAnsi" w:hAnsiTheme="majorHAnsi" w:cstheme="majorHAnsi"/>
          <w:sz w:val="24"/>
          <w:szCs w:val="24"/>
          <w:lang w:val="ro-RO"/>
        </w:rPr>
        <w:t xml:space="preserve"> за счет</w:t>
      </w:r>
      <w:r w:rsidRPr="00BD3358">
        <w:rPr>
          <w:rFonts w:asciiTheme="majorHAnsi" w:hAnsiTheme="majorHAnsi" w:cstheme="majorHAnsi"/>
          <w:sz w:val="24"/>
          <w:szCs w:val="24"/>
          <w:lang w:val="ro-RO"/>
        </w:rPr>
        <w:t xml:space="preserve"> </w:t>
      </w:r>
      <w:r w:rsidR="00587FD5" w:rsidRPr="00587FD5">
        <w:rPr>
          <w:rFonts w:asciiTheme="majorHAnsi" w:hAnsiTheme="majorHAnsi" w:cstheme="majorHAnsi"/>
          <w:sz w:val="24"/>
          <w:szCs w:val="24"/>
          <w:lang w:val="ro-RO"/>
        </w:rPr>
        <w:t>П</w:t>
      </w:r>
      <w:r w:rsidRPr="00BD3358">
        <w:rPr>
          <w:rFonts w:asciiTheme="majorHAnsi" w:hAnsiTheme="majorHAnsi" w:cstheme="majorHAnsi"/>
          <w:sz w:val="24"/>
          <w:szCs w:val="24"/>
          <w:lang w:val="ro-RO"/>
        </w:rPr>
        <w:t>рограмм</w:t>
      </w:r>
      <w:r w:rsidR="00587FD5" w:rsidRPr="00587FD5">
        <w:rPr>
          <w:rFonts w:asciiTheme="majorHAnsi" w:hAnsiTheme="majorHAnsi" w:cstheme="majorHAnsi"/>
          <w:sz w:val="24"/>
          <w:szCs w:val="24"/>
          <w:lang w:val="ro-RO"/>
        </w:rPr>
        <w:t>ы</w:t>
      </w:r>
      <w:r w:rsidRPr="00BD3358">
        <w:rPr>
          <w:rFonts w:asciiTheme="majorHAnsi" w:hAnsiTheme="majorHAnsi" w:cstheme="majorHAnsi"/>
          <w:sz w:val="24"/>
          <w:szCs w:val="24"/>
          <w:lang w:val="ro-RO"/>
        </w:rPr>
        <w:t xml:space="preserve"> </w:t>
      </w:r>
      <w:r w:rsidR="00587FD5" w:rsidRPr="00587FD5">
        <w:rPr>
          <w:rFonts w:asciiTheme="majorHAnsi" w:hAnsiTheme="majorHAnsi" w:cstheme="majorHAnsi"/>
          <w:sz w:val="24"/>
          <w:szCs w:val="24"/>
          <w:lang w:val="ro-RO"/>
        </w:rPr>
        <w:t xml:space="preserve">мероприятий по </w:t>
      </w:r>
      <w:r w:rsidRPr="00BD3358">
        <w:rPr>
          <w:rFonts w:asciiTheme="majorHAnsi" w:hAnsiTheme="majorHAnsi" w:cstheme="majorHAnsi"/>
          <w:sz w:val="24"/>
          <w:szCs w:val="24"/>
          <w:lang w:val="ro-RO"/>
        </w:rPr>
        <w:t>реинтеграции страны</w:t>
      </w:r>
      <w:r w:rsidR="00AC6703" w:rsidRPr="00F55BA6">
        <w:rPr>
          <w:rFonts w:asciiTheme="majorHAnsi" w:hAnsiTheme="majorHAnsi" w:cstheme="majorHAnsi"/>
          <w:sz w:val="24"/>
          <w:szCs w:val="24"/>
          <w:lang w:val="ro-RO"/>
        </w:rPr>
        <w:t>.</w:t>
      </w:r>
    </w:p>
    <w:p w:rsidR="00AC6703" w:rsidRPr="00F55BA6" w:rsidRDefault="00587FD5" w:rsidP="00AC6703">
      <w:pPr>
        <w:spacing w:after="0" w:line="276" w:lineRule="auto"/>
        <w:rPr>
          <w:rFonts w:asciiTheme="majorHAnsi" w:hAnsiTheme="majorHAnsi" w:cstheme="majorHAnsi"/>
          <w:sz w:val="24"/>
          <w:szCs w:val="24"/>
          <w:lang w:val="ro-RO"/>
        </w:rPr>
      </w:pPr>
      <w:r>
        <w:rPr>
          <w:rFonts w:asciiTheme="majorHAnsi" w:hAnsiTheme="majorHAnsi" w:cstheme="majorHAnsi"/>
          <w:sz w:val="24"/>
          <w:szCs w:val="24"/>
          <w:lang w:val="ru-RU"/>
        </w:rPr>
        <w:t xml:space="preserve">В </w:t>
      </w:r>
      <w:r w:rsidR="00BD3358" w:rsidRPr="00BD3358">
        <w:rPr>
          <w:rFonts w:asciiTheme="majorHAnsi" w:hAnsiTheme="majorHAnsi" w:cstheme="majorHAnsi"/>
          <w:sz w:val="24"/>
          <w:szCs w:val="24"/>
          <w:lang w:val="ro-RO"/>
        </w:rPr>
        <w:t>Закон</w:t>
      </w:r>
      <w:r>
        <w:rPr>
          <w:rFonts w:asciiTheme="majorHAnsi" w:hAnsiTheme="majorHAnsi" w:cstheme="majorHAnsi"/>
          <w:sz w:val="24"/>
          <w:szCs w:val="24"/>
          <w:lang w:val="ru-RU"/>
        </w:rPr>
        <w:t>е</w:t>
      </w:r>
      <w:r w:rsidR="00BD3358" w:rsidRPr="00BD3358">
        <w:rPr>
          <w:rFonts w:asciiTheme="majorHAnsi" w:hAnsiTheme="majorHAnsi" w:cstheme="majorHAnsi"/>
          <w:sz w:val="24"/>
          <w:szCs w:val="24"/>
          <w:lang w:val="ro-RO"/>
        </w:rPr>
        <w:t xml:space="preserve"> </w:t>
      </w:r>
      <w:r>
        <w:rPr>
          <w:rFonts w:asciiTheme="majorHAnsi" w:hAnsiTheme="majorHAnsi" w:cstheme="majorHAnsi"/>
          <w:sz w:val="24"/>
          <w:szCs w:val="24"/>
          <w:lang w:val="ru-RU"/>
        </w:rPr>
        <w:t>о</w:t>
      </w:r>
      <w:r w:rsidR="00BD3358" w:rsidRPr="00BD3358">
        <w:rPr>
          <w:rFonts w:asciiTheme="majorHAnsi" w:hAnsiTheme="majorHAnsi" w:cstheme="majorHAnsi"/>
          <w:sz w:val="24"/>
          <w:szCs w:val="24"/>
          <w:lang w:val="ro-RO"/>
        </w:rPr>
        <w:t xml:space="preserve"> государственном бюджете </w:t>
      </w:r>
      <w:r>
        <w:rPr>
          <w:rFonts w:asciiTheme="majorHAnsi" w:hAnsiTheme="majorHAnsi" w:cstheme="majorHAnsi"/>
          <w:sz w:val="24"/>
          <w:szCs w:val="24"/>
          <w:lang w:val="ru-RU"/>
        </w:rPr>
        <w:t>н</w:t>
      </w:r>
      <w:r w:rsidRPr="00BD3358">
        <w:rPr>
          <w:rFonts w:asciiTheme="majorHAnsi" w:hAnsiTheme="majorHAnsi" w:cstheme="majorHAnsi"/>
          <w:sz w:val="24"/>
          <w:szCs w:val="24"/>
          <w:lang w:val="ro-RO"/>
        </w:rPr>
        <w:t xml:space="preserve">а 2020 год </w:t>
      </w:r>
      <w:r w:rsidR="00BD3358" w:rsidRPr="00BD3358">
        <w:rPr>
          <w:rFonts w:asciiTheme="majorHAnsi" w:hAnsiTheme="majorHAnsi" w:cstheme="majorHAnsi"/>
          <w:sz w:val="24"/>
          <w:szCs w:val="24"/>
          <w:lang w:val="ro-RO"/>
        </w:rPr>
        <w:t xml:space="preserve">изначально было предусмотрено 70,0 млн. леев, впоследствии увеличены ассигнования до 90,0 млн. леев на внедрение </w:t>
      </w:r>
      <w:r>
        <w:rPr>
          <w:rFonts w:asciiTheme="majorHAnsi" w:hAnsiTheme="majorHAnsi" w:cstheme="majorHAnsi"/>
          <w:sz w:val="24"/>
          <w:szCs w:val="24"/>
          <w:lang w:val="ru-RU"/>
        </w:rPr>
        <w:t>Г</w:t>
      </w:r>
      <w:r w:rsidR="00BD3358" w:rsidRPr="00BD3358">
        <w:rPr>
          <w:rFonts w:asciiTheme="majorHAnsi" w:hAnsiTheme="majorHAnsi" w:cstheme="majorHAnsi"/>
          <w:sz w:val="24"/>
          <w:szCs w:val="24"/>
          <w:lang w:val="ro-RO"/>
        </w:rPr>
        <w:t xml:space="preserve">осударственной программы </w:t>
      </w:r>
      <w:r w:rsidR="000F7647" w:rsidRPr="00B05CFC">
        <w:rPr>
          <w:rFonts w:asciiTheme="majorHAnsi" w:hAnsiTheme="majorHAnsi" w:cstheme="majorHAnsi"/>
          <w:bCs/>
          <w:sz w:val="24"/>
          <w:szCs w:val="24"/>
          <w:lang w:val="ro-RO"/>
        </w:rPr>
        <w:t>„</w:t>
      </w:r>
      <w:r w:rsidR="00BD3358" w:rsidRPr="00BD3358">
        <w:rPr>
          <w:rFonts w:asciiTheme="majorHAnsi" w:hAnsiTheme="majorHAnsi" w:cstheme="majorHAnsi"/>
          <w:sz w:val="24"/>
          <w:szCs w:val="24"/>
          <w:lang w:val="ro-RO"/>
        </w:rPr>
        <w:t>Первый дом</w:t>
      </w:r>
      <w:r w:rsidR="000F7647" w:rsidRPr="00F55BA6">
        <w:rPr>
          <w:rFonts w:asciiTheme="majorHAnsi" w:hAnsiTheme="majorHAnsi" w:cstheme="majorHAnsi"/>
          <w:sz w:val="24"/>
          <w:szCs w:val="24"/>
          <w:lang w:val="ro-RO"/>
        </w:rPr>
        <w:t>”</w:t>
      </w:r>
      <w:r w:rsidR="00BD3358" w:rsidRPr="00BD3358">
        <w:rPr>
          <w:rFonts w:asciiTheme="majorHAnsi" w:hAnsiTheme="majorHAnsi" w:cstheme="majorHAnsi"/>
          <w:sz w:val="24"/>
          <w:szCs w:val="24"/>
          <w:lang w:val="ro-RO"/>
        </w:rPr>
        <w:t xml:space="preserve">, в том числе 50,0 млн. леев </w:t>
      </w:r>
      <w:r>
        <w:rPr>
          <w:rFonts w:asciiTheme="majorHAnsi" w:hAnsiTheme="majorHAnsi" w:cstheme="majorHAnsi"/>
          <w:sz w:val="24"/>
          <w:szCs w:val="24"/>
          <w:lang w:val="ru-RU"/>
        </w:rPr>
        <w:t>н</w:t>
      </w:r>
      <w:r w:rsidR="00BD3358" w:rsidRPr="00BD3358">
        <w:rPr>
          <w:rFonts w:asciiTheme="majorHAnsi" w:hAnsiTheme="majorHAnsi" w:cstheme="majorHAnsi"/>
          <w:sz w:val="24"/>
          <w:szCs w:val="24"/>
          <w:lang w:val="ro-RO"/>
        </w:rPr>
        <w:t xml:space="preserve">а </w:t>
      </w:r>
      <w:r>
        <w:rPr>
          <w:rFonts w:asciiTheme="majorHAnsi" w:hAnsiTheme="majorHAnsi" w:cstheme="majorHAnsi"/>
          <w:sz w:val="24"/>
          <w:szCs w:val="24"/>
          <w:lang w:val="ru-RU"/>
        </w:rPr>
        <w:t>погаш</w:t>
      </w:r>
      <w:r w:rsidR="00BD3358" w:rsidRPr="00BD3358">
        <w:rPr>
          <w:rFonts w:asciiTheme="majorHAnsi" w:hAnsiTheme="majorHAnsi" w:cstheme="majorHAnsi"/>
          <w:sz w:val="24"/>
          <w:szCs w:val="24"/>
          <w:lang w:val="ro-RO"/>
        </w:rPr>
        <w:t xml:space="preserve">ение государственных гарантий </w:t>
      </w:r>
      <w:r>
        <w:rPr>
          <w:rFonts w:asciiTheme="majorHAnsi" w:hAnsiTheme="majorHAnsi" w:cstheme="majorHAnsi"/>
          <w:sz w:val="24"/>
          <w:szCs w:val="24"/>
          <w:lang w:val="ru-RU"/>
        </w:rPr>
        <w:t>в результате</w:t>
      </w:r>
      <w:r w:rsidR="00BD3358" w:rsidRPr="00BD3358">
        <w:rPr>
          <w:rFonts w:asciiTheme="majorHAnsi" w:hAnsiTheme="majorHAnsi" w:cstheme="majorHAnsi"/>
          <w:sz w:val="24"/>
          <w:szCs w:val="24"/>
          <w:lang w:val="ro-RO"/>
        </w:rPr>
        <w:t xml:space="preserve"> изменени</w:t>
      </w:r>
      <w:r>
        <w:rPr>
          <w:rFonts w:asciiTheme="majorHAnsi" w:hAnsiTheme="majorHAnsi" w:cstheme="majorHAnsi"/>
          <w:sz w:val="24"/>
          <w:szCs w:val="24"/>
          <w:lang w:val="ru-RU"/>
        </w:rPr>
        <w:t>я</w:t>
      </w:r>
      <w:r w:rsidR="00BD3358" w:rsidRPr="00BD3358">
        <w:rPr>
          <w:rFonts w:asciiTheme="majorHAnsi" w:hAnsiTheme="majorHAnsi" w:cstheme="majorHAnsi"/>
          <w:sz w:val="24"/>
          <w:szCs w:val="24"/>
          <w:lang w:val="ro-RO"/>
        </w:rPr>
        <w:t xml:space="preserve"> условий </w:t>
      </w:r>
      <w:r>
        <w:rPr>
          <w:rFonts w:asciiTheme="majorHAnsi" w:hAnsiTheme="majorHAnsi" w:cstheme="majorHAnsi"/>
          <w:sz w:val="24"/>
          <w:szCs w:val="24"/>
          <w:lang w:val="ru-RU"/>
        </w:rPr>
        <w:t>приемлемости</w:t>
      </w:r>
      <w:r w:rsidR="00BD3358" w:rsidRPr="00BD3358">
        <w:rPr>
          <w:rFonts w:asciiTheme="majorHAnsi" w:hAnsiTheme="majorHAnsi" w:cstheme="majorHAnsi"/>
          <w:sz w:val="24"/>
          <w:szCs w:val="24"/>
          <w:lang w:val="ro-RO"/>
        </w:rPr>
        <w:t xml:space="preserve"> и увеличения числа категорий бенефициаров. Таким образом, на </w:t>
      </w:r>
      <w:r w:rsidR="000F7647" w:rsidRPr="00BD3358">
        <w:rPr>
          <w:rFonts w:asciiTheme="majorHAnsi" w:hAnsiTheme="majorHAnsi" w:cstheme="majorHAnsi"/>
          <w:sz w:val="24"/>
          <w:szCs w:val="24"/>
          <w:lang w:val="ro-RO"/>
        </w:rPr>
        <w:t>компенсаци</w:t>
      </w:r>
      <w:r w:rsidR="000F7647">
        <w:rPr>
          <w:rFonts w:asciiTheme="majorHAnsi" w:hAnsiTheme="majorHAnsi" w:cstheme="majorHAnsi"/>
          <w:sz w:val="24"/>
          <w:szCs w:val="24"/>
          <w:lang w:val="ru-RU"/>
        </w:rPr>
        <w:t>онные</w:t>
      </w:r>
      <w:r w:rsidR="000F7647" w:rsidRPr="00BD3358">
        <w:rPr>
          <w:rFonts w:asciiTheme="majorHAnsi" w:hAnsiTheme="majorHAnsi" w:cstheme="majorHAnsi"/>
          <w:sz w:val="24"/>
          <w:szCs w:val="24"/>
          <w:lang w:val="ro-RO"/>
        </w:rPr>
        <w:t xml:space="preserve"> </w:t>
      </w:r>
      <w:r w:rsidR="00BD3358" w:rsidRPr="00BD3358">
        <w:rPr>
          <w:rFonts w:asciiTheme="majorHAnsi" w:hAnsiTheme="majorHAnsi" w:cstheme="majorHAnsi"/>
          <w:sz w:val="24"/>
          <w:szCs w:val="24"/>
          <w:lang w:val="ro-RO"/>
        </w:rPr>
        <w:t>программы было выделено 40 млн. леев, из которых было исполнено 24,7 млн. леев</w:t>
      </w:r>
      <w:r w:rsidR="000F7647">
        <w:rPr>
          <w:rFonts w:asciiTheme="majorHAnsi" w:hAnsiTheme="majorHAnsi" w:cstheme="majorHAnsi"/>
          <w:sz w:val="24"/>
          <w:szCs w:val="24"/>
          <w:lang w:val="ru-RU"/>
        </w:rPr>
        <w:t xml:space="preserve">, с включением </w:t>
      </w:r>
      <w:r w:rsidR="000F7647" w:rsidRPr="00F55BA6">
        <w:rPr>
          <w:rFonts w:asciiTheme="majorHAnsi" w:hAnsiTheme="majorHAnsi" w:cstheme="majorHAnsi"/>
          <w:sz w:val="24"/>
          <w:szCs w:val="24"/>
          <w:lang w:val="ro-RO"/>
        </w:rPr>
        <w:t>1</w:t>
      </w:r>
      <w:r w:rsidR="000F7647">
        <w:rPr>
          <w:rFonts w:asciiTheme="majorHAnsi" w:hAnsiTheme="majorHAnsi" w:cstheme="majorHAnsi"/>
          <w:sz w:val="24"/>
          <w:szCs w:val="24"/>
          <w:lang w:val="ro-RO"/>
        </w:rPr>
        <w:t> </w:t>
      </w:r>
      <w:r w:rsidR="000F7647" w:rsidRPr="00F55BA6">
        <w:rPr>
          <w:rFonts w:asciiTheme="majorHAnsi" w:hAnsiTheme="majorHAnsi" w:cstheme="majorHAnsi"/>
          <w:sz w:val="24"/>
          <w:szCs w:val="24"/>
          <w:lang w:val="ro-RO"/>
        </w:rPr>
        <w:t xml:space="preserve">727 </w:t>
      </w:r>
      <w:r w:rsidR="000F7647">
        <w:rPr>
          <w:rFonts w:asciiTheme="majorHAnsi" w:hAnsiTheme="majorHAnsi" w:cstheme="majorHAnsi"/>
          <w:sz w:val="24"/>
          <w:szCs w:val="24"/>
          <w:lang w:val="ru-RU"/>
        </w:rPr>
        <w:t>бенефициаров</w:t>
      </w:r>
      <w:r w:rsidR="00BD3358" w:rsidRPr="00BD3358">
        <w:rPr>
          <w:rFonts w:asciiTheme="majorHAnsi" w:hAnsiTheme="majorHAnsi" w:cstheme="majorHAnsi"/>
          <w:sz w:val="24"/>
          <w:szCs w:val="24"/>
          <w:lang w:val="ro-RO"/>
        </w:rPr>
        <w:t xml:space="preserve"> в рамках программ, </w:t>
      </w:r>
      <w:r w:rsidR="000F7647">
        <w:rPr>
          <w:rFonts w:asciiTheme="majorHAnsi" w:hAnsiTheme="majorHAnsi" w:cstheme="majorHAnsi"/>
          <w:sz w:val="24"/>
          <w:szCs w:val="24"/>
          <w:lang w:val="ru-RU"/>
        </w:rPr>
        <w:t>запущенн</w:t>
      </w:r>
      <w:r w:rsidR="000F7647">
        <w:rPr>
          <w:rFonts w:asciiTheme="majorHAnsi" w:hAnsiTheme="majorHAnsi" w:cstheme="majorHAnsi"/>
          <w:sz w:val="24"/>
          <w:szCs w:val="24"/>
          <w:lang w:val="ro-RO"/>
        </w:rPr>
        <w:t>ых в 2020 году</w:t>
      </w:r>
      <w:r w:rsidR="00BD3358" w:rsidRPr="00BD3358">
        <w:rPr>
          <w:rFonts w:asciiTheme="majorHAnsi" w:hAnsiTheme="majorHAnsi" w:cstheme="majorHAnsi"/>
          <w:sz w:val="24"/>
          <w:szCs w:val="24"/>
          <w:lang w:val="ro-RO"/>
        </w:rPr>
        <w:t xml:space="preserve">. По состоянию на 31 декабря 2020 года остаток обеспеченных </w:t>
      </w:r>
      <w:r w:rsidR="000F7647">
        <w:rPr>
          <w:rFonts w:asciiTheme="majorHAnsi" w:hAnsiTheme="majorHAnsi" w:cstheme="majorHAnsi"/>
          <w:sz w:val="24"/>
          <w:szCs w:val="24"/>
          <w:lang w:val="ru-RU"/>
        </w:rPr>
        <w:t xml:space="preserve">гарантией </w:t>
      </w:r>
      <w:r w:rsidR="00BD3358" w:rsidRPr="00BD3358">
        <w:rPr>
          <w:rFonts w:asciiTheme="majorHAnsi" w:hAnsiTheme="majorHAnsi" w:cstheme="majorHAnsi"/>
          <w:sz w:val="24"/>
          <w:szCs w:val="24"/>
          <w:lang w:val="ro-RO"/>
        </w:rPr>
        <w:t xml:space="preserve">кредитов, выданных в рамках </w:t>
      </w:r>
      <w:r w:rsidR="000F7647">
        <w:rPr>
          <w:rFonts w:asciiTheme="majorHAnsi" w:hAnsiTheme="majorHAnsi" w:cstheme="majorHAnsi"/>
          <w:sz w:val="24"/>
          <w:szCs w:val="24"/>
          <w:lang w:val="ru-RU"/>
        </w:rPr>
        <w:t>Г</w:t>
      </w:r>
      <w:r w:rsidR="00BD3358" w:rsidRPr="00BD3358">
        <w:rPr>
          <w:rFonts w:asciiTheme="majorHAnsi" w:hAnsiTheme="majorHAnsi" w:cstheme="majorHAnsi"/>
          <w:sz w:val="24"/>
          <w:szCs w:val="24"/>
          <w:lang w:val="ro-RO"/>
        </w:rPr>
        <w:t xml:space="preserve">осударственной программы </w:t>
      </w:r>
      <w:r w:rsidR="000F7647" w:rsidRPr="00B05CFC">
        <w:rPr>
          <w:rFonts w:asciiTheme="majorHAnsi" w:hAnsiTheme="majorHAnsi" w:cstheme="majorHAnsi"/>
          <w:bCs/>
          <w:sz w:val="24"/>
          <w:szCs w:val="24"/>
          <w:lang w:val="ro-RO"/>
        </w:rPr>
        <w:t>„</w:t>
      </w:r>
      <w:r w:rsidR="00BD3358" w:rsidRPr="00BD3358">
        <w:rPr>
          <w:rFonts w:asciiTheme="majorHAnsi" w:hAnsiTheme="majorHAnsi" w:cstheme="majorHAnsi"/>
          <w:sz w:val="24"/>
          <w:szCs w:val="24"/>
          <w:lang w:val="ro-RO"/>
        </w:rPr>
        <w:t>Первый дом</w:t>
      </w:r>
      <w:r w:rsidR="000F7647" w:rsidRPr="00F55BA6">
        <w:rPr>
          <w:rFonts w:asciiTheme="majorHAnsi" w:hAnsiTheme="majorHAnsi" w:cstheme="majorHAnsi"/>
          <w:sz w:val="24"/>
          <w:szCs w:val="24"/>
          <w:lang w:val="ro-RO"/>
        </w:rPr>
        <w:t>”</w:t>
      </w:r>
      <w:r w:rsidR="00BD3358" w:rsidRPr="00BD3358">
        <w:rPr>
          <w:rFonts w:asciiTheme="majorHAnsi" w:hAnsiTheme="majorHAnsi" w:cstheme="majorHAnsi"/>
          <w:sz w:val="24"/>
          <w:szCs w:val="24"/>
          <w:lang w:val="ro-RO"/>
        </w:rPr>
        <w:t xml:space="preserve">, составил 1 233,8 млн. </w:t>
      </w:r>
      <w:r w:rsidR="000F7647">
        <w:rPr>
          <w:rFonts w:asciiTheme="majorHAnsi" w:hAnsiTheme="majorHAnsi" w:cstheme="majorHAnsi"/>
          <w:sz w:val="24"/>
          <w:szCs w:val="24"/>
          <w:lang w:val="ru-RU"/>
        </w:rPr>
        <w:t>л</w:t>
      </w:r>
      <w:r w:rsidR="0025764C">
        <w:rPr>
          <w:rFonts w:asciiTheme="majorHAnsi" w:hAnsiTheme="majorHAnsi" w:cstheme="majorHAnsi"/>
          <w:sz w:val="24"/>
          <w:szCs w:val="24"/>
          <w:lang w:val="ro-RO"/>
        </w:rPr>
        <w:t>еев</w:t>
      </w:r>
      <w:r w:rsidR="00BD3358" w:rsidRPr="00BD3358">
        <w:rPr>
          <w:rFonts w:asciiTheme="majorHAnsi" w:hAnsiTheme="majorHAnsi" w:cstheme="majorHAnsi"/>
          <w:sz w:val="24"/>
          <w:szCs w:val="24"/>
          <w:lang w:val="ro-RO"/>
        </w:rPr>
        <w:t xml:space="preserve">. Отмечается, что в 2020 году был зарегистрирован первый случай </w:t>
      </w:r>
      <w:r w:rsidR="000F7647" w:rsidRPr="000F7647">
        <w:rPr>
          <w:rFonts w:asciiTheme="majorHAnsi" w:hAnsiTheme="majorHAnsi" w:cstheme="majorHAnsi"/>
          <w:sz w:val="24"/>
          <w:szCs w:val="24"/>
          <w:lang w:val="ro-RO"/>
        </w:rPr>
        <w:t>активации</w:t>
      </w:r>
      <w:r w:rsidR="00BD3358" w:rsidRPr="00BD3358">
        <w:rPr>
          <w:rFonts w:asciiTheme="majorHAnsi" w:hAnsiTheme="majorHAnsi" w:cstheme="majorHAnsi"/>
          <w:sz w:val="24"/>
          <w:szCs w:val="24"/>
          <w:lang w:val="ro-RO"/>
        </w:rPr>
        <w:t xml:space="preserve"> государственной гарантии в размере 167,7 тыс. леев, предоставленн</w:t>
      </w:r>
      <w:r w:rsidR="000F7647" w:rsidRPr="000F7647">
        <w:rPr>
          <w:rFonts w:asciiTheme="majorHAnsi" w:hAnsiTheme="majorHAnsi" w:cstheme="majorHAnsi"/>
          <w:sz w:val="24"/>
          <w:szCs w:val="24"/>
          <w:lang w:val="ro-RO"/>
        </w:rPr>
        <w:t>ой</w:t>
      </w:r>
      <w:r w:rsidR="00BD3358" w:rsidRPr="00BD3358">
        <w:rPr>
          <w:rFonts w:asciiTheme="majorHAnsi" w:hAnsiTheme="majorHAnsi" w:cstheme="majorHAnsi"/>
          <w:sz w:val="24"/>
          <w:szCs w:val="24"/>
          <w:lang w:val="ro-RO"/>
        </w:rPr>
        <w:t xml:space="preserve"> в рамках </w:t>
      </w:r>
      <w:r w:rsidR="000F7647" w:rsidRPr="000F7647">
        <w:rPr>
          <w:rFonts w:asciiTheme="majorHAnsi" w:hAnsiTheme="majorHAnsi" w:cstheme="majorHAnsi"/>
          <w:sz w:val="24"/>
          <w:szCs w:val="24"/>
          <w:lang w:val="ro-RO"/>
        </w:rPr>
        <w:t>Г</w:t>
      </w:r>
      <w:r w:rsidR="00BD3358" w:rsidRPr="00BD3358">
        <w:rPr>
          <w:rFonts w:asciiTheme="majorHAnsi" w:hAnsiTheme="majorHAnsi" w:cstheme="majorHAnsi"/>
          <w:sz w:val="24"/>
          <w:szCs w:val="24"/>
          <w:lang w:val="ro-RO"/>
        </w:rPr>
        <w:t xml:space="preserve">осударственной программы </w:t>
      </w:r>
      <w:r w:rsidR="000F7647" w:rsidRPr="00B05CFC">
        <w:rPr>
          <w:rFonts w:asciiTheme="majorHAnsi" w:hAnsiTheme="majorHAnsi" w:cstheme="majorHAnsi"/>
          <w:bCs/>
          <w:sz w:val="24"/>
          <w:szCs w:val="24"/>
          <w:lang w:val="ro-RO"/>
        </w:rPr>
        <w:t>„</w:t>
      </w:r>
      <w:r w:rsidR="00BD3358" w:rsidRPr="00BD3358">
        <w:rPr>
          <w:rFonts w:asciiTheme="majorHAnsi" w:hAnsiTheme="majorHAnsi" w:cstheme="majorHAnsi"/>
          <w:sz w:val="24"/>
          <w:szCs w:val="24"/>
          <w:lang w:val="ro-RO"/>
        </w:rPr>
        <w:t>Первый дом</w:t>
      </w:r>
      <w:r w:rsidR="000F7647" w:rsidRPr="00F55BA6">
        <w:rPr>
          <w:rFonts w:asciiTheme="majorHAnsi" w:hAnsiTheme="majorHAnsi" w:cstheme="majorHAnsi"/>
          <w:sz w:val="24"/>
          <w:szCs w:val="24"/>
          <w:lang w:val="ro-RO"/>
        </w:rPr>
        <w:t>”</w:t>
      </w:r>
      <w:r w:rsidR="00BD3358" w:rsidRPr="00BD3358">
        <w:rPr>
          <w:rFonts w:asciiTheme="majorHAnsi" w:hAnsiTheme="majorHAnsi" w:cstheme="majorHAnsi"/>
          <w:sz w:val="24"/>
          <w:szCs w:val="24"/>
          <w:lang w:val="ro-RO"/>
        </w:rPr>
        <w:t xml:space="preserve">, что свидетельствует о дополнительном давлении на </w:t>
      </w:r>
      <w:r w:rsidR="000F7647" w:rsidRPr="000F7647">
        <w:rPr>
          <w:rFonts w:asciiTheme="majorHAnsi" w:hAnsiTheme="majorHAnsi" w:cstheme="majorHAnsi"/>
          <w:sz w:val="24"/>
          <w:szCs w:val="24"/>
          <w:lang w:val="ro-RO"/>
        </w:rPr>
        <w:t>ГБ</w:t>
      </w:r>
      <w:r w:rsidR="000F7647">
        <w:rPr>
          <w:rFonts w:asciiTheme="majorHAnsi" w:hAnsiTheme="majorHAnsi" w:cstheme="majorHAnsi"/>
          <w:sz w:val="24"/>
          <w:szCs w:val="24"/>
          <w:lang w:val="ru-RU"/>
        </w:rPr>
        <w:t>.</w:t>
      </w:r>
      <w:r w:rsidR="00BD3358" w:rsidRPr="00BD3358">
        <w:rPr>
          <w:rFonts w:asciiTheme="majorHAnsi" w:hAnsiTheme="majorHAnsi" w:cstheme="majorHAnsi"/>
          <w:sz w:val="24"/>
          <w:szCs w:val="24"/>
          <w:lang w:val="ro-RO"/>
        </w:rPr>
        <w:t xml:space="preserve"> </w:t>
      </w:r>
    </w:p>
    <w:p w:rsidR="00671D12" w:rsidRPr="00F55BA6" w:rsidRDefault="005D6AE0" w:rsidP="00134A6E">
      <w:pPr>
        <w:tabs>
          <w:tab w:val="left" w:pos="426"/>
        </w:tabs>
        <w:spacing w:after="0" w:line="276" w:lineRule="auto"/>
        <w:contextualSpacing/>
        <w:outlineLvl w:val="0"/>
        <w:rPr>
          <w:rFonts w:asciiTheme="majorHAnsi" w:eastAsia="Times New Roman" w:hAnsiTheme="majorHAnsi" w:cs="Times New Roman"/>
          <w:b/>
          <w:sz w:val="24"/>
          <w:szCs w:val="24"/>
          <w:lang w:val="ro-RO"/>
        </w:rPr>
      </w:pPr>
      <w:r w:rsidRPr="00F55BA6">
        <w:rPr>
          <w:rFonts w:asciiTheme="majorHAnsi" w:eastAsia="Times New Roman" w:hAnsiTheme="majorHAnsi" w:cs="Times New Roman"/>
          <w:b/>
          <w:sz w:val="24"/>
          <w:szCs w:val="24"/>
          <w:lang w:val="ro-RO"/>
        </w:rPr>
        <w:t>6.11</w:t>
      </w:r>
      <w:r w:rsidR="009613EB" w:rsidRPr="00F55BA6">
        <w:rPr>
          <w:rFonts w:asciiTheme="majorHAnsi" w:eastAsia="Times New Roman" w:hAnsiTheme="majorHAnsi" w:cs="Times New Roman"/>
          <w:b/>
          <w:sz w:val="24"/>
          <w:szCs w:val="24"/>
          <w:lang w:val="ro-RO"/>
        </w:rPr>
        <w:t xml:space="preserve"> </w:t>
      </w:r>
      <w:r w:rsidR="00BD3358" w:rsidRPr="00BD3358">
        <w:rPr>
          <w:rFonts w:asciiTheme="majorHAnsi" w:eastAsia="Times New Roman" w:hAnsiTheme="majorHAnsi" w:cs="Times New Roman"/>
          <w:b/>
          <w:sz w:val="24"/>
          <w:szCs w:val="24"/>
          <w:lang w:val="ro-RO"/>
        </w:rPr>
        <w:t xml:space="preserve">Средства </w:t>
      </w:r>
      <w:r w:rsidR="000B2B67" w:rsidRPr="000B2B67">
        <w:rPr>
          <w:rFonts w:asciiTheme="majorHAnsi" w:eastAsia="Times New Roman" w:hAnsiTheme="majorHAnsi" w:cs="Times New Roman"/>
          <w:b/>
          <w:sz w:val="24"/>
          <w:szCs w:val="24"/>
          <w:lang w:val="ro-RO"/>
        </w:rPr>
        <w:t>чрезвычай</w:t>
      </w:r>
      <w:r w:rsidR="00BD3358" w:rsidRPr="00BD3358">
        <w:rPr>
          <w:rFonts w:asciiTheme="majorHAnsi" w:eastAsia="Times New Roman" w:hAnsiTheme="majorHAnsi" w:cs="Times New Roman"/>
          <w:b/>
          <w:sz w:val="24"/>
          <w:szCs w:val="24"/>
          <w:lang w:val="ro-RO"/>
        </w:rPr>
        <w:t xml:space="preserve">ных фондов </w:t>
      </w:r>
      <w:r w:rsidR="000F7647" w:rsidRPr="000F7647">
        <w:rPr>
          <w:rFonts w:asciiTheme="majorHAnsi" w:eastAsia="Times New Roman" w:hAnsiTheme="majorHAnsi" w:cs="Times New Roman"/>
          <w:b/>
          <w:sz w:val="24"/>
          <w:szCs w:val="24"/>
          <w:lang w:val="ro-RO"/>
        </w:rPr>
        <w:t>П</w:t>
      </w:r>
      <w:r w:rsidR="00BD3358" w:rsidRPr="00BD3358">
        <w:rPr>
          <w:rFonts w:asciiTheme="majorHAnsi" w:eastAsia="Times New Roman" w:hAnsiTheme="majorHAnsi" w:cs="Times New Roman"/>
          <w:b/>
          <w:sz w:val="24"/>
          <w:szCs w:val="24"/>
          <w:lang w:val="ro-RO"/>
        </w:rPr>
        <w:t xml:space="preserve">равительства в основном </w:t>
      </w:r>
      <w:r w:rsidR="000B2B67" w:rsidRPr="00BD3358">
        <w:rPr>
          <w:rFonts w:asciiTheme="majorHAnsi" w:eastAsia="Times New Roman" w:hAnsiTheme="majorHAnsi" w:cs="Times New Roman"/>
          <w:b/>
          <w:sz w:val="24"/>
          <w:szCs w:val="24"/>
          <w:lang w:val="ro-RO"/>
        </w:rPr>
        <w:t>были</w:t>
      </w:r>
      <w:r w:rsidR="000B2B67">
        <w:rPr>
          <w:rFonts w:asciiTheme="majorHAnsi" w:eastAsia="Times New Roman" w:hAnsiTheme="majorHAnsi" w:cs="Times New Roman"/>
          <w:b/>
          <w:sz w:val="24"/>
          <w:szCs w:val="24"/>
          <w:lang w:val="ro-RO"/>
        </w:rPr>
        <w:t xml:space="preserve"> </w:t>
      </w:r>
      <w:r w:rsidR="0066158B">
        <w:rPr>
          <w:rFonts w:asciiTheme="majorHAnsi" w:eastAsia="Times New Roman" w:hAnsiTheme="majorHAnsi" w:cs="Times New Roman"/>
          <w:b/>
          <w:sz w:val="24"/>
          <w:szCs w:val="24"/>
          <w:lang w:val="ro-RO"/>
        </w:rPr>
        <w:t>испол</w:t>
      </w:r>
      <w:r w:rsidR="000B2B67" w:rsidRPr="000B2B67">
        <w:rPr>
          <w:rFonts w:asciiTheme="majorHAnsi" w:eastAsia="Times New Roman" w:hAnsiTheme="majorHAnsi" w:cs="Times New Roman"/>
          <w:b/>
          <w:sz w:val="24"/>
          <w:szCs w:val="24"/>
          <w:lang w:val="ro-RO"/>
        </w:rPr>
        <w:t>ьзова</w:t>
      </w:r>
      <w:r w:rsidR="0066158B">
        <w:rPr>
          <w:rFonts w:asciiTheme="majorHAnsi" w:eastAsia="Times New Roman" w:hAnsiTheme="majorHAnsi" w:cs="Times New Roman"/>
          <w:b/>
          <w:sz w:val="24"/>
          <w:szCs w:val="24"/>
          <w:lang w:val="ro-RO"/>
        </w:rPr>
        <w:t>ны</w:t>
      </w:r>
      <w:r w:rsidR="00BD3358" w:rsidRPr="00BD3358">
        <w:rPr>
          <w:rFonts w:asciiTheme="majorHAnsi" w:eastAsia="Times New Roman" w:hAnsiTheme="majorHAnsi" w:cs="Times New Roman"/>
          <w:b/>
          <w:sz w:val="24"/>
          <w:szCs w:val="24"/>
          <w:lang w:val="ro-RO"/>
        </w:rPr>
        <w:t xml:space="preserve"> для </w:t>
      </w:r>
      <w:r w:rsidR="000F7647" w:rsidRPr="000F7647">
        <w:rPr>
          <w:rFonts w:asciiTheme="majorHAnsi" w:eastAsia="Times New Roman" w:hAnsiTheme="majorHAnsi" w:cs="Times New Roman"/>
          <w:b/>
          <w:sz w:val="24"/>
          <w:szCs w:val="24"/>
          <w:lang w:val="ro-RO"/>
        </w:rPr>
        <w:t>закупки</w:t>
      </w:r>
      <w:r w:rsidR="00BD3358" w:rsidRPr="00BD3358">
        <w:rPr>
          <w:rFonts w:asciiTheme="majorHAnsi" w:eastAsia="Times New Roman" w:hAnsiTheme="majorHAnsi" w:cs="Times New Roman"/>
          <w:b/>
          <w:sz w:val="24"/>
          <w:szCs w:val="24"/>
          <w:lang w:val="ro-RO"/>
        </w:rPr>
        <w:t xml:space="preserve"> защитн</w:t>
      </w:r>
      <w:r w:rsidR="000B2B67" w:rsidRPr="000B2B67">
        <w:rPr>
          <w:rFonts w:asciiTheme="majorHAnsi" w:eastAsia="Times New Roman" w:hAnsiTheme="majorHAnsi" w:cs="Times New Roman"/>
          <w:b/>
          <w:sz w:val="24"/>
          <w:szCs w:val="24"/>
          <w:lang w:val="ro-RO"/>
        </w:rPr>
        <w:t xml:space="preserve">ых костюмов и </w:t>
      </w:r>
      <w:r w:rsidR="00BD3358" w:rsidRPr="00BD3358">
        <w:rPr>
          <w:rFonts w:asciiTheme="majorHAnsi" w:eastAsia="Times New Roman" w:hAnsiTheme="majorHAnsi" w:cs="Times New Roman"/>
          <w:b/>
          <w:sz w:val="24"/>
          <w:szCs w:val="24"/>
          <w:lang w:val="ro-RO"/>
        </w:rPr>
        <w:t xml:space="preserve"> оборудования для пред</w:t>
      </w:r>
      <w:r w:rsidR="000B2B67" w:rsidRPr="000B2B67">
        <w:rPr>
          <w:rFonts w:asciiTheme="majorHAnsi" w:eastAsia="Times New Roman" w:hAnsiTheme="majorHAnsi" w:cs="Times New Roman"/>
          <w:b/>
          <w:sz w:val="24"/>
          <w:szCs w:val="24"/>
          <w:lang w:val="ro-RO"/>
        </w:rPr>
        <w:t>упрежд</w:t>
      </w:r>
      <w:r w:rsidR="00BD3358" w:rsidRPr="00BD3358">
        <w:rPr>
          <w:rFonts w:asciiTheme="majorHAnsi" w:eastAsia="Times New Roman" w:hAnsiTheme="majorHAnsi" w:cs="Times New Roman"/>
          <w:b/>
          <w:sz w:val="24"/>
          <w:szCs w:val="24"/>
          <w:lang w:val="ro-RO"/>
        </w:rPr>
        <w:t>ения и контроля инфекции COVID-19 и предоставления единовременных пособий инфицированным сотрудникам</w:t>
      </w:r>
      <w:r w:rsidR="00C70126">
        <w:rPr>
          <w:rFonts w:asciiTheme="majorHAnsi" w:eastAsia="Times New Roman" w:hAnsiTheme="majorHAnsi" w:cstheme="majorHAnsi"/>
          <w:b/>
          <w:sz w:val="24"/>
          <w:szCs w:val="24"/>
          <w:lang w:val="ro-RO"/>
        </w:rPr>
        <w:t>.</w:t>
      </w:r>
    </w:p>
    <w:p w:rsidR="00E726A9" w:rsidRPr="00F55BA6" w:rsidRDefault="00BD3358" w:rsidP="00E726A9">
      <w:pPr>
        <w:tabs>
          <w:tab w:val="left" w:pos="993"/>
        </w:tabs>
        <w:spacing w:after="0" w:line="276" w:lineRule="auto"/>
        <w:contextualSpacing/>
        <w:rPr>
          <w:rFonts w:asciiTheme="majorHAnsi" w:eastAsia="Times New Roman" w:hAnsiTheme="majorHAnsi" w:cstheme="majorHAnsi"/>
          <w:sz w:val="24"/>
          <w:szCs w:val="24"/>
          <w:lang w:val="ro-RO"/>
        </w:rPr>
      </w:pPr>
      <w:r w:rsidRPr="00BD3358">
        <w:rPr>
          <w:rFonts w:asciiTheme="majorHAnsi" w:eastAsia="Times New Roman" w:hAnsiTheme="majorHAnsi" w:cstheme="majorHAnsi"/>
          <w:sz w:val="24"/>
          <w:szCs w:val="24"/>
          <w:lang w:val="ro-RO"/>
        </w:rPr>
        <w:t>На 2020 год</w:t>
      </w:r>
      <w:r w:rsidR="003C4A68" w:rsidRPr="00F55BA6">
        <w:rPr>
          <w:rFonts w:asciiTheme="majorHAnsi" w:eastAsia="Times New Roman" w:hAnsiTheme="majorHAnsi" w:cstheme="majorHAnsi"/>
          <w:sz w:val="24"/>
          <w:szCs w:val="24"/>
          <w:vertAlign w:val="superscript"/>
          <w:lang w:val="ro-RO"/>
        </w:rPr>
        <w:footnoteReference w:id="61"/>
      </w:r>
      <w:r w:rsidRPr="00BD3358">
        <w:rPr>
          <w:rFonts w:asciiTheme="majorHAnsi" w:eastAsia="Times New Roman" w:hAnsiTheme="majorHAnsi" w:cstheme="majorHAnsi"/>
          <w:sz w:val="24"/>
          <w:szCs w:val="24"/>
          <w:lang w:val="ro-RO"/>
        </w:rPr>
        <w:t xml:space="preserve"> чрезвычайные фонды </w:t>
      </w:r>
      <w:r w:rsidR="003C4A68">
        <w:rPr>
          <w:rFonts w:asciiTheme="majorHAnsi" w:eastAsia="Times New Roman" w:hAnsiTheme="majorHAnsi" w:cstheme="majorHAnsi"/>
          <w:sz w:val="24"/>
          <w:szCs w:val="24"/>
          <w:lang w:val="ru-RU"/>
        </w:rPr>
        <w:t>П</w:t>
      </w:r>
      <w:r w:rsidRPr="00BD3358">
        <w:rPr>
          <w:rFonts w:asciiTheme="majorHAnsi" w:eastAsia="Times New Roman" w:hAnsiTheme="majorHAnsi" w:cstheme="majorHAnsi"/>
          <w:sz w:val="24"/>
          <w:szCs w:val="24"/>
          <w:lang w:val="ro-RO"/>
        </w:rPr>
        <w:t xml:space="preserve">равительства </w:t>
      </w:r>
      <w:r w:rsidR="003C4A68">
        <w:rPr>
          <w:rFonts w:asciiTheme="majorHAnsi" w:eastAsia="Times New Roman" w:hAnsiTheme="majorHAnsi" w:cstheme="majorHAnsi"/>
          <w:sz w:val="24"/>
          <w:szCs w:val="24"/>
          <w:lang w:val="ru-RU"/>
        </w:rPr>
        <w:t>из</w:t>
      </w:r>
      <w:r w:rsidR="003C4A68" w:rsidRPr="00BD3358">
        <w:rPr>
          <w:rFonts w:asciiTheme="majorHAnsi" w:eastAsia="Times New Roman" w:hAnsiTheme="majorHAnsi" w:cstheme="majorHAnsi"/>
          <w:sz w:val="24"/>
          <w:szCs w:val="24"/>
          <w:lang w:val="ro-RO"/>
        </w:rPr>
        <w:t xml:space="preserve">начально </w:t>
      </w:r>
      <w:r w:rsidRPr="00BD3358">
        <w:rPr>
          <w:rFonts w:asciiTheme="majorHAnsi" w:eastAsia="Times New Roman" w:hAnsiTheme="majorHAnsi" w:cstheme="majorHAnsi"/>
          <w:sz w:val="24"/>
          <w:szCs w:val="24"/>
          <w:lang w:val="ro-RO"/>
        </w:rPr>
        <w:t xml:space="preserve">были утверждены </w:t>
      </w:r>
      <w:r w:rsidR="003C4A68">
        <w:rPr>
          <w:rFonts w:asciiTheme="majorHAnsi" w:eastAsia="Times New Roman" w:hAnsiTheme="majorHAnsi" w:cstheme="majorHAnsi"/>
          <w:sz w:val="24"/>
          <w:szCs w:val="24"/>
          <w:lang w:val="ru-RU"/>
        </w:rPr>
        <w:t>в размере</w:t>
      </w:r>
      <w:r w:rsidRPr="00BD3358">
        <w:rPr>
          <w:rFonts w:asciiTheme="majorHAnsi" w:eastAsia="Times New Roman" w:hAnsiTheme="majorHAnsi" w:cstheme="majorHAnsi"/>
          <w:sz w:val="24"/>
          <w:szCs w:val="24"/>
          <w:lang w:val="ro-RO"/>
        </w:rPr>
        <w:t xml:space="preserve"> 88,0 млн. ле</w:t>
      </w:r>
      <w:r w:rsidR="003C4A68">
        <w:rPr>
          <w:rFonts w:asciiTheme="majorHAnsi" w:eastAsia="Times New Roman" w:hAnsiTheme="majorHAnsi" w:cstheme="majorHAnsi"/>
          <w:sz w:val="24"/>
          <w:szCs w:val="24"/>
          <w:lang w:val="ru-RU"/>
        </w:rPr>
        <w:t>ев</w:t>
      </w:r>
      <w:r w:rsidRPr="00BD3358">
        <w:rPr>
          <w:rFonts w:asciiTheme="majorHAnsi" w:eastAsia="Times New Roman" w:hAnsiTheme="majorHAnsi" w:cstheme="majorHAnsi"/>
          <w:sz w:val="24"/>
          <w:szCs w:val="24"/>
          <w:lang w:val="ro-RO"/>
        </w:rPr>
        <w:t>, в том числе 50,0 млн. ле</w:t>
      </w:r>
      <w:r w:rsidR="003C4A68">
        <w:rPr>
          <w:rFonts w:asciiTheme="majorHAnsi" w:eastAsia="Times New Roman" w:hAnsiTheme="majorHAnsi" w:cstheme="majorHAnsi"/>
          <w:sz w:val="24"/>
          <w:szCs w:val="24"/>
          <w:lang w:val="ru-RU"/>
        </w:rPr>
        <w:t xml:space="preserve">ев </w:t>
      </w:r>
      <w:r w:rsidRPr="00BD3358">
        <w:rPr>
          <w:rFonts w:asciiTheme="majorHAnsi" w:eastAsia="Times New Roman" w:hAnsiTheme="majorHAnsi" w:cstheme="majorHAnsi"/>
          <w:sz w:val="24"/>
          <w:szCs w:val="24"/>
          <w:lang w:val="ro-RO"/>
        </w:rPr>
        <w:t>-</w:t>
      </w:r>
      <w:r w:rsidR="003C4A68">
        <w:rPr>
          <w:rFonts w:asciiTheme="majorHAnsi" w:eastAsia="Times New Roman" w:hAnsiTheme="majorHAnsi" w:cstheme="majorHAnsi"/>
          <w:sz w:val="24"/>
          <w:szCs w:val="24"/>
          <w:lang w:val="ru-RU"/>
        </w:rPr>
        <w:t xml:space="preserve"> Р</w:t>
      </w:r>
      <w:r w:rsidRPr="00BD3358">
        <w:rPr>
          <w:rFonts w:asciiTheme="majorHAnsi" w:eastAsia="Times New Roman" w:hAnsiTheme="majorHAnsi" w:cstheme="majorHAnsi"/>
          <w:sz w:val="24"/>
          <w:szCs w:val="24"/>
          <w:lang w:val="ro-RO"/>
        </w:rPr>
        <w:t xml:space="preserve">езервный фонд </w:t>
      </w:r>
      <w:r w:rsidR="003C4A68">
        <w:rPr>
          <w:rFonts w:asciiTheme="majorHAnsi" w:eastAsia="Times New Roman" w:hAnsiTheme="majorHAnsi" w:cstheme="majorHAnsi"/>
          <w:sz w:val="24"/>
          <w:szCs w:val="24"/>
          <w:lang w:val="ru-RU"/>
        </w:rPr>
        <w:t>П</w:t>
      </w:r>
      <w:r w:rsidRPr="00BD3358">
        <w:rPr>
          <w:rFonts w:asciiTheme="majorHAnsi" w:eastAsia="Times New Roman" w:hAnsiTheme="majorHAnsi" w:cstheme="majorHAnsi"/>
          <w:sz w:val="24"/>
          <w:szCs w:val="24"/>
          <w:lang w:val="ro-RO"/>
        </w:rPr>
        <w:t>равительства</w:t>
      </w:r>
      <w:r w:rsidR="003C4A68">
        <w:rPr>
          <w:rFonts w:asciiTheme="majorHAnsi" w:eastAsia="Times New Roman" w:hAnsiTheme="majorHAnsi" w:cstheme="majorHAnsi"/>
          <w:sz w:val="24"/>
          <w:szCs w:val="24"/>
          <w:lang w:val="ru-RU"/>
        </w:rPr>
        <w:t>,</w:t>
      </w:r>
      <w:r w:rsidRPr="00BD3358">
        <w:rPr>
          <w:rFonts w:asciiTheme="majorHAnsi" w:eastAsia="Times New Roman" w:hAnsiTheme="majorHAnsi" w:cstheme="majorHAnsi"/>
          <w:sz w:val="24"/>
          <w:szCs w:val="24"/>
          <w:lang w:val="ro-RO"/>
        </w:rPr>
        <w:t xml:space="preserve"> и 38,0 млн. ле</w:t>
      </w:r>
      <w:r w:rsidR="003C4A68">
        <w:rPr>
          <w:rFonts w:asciiTheme="majorHAnsi" w:eastAsia="Times New Roman" w:hAnsiTheme="majorHAnsi" w:cstheme="majorHAnsi"/>
          <w:sz w:val="24"/>
          <w:szCs w:val="24"/>
          <w:lang w:val="ru-RU"/>
        </w:rPr>
        <w:t>ев</w:t>
      </w:r>
      <w:r w:rsidRPr="00BD3358">
        <w:rPr>
          <w:rFonts w:asciiTheme="majorHAnsi" w:eastAsia="Times New Roman" w:hAnsiTheme="majorHAnsi" w:cstheme="majorHAnsi"/>
          <w:sz w:val="24"/>
          <w:szCs w:val="24"/>
          <w:lang w:val="ro-RO"/>
        </w:rPr>
        <w:t xml:space="preserve"> - </w:t>
      </w:r>
      <w:r w:rsidR="003C4A68" w:rsidRPr="003C4A68">
        <w:rPr>
          <w:rFonts w:asciiTheme="majorHAnsi" w:eastAsia="Times New Roman" w:hAnsiTheme="majorHAnsi" w:cstheme="majorHAnsi"/>
          <w:sz w:val="24"/>
          <w:szCs w:val="24"/>
          <w:lang w:val="ru-RU"/>
        </w:rPr>
        <w:t>Интервенционный фонд</w:t>
      </w:r>
      <w:r w:rsidR="003C4A68" w:rsidRPr="003C4A68">
        <w:rPr>
          <w:rFonts w:asciiTheme="majorHAnsi" w:eastAsia="Times New Roman" w:hAnsiTheme="majorHAnsi" w:cstheme="majorHAnsi"/>
          <w:sz w:val="24"/>
          <w:szCs w:val="24"/>
          <w:lang w:val="ro-RO"/>
        </w:rPr>
        <w:t xml:space="preserve"> </w:t>
      </w:r>
      <w:r w:rsidR="003C4A68">
        <w:rPr>
          <w:rFonts w:asciiTheme="majorHAnsi" w:eastAsia="Times New Roman" w:hAnsiTheme="majorHAnsi" w:cstheme="majorHAnsi"/>
          <w:sz w:val="24"/>
          <w:szCs w:val="24"/>
          <w:lang w:val="ru-RU"/>
        </w:rPr>
        <w:t>П</w:t>
      </w:r>
      <w:r w:rsidRPr="00BD3358">
        <w:rPr>
          <w:rFonts w:asciiTheme="majorHAnsi" w:eastAsia="Times New Roman" w:hAnsiTheme="majorHAnsi" w:cstheme="majorHAnsi"/>
          <w:sz w:val="24"/>
          <w:szCs w:val="24"/>
          <w:lang w:val="ro-RO"/>
        </w:rPr>
        <w:t xml:space="preserve">равительства. В результате </w:t>
      </w:r>
      <w:r w:rsidR="003C4A68" w:rsidRPr="00BD3358">
        <w:rPr>
          <w:rFonts w:asciiTheme="majorHAnsi" w:eastAsia="Times New Roman" w:hAnsiTheme="majorHAnsi" w:cstheme="majorHAnsi"/>
          <w:sz w:val="24"/>
          <w:szCs w:val="24"/>
          <w:lang w:val="ro-RO"/>
        </w:rPr>
        <w:t xml:space="preserve">внесенных </w:t>
      </w:r>
      <w:r w:rsidRPr="00BD3358">
        <w:rPr>
          <w:rFonts w:asciiTheme="majorHAnsi" w:eastAsia="Times New Roman" w:hAnsiTheme="majorHAnsi" w:cstheme="majorHAnsi"/>
          <w:sz w:val="24"/>
          <w:szCs w:val="24"/>
          <w:lang w:val="ro-RO"/>
        </w:rPr>
        <w:t xml:space="preserve">изменений в течение года, ассигнования </w:t>
      </w:r>
      <w:r w:rsidR="003C4A68" w:rsidRPr="003C4A68">
        <w:rPr>
          <w:rFonts w:asciiTheme="majorHAnsi" w:eastAsia="Times New Roman" w:hAnsiTheme="majorHAnsi" w:cstheme="majorHAnsi"/>
          <w:sz w:val="24"/>
          <w:szCs w:val="24"/>
          <w:lang w:val="ro-RO"/>
        </w:rPr>
        <w:t>в</w:t>
      </w:r>
      <w:r w:rsidRPr="00BD3358">
        <w:rPr>
          <w:rFonts w:asciiTheme="majorHAnsi" w:eastAsia="Times New Roman" w:hAnsiTheme="majorHAnsi" w:cstheme="majorHAnsi"/>
          <w:sz w:val="24"/>
          <w:szCs w:val="24"/>
          <w:lang w:val="ro-RO"/>
        </w:rPr>
        <w:t xml:space="preserve"> </w:t>
      </w:r>
      <w:r w:rsidR="003C4A68" w:rsidRPr="003C4A68">
        <w:rPr>
          <w:rFonts w:asciiTheme="majorHAnsi" w:eastAsia="Times New Roman" w:hAnsiTheme="majorHAnsi" w:cstheme="majorHAnsi"/>
          <w:sz w:val="24"/>
          <w:szCs w:val="24"/>
          <w:lang w:val="ro-RO"/>
        </w:rPr>
        <w:t>Р</w:t>
      </w:r>
      <w:r w:rsidRPr="00BD3358">
        <w:rPr>
          <w:rFonts w:asciiTheme="majorHAnsi" w:eastAsia="Times New Roman" w:hAnsiTheme="majorHAnsi" w:cstheme="majorHAnsi"/>
          <w:sz w:val="24"/>
          <w:szCs w:val="24"/>
          <w:lang w:val="ro-RO"/>
        </w:rPr>
        <w:t xml:space="preserve">езервный фонд были увеличены на 57,0 млн. леев, </w:t>
      </w:r>
      <w:r w:rsidR="003C4A68" w:rsidRPr="003C4A68">
        <w:rPr>
          <w:rFonts w:asciiTheme="majorHAnsi" w:eastAsia="Times New Roman" w:hAnsiTheme="majorHAnsi" w:cstheme="majorHAnsi"/>
          <w:sz w:val="24"/>
          <w:szCs w:val="24"/>
          <w:lang w:val="ro-RO"/>
        </w:rPr>
        <w:t xml:space="preserve">и составили </w:t>
      </w:r>
      <w:r w:rsidR="003C4A68" w:rsidRPr="00F55BA6">
        <w:rPr>
          <w:rFonts w:asciiTheme="majorHAnsi" w:eastAsia="Times New Roman" w:hAnsiTheme="majorHAnsi" w:cstheme="majorHAnsi"/>
          <w:sz w:val="24"/>
          <w:szCs w:val="24"/>
          <w:lang w:val="ro-RO"/>
        </w:rPr>
        <w:t xml:space="preserve">107,0 </w:t>
      </w:r>
      <w:r w:rsidR="003C4A68" w:rsidRPr="00BD3358">
        <w:rPr>
          <w:rFonts w:asciiTheme="majorHAnsi" w:eastAsia="Times New Roman" w:hAnsiTheme="majorHAnsi" w:cstheme="majorHAnsi"/>
          <w:sz w:val="24"/>
          <w:szCs w:val="24"/>
          <w:lang w:val="ro-RO"/>
        </w:rPr>
        <w:t>млн. леев</w:t>
      </w:r>
      <w:r w:rsidR="003C4A68" w:rsidRPr="003C4A68">
        <w:rPr>
          <w:rFonts w:asciiTheme="majorHAnsi" w:eastAsia="Times New Roman" w:hAnsiTheme="majorHAnsi" w:cstheme="majorHAnsi"/>
          <w:sz w:val="24"/>
          <w:szCs w:val="24"/>
          <w:lang w:val="ro-RO"/>
        </w:rPr>
        <w:t>,</w:t>
      </w:r>
      <w:r w:rsidR="003C4A68" w:rsidRPr="00BD3358">
        <w:rPr>
          <w:rFonts w:asciiTheme="majorHAnsi" w:eastAsia="Times New Roman" w:hAnsiTheme="majorHAnsi" w:cstheme="majorHAnsi"/>
          <w:sz w:val="24"/>
          <w:szCs w:val="24"/>
          <w:lang w:val="ro-RO"/>
        </w:rPr>
        <w:t xml:space="preserve"> </w:t>
      </w:r>
      <w:r w:rsidRPr="00BD3358">
        <w:rPr>
          <w:rFonts w:asciiTheme="majorHAnsi" w:eastAsia="Times New Roman" w:hAnsiTheme="majorHAnsi" w:cstheme="majorHAnsi"/>
          <w:sz w:val="24"/>
          <w:szCs w:val="24"/>
          <w:lang w:val="ro-RO"/>
        </w:rPr>
        <w:t xml:space="preserve">а в </w:t>
      </w:r>
      <w:r w:rsidR="003C4A68" w:rsidRPr="003C4A68">
        <w:rPr>
          <w:rFonts w:asciiTheme="majorHAnsi" w:eastAsia="Times New Roman" w:hAnsiTheme="majorHAnsi" w:cstheme="majorHAnsi"/>
          <w:sz w:val="24"/>
          <w:szCs w:val="24"/>
          <w:lang w:val="ro-RO"/>
        </w:rPr>
        <w:t>Интервенционный</w:t>
      </w:r>
      <w:r w:rsidR="003C4A68" w:rsidRPr="00BD3358">
        <w:rPr>
          <w:rFonts w:asciiTheme="majorHAnsi" w:eastAsia="Times New Roman" w:hAnsiTheme="majorHAnsi" w:cstheme="majorHAnsi"/>
          <w:sz w:val="24"/>
          <w:szCs w:val="24"/>
          <w:lang w:val="ro-RO"/>
        </w:rPr>
        <w:t xml:space="preserve"> </w:t>
      </w:r>
      <w:r w:rsidRPr="00BD3358">
        <w:rPr>
          <w:rFonts w:asciiTheme="majorHAnsi" w:eastAsia="Times New Roman" w:hAnsiTheme="majorHAnsi" w:cstheme="majorHAnsi"/>
          <w:sz w:val="24"/>
          <w:szCs w:val="24"/>
          <w:lang w:val="ro-RO"/>
        </w:rPr>
        <w:t xml:space="preserve">фонд - на 182,0 млн. леев, </w:t>
      </w:r>
      <w:r w:rsidR="003C4A68" w:rsidRPr="003C4A68">
        <w:rPr>
          <w:rFonts w:asciiTheme="majorHAnsi" w:eastAsia="Times New Roman" w:hAnsiTheme="majorHAnsi" w:cstheme="majorHAnsi"/>
          <w:sz w:val="24"/>
          <w:szCs w:val="24"/>
          <w:lang w:val="ro-RO"/>
        </w:rPr>
        <w:t xml:space="preserve">и составили </w:t>
      </w:r>
      <w:r w:rsidR="003C4A68" w:rsidRPr="00F55BA6">
        <w:rPr>
          <w:rFonts w:asciiTheme="majorHAnsi" w:eastAsia="Times New Roman" w:hAnsiTheme="majorHAnsi" w:cstheme="majorHAnsi"/>
          <w:sz w:val="24"/>
          <w:szCs w:val="24"/>
          <w:lang w:val="ro-RO"/>
        </w:rPr>
        <w:t xml:space="preserve">220,0 </w:t>
      </w:r>
      <w:r w:rsidR="003C4A68" w:rsidRPr="00BD3358">
        <w:rPr>
          <w:rFonts w:asciiTheme="majorHAnsi" w:eastAsia="Times New Roman" w:hAnsiTheme="majorHAnsi" w:cstheme="majorHAnsi"/>
          <w:sz w:val="24"/>
          <w:szCs w:val="24"/>
          <w:lang w:val="ro-RO"/>
        </w:rPr>
        <w:t xml:space="preserve">млн. леев, </w:t>
      </w:r>
      <w:r w:rsidRPr="00BD3358">
        <w:rPr>
          <w:rFonts w:asciiTheme="majorHAnsi" w:eastAsia="Times New Roman" w:hAnsiTheme="majorHAnsi" w:cstheme="majorHAnsi"/>
          <w:sz w:val="24"/>
          <w:szCs w:val="24"/>
          <w:lang w:val="ro-RO"/>
        </w:rPr>
        <w:t>в том числе за счет пожертвований физических и юридических лиц, пред</w:t>
      </w:r>
      <w:r w:rsidR="003C4A68" w:rsidRPr="003C4A68">
        <w:rPr>
          <w:rFonts w:asciiTheme="majorHAnsi" w:eastAsia="Times New Roman" w:hAnsiTheme="majorHAnsi" w:cstheme="majorHAnsi"/>
          <w:sz w:val="24"/>
          <w:szCs w:val="24"/>
          <w:lang w:val="ro-RO"/>
        </w:rPr>
        <w:t>оставленн</w:t>
      </w:r>
      <w:r w:rsidRPr="00BD3358">
        <w:rPr>
          <w:rFonts w:asciiTheme="majorHAnsi" w:eastAsia="Times New Roman" w:hAnsiTheme="majorHAnsi" w:cstheme="majorHAnsi"/>
          <w:sz w:val="24"/>
          <w:szCs w:val="24"/>
          <w:lang w:val="ro-RO"/>
        </w:rPr>
        <w:t>ых для борьбы с пандемией COVID-19</w:t>
      </w:r>
      <w:r w:rsidR="003C4A68" w:rsidRPr="003C4A68">
        <w:rPr>
          <w:rFonts w:asciiTheme="majorHAnsi" w:eastAsia="Times New Roman" w:hAnsiTheme="majorHAnsi" w:cstheme="majorHAnsi"/>
          <w:sz w:val="24"/>
          <w:szCs w:val="24"/>
          <w:lang w:val="ro-RO"/>
        </w:rPr>
        <w:t xml:space="preserve"> </w:t>
      </w:r>
      <w:r w:rsidRPr="00BD3358">
        <w:rPr>
          <w:rFonts w:asciiTheme="majorHAnsi" w:eastAsia="Times New Roman" w:hAnsiTheme="majorHAnsi" w:cstheme="majorHAnsi"/>
          <w:sz w:val="24"/>
          <w:szCs w:val="24"/>
          <w:lang w:val="ro-RO"/>
        </w:rPr>
        <w:t>-</w:t>
      </w:r>
      <w:r w:rsidR="003C4A68" w:rsidRPr="003C4A68">
        <w:rPr>
          <w:rFonts w:asciiTheme="majorHAnsi" w:eastAsia="Times New Roman" w:hAnsiTheme="majorHAnsi" w:cstheme="majorHAnsi"/>
          <w:sz w:val="24"/>
          <w:szCs w:val="24"/>
          <w:lang w:val="ro-RO"/>
        </w:rPr>
        <w:t xml:space="preserve"> </w:t>
      </w:r>
      <w:r w:rsidRPr="00BD3358">
        <w:rPr>
          <w:rFonts w:asciiTheme="majorHAnsi" w:eastAsia="Times New Roman" w:hAnsiTheme="majorHAnsi" w:cstheme="majorHAnsi"/>
          <w:sz w:val="24"/>
          <w:szCs w:val="24"/>
          <w:lang w:val="ro-RO"/>
        </w:rPr>
        <w:t>25,4 млн. ле</w:t>
      </w:r>
      <w:r w:rsidR="003C4A68" w:rsidRPr="003C4A68">
        <w:rPr>
          <w:rFonts w:asciiTheme="majorHAnsi" w:eastAsia="Times New Roman" w:hAnsiTheme="majorHAnsi" w:cstheme="majorHAnsi"/>
          <w:sz w:val="24"/>
          <w:szCs w:val="24"/>
          <w:lang w:val="ro-RO"/>
        </w:rPr>
        <w:t>ев</w:t>
      </w:r>
      <w:r w:rsidR="003F528F" w:rsidRPr="00F55BA6">
        <w:rPr>
          <w:rFonts w:asciiTheme="majorHAnsi" w:eastAsia="Times New Roman" w:hAnsiTheme="majorHAnsi" w:cstheme="majorHAnsi"/>
          <w:sz w:val="24"/>
          <w:szCs w:val="24"/>
          <w:lang w:val="ro-RO"/>
        </w:rPr>
        <w:t>.</w:t>
      </w:r>
    </w:p>
    <w:p w:rsidR="00CC00D5" w:rsidRPr="00F55BA6" w:rsidRDefault="00BD3358" w:rsidP="00CC00D5">
      <w:pPr>
        <w:tabs>
          <w:tab w:val="left" w:pos="993"/>
        </w:tabs>
        <w:spacing w:after="0" w:line="276" w:lineRule="auto"/>
        <w:contextualSpacing/>
        <w:rPr>
          <w:rFonts w:asciiTheme="majorHAnsi" w:eastAsia="Times New Roman" w:hAnsiTheme="majorHAnsi" w:cstheme="majorHAnsi"/>
          <w:sz w:val="24"/>
          <w:szCs w:val="24"/>
          <w:lang w:val="ro-RO"/>
        </w:rPr>
      </w:pPr>
      <w:r w:rsidRPr="00BD3358">
        <w:rPr>
          <w:rFonts w:asciiTheme="majorHAnsi" w:eastAsia="Times New Roman" w:hAnsiTheme="majorHAnsi" w:cstheme="majorHAnsi"/>
          <w:sz w:val="24"/>
          <w:szCs w:val="24"/>
          <w:lang w:val="ro-RO"/>
        </w:rPr>
        <w:t xml:space="preserve">Согласно </w:t>
      </w:r>
      <w:r w:rsidR="003C4A68">
        <w:rPr>
          <w:rFonts w:asciiTheme="majorHAnsi" w:eastAsia="Times New Roman" w:hAnsiTheme="majorHAnsi" w:cstheme="majorHAnsi"/>
          <w:sz w:val="24"/>
          <w:szCs w:val="24"/>
          <w:lang w:val="ru-RU"/>
        </w:rPr>
        <w:t>п</w:t>
      </w:r>
      <w:r w:rsidRPr="00BD3358">
        <w:rPr>
          <w:rFonts w:asciiTheme="majorHAnsi" w:eastAsia="Times New Roman" w:hAnsiTheme="majorHAnsi" w:cstheme="majorHAnsi"/>
          <w:sz w:val="24"/>
          <w:szCs w:val="24"/>
          <w:lang w:val="ro-RO"/>
        </w:rPr>
        <w:t xml:space="preserve">.4.6 </w:t>
      </w:r>
      <w:r w:rsidR="003C4A68">
        <w:rPr>
          <w:rFonts w:asciiTheme="majorHAnsi" w:eastAsia="Times New Roman" w:hAnsiTheme="majorHAnsi" w:cstheme="majorHAnsi"/>
          <w:sz w:val="24"/>
          <w:szCs w:val="24"/>
          <w:lang w:val="ru-RU"/>
        </w:rPr>
        <w:t>П</w:t>
      </w:r>
      <w:r w:rsidRPr="00BD3358">
        <w:rPr>
          <w:rFonts w:asciiTheme="majorHAnsi" w:eastAsia="Times New Roman" w:hAnsiTheme="majorHAnsi" w:cstheme="majorHAnsi"/>
          <w:sz w:val="24"/>
          <w:szCs w:val="24"/>
          <w:lang w:val="ro-RO"/>
        </w:rPr>
        <w:t>риказа МФ</w:t>
      </w:r>
      <w:r w:rsidR="003C4A68">
        <w:rPr>
          <w:rFonts w:asciiTheme="majorHAnsi" w:eastAsia="Times New Roman" w:hAnsiTheme="majorHAnsi" w:cstheme="majorHAnsi"/>
          <w:sz w:val="24"/>
          <w:szCs w:val="24"/>
          <w:lang w:val="ru-RU"/>
        </w:rPr>
        <w:t xml:space="preserve"> </w:t>
      </w:r>
      <w:r w:rsidRPr="00BD3358">
        <w:rPr>
          <w:rFonts w:asciiTheme="majorHAnsi" w:eastAsia="Times New Roman" w:hAnsiTheme="majorHAnsi" w:cstheme="majorHAnsi"/>
          <w:sz w:val="24"/>
          <w:szCs w:val="24"/>
          <w:lang w:val="ro-RO"/>
        </w:rPr>
        <w:t>№215 от 28.12.2015</w:t>
      </w:r>
      <w:r w:rsidR="003C4A68">
        <w:rPr>
          <w:rFonts w:asciiTheme="majorHAnsi" w:eastAsia="Times New Roman" w:hAnsiTheme="majorHAnsi" w:cstheme="majorHAnsi"/>
          <w:sz w:val="24"/>
          <w:szCs w:val="24"/>
          <w:lang w:val="ru-RU"/>
        </w:rPr>
        <w:t>,</w:t>
      </w:r>
      <w:r w:rsidRPr="00BD3358">
        <w:rPr>
          <w:rFonts w:asciiTheme="majorHAnsi" w:eastAsia="Times New Roman" w:hAnsiTheme="majorHAnsi" w:cstheme="majorHAnsi"/>
          <w:sz w:val="24"/>
          <w:szCs w:val="24"/>
          <w:lang w:val="ro-RO"/>
        </w:rPr>
        <w:t xml:space="preserve"> денежные средства, полученные от отечественных и иностранных доноров, предоставленные в качестве гуманитарной помощи для </w:t>
      </w:r>
      <w:r w:rsidR="003C4A68">
        <w:rPr>
          <w:rFonts w:asciiTheme="majorHAnsi" w:eastAsia="Times New Roman" w:hAnsiTheme="majorHAnsi" w:cstheme="majorHAnsi"/>
          <w:sz w:val="24"/>
          <w:szCs w:val="24"/>
          <w:lang w:val="ru-RU"/>
        </w:rPr>
        <w:t xml:space="preserve">борьбы с </w:t>
      </w:r>
      <w:r w:rsidRPr="00BD3358">
        <w:rPr>
          <w:rFonts w:asciiTheme="majorHAnsi" w:eastAsia="Times New Roman" w:hAnsiTheme="majorHAnsi" w:cstheme="majorHAnsi"/>
          <w:sz w:val="24"/>
          <w:szCs w:val="24"/>
          <w:lang w:val="ro-RO"/>
        </w:rPr>
        <w:t>эпидеми</w:t>
      </w:r>
      <w:r w:rsidR="003C4A68">
        <w:rPr>
          <w:rFonts w:asciiTheme="majorHAnsi" w:eastAsia="Times New Roman" w:hAnsiTheme="majorHAnsi" w:cstheme="majorHAnsi"/>
          <w:sz w:val="24"/>
          <w:szCs w:val="24"/>
          <w:lang w:val="ru-RU"/>
        </w:rPr>
        <w:t>ями</w:t>
      </w:r>
      <w:r w:rsidRPr="00BD3358">
        <w:rPr>
          <w:rFonts w:asciiTheme="majorHAnsi" w:eastAsia="Times New Roman" w:hAnsiTheme="majorHAnsi" w:cstheme="majorHAnsi"/>
          <w:sz w:val="24"/>
          <w:szCs w:val="24"/>
          <w:lang w:val="ro-RO"/>
        </w:rPr>
        <w:t xml:space="preserve">, накапливаются на банковских счетах МФ, открытых в НБМ. Таким образом, в 2020 году были </w:t>
      </w:r>
      <w:r w:rsidR="003C4A68">
        <w:rPr>
          <w:rFonts w:asciiTheme="majorHAnsi" w:eastAsia="Times New Roman" w:hAnsiTheme="majorHAnsi" w:cstheme="majorHAnsi"/>
          <w:sz w:val="24"/>
          <w:szCs w:val="24"/>
          <w:lang w:val="ru-RU"/>
        </w:rPr>
        <w:t>получ</w:t>
      </w:r>
      <w:r w:rsidRPr="00BD3358">
        <w:rPr>
          <w:rFonts w:asciiTheme="majorHAnsi" w:eastAsia="Times New Roman" w:hAnsiTheme="majorHAnsi" w:cstheme="majorHAnsi"/>
          <w:sz w:val="24"/>
          <w:szCs w:val="24"/>
          <w:lang w:val="ro-RO"/>
        </w:rPr>
        <w:t xml:space="preserve">ены добровольные пожертвования </w:t>
      </w:r>
      <w:r w:rsidR="003C4A68">
        <w:rPr>
          <w:rFonts w:asciiTheme="majorHAnsi" w:eastAsia="Times New Roman" w:hAnsiTheme="majorHAnsi" w:cstheme="majorHAnsi"/>
          <w:sz w:val="24"/>
          <w:szCs w:val="24"/>
          <w:lang w:val="ru-RU"/>
        </w:rPr>
        <w:t>в</w:t>
      </w:r>
      <w:r w:rsidRPr="00BD3358">
        <w:rPr>
          <w:rFonts w:asciiTheme="majorHAnsi" w:eastAsia="Times New Roman" w:hAnsiTheme="majorHAnsi" w:cstheme="majorHAnsi"/>
          <w:sz w:val="24"/>
          <w:szCs w:val="24"/>
          <w:lang w:val="ro-RO"/>
        </w:rPr>
        <w:t xml:space="preserve"> сумм</w:t>
      </w:r>
      <w:r w:rsidR="003C4A68">
        <w:rPr>
          <w:rFonts w:asciiTheme="majorHAnsi" w:eastAsia="Times New Roman" w:hAnsiTheme="majorHAnsi" w:cstheme="majorHAnsi"/>
          <w:sz w:val="24"/>
          <w:szCs w:val="24"/>
          <w:lang w:val="ru-RU"/>
        </w:rPr>
        <w:t>е</w:t>
      </w:r>
      <w:r w:rsidRPr="00BD3358">
        <w:rPr>
          <w:rFonts w:asciiTheme="majorHAnsi" w:eastAsia="Times New Roman" w:hAnsiTheme="majorHAnsi" w:cstheme="majorHAnsi"/>
          <w:sz w:val="24"/>
          <w:szCs w:val="24"/>
          <w:lang w:val="ro-RO"/>
        </w:rPr>
        <w:t xml:space="preserve"> 104,6 млн. леев, из которых внутренние добровольные пожертвования составили 32,7 млн. леев, а внешние – 71,9 млн. леев. Пожертвования бюджетным учреждениям составили 17,7 млн. леев.</w:t>
      </w:r>
      <w:r w:rsidR="00CC00D5" w:rsidRPr="00F55BA6">
        <w:rPr>
          <w:rFonts w:asciiTheme="majorHAnsi" w:eastAsia="Times New Roman" w:hAnsiTheme="majorHAnsi" w:cstheme="majorHAnsi"/>
          <w:sz w:val="24"/>
          <w:szCs w:val="24"/>
          <w:lang w:val="ro-RO"/>
        </w:rPr>
        <w:t xml:space="preserve"> </w:t>
      </w:r>
    </w:p>
    <w:p w:rsidR="00CC00D5" w:rsidRPr="00F55BA6" w:rsidRDefault="00D23547" w:rsidP="00CC00D5">
      <w:pPr>
        <w:tabs>
          <w:tab w:val="left" w:pos="993"/>
        </w:tabs>
        <w:spacing w:after="0" w:line="276" w:lineRule="auto"/>
        <w:contextualSpacing/>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u-RU"/>
        </w:rPr>
        <w:t>Кроме того,</w:t>
      </w:r>
      <w:r w:rsidR="00BD3358" w:rsidRPr="00BD3358">
        <w:rPr>
          <w:rFonts w:asciiTheme="majorHAnsi" w:eastAsia="Times New Roman" w:hAnsiTheme="majorHAnsi" w:cstheme="majorHAnsi"/>
          <w:sz w:val="24"/>
          <w:szCs w:val="24"/>
          <w:lang w:val="ro-RO"/>
        </w:rPr>
        <w:t xml:space="preserve"> пожертвования на поддержку </w:t>
      </w:r>
      <w:r w:rsidRPr="00BD3358">
        <w:rPr>
          <w:rFonts w:asciiTheme="majorHAnsi" w:eastAsia="Times New Roman" w:hAnsiTheme="majorHAnsi" w:cstheme="majorHAnsi"/>
          <w:sz w:val="24"/>
          <w:szCs w:val="24"/>
          <w:lang w:val="ro-RO"/>
        </w:rPr>
        <w:t>бюджет</w:t>
      </w:r>
      <w:r>
        <w:rPr>
          <w:rFonts w:asciiTheme="majorHAnsi" w:eastAsia="Times New Roman" w:hAnsiTheme="majorHAnsi" w:cstheme="majorHAnsi"/>
          <w:sz w:val="24"/>
          <w:szCs w:val="24"/>
          <w:lang w:val="ru-RU"/>
        </w:rPr>
        <w:t>а</w:t>
      </w:r>
      <w:r w:rsidRPr="00BD3358">
        <w:rPr>
          <w:rFonts w:asciiTheme="majorHAnsi" w:eastAsia="Times New Roman" w:hAnsiTheme="majorHAnsi" w:cstheme="majorHAnsi"/>
          <w:sz w:val="24"/>
          <w:szCs w:val="24"/>
          <w:lang w:val="ro-RO"/>
        </w:rPr>
        <w:t xml:space="preserve"> </w:t>
      </w:r>
      <w:r w:rsidR="00BD3358" w:rsidRPr="00BD3358">
        <w:rPr>
          <w:rFonts w:asciiTheme="majorHAnsi" w:eastAsia="Times New Roman" w:hAnsiTheme="majorHAnsi" w:cstheme="majorHAnsi"/>
          <w:sz w:val="24"/>
          <w:szCs w:val="24"/>
          <w:lang w:val="ro-RO"/>
        </w:rPr>
        <w:t xml:space="preserve">составили 86,9 млн. леев, из которых: </w:t>
      </w:r>
      <w:r w:rsidR="00BD3358" w:rsidRPr="00D23547">
        <w:rPr>
          <w:rFonts w:asciiTheme="majorHAnsi" w:eastAsia="Times New Roman" w:hAnsiTheme="majorHAnsi" w:cstheme="majorHAnsi"/>
          <w:i/>
          <w:sz w:val="24"/>
          <w:szCs w:val="24"/>
          <w:lang w:val="ro-RO"/>
        </w:rPr>
        <w:t>(i)</w:t>
      </w:r>
      <w:r w:rsidR="00BD3358" w:rsidRPr="00BD3358">
        <w:rPr>
          <w:rFonts w:asciiTheme="majorHAnsi" w:eastAsia="Times New Roman" w:hAnsiTheme="majorHAnsi" w:cstheme="majorHAnsi"/>
          <w:sz w:val="24"/>
          <w:szCs w:val="24"/>
          <w:lang w:val="ro-RO"/>
        </w:rPr>
        <w:t xml:space="preserve"> от физических и юридических лиц, для борьбы с пандемией </w:t>
      </w:r>
      <w:r w:rsidRPr="00F55BA6">
        <w:rPr>
          <w:rFonts w:asciiTheme="majorHAnsi" w:eastAsia="Times New Roman" w:hAnsiTheme="majorHAnsi" w:cstheme="majorHAnsi"/>
          <w:sz w:val="24"/>
          <w:szCs w:val="24"/>
          <w:lang w:val="ro-RO"/>
        </w:rPr>
        <w:t xml:space="preserve">COVID-19 </w:t>
      </w:r>
      <w:r w:rsidR="00BD3358" w:rsidRPr="00BD3358">
        <w:rPr>
          <w:rFonts w:asciiTheme="majorHAnsi" w:eastAsia="Times New Roman" w:hAnsiTheme="majorHAnsi" w:cstheme="majorHAnsi"/>
          <w:sz w:val="24"/>
          <w:szCs w:val="24"/>
          <w:lang w:val="ro-RO"/>
        </w:rPr>
        <w:t xml:space="preserve">– 25,5 млн. </w:t>
      </w:r>
      <w:r>
        <w:rPr>
          <w:rFonts w:asciiTheme="majorHAnsi" w:eastAsia="Times New Roman" w:hAnsiTheme="majorHAnsi" w:cstheme="majorHAnsi"/>
          <w:sz w:val="24"/>
          <w:szCs w:val="24"/>
          <w:lang w:val="ru-RU"/>
        </w:rPr>
        <w:t xml:space="preserve">леев; </w:t>
      </w:r>
      <w:r w:rsidR="00BD3358" w:rsidRPr="00D23547">
        <w:rPr>
          <w:rFonts w:asciiTheme="majorHAnsi" w:eastAsia="Times New Roman" w:hAnsiTheme="majorHAnsi" w:cstheme="majorHAnsi"/>
          <w:i/>
          <w:sz w:val="24"/>
          <w:szCs w:val="24"/>
          <w:lang w:val="ro-RO"/>
        </w:rPr>
        <w:t>(ii)</w:t>
      </w:r>
      <w:r w:rsidR="00BD3358" w:rsidRPr="00BD3358">
        <w:rPr>
          <w:rFonts w:asciiTheme="majorHAnsi" w:eastAsia="Times New Roman" w:hAnsiTheme="majorHAnsi" w:cstheme="majorHAnsi"/>
          <w:sz w:val="24"/>
          <w:szCs w:val="24"/>
          <w:lang w:val="ro-RO"/>
        </w:rPr>
        <w:t xml:space="preserve"> на поддержку сельскохозяйственного сектора, пострадавшего от засухи, со стороны Российской Федерации</w:t>
      </w:r>
      <w:r>
        <w:rPr>
          <w:rFonts w:asciiTheme="majorHAnsi" w:eastAsia="Times New Roman" w:hAnsiTheme="majorHAnsi" w:cstheme="majorHAnsi"/>
          <w:sz w:val="24"/>
          <w:szCs w:val="24"/>
          <w:lang w:val="ru-RU"/>
        </w:rPr>
        <w:t xml:space="preserve"> </w:t>
      </w:r>
      <w:r w:rsidR="00BD3358" w:rsidRPr="00BD3358">
        <w:rPr>
          <w:rFonts w:asciiTheme="majorHAnsi" w:eastAsia="Times New Roman" w:hAnsiTheme="majorHAnsi" w:cstheme="majorHAnsi"/>
          <w:sz w:val="24"/>
          <w:szCs w:val="24"/>
          <w:lang w:val="ro-RO"/>
        </w:rPr>
        <w:t>-</w:t>
      </w:r>
      <w:r>
        <w:rPr>
          <w:rFonts w:asciiTheme="majorHAnsi" w:eastAsia="Times New Roman" w:hAnsiTheme="majorHAnsi" w:cstheme="majorHAnsi"/>
          <w:sz w:val="24"/>
          <w:szCs w:val="24"/>
          <w:lang w:val="ru-RU"/>
        </w:rPr>
        <w:t xml:space="preserve"> </w:t>
      </w:r>
      <w:r w:rsidR="00BD3358" w:rsidRPr="00BD3358">
        <w:rPr>
          <w:rFonts w:asciiTheme="majorHAnsi" w:eastAsia="Times New Roman" w:hAnsiTheme="majorHAnsi" w:cstheme="majorHAnsi"/>
          <w:sz w:val="24"/>
          <w:szCs w:val="24"/>
          <w:lang w:val="ro-RO"/>
        </w:rPr>
        <w:t xml:space="preserve">59,7 млн. леев; </w:t>
      </w:r>
      <w:r w:rsidR="00BD3358" w:rsidRPr="00D23547">
        <w:rPr>
          <w:rFonts w:asciiTheme="majorHAnsi" w:eastAsia="Times New Roman" w:hAnsiTheme="majorHAnsi" w:cstheme="majorHAnsi"/>
          <w:i/>
          <w:sz w:val="24"/>
          <w:szCs w:val="24"/>
          <w:lang w:val="ro-RO"/>
        </w:rPr>
        <w:t>(iii)</w:t>
      </w:r>
      <w:r w:rsidR="00BD3358" w:rsidRPr="00BD3358">
        <w:rPr>
          <w:rFonts w:asciiTheme="majorHAnsi" w:eastAsia="Times New Roman" w:hAnsiTheme="majorHAnsi" w:cstheme="majorHAnsi"/>
          <w:sz w:val="24"/>
          <w:szCs w:val="24"/>
          <w:lang w:val="ro-RO"/>
        </w:rPr>
        <w:t xml:space="preserve"> и </w:t>
      </w:r>
      <w:r>
        <w:rPr>
          <w:rFonts w:asciiTheme="majorHAnsi" w:eastAsia="Times New Roman" w:hAnsiTheme="majorHAnsi" w:cstheme="majorHAnsi"/>
          <w:sz w:val="24"/>
          <w:szCs w:val="24"/>
          <w:lang w:val="ru-RU"/>
        </w:rPr>
        <w:t xml:space="preserve">на </w:t>
      </w:r>
      <w:r w:rsidR="00BD3358" w:rsidRPr="00BD3358">
        <w:rPr>
          <w:rFonts w:asciiTheme="majorHAnsi" w:eastAsia="Times New Roman" w:hAnsiTheme="majorHAnsi" w:cstheme="majorHAnsi"/>
          <w:sz w:val="24"/>
          <w:szCs w:val="24"/>
          <w:lang w:val="ro-RO"/>
        </w:rPr>
        <w:t>реконструкци</w:t>
      </w:r>
      <w:r>
        <w:rPr>
          <w:rFonts w:asciiTheme="majorHAnsi" w:eastAsia="Times New Roman" w:hAnsiTheme="majorHAnsi" w:cstheme="majorHAnsi"/>
          <w:sz w:val="24"/>
          <w:szCs w:val="24"/>
          <w:lang w:val="ru-RU"/>
        </w:rPr>
        <w:t>ю</w:t>
      </w:r>
      <w:r w:rsidR="00BD3358" w:rsidRPr="00BD3358">
        <w:rPr>
          <w:rFonts w:asciiTheme="majorHAnsi" w:eastAsia="Times New Roman" w:hAnsiTheme="majorHAnsi" w:cstheme="majorHAnsi"/>
          <w:sz w:val="24"/>
          <w:szCs w:val="24"/>
          <w:lang w:val="ro-RO"/>
        </w:rPr>
        <w:t xml:space="preserve"> Национальной филармонии им. Сергея Лункевича</w:t>
      </w:r>
      <w:r w:rsidRPr="00D23547">
        <w:rPr>
          <w:rFonts w:asciiTheme="majorHAnsi" w:eastAsia="Times New Roman" w:hAnsiTheme="majorHAnsi" w:cstheme="majorHAnsi"/>
          <w:sz w:val="24"/>
          <w:szCs w:val="24"/>
          <w:lang w:val="ro-RO"/>
        </w:rPr>
        <w:t xml:space="preserve"> </w:t>
      </w:r>
      <w:r w:rsidR="00BD3358" w:rsidRPr="00BD3358">
        <w:rPr>
          <w:rFonts w:asciiTheme="majorHAnsi" w:eastAsia="Times New Roman" w:hAnsiTheme="majorHAnsi" w:cstheme="majorHAnsi"/>
          <w:sz w:val="24"/>
          <w:szCs w:val="24"/>
          <w:lang w:val="ro-RO"/>
        </w:rPr>
        <w:t>-</w:t>
      </w:r>
      <w:r w:rsidRPr="00D23547">
        <w:rPr>
          <w:rFonts w:asciiTheme="majorHAnsi" w:eastAsia="Times New Roman" w:hAnsiTheme="majorHAnsi" w:cstheme="majorHAnsi"/>
          <w:sz w:val="24"/>
          <w:szCs w:val="24"/>
          <w:lang w:val="ro-RO"/>
        </w:rPr>
        <w:t xml:space="preserve"> </w:t>
      </w:r>
      <w:r w:rsidR="00BD3358" w:rsidRPr="00BD3358">
        <w:rPr>
          <w:rFonts w:asciiTheme="majorHAnsi" w:eastAsia="Times New Roman" w:hAnsiTheme="majorHAnsi" w:cstheme="majorHAnsi"/>
          <w:sz w:val="24"/>
          <w:szCs w:val="24"/>
          <w:lang w:val="ro-RO"/>
        </w:rPr>
        <w:t>1,7 млн. ле</w:t>
      </w:r>
      <w:r>
        <w:rPr>
          <w:rFonts w:asciiTheme="majorHAnsi" w:eastAsia="Times New Roman" w:hAnsiTheme="majorHAnsi" w:cstheme="majorHAnsi"/>
          <w:sz w:val="24"/>
          <w:szCs w:val="24"/>
          <w:lang w:val="ru-RU"/>
        </w:rPr>
        <w:t>ев</w:t>
      </w:r>
      <w:r w:rsidR="00CC00D5" w:rsidRPr="00F55BA6">
        <w:rPr>
          <w:rFonts w:asciiTheme="majorHAnsi" w:eastAsia="Times New Roman" w:hAnsiTheme="majorHAnsi" w:cstheme="majorHAnsi"/>
          <w:sz w:val="24"/>
          <w:szCs w:val="24"/>
          <w:lang w:val="ro-RO"/>
        </w:rPr>
        <w:t>.</w:t>
      </w:r>
    </w:p>
    <w:p w:rsidR="00EE39AB" w:rsidRPr="00F55BA6" w:rsidRDefault="00BD3358" w:rsidP="00EE39AB">
      <w:pPr>
        <w:tabs>
          <w:tab w:val="left" w:pos="993"/>
        </w:tabs>
        <w:spacing w:after="0" w:line="276" w:lineRule="auto"/>
        <w:contextualSpacing/>
        <w:rPr>
          <w:rFonts w:asciiTheme="majorHAnsi" w:eastAsia="Calibri" w:hAnsiTheme="majorHAnsi" w:cstheme="majorHAnsi"/>
          <w:color w:val="000000"/>
          <w:sz w:val="20"/>
          <w:szCs w:val="20"/>
          <w:lang w:val="ro-RO"/>
        </w:rPr>
      </w:pPr>
      <w:r w:rsidRPr="00BD3358">
        <w:rPr>
          <w:rFonts w:asciiTheme="majorHAnsi" w:eastAsia="Times New Roman" w:hAnsiTheme="majorHAnsi" w:cstheme="majorHAnsi"/>
          <w:sz w:val="24"/>
          <w:szCs w:val="24"/>
          <w:lang w:val="ro-RO"/>
        </w:rPr>
        <w:lastRenderedPageBreak/>
        <w:t xml:space="preserve">Для выделения и распределения средств </w:t>
      </w:r>
      <w:r w:rsidR="00D23547">
        <w:rPr>
          <w:rFonts w:asciiTheme="majorHAnsi" w:eastAsia="Times New Roman" w:hAnsiTheme="majorHAnsi" w:cstheme="majorHAnsi"/>
          <w:sz w:val="24"/>
          <w:szCs w:val="24"/>
          <w:lang w:val="ru-RU"/>
        </w:rPr>
        <w:t xml:space="preserve">из </w:t>
      </w:r>
      <w:r w:rsidRPr="00BD3358">
        <w:rPr>
          <w:rFonts w:asciiTheme="majorHAnsi" w:eastAsia="Times New Roman" w:hAnsiTheme="majorHAnsi" w:cstheme="majorHAnsi"/>
          <w:sz w:val="24"/>
          <w:szCs w:val="24"/>
          <w:lang w:val="ro-RO"/>
        </w:rPr>
        <w:t xml:space="preserve">Резервного фонда на протяжении 2020 года было утверждено 7 </w:t>
      </w:r>
      <w:r w:rsidR="001A3EA6">
        <w:rPr>
          <w:rFonts w:asciiTheme="majorHAnsi" w:eastAsia="Times New Roman" w:hAnsiTheme="majorHAnsi" w:cstheme="majorHAnsi"/>
          <w:sz w:val="24"/>
          <w:szCs w:val="24"/>
          <w:lang w:val="ru-RU"/>
        </w:rPr>
        <w:t>п</w:t>
      </w:r>
      <w:r w:rsidRPr="00BD3358">
        <w:rPr>
          <w:rFonts w:asciiTheme="majorHAnsi" w:eastAsia="Times New Roman" w:hAnsiTheme="majorHAnsi" w:cstheme="majorHAnsi"/>
          <w:sz w:val="24"/>
          <w:szCs w:val="24"/>
          <w:lang w:val="ro-RO"/>
        </w:rPr>
        <w:t xml:space="preserve">остановлений </w:t>
      </w:r>
      <w:r w:rsidR="00D23547">
        <w:rPr>
          <w:rFonts w:asciiTheme="majorHAnsi" w:eastAsia="Times New Roman" w:hAnsiTheme="majorHAnsi" w:cstheme="majorHAnsi"/>
          <w:sz w:val="24"/>
          <w:szCs w:val="24"/>
          <w:lang w:val="ru-RU"/>
        </w:rPr>
        <w:t>П</w:t>
      </w:r>
      <w:r w:rsidRPr="00BD3358">
        <w:rPr>
          <w:rFonts w:asciiTheme="majorHAnsi" w:eastAsia="Times New Roman" w:hAnsiTheme="majorHAnsi" w:cstheme="majorHAnsi"/>
          <w:sz w:val="24"/>
          <w:szCs w:val="24"/>
          <w:lang w:val="ro-RO"/>
        </w:rPr>
        <w:t>равительства</w:t>
      </w:r>
      <w:r w:rsidR="00D23547">
        <w:rPr>
          <w:rFonts w:asciiTheme="majorHAnsi" w:eastAsia="Times New Roman" w:hAnsiTheme="majorHAnsi" w:cstheme="majorHAnsi"/>
          <w:sz w:val="24"/>
          <w:szCs w:val="24"/>
          <w:lang w:val="ru-RU"/>
        </w:rPr>
        <w:t>,</w:t>
      </w:r>
      <w:r w:rsidRPr="00BD3358">
        <w:rPr>
          <w:rFonts w:asciiTheme="majorHAnsi" w:eastAsia="Times New Roman" w:hAnsiTheme="majorHAnsi" w:cstheme="majorHAnsi"/>
          <w:sz w:val="24"/>
          <w:szCs w:val="24"/>
          <w:lang w:val="ro-RO"/>
        </w:rPr>
        <w:t xml:space="preserve"> на сумму 106,6 млн. леев, а из </w:t>
      </w:r>
      <w:r w:rsidR="00D23547">
        <w:rPr>
          <w:rFonts w:asciiTheme="majorHAnsi" w:eastAsia="Times New Roman" w:hAnsiTheme="majorHAnsi" w:cstheme="majorHAnsi"/>
          <w:sz w:val="24"/>
          <w:szCs w:val="24"/>
          <w:lang w:val="ru-RU"/>
        </w:rPr>
        <w:t xml:space="preserve">Интервенционного </w:t>
      </w:r>
      <w:r w:rsidRPr="00BD3358">
        <w:rPr>
          <w:rFonts w:asciiTheme="majorHAnsi" w:eastAsia="Times New Roman" w:hAnsiTheme="majorHAnsi" w:cstheme="majorHAnsi"/>
          <w:sz w:val="24"/>
          <w:szCs w:val="24"/>
          <w:lang w:val="ro-RO"/>
        </w:rPr>
        <w:t>фонда -</w:t>
      </w:r>
      <w:r w:rsidR="00D23547">
        <w:rPr>
          <w:rFonts w:asciiTheme="majorHAnsi" w:eastAsia="Times New Roman" w:hAnsiTheme="majorHAnsi" w:cstheme="majorHAnsi"/>
          <w:sz w:val="24"/>
          <w:szCs w:val="24"/>
          <w:lang w:val="ru-RU"/>
        </w:rPr>
        <w:t xml:space="preserve"> </w:t>
      </w:r>
      <w:r w:rsidRPr="00BD3358">
        <w:rPr>
          <w:rFonts w:asciiTheme="majorHAnsi" w:eastAsia="Times New Roman" w:hAnsiTheme="majorHAnsi" w:cstheme="majorHAnsi"/>
          <w:sz w:val="24"/>
          <w:szCs w:val="24"/>
          <w:lang w:val="ro-RO"/>
        </w:rPr>
        <w:t xml:space="preserve">20 </w:t>
      </w:r>
      <w:r w:rsidR="001A3EA6">
        <w:rPr>
          <w:rFonts w:asciiTheme="majorHAnsi" w:eastAsia="Times New Roman" w:hAnsiTheme="majorHAnsi" w:cstheme="majorHAnsi"/>
          <w:sz w:val="24"/>
          <w:szCs w:val="24"/>
          <w:lang w:val="ru-RU"/>
        </w:rPr>
        <w:t>п</w:t>
      </w:r>
      <w:r w:rsidRPr="00BD3358">
        <w:rPr>
          <w:rFonts w:asciiTheme="majorHAnsi" w:eastAsia="Times New Roman" w:hAnsiTheme="majorHAnsi" w:cstheme="majorHAnsi"/>
          <w:sz w:val="24"/>
          <w:szCs w:val="24"/>
          <w:lang w:val="ro-RO"/>
        </w:rPr>
        <w:t xml:space="preserve">остановлений </w:t>
      </w:r>
      <w:r w:rsidR="00D23547">
        <w:rPr>
          <w:rFonts w:asciiTheme="majorHAnsi" w:eastAsia="Times New Roman" w:hAnsiTheme="majorHAnsi" w:cstheme="majorHAnsi"/>
          <w:sz w:val="24"/>
          <w:szCs w:val="24"/>
          <w:lang w:val="ru-RU"/>
        </w:rPr>
        <w:t>П</w:t>
      </w:r>
      <w:r w:rsidRPr="00BD3358">
        <w:rPr>
          <w:rFonts w:asciiTheme="majorHAnsi" w:eastAsia="Times New Roman" w:hAnsiTheme="majorHAnsi" w:cstheme="majorHAnsi"/>
          <w:sz w:val="24"/>
          <w:szCs w:val="24"/>
          <w:lang w:val="ro-RO"/>
        </w:rPr>
        <w:t>равительства</w:t>
      </w:r>
      <w:r w:rsidR="00D23547">
        <w:rPr>
          <w:rFonts w:asciiTheme="majorHAnsi" w:eastAsia="Times New Roman" w:hAnsiTheme="majorHAnsi" w:cstheme="majorHAnsi"/>
          <w:sz w:val="24"/>
          <w:szCs w:val="24"/>
          <w:lang w:val="ru-RU"/>
        </w:rPr>
        <w:t>,</w:t>
      </w:r>
      <w:r w:rsidRPr="00BD3358">
        <w:rPr>
          <w:rFonts w:asciiTheme="majorHAnsi" w:eastAsia="Times New Roman" w:hAnsiTheme="majorHAnsi" w:cstheme="majorHAnsi"/>
          <w:sz w:val="24"/>
          <w:szCs w:val="24"/>
          <w:lang w:val="ro-RO"/>
        </w:rPr>
        <w:t xml:space="preserve"> на сумму 279,7 млн. </w:t>
      </w:r>
      <w:r w:rsidR="00D23547">
        <w:rPr>
          <w:rFonts w:asciiTheme="majorHAnsi" w:eastAsia="Times New Roman" w:hAnsiTheme="majorHAnsi" w:cstheme="majorHAnsi"/>
          <w:sz w:val="24"/>
          <w:szCs w:val="24"/>
          <w:lang w:val="ru-RU"/>
        </w:rPr>
        <w:t>л</w:t>
      </w:r>
      <w:r w:rsidR="0025764C">
        <w:rPr>
          <w:rFonts w:asciiTheme="majorHAnsi" w:eastAsia="Times New Roman" w:hAnsiTheme="majorHAnsi" w:cstheme="majorHAnsi"/>
          <w:sz w:val="24"/>
          <w:szCs w:val="24"/>
          <w:lang w:val="ro-RO"/>
        </w:rPr>
        <w:t>еев</w:t>
      </w:r>
      <w:r w:rsidRPr="00BD3358">
        <w:rPr>
          <w:rFonts w:asciiTheme="majorHAnsi" w:eastAsia="Times New Roman" w:hAnsiTheme="majorHAnsi" w:cstheme="majorHAnsi"/>
          <w:sz w:val="24"/>
          <w:szCs w:val="24"/>
          <w:lang w:val="ro-RO"/>
        </w:rPr>
        <w:t xml:space="preserve">. </w:t>
      </w:r>
      <w:r w:rsidR="00D23547" w:rsidRPr="00D23547">
        <w:rPr>
          <w:rFonts w:asciiTheme="majorHAnsi" w:eastAsia="Times New Roman" w:hAnsiTheme="majorHAnsi" w:cstheme="majorHAnsi"/>
          <w:sz w:val="24"/>
          <w:szCs w:val="24"/>
          <w:lang w:val="ro-RO"/>
        </w:rPr>
        <w:t>При этом</w:t>
      </w:r>
      <w:r w:rsidRPr="00BD3358">
        <w:rPr>
          <w:rFonts w:asciiTheme="majorHAnsi" w:eastAsia="Times New Roman" w:hAnsiTheme="majorHAnsi" w:cstheme="majorHAnsi"/>
          <w:sz w:val="24"/>
          <w:szCs w:val="24"/>
          <w:lang w:val="ro-RO"/>
        </w:rPr>
        <w:t xml:space="preserve">, исполнение расходов </w:t>
      </w:r>
      <w:r w:rsidR="00D23547" w:rsidRPr="00D23547">
        <w:rPr>
          <w:rFonts w:asciiTheme="majorHAnsi" w:eastAsia="Times New Roman" w:hAnsiTheme="majorHAnsi" w:cstheme="majorHAnsi"/>
          <w:sz w:val="24"/>
          <w:szCs w:val="24"/>
          <w:lang w:val="ro-RO"/>
        </w:rPr>
        <w:t>на</w:t>
      </w:r>
      <w:r w:rsidRPr="00BD3358">
        <w:rPr>
          <w:rFonts w:asciiTheme="majorHAnsi" w:eastAsia="Times New Roman" w:hAnsiTheme="majorHAnsi" w:cstheme="majorHAnsi"/>
          <w:sz w:val="24"/>
          <w:szCs w:val="24"/>
          <w:lang w:val="ro-RO"/>
        </w:rPr>
        <w:t xml:space="preserve"> указанны</w:t>
      </w:r>
      <w:r w:rsidR="00D23547" w:rsidRPr="00D23547">
        <w:rPr>
          <w:rFonts w:asciiTheme="majorHAnsi" w:eastAsia="Times New Roman" w:hAnsiTheme="majorHAnsi" w:cstheme="majorHAnsi"/>
          <w:sz w:val="24"/>
          <w:szCs w:val="24"/>
          <w:lang w:val="ro-RO"/>
        </w:rPr>
        <w:t>е</w:t>
      </w:r>
      <w:r w:rsidRPr="00BD3358">
        <w:rPr>
          <w:rFonts w:asciiTheme="majorHAnsi" w:eastAsia="Times New Roman" w:hAnsiTheme="majorHAnsi" w:cstheme="majorHAnsi"/>
          <w:sz w:val="24"/>
          <w:szCs w:val="24"/>
          <w:lang w:val="ro-RO"/>
        </w:rPr>
        <w:t xml:space="preserve"> цел</w:t>
      </w:r>
      <w:r w:rsidR="00D23547" w:rsidRPr="00D23547">
        <w:rPr>
          <w:rFonts w:asciiTheme="majorHAnsi" w:eastAsia="Times New Roman" w:hAnsiTheme="majorHAnsi" w:cstheme="majorHAnsi"/>
          <w:sz w:val="24"/>
          <w:szCs w:val="24"/>
          <w:lang w:val="ro-RO"/>
        </w:rPr>
        <w:t>и</w:t>
      </w:r>
      <w:r w:rsidRPr="00BD3358">
        <w:rPr>
          <w:rFonts w:asciiTheme="majorHAnsi" w:eastAsia="Times New Roman" w:hAnsiTheme="majorHAnsi" w:cstheme="majorHAnsi"/>
          <w:sz w:val="24"/>
          <w:szCs w:val="24"/>
          <w:lang w:val="ro-RO"/>
        </w:rPr>
        <w:t xml:space="preserve"> составило 94,5%, или 100,8 млн. леев из </w:t>
      </w:r>
      <w:r w:rsidR="00D23547" w:rsidRPr="00D23547">
        <w:rPr>
          <w:rFonts w:asciiTheme="majorHAnsi" w:eastAsia="Times New Roman" w:hAnsiTheme="majorHAnsi" w:cstheme="majorHAnsi"/>
          <w:sz w:val="24"/>
          <w:szCs w:val="24"/>
          <w:lang w:val="ro-RO"/>
        </w:rPr>
        <w:t>Р</w:t>
      </w:r>
      <w:r w:rsidRPr="00BD3358">
        <w:rPr>
          <w:rFonts w:asciiTheme="majorHAnsi" w:eastAsia="Times New Roman" w:hAnsiTheme="majorHAnsi" w:cstheme="majorHAnsi"/>
          <w:sz w:val="24"/>
          <w:szCs w:val="24"/>
          <w:lang w:val="ro-RO"/>
        </w:rPr>
        <w:t xml:space="preserve">езервного фонда и, соответственно, 99,3%, или 277,8 млн. леев из </w:t>
      </w:r>
      <w:r w:rsidR="00D23547" w:rsidRPr="00D23547">
        <w:rPr>
          <w:rFonts w:asciiTheme="majorHAnsi" w:eastAsia="Times New Roman" w:hAnsiTheme="majorHAnsi" w:cstheme="majorHAnsi"/>
          <w:sz w:val="24"/>
          <w:szCs w:val="24"/>
          <w:lang w:val="ro-RO"/>
        </w:rPr>
        <w:t>Интервенционного</w:t>
      </w:r>
      <w:r w:rsidR="00D23547" w:rsidRPr="00BD3358">
        <w:rPr>
          <w:rFonts w:asciiTheme="majorHAnsi" w:eastAsia="Times New Roman" w:hAnsiTheme="majorHAnsi" w:cstheme="majorHAnsi"/>
          <w:sz w:val="24"/>
          <w:szCs w:val="24"/>
          <w:lang w:val="ro-RO"/>
        </w:rPr>
        <w:t xml:space="preserve"> </w:t>
      </w:r>
      <w:r w:rsidRPr="00BD3358">
        <w:rPr>
          <w:rFonts w:asciiTheme="majorHAnsi" w:eastAsia="Times New Roman" w:hAnsiTheme="majorHAnsi" w:cstheme="majorHAnsi"/>
          <w:sz w:val="24"/>
          <w:szCs w:val="24"/>
          <w:lang w:val="ro-RO"/>
        </w:rPr>
        <w:t>фонда</w:t>
      </w:r>
      <w:r w:rsidR="00EE39AB" w:rsidRPr="00F55BA6">
        <w:rPr>
          <w:rFonts w:asciiTheme="majorHAnsi" w:eastAsia="Times New Roman" w:hAnsiTheme="majorHAnsi" w:cstheme="majorHAnsi"/>
          <w:sz w:val="24"/>
          <w:szCs w:val="24"/>
          <w:lang w:val="ro-RO"/>
        </w:rPr>
        <w:t>.</w:t>
      </w:r>
      <w:r w:rsidR="00EE39AB" w:rsidRPr="00F55BA6">
        <w:rPr>
          <w:rFonts w:asciiTheme="majorHAnsi" w:eastAsia="Calibri" w:hAnsiTheme="majorHAnsi" w:cstheme="majorHAnsi"/>
          <w:color w:val="000000"/>
          <w:sz w:val="24"/>
          <w:szCs w:val="24"/>
          <w:lang w:val="ro-RO"/>
        </w:rPr>
        <w:t xml:space="preserve"> </w:t>
      </w:r>
      <w:r w:rsidR="00EE39AB" w:rsidRPr="00F55BA6">
        <w:rPr>
          <w:rFonts w:asciiTheme="majorHAnsi" w:eastAsia="Calibri" w:hAnsiTheme="majorHAnsi" w:cstheme="majorHAnsi"/>
          <w:color w:val="000000"/>
          <w:szCs w:val="28"/>
          <w:lang w:val="ro-RO"/>
        </w:rPr>
        <w:t xml:space="preserve">                        </w:t>
      </w:r>
    </w:p>
    <w:p w:rsidR="00EE39AB" w:rsidRPr="00F55BA6" w:rsidRDefault="00BD3358" w:rsidP="00EE39AB">
      <w:pPr>
        <w:spacing w:after="0" w:line="276" w:lineRule="auto"/>
        <w:rPr>
          <w:rFonts w:asciiTheme="majorHAnsi" w:eastAsia="Times New Roman" w:hAnsiTheme="majorHAnsi" w:cstheme="majorHAnsi"/>
          <w:sz w:val="24"/>
          <w:szCs w:val="24"/>
          <w:lang w:val="ro-RO"/>
        </w:rPr>
      </w:pPr>
      <w:r w:rsidRPr="00BD3358">
        <w:rPr>
          <w:rFonts w:asciiTheme="majorHAnsi" w:eastAsia="Times New Roman" w:hAnsiTheme="majorHAnsi" w:cstheme="majorHAnsi"/>
          <w:sz w:val="24"/>
          <w:szCs w:val="24"/>
          <w:lang w:val="ro-RO"/>
        </w:rPr>
        <w:t xml:space="preserve">Аудит </w:t>
      </w:r>
      <w:r w:rsidR="00D23547">
        <w:rPr>
          <w:rFonts w:asciiTheme="majorHAnsi" w:eastAsia="Times New Roman" w:hAnsiTheme="majorHAnsi" w:cstheme="majorHAnsi"/>
          <w:sz w:val="24"/>
          <w:szCs w:val="24"/>
          <w:lang w:val="ru-RU"/>
        </w:rPr>
        <w:t>отмеч</w:t>
      </w:r>
      <w:r w:rsidRPr="00BD3358">
        <w:rPr>
          <w:rFonts w:asciiTheme="majorHAnsi" w:eastAsia="Times New Roman" w:hAnsiTheme="majorHAnsi" w:cstheme="majorHAnsi"/>
          <w:sz w:val="24"/>
          <w:szCs w:val="24"/>
          <w:lang w:val="ro-RO"/>
        </w:rPr>
        <w:t xml:space="preserve">ает, что средства </w:t>
      </w:r>
      <w:r w:rsidR="00D23547">
        <w:rPr>
          <w:rFonts w:asciiTheme="majorHAnsi" w:eastAsia="Times New Roman" w:hAnsiTheme="majorHAnsi" w:cstheme="majorHAnsi"/>
          <w:sz w:val="24"/>
          <w:szCs w:val="24"/>
          <w:lang w:val="ru-RU"/>
        </w:rPr>
        <w:t>Интервенционного</w:t>
      </w:r>
      <w:r w:rsidR="00D23547" w:rsidRPr="00BD3358">
        <w:rPr>
          <w:rFonts w:asciiTheme="majorHAnsi" w:eastAsia="Times New Roman" w:hAnsiTheme="majorHAnsi" w:cstheme="majorHAnsi"/>
          <w:sz w:val="24"/>
          <w:szCs w:val="24"/>
          <w:lang w:val="ro-RO"/>
        </w:rPr>
        <w:t xml:space="preserve"> </w:t>
      </w:r>
      <w:r w:rsidRPr="00BD3358">
        <w:rPr>
          <w:rFonts w:asciiTheme="majorHAnsi" w:eastAsia="Times New Roman" w:hAnsiTheme="majorHAnsi" w:cstheme="majorHAnsi"/>
          <w:sz w:val="24"/>
          <w:szCs w:val="24"/>
          <w:lang w:val="ro-RO"/>
        </w:rPr>
        <w:t>фонда</w:t>
      </w:r>
      <w:r w:rsidR="00D23547" w:rsidRPr="00BD3358">
        <w:rPr>
          <w:rFonts w:asciiTheme="majorHAnsi" w:eastAsia="Times New Roman" w:hAnsiTheme="majorHAnsi" w:cstheme="majorHAnsi"/>
          <w:sz w:val="24"/>
          <w:szCs w:val="24"/>
          <w:lang w:val="ro-RO"/>
        </w:rPr>
        <w:t>, распределенные</w:t>
      </w:r>
      <w:r w:rsidRPr="00BD3358">
        <w:rPr>
          <w:rFonts w:asciiTheme="majorHAnsi" w:eastAsia="Times New Roman" w:hAnsiTheme="majorHAnsi" w:cstheme="majorHAnsi"/>
          <w:sz w:val="24"/>
          <w:szCs w:val="24"/>
          <w:lang w:val="ro-RO"/>
        </w:rPr>
        <w:t xml:space="preserve"> </w:t>
      </w:r>
      <w:r w:rsidR="00594864">
        <w:rPr>
          <w:rFonts w:asciiTheme="majorHAnsi" w:eastAsia="Times New Roman" w:hAnsiTheme="majorHAnsi" w:cstheme="majorHAnsi"/>
          <w:sz w:val="24"/>
          <w:szCs w:val="24"/>
          <w:lang w:val="ru-RU"/>
        </w:rPr>
        <w:t>п</w:t>
      </w:r>
      <w:r w:rsidRPr="00BD3358">
        <w:rPr>
          <w:rFonts w:asciiTheme="majorHAnsi" w:eastAsia="Times New Roman" w:hAnsiTheme="majorHAnsi" w:cstheme="majorHAnsi"/>
          <w:sz w:val="24"/>
          <w:szCs w:val="24"/>
          <w:lang w:val="ro-RO"/>
        </w:rPr>
        <w:t xml:space="preserve">остановлениями Правительства </w:t>
      </w:r>
      <w:r w:rsidR="00D23547">
        <w:rPr>
          <w:rFonts w:asciiTheme="majorHAnsi" w:eastAsia="Times New Roman" w:hAnsiTheme="majorHAnsi" w:cstheme="majorHAnsi"/>
          <w:sz w:val="24"/>
          <w:szCs w:val="24"/>
          <w:lang w:val="ru-RU"/>
        </w:rPr>
        <w:t>в</w:t>
      </w:r>
      <w:r w:rsidRPr="00BD3358">
        <w:rPr>
          <w:rFonts w:asciiTheme="majorHAnsi" w:eastAsia="Times New Roman" w:hAnsiTheme="majorHAnsi" w:cstheme="majorHAnsi"/>
          <w:sz w:val="24"/>
          <w:szCs w:val="24"/>
          <w:lang w:val="ro-RO"/>
        </w:rPr>
        <w:t xml:space="preserve"> сумм</w:t>
      </w:r>
      <w:r w:rsidR="00D23547">
        <w:rPr>
          <w:rFonts w:asciiTheme="majorHAnsi" w:eastAsia="Times New Roman" w:hAnsiTheme="majorHAnsi" w:cstheme="majorHAnsi"/>
          <w:sz w:val="24"/>
          <w:szCs w:val="24"/>
          <w:lang w:val="ru-RU"/>
        </w:rPr>
        <w:t>е</w:t>
      </w:r>
      <w:r w:rsidRPr="00BD3358">
        <w:rPr>
          <w:rFonts w:asciiTheme="majorHAnsi" w:eastAsia="Times New Roman" w:hAnsiTheme="majorHAnsi" w:cstheme="majorHAnsi"/>
          <w:sz w:val="24"/>
          <w:szCs w:val="24"/>
          <w:lang w:val="ro-RO"/>
        </w:rPr>
        <w:t xml:space="preserve"> 279,7 млн. леев</w:t>
      </w:r>
      <w:r w:rsidR="00D23547">
        <w:rPr>
          <w:rFonts w:asciiTheme="majorHAnsi" w:eastAsia="Times New Roman" w:hAnsiTheme="majorHAnsi" w:cstheme="majorHAnsi"/>
          <w:sz w:val="24"/>
          <w:szCs w:val="24"/>
          <w:lang w:val="ru-RU"/>
        </w:rPr>
        <w:t>,</w:t>
      </w:r>
      <w:r w:rsidRPr="00BD3358">
        <w:rPr>
          <w:rFonts w:asciiTheme="majorHAnsi" w:eastAsia="Times New Roman" w:hAnsiTheme="majorHAnsi" w:cstheme="majorHAnsi"/>
          <w:sz w:val="24"/>
          <w:szCs w:val="24"/>
          <w:lang w:val="ro-RO"/>
        </w:rPr>
        <w:t xml:space="preserve"> превысили лимит ассигнований, предусмотренных в </w:t>
      </w:r>
      <w:r w:rsidR="008F632D">
        <w:rPr>
          <w:rFonts w:asciiTheme="majorHAnsi" w:eastAsia="Times New Roman" w:hAnsiTheme="majorHAnsi" w:cstheme="majorHAnsi"/>
          <w:sz w:val="24"/>
          <w:szCs w:val="24"/>
          <w:lang w:val="ro-RO"/>
        </w:rPr>
        <w:t>ГБ</w:t>
      </w:r>
      <w:r w:rsidRPr="00BD3358">
        <w:rPr>
          <w:rFonts w:asciiTheme="majorHAnsi" w:eastAsia="Times New Roman" w:hAnsiTheme="majorHAnsi" w:cstheme="majorHAnsi"/>
          <w:sz w:val="24"/>
          <w:szCs w:val="24"/>
          <w:lang w:val="ro-RO"/>
        </w:rPr>
        <w:t xml:space="preserve"> для </w:t>
      </w:r>
      <w:r w:rsidR="00D23547">
        <w:rPr>
          <w:rFonts w:asciiTheme="majorHAnsi" w:eastAsia="Times New Roman" w:hAnsiTheme="majorHAnsi" w:cstheme="majorHAnsi"/>
          <w:sz w:val="24"/>
          <w:szCs w:val="24"/>
          <w:lang w:val="ru-RU"/>
        </w:rPr>
        <w:t>Интервенционного</w:t>
      </w:r>
      <w:r w:rsidR="00D23547" w:rsidRPr="00BD3358">
        <w:rPr>
          <w:rFonts w:asciiTheme="majorHAnsi" w:eastAsia="Times New Roman" w:hAnsiTheme="majorHAnsi" w:cstheme="majorHAnsi"/>
          <w:sz w:val="24"/>
          <w:szCs w:val="24"/>
          <w:lang w:val="ro-RO"/>
        </w:rPr>
        <w:t xml:space="preserve"> </w:t>
      </w:r>
      <w:r w:rsidRPr="00BD3358">
        <w:rPr>
          <w:rFonts w:asciiTheme="majorHAnsi" w:eastAsia="Times New Roman" w:hAnsiTheme="majorHAnsi" w:cstheme="majorHAnsi"/>
          <w:sz w:val="24"/>
          <w:szCs w:val="24"/>
          <w:lang w:val="ro-RO"/>
        </w:rPr>
        <w:t>фонда (220,0 млн.</w:t>
      </w:r>
      <w:r w:rsidR="00D23547">
        <w:rPr>
          <w:rFonts w:asciiTheme="majorHAnsi" w:eastAsia="Times New Roman" w:hAnsiTheme="majorHAnsi" w:cstheme="majorHAnsi"/>
          <w:sz w:val="24"/>
          <w:szCs w:val="24"/>
          <w:lang w:val="ru-RU"/>
        </w:rPr>
        <w:t xml:space="preserve"> леев</w:t>
      </w:r>
      <w:r w:rsidRPr="00BD3358">
        <w:rPr>
          <w:rFonts w:asciiTheme="majorHAnsi" w:eastAsia="Times New Roman" w:hAnsiTheme="majorHAnsi" w:cstheme="majorHAnsi"/>
          <w:sz w:val="24"/>
          <w:szCs w:val="24"/>
          <w:lang w:val="ro-RO"/>
        </w:rPr>
        <w:t xml:space="preserve">) на 59,7 млн. </w:t>
      </w:r>
      <w:r w:rsidR="00D23547">
        <w:rPr>
          <w:rFonts w:asciiTheme="majorHAnsi" w:eastAsia="Times New Roman" w:hAnsiTheme="majorHAnsi" w:cstheme="majorHAnsi"/>
          <w:sz w:val="24"/>
          <w:szCs w:val="24"/>
          <w:lang w:val="ru-RU"/>
        </w:rPr>
        <w:t>л</w:t>
      </w:r>
      <w:r w:rsidR="0025764C">
        <w:rPr>
          <w:rFonts w:asciiTheme="majorHAnsi" w:eastAsia="Times New Roman" w:hAnsiTheme="majorHAnsi" w:cstheme="majorHAnsi"/>
          <w:sz w:val="24"/>
          <w:szCs w:val="24"/>
          <w:lang w:val="ro-RO"/>
        </w:rPr>
        <w:t>еев</w:t>
      </w:r>
      <w:r w:rsidRPr="00BD3358">
        <w:rPr>
          <w:rFonts w:asciiTheme="majorHAnsi" w:eastAsia="Times New Roman" w:hAnsiTheme="majorHAnsi" w:cstheme="majorHAnsi"/>
          <w:sz w:val="24"/>
          <w:szCs w:val="24"/>
          <w:lang w:val="ro-RO"/>
        </w:rPr>
        <w:t xml:space="preserve">. Ассигнования </w:t>
      </w:r>
      <w:r w:rsidR="0044718C">
        <w:rPr>
          <w:rFonts w:asciiTheme="majorHAnsi" w:eastAsia="Times New Roman" w:hAnsiTheme="majorHAnsi" w:cstheme="majorHAnsi"/>
          <w:sz w:val="24"/>
          <w:szCs w:val="24"/>
          <w:lang w:val="ru-RU"/>
        </w:rPr>
        <w:t xml:space="preserve">из </w:t>
      </w:r>
      <w:r w:rsidR="00D23547" w:rsidRPr="00D23547">
        <w:rPr>
          <w:rFonts w:asciiTheme="majorHAnsi" w:eastAsia="Times New Roman" w:hAnsiTheme="majorHAnsi" w:cstheme="majorHAnsi"/>
          <w:sz w:val="24"/>
          <w:szCs w:val="24"/>
          <w:lang w:val="ro-RO"/>
        </w:rPr>
        <w:t>Интервенционного</w:t>
      </w:r>
      <w:r w:rsidR="00D23547" w:rsidRPr="00BD3358">
        <w:rPr>
          <w:rFonts w:asciiTheme="majorHAnsi" w:eastAsia="Times New Roman" w:hAnsiTheme="majorHAnsi" w:cstheme="majorHAnsi"/>
          <w:sz w:val="24"/>
          <w:szCs w:val="24"/>
          <w:lang w:val="ro-RO"/>
        </w:rPr>
        <w:t xml:space="preserve"> </w:t>
      </w:r>
      <w:r w:rsidR="0044718C">
        <w:rPr>
          <w:rFonts w:asciiTheme="majorHAnsi" w:eastAsia="Times New Roman" w:hAnsiTheme="majorHAnsi" w:cstheme="majorHAnsi"/>
          <w:sz w:val="24"/>
          <w:szCs w:val="24"/>
          <w:lang w:val="ru-RU"/>
        </w:rPr>
        <w:t>ф</w:t>
      </w:r>
      <w:r w:rsidRPr="00BD3358">
        <w:rPr>
          <w:rFonts w:asciiTheme="majorHAnsi" w:eastAsia="Times New Roman" w:hAnsiTheme="majorHAnsi" w:cstheme="majorHAnsi"/>
          <w:sz w:val="24"/>
          <w:szCs w:val="24"/>
          <w:lang w:val="ro-RO"/>
        </w:rPr>
        <w:t>онда увелич</w:t>
      </w:r>
      <w:r w:rsidR="0044718C">
        <w:rPr>
          <w:rFonts w:asciiTheme="majorHAnsi" w:eastAsia="Times New Roman" w:hAnsiTheme="majorHAnsi" w:cstheme="majorHAnsi"/>
          <w:sz w:val="24"/>
          <w:szCs w:val="24"/>
          <w:lang w:val="ru-RU"/>
        </w:rPr>
        <w:t>ились</w:t>
      </w:r>
      <w:r w:rsidRPr="00BD3358">
        <w:rPr>
          <w:rFonts w:asciiTheme="majorHAnsi" w:eastAsia="Times New Roman" w:hAnsiTheme="majorHAnsi" w:cstheme="majorHAnsi"/>
          <w:sz w:val="24"/>
          <w:szCs w:val="24"/>
          <w:lang w:val="ro-RO"/>
        </w:rPr>
        <w:t xml:space="preserve"> за счет финансовой помощи, предоставленной </w:t>
      </w:r>
      <w:r w:rsidR="00D23547" w:rsidRPr="00D23547">
        <w:rPr>
          <w:rFonts w:asciiTheme="majorHAnsi" w:eastAsia="Times New Roman" w:hAnsiTheme="majorHAnsi" w:cstheme="majorHAnsi"/>
          <w:sz w:val="24"/>
          <w:szCs w:val="24"/>
          <w:lang w:val="ro-RO"/>
        </w:rPr>
        <w:t>П</w:t>
      </w:r>
      <w:r w:rsidRPr="00BD3358">
        <w:rPr>
          <w:rFonts w:asciiTheme="majorHAnsi" w:eastAsia="Times New Roman" w:hAnsiTheme="majorHAnsi" w:cstheme="majorHAnsi"/>
          <w:sz w:val="24"/>
          <w:szCs w:val="24"/>
          <w:lang w:val="ro-RO"/>
        </w:rPr>
        <w:t>равительством Российской Федерации, предназначенной для аграриев для частичной компенсации ущерба, причиненного засухой 2020 года, в размере 59,7 млн. ле</w:t>
      </w:r>
      <w:r w:rsidR="00D23547" w:rsidRPr="00D23547">
        <w:rPr>
          <w:rFonts w:asciiTheme="majorHAnsi" w:eastAsia="Times New Roman" w:hAnsiTheme="majorHAnsi" w:cstheme="majorHAnsi"/>
          <w:sz w:val="24"/>
          <w:szCs w:val="24"/>
          <w:lang w:val="ro-RO"/>
        </w:rPr>
        <w:t>ев</w:t>
      </w:r>
      <w:r w:rsidRPr="00BD3358">
        <w:rPr>
          <w:rFonts w:asciiTheme="majorHAnsi" w:eastAsia="Times New Roman" w:hAnsiTheme="majorHAnsi" w:cstheme="majorHAnsi"/>
          <w:sz w:val="24"/>
          <w:szCs w:val="24"/>
          <w:lang w:val="ro-RO"/>
        </w:rPr>
        <w:t xml:space="preserve"> (эквивалент 275,0 млн. российски</w:t>
      </w:r>
      <w:r w:rsidR="00D23547" w:rsidRPr="00D23547">
        <w:rPr>
          <w:rFonts w:asciiTheme="majorHAnsi" w:eastAsia="Times New Roman" w:hAnsiTheme="majorHAnsi" w:cstheme="majorHAnsi"/>
          <w:sz w:val="24"/>
          <w:szCs w:val="24"/>
          <w:lang w:val="ro-RO"/>
        </w:rPr>
        <w:t>х</w:t>
      </w:r>
      <w:r w:rsidRPr="00BD3358">
        <w:rPr>
          <w:rFonts w:asciiTheme="majorHAnsi" w:eastAsia="Times New Roman" w:hAnsiTheme="majorHAnsi" w:cstheme="majorHAnsi"/>
          <w:sz w:val="24"/>
          <w:szCs w:val="24"/>
          <w:lang w:val="ro-RO"/>
        </w:rPr>
        <w:t xml:space="preserve"> рубл</w:t>
      </w:r>
      <w:r w:rsidR="00D23547" w:rsidRPr="00D23547">
        <w:rPr>
          <w:rFonts w:asciiTheme="majorHAnsi" w:eastAsia="Times New Roman" w:hAnsiTheme="majorHAnsi" w:cstheme="majorHAnsi"/>
          <w:sz w:val="24"/>
          <w:szCs w:val="24"/>
          <w:lang w:val="ro-RO"/>
        </w:rPr>
        <w:t>ей</w:t>
      </w:r>
      <w:r w:rsidRPr="00BD3358">
        <w:rPr>
          <w:rFonts w:asciiTheme="majorHAnsi" w:eastAsia="Times New Roman" w:hAnsiTheme="majorHAnsi" w:cstheme="majorHAnsi"/>
          <w:sz w:val="24"/>
          <w:szCs w:val="24"/>
          <w:lang w:val="ro-RO"/>
        </w:rPr>
        <w:t>)</w:t>
      </w:r>
      <w:r w:rsidR="007F6497" w:rsidRPr="00F55BA6">
        <w:rPr>
          <w:rStyle w:val="FootnoteReference"/>
          <w:rFonts w:asciiTheme="majorHAnsi" w:eastAsia="Times New Roman" w:hAnsiTheme="majorHAnsi" w:cstheme="majorHAnsi"/>
          <w:sz w:val="24"/>
          <w:szCs w:val="24"/>
          <w:lang w:val="ro-RO"/>
        </w:rPr>
        <w:footnoteReference w:id="62"/>
      </w:r>
      <w:r w:rsidR="006E215F" w:rsidRPr="00F55BA6">
        <w:rPr>
          <w:rFonts w:asciiTheme="majorHAnsi" w:eastAsia="Times New Roman" w:hAnsiTheme="majorHAnsi" w:cstheme="majorHAnsi"/>
          <w:sz w:val="24"/>
          <w:szCs w:val="24"/>
          <w:lang w:val="ro-RO"/>
        </w:rPr>
        <w:t>.</w:t>
      </w:r>
      <w:r w:rsidR="00F26CBA" w:rsidRPr="00F55BA6">
        <w:rPr>
          <w:rFonts w:asciiTheme="majorHAnsi" w:eastAsia="Times New Roman" w:hAnsiTheme="majorHAnsi" w:cstheme="majorHAnsi"/>
          <w:sz w:val="24"/>
          <w:szCs w:val="24"/>
          <w:lang w:val="ro-RO"/>
        </w:rPr>
        <w:t xml:space="preserve"> </w:t>
      </w:r>
    </w:p>
    <w:p w:rsidR="00E248F8" w:rsidRPr="00F55BA6" w:rsidRDefault="00BD3358" w:rsidP="00F80DBF">
      <w:pPr>
        <w:spacing w:after="0" w:line="276" w:lineRule="auto"/>
        <w:rPr>
          <w:rFonts w:asciiTheme="majorHAnsi" w:eastAsia="Times New Roman" w:hAnsiTheme="majorHAnsi" w:cstheme="majorHAnsi"/>
          <w:sz w:val="24"/>
          <w:szCs w:val="24"/>
          <w:lang w:val="ro-RO"/>
        </w:rPr>
      </w:pPr>
      <w:r w:rsidRPr="00BD3358">
        <w:rPr>
          <w:rFonts w:asciiTheme="majorHAnsi" w:eastAsia="Times New Roman" w:hAnsiTheme="majorHAnsi" w:cstheme="majorHAnsi"/>
          <w:sz w:val="24"/>
          <w:szCs w:val="24"/>
          <w:lang w:val="ro-RO"/>
        </w:rPr>
        <w:t xml:space="preserve">Средства из </w:t>
      </w:r>
      <w:r w:rsidR="0001794C">
        <w:rPr>
          <w:rFonts w:asciiTheme="majorHAnsi" w:eastAsia="Times New Roman" w:hAnsiTheme="majorHAnsi" w:cstheme="majorHAnsi"/>
          <w:sz w:val="24"/>
          <w:szCs w:val="24"/>
          <w:lang w:val="ru-RU"/>
        </w:rPr>
        <w:t>Р</w:t>
      </w:r>
      <w:r w:rsidRPr="00BD3358">
        <w:rPr>
          <w:rFonts w:asciiTheme="majorHAnsi" w:eastAsia="Times New Roman" w:hAnsiTheme="majorHAnsi" w:cstheme="majorHAnsi"/>
          <w:sz w:val="24"/>
          <w:szCs w:val="24"/>
          <w:lang w:val="ro-RO"/>
        </w:rPr>
        <w:t xml:space="preserve">езервного фонда были распределены 10 </w:t>
      </w:r>
      <w:r w:rsidR="0001794C">
        <w:rPr>
          <w:rFonts w:asciiTheme="majorHAnsi" w:eastAsia="Times New Roman" w:hAnsiTheme="majorHAnsi" w:cstheme="majorHAnsi"/>
          <w:sz w:val="24"/>
          <w:szCs w:val="24"/>
          <w:lang w:val="ru-RU"/>
        </w:rPr>
        <w:t>ЦПО</w:t>
      </w:r>
      <w:r w:rsidR="0001794C" w:rsidRPr="00F55BA6">
        <w:rPr>
          <w:rFonts w:asciiTheme="majorHAnsi" w:eastAsia="Times New Roman" w:hAnsiTheme="majorHAnsi" w:cstheme="majorHAnsi"/>
          <w:sz w:val="24"/>
          <w:szCs w:val="24"/>
          <w:vertAlign w:val="superscript"/>
          <w:lang w:val="ro-RO"/>
        </w:rPr>
        <w:footnoteReference w:id="63"/>
      </w:r>
      <w:r w:rsidR="0001794C">
        <w:rPr>
          <w:rFonts w:asciiTheme="majorHAnsi" w:eastAsia="Times New Roman" w:hAnsiTheme="majorHAnsi" w:cstheme="majorHAnsi"/>
          <w:sz w:val="24"/>
          <w:szCs w:val="24"/>
          <w:lang w:val="ru-RU"/>
        </w:rPr>
        <w:t>,</w:t>
      </w:r>
      <w:r w:rsidRPr="00BD3358">
        <w:rPr>
          <w:rFonts w:asciiTheme="majorHAnsi" w:eastAsia="Times New Roman" w:hAnsiTheme="majorHAnsi" w:cstheme="majorHAnsi"/>
          <w:sz w:val="24"/>
          <w:szCs w:val="24"/>
          <w:lang w:val="ro-RO"/>
        </w:rPr>
        <w:t xml:space="preserve"> </w:t>
      </w:r>
      <w:r w:rsidR="00A56F3E">
        <w:rPr>
          <w:rFonts w:asciiTheme="majorHAnsi" w:eastAsia="Times New Roman" w:hAnsiTheme="majorHAnsi" w:cstheme="majorHAnsi"/>
          <w:sz w:val="24"/>
          <w:szCs w:val="24"/>
          <w:lang w:val="ru-RU"/>
        </w:rPr>
        <w:t>в</w:t>
      </w:r>
      <w:r w:rsidRPr="00BD3358">
        <w:rPr>
          <w:rFonts w:asciiTheme="majorHAnsi" w:eastAsia="Times New Roman" w:hAnsiTheme="majorHAnsi" w:cstheme="majorHAnsi"/>
          <w:sz w:val="24"/>
          <w:szCs w:val="24"/>
          <w:lang w:val="ro-RO"/>
        </w:rPr>
        <w:t xml:space="preserve"> общ</w:t>
      </w:r>
      <w:r w:rsidR="00A56F3E">
        <w:rPr>
          <w:rFonts w:asciiTheme="majorHAnsi" w:eastAsia="Times New Roman" w:hAnsiTheme="majorHAnsi" w:cstheme="majorHAnsi"/>
          <w:sz w:val="24"/>
          <w:szCs w:val="24"/>
          <w:lang w:val="ru-RU"/>
        </w:rPr>
        <w:t>ей</w:t>
      </w:r>
      <w:r w:rsidRPr="00BD3358">
        <w:rPr>
          <w:rFonts w:asciiTheme="majorHAnsi" w:eastAsia="Times New Roman" w:hAnsiTheme="majorHAnsi" w:cstheme="majorHAnsi"/>
          <w:sz w:val="24"/>
          <w:szCs w:val="24"/>
          <w:lang w:val="ro-RO"/>
        </w:rPr>
        <w:t xml:space="preserve"> сумм</w:t>
      </w:r>
      <w:r w:rsidR="00A56F3E">
        <w:rPr>
          <w:rFonts w:asciiTheme="majorHAnsi" w:eastAsia="Times New Roman" w:hAnsiTheme="majorHAnsi" w:cstheme="majorHAnsi"/>
          <w:sz w:val="24"/>
          <w:szCs w:val="24"/>
          <w:lang w:val="ru-RU"/>
        </w:rPr>
        <w:t>е</w:t>
      </w:r>
      <w:r w:rsidRPr="00BD3358">
        <w:rPr>
          <w:rFonts w:asciiTheme="majorHAnsi" w:eastAsia="Times New Roman" w:hAnsiTheme="majorHAnsi" w:cstheme="majorHAnsi"/>
          <w:sz w:val="24"/>
          <w:szCs w:val="24"/>
          <w:lang w:val="ro-RO"/>
        </w:rPr>
        <w:t xml:space="preserve"> 75,4 млн. ле</w:t>
      </w:r>
      <w:r w:rsidR="0001794C">
        <w:rPr>
          <w:rFonts w:asciiTheme="majorHAnsi" w:eastAsia="Times New Roman" w:hAnsiTheme="majorHAnsi" w:cstheme="majorHAnsi"/>
          <w:sz w:val="24"/>
          <w:szCs w:val="24"/>
          <w:lang w:val="ru-RU"/>
        </w:rPr>
        <w:t>ев, и</w:t>
      </w:r>
      <w:r w:rsidRPr="00BD3358">
        <w:rPr>
          <w:rFonts w:asciiTheme="majorHAnsi" w:eastAsia="Times New Roman" w:hAnsiTheme="majorHAnsi" w:cstheme="majorHAnsi"/>
          <w:sz w:val="24"/>
          <w:szCs w:val="24"/>
          <w:lang w:val="ro-RO"/>
        </w:rPr>
        <w:t xml:space="preserve"> </w:t>
      </w:r>
      <w:r w:rsidR="0001794C">
        <w:rPr>
          <w:rFonts w:asciiTheme="majorHAnsi" w:eastAsia="Times New Roman" w:hAnsiTheme="majorHAnsi" w:cstheme="majorHAnsi"/>
          <w:sz w:val="24"/>
          <w:szCs w:val="24"/>
          <w:lang w:val="ru-RU"/>
        </w:rPr>
        <w:t>ис</w:t>
      </w:r>
      <w:r w:rsidRPr="00BD3358">
        <w:rPr>
          <w:rFonts w:asciiTheme="majorHAnsi" w:eastAsia="Times New Roman" w:hAnsiTheme="majorHAnsi" w:cstheme="majorHAnsi"/>
          <w:sz w:val="24"/>
          <w:szCs w:val="24"/>
          <w:lang w:val="ro-RO"/>
        </w:rPr>
        <w:t>полнен</w:t>
      </w:r>
      <w:r w:rsidR="0001794C">
        <w:rPr>
          <w:rFonts w:asciiTheme="majorHAnsi" w:eastAsia="Times New Roman" w:hAnsiTheme="majorHAnsi" w:cstheme="majorHAnsi"/>
          <w:sz w:val="24"/>
          <w:szCs w:val="24"/>
          <w:lang w:val="ru-RU"/>
        </w:rPr>
        <w:t>ы</w:t>
      </w:r>
      <w:r w:rsidRPr="00BD3358">
        <w:rPr>
          <w:rFonts w:asciiTheme="majorHAnsi" w:eastAsia="Times New Roman" w:hAnsiTheme="majorHAnsi" w:cstheme="majorHAnsi"/>
          <w:sz w:val="24"/>
          <w:szCs w:val="24"/>
          <w:lang w:val="ro-RO"/>
        </w:rPr>
        <w:t xml:space="preserve"> на уровне 92,8% (70,0 млн. леев)</w:t>
      </w:r>
      <w:r w:rsidR="00A56F3E">
        <w:rPr>
          <w:rFonts w:asciiTheme="majorHAnsi" w:eastAsia="Times New Roman" w:hAnsiTheme="majorHAnsi" w:cstheme="majorHAnsi"/>
          <w:sz w:val="24"/>
          <w:szCs w:val="24"/>
          <w:lang w:val="ru-RU"/>
        </w:rPr>
        <w:t>,</w:t>
      </w:r>
      <w:r w:rsidRPr="00BD3358">
        <w:rPr>
          <w:rFonts w:asciiTheme="majorHAnsi" w:eastAsia="Times New Roman" w:hAnsiTheme="majorHAnsi" w:cstheme="majorHAnsi"/>
          <w:sz w:val="24"/>
          <w:szCs w:val="24"/>
          <w:lang w:val="ro-RO"/>
        </w:rPr>
        <w:t xml:space="preserve"> и МП</w:t>
      </w:r>
      <w:r w:rsidR="00A56F3E">
        <w:rPr>
          <w:rFonts w:asciiTheme="majorHAnsi" w:eastAsia="Times New Roman" w:hAnsiTheme="majorHAnsi" w:cstheme="majorHAnsi"/>
          <w:sz w:val="24"/>
          <w:szCs w:val="24"/>
          <w:lang w:val="ru-RU"/>
        </w:rPr>
        <w:t>О -</w:t>
      </w:r>
      <w:r w:rsidRPr="00BD3358">
        <w:rPr>
          <w:rFonts w:asciiTheme="majorHAnsi" w:eastAsia="Times New Roman" w:hAnsiTheme="majorHAnsi" w:cstheme="majorHAnsi"/>
          <w:sz w:val="24"/>
          <w:szCs w:val="24"/>
          <w:lang w:val="ro-RO"/>
        </w:rPr>
        <w:t xml:space="preserve"> </w:t>
      </w:r>
      <w:r w:rsidR="00A56F3E">
        <w:rPr>
          <w:rFonts w:asciiTheme="majorHAnsi" w:eastAsia="Times New Roman" w:hAnsiTheme="majorHAnsi" w:cstheme="majorHAnsi"/>
          <w:sz w:val="24"/>
          <w:szCs w:val="24"/>
          <w:lang w:val="ru-RU"/>
        </w:rPr>
        <w:t>в</w:t>
      </w:r>
      <w:r w:rsidRPr="00BD3358">
        <w:rPr>
          <w:rFonts w:asciiTheme="majorHAnsi" w:eastAsia="Times New Roman" w:hAnsiTheme="majorHAnsi" w:cstheme="majorHAnsi"/>
          <w:sz w:val="24"/>
          <w:szCs w:val="24"/>
          <w:lang w:val="ro-RO"/>
        </w:rPr>
        <w:t xml:space="preserve"> сумм</w:t>
      </w:r>
      <w:r w:rsidR="00A56F3E">
        <w:rPr>
          <w:rFonts w:asciiTheme="majorHAnsi" w:eastAsia="Times New Roman" w:hAnsiTheme="majorHAnsi" w:cstheme="majorHAnsi"/>
          <w:sz w:val="24"/>
          <w:szCs w:val="24"/>
          <w:lang w:val="ru-RU"/>
        </w:rPr>
        <w:t>е</w:t>
      </w:r>
      <w:r w:rsidRPr="00BD3358">
        <w:rPr>
          <w:rFonts w:asciiTheme="majorHAnsi" w:eastAsia="Times New Roman" w:hAnsiTheme="majorHAnsi" w:cstheme="majorHAnsi"/>
          <w:sz w:val="24"/>
          <w:szCs w:val="24"/>
          <w:lang w:val="ro-RO"/>
        </w:rPr>
        <w:t xml:space="preserve"> 31,2 млн.</w:t>
      </w:r>
      <w:r w:rsidR="00A56F3E">
        <w:rPr>
          <w:rFonts w:asciiTheme="majorHAnsi" w:eastAsia="Times New Roman" w:hAnsiTheme="majorHAnsi" w:cstheme="majorHAnsi"/>
          <w:sz w:val="24"/>
          <w:szCs w:val="24"/>
          <w:lang w:val="ru-RU"/>
        </w:rPr>
        <w:t xml:space="preserve"> </w:t>
      </w:r>
      <w:r w:rsidRPr="00BD3358">
        <w:rPr>
          <w:rFonts w:asciiTheme="majorHAnsi" w:eastAsia="Times New Roman" w:hAnsiTheme="majorHAnsi" w:cstheme="majorHAnsi"/>
          <w:sz w:val="24"/>
          <w:szCs w:val="24"/>
          <w:lang w:val="ro-RO"/>
        </w:rPr>
        <w:t>ле</w:t>
      </w:r>
      <w:r w:rsidR="00A56F3E">
        <w:rPr>
          <w:rFonts w:asciiTheme="majorHAnsi" w:eastAsia="Times New Roman" w:hAnsiTheme="majorHAnsi" w:cstheme="majorHAnsi"/>
          <w:sz w:val="24"/>
          <w:szCs w:val="24"/>
          <w:lang w:val="ru-RU"/>
        </w:rPr>
        <w:t>ев, и ис</w:t>
      </w:r>
      <w:r w:rsidRPr="00BD3358">
        <w:rPr>
          <w:rFonts w:asciiTheme="majorHAnsi" w:eastAsia="Times New Roman" w:hAnsiTheme="majorHAnsi" w:cstheme="majorHAnsi"/>
          <w:sz w:val="24"/>
          <w:szCs w:val="24"/>
          <w:lang w:val="ro-RO"/>
        </w:rPr>
        <w:t>полнен</w:t>
      </w:r>
      <w:r w:rsidR="00A56F3E">
        <w:rPr>
          <w:rFonts w:asciiTheme="majorHAnsi" w:eastAsia="Times New Roman" w:hAnsiTheme="majorHAnsi" w:cstheme="majorHAnsi"/>
          <w:sz w:val="24"/>
          <w:szCs w:val="24"/>
          <w:lang w:val="ru-RU"/>
        </w:rPr>
        <w:t>ы</w:t>
      </w:r>
      <w:r w:rsidRPr="00BD3358">
        <w:rPr>
          <w:rFonts w:asciiTheme="majorHAnsi" w:eastAsia="Times New Roman" w:hAnsiTheme="majorHAnsi" w:cstheme="majorHAnsi"/>
          <w:sz w:val="24"/>
          <w:szCs w:val="24"/>
          <w:lang w:val="ro-RO"/>
        </w:rPr>
        <w:t xml:space="preserve"> на уровне 98,7% (30,8 млн. леев). Проверки аудита </w:t>
      </w:r>
      <w:r w:rsidR="00A56F3E">
        <w:rPr>
          <w:rFonts w:asciiTheme="majorHAnsi" w:eastAsia="Times New Roman" w:hAnsiTheme="majorHAnsi" w:cstheme="majorHAnsi"/>
          <w:sz w:val="24"/>
          <w:szCs w:val="24"/>
          <w:lang w:val="ru-RU"/>
        </w:rPr>
        <w:t>показали</w:t>
      </w:r>
      <w:r w:rsidRPr="00BD3358">
        <w:rPr>
          <w:rFonts w:asciiTheme="majorHAnsi" w:eastAsia="Times New Roman" w:hAnsiTheme="majorHAnsi" w:cstheme="majorHAnsi"/>
          <w:sz w:val="24"/>
          <w:szCs w:val="24"/>
          <w:lang w:val="ro-RO"/>
        </w:rPr>
        <w:t xml:space="preserve">, что </w:t>
      </w:r>
      <w:r w:rsidR="00A56F3E">
        <w:rPr>
          <w:rFonts w:asciiTheme="majorHAnsi" w:eastAsia="Times New Roman" w:hAnsiTheme="majorHAnsi" w:cstheme="majorHAnsi"/>
          <w:sz w:val="24"/>
          <w:szCs w:val="24"/>
          <w:lang w:val="ru-RU"/>
        </w:rPr>
        <w:t>за</w:t>
      </w:r>
      <w:r w:rsidRPr="00BD3358">
        <w:rPr>
          <w:rFonts w:asciiTheme="majorHAnsi" w:eastAsia="Times New Roman" w:hAnsiTheme="majorHAnsi" w:cstheme="majorHAnsi"/>
          <w:sz w:val="24"/>
          <w:szCs w:val="24"/>
          <w:lang w:val="ro-RO"/>
        </w:rPr>
        <w:t xml:space="preserve"> ауди</w:t>
      </w:r>
      <w:r w:rsidR="00A56F3E">
        <w:rPr>
          <w:rFonts w:asciiTheme="majorHAnsi" w:eastAsia="Times New Roman" w:hAnsiTheme="majorHAnsi" w:cstheme="majorHAnsi"/>
          <w:sz w:val="24"/>
          <w:szCs w:val="24"/>
          <w:lang w:val="ru-RU"/>
        </w:rPr>
        <w:t>руемый</w:t>
      </w:r>
      <w:r w:rsidRPr="00BD3358">
        <w:rPr>
          <w:rFonts w:asciiTheme="majorHAnsi" w:eastAsia="Times New Roman" w:hAnsiTheme="majorHAnsi" w:cstheme="majorHAnsi"/>
          <w:sz w:val="24"/>
          <w:szCs w:val="24"/>
          <w:lang w:val="ro-RO"/>
        </w:rPr>
        <w:t xml:space="preserve"> </w:t>
      </w:r>
      <w:r w:rsidR="00A56F3E" w:rsidRPr="00BD3358">
        <w:rPr>
          <w:rFonts w:asciiTheme="majorHAnsi" w:eastAsia="Times New Roman" w:hAnsiTheme="majorHAnsi" w:cstheme="majorHAnsi"/>
          <w:sz w:val="24"/>
          <w:szCs w:val="24"/>
          <w:lang w:val="ro-RO"/>
        </w:rPr>
        <w:t xml:space="preserve">период </w:t>
      </w:r>
      <w:r w:rsidR="00A56F3E">
        <w:rPr>
          <w:rFonts w:asciiTheme="majorHAnsi" w:eastAsia="Times New Roman" w:hAnsiTheme="majorHAnsi" w:cstheme="majorHAnsi"/>
          <w:sz w:val="24"/>
          <w:szCs w:val="24"/>
          <w:lang w:val="ru-RU"/>
        </w:rPr>
        <w:t>наибольший удельный вес</w:t>
      </w:r>
      <w:r w:rsidRPr="00BD3358">
        <w:rPr>
          <w:rFonts w:asciiTheme="majorHAnsi" w:eastAsia="Times New Roman" w:hAnsiTheme="majorHAnsi" w:cstheme="majorHAnsi"/>
          <w:sz w:val="24"/>
          <w:szCs w:val="24"/>
          <w:lang w:val="ro-RO"/>
        </w:rPr>
        <w:t xml:space="preserve"> </w:t>
      </w:r>
      <w:r w:rsidR="00A56F3E">
        <w:rPr>
          <w:rFonts w:asciiTheme="majorHAnsi" w:eastAsia="Times New Roman" w:hAnsiTheme="majorHAnsi" w:cstheme="majorHAnsi"/>
          <w:sz w:val="24"/>
          <w:szCs w:val="24"/>
          <w:lang w:val="ru-RU"/>
        </w:rPr>
        <w:t>в</w:t>
      </w:r>
      <w:r w:rsidRPr="00BD3358">
        <w:rPr>
          <w:rFonts w:asciiTheme="majorHAnsi" w:eastAsia="Times New Roman" w:hAnsiTheme="majorHAnsi" w:cstheme="majorHAnsi"/>
          <w:sz w:val="24"/>
          <w:szCs w:val="24"/>
          <w:lang w:val="ro-RO"/>
        </w:rPr>
        <w:t xml:space="preserve"> 93,6% (99,9 млн.</w:t>
      </w:r>
      <w:r w:rsidR="00A56F3E">
        <w:rPr>
          <w:rFonts w:asciiTheme="majorHAnsi" w:eastAsia="Times New Roman" w:hAnsiTheme="majorHAnsi" w:cstheme="majorHAnsi"/>
          <w:sz w:val="24"/>
          <w:szCs w:val="24"/>
          <w:lang w:val="ru-RU"/>
        </w:rPr>
        <w:t xml:space="preserve"> леев)</w:t>
      </w:r>
      <w:r w:rsidRPr="00BD3358">
        <w:rPr>
          <w:rFonts w:asciiTheme="majorHAnsi" w:eastAsia="Times New Roman" w:hAnsiTheme="majorHAnsi" w:cstheme="majorHAnsi"/>
          <w:sz w:val="24"/>
          <w:szCs w:val="24"/>
          <w:lang w:val="ro-RO"/>
        </w:rPr>
        <w:t xml:space="preserve"> </w:t>
      </w:r>
      <w:r w:rsidR="00A56F3E">
        <w:rPr>
          <w:rFonts w:asciiTheme="majorHAnsi" w:eastAsia="Times New Roman" w:hAnsiTheme="majorHAnsi" w:cstheme="majorHAnsi"/>
          <w:sz w:val="24"/>
          <w:szCs w:val="24"/>
          <w:lang w:val="ru-RU"/>
        </w:rPr>
        <w:t>приходится на ассигнования финансовых с</w:t>
      </w:r>
      <w:r w:rsidRPr="00BD3358">
        <w:rPr>
          <w:rFonts w:asciiTheme="majorHAnsi" w:eastAsia="Times New Roman" w:hAnsiTheme="majorHAnsi" w:cstheme="majorHAnsi"/>
          <w:sz w:val="24"/>
          <w:szCs w:val="24"/>
          <w:lang w:val="ro-RO"/>
        </w:rPr>
        <w:t xml:space="preserve">редств </w:t>
      </w:r>
      <w:r w:rsidR="00A56F3E">
        <w:rPr>
          <w:rFonts w:asciiTheme="majorHAnsi" w:eastAsia="Times New Roman" w:hAnsiTheme="majorHAnsi" w:cstheme="majorHAnsi"/>
          <w:sz w:val="24"/>
          <w:szCs w:val="24"/>
          <w:lang w:val="ru-RU"/>
        </w:rPr>
        <w:t>для закупки</w:t>
      </w:r>
      <w:r w:rsidRPr="00BD3358">
        <w:rPr>
          <w:rFonts w:asciiTheme="majorHAnsi" w:eastAsia="Times New Roman" w:hAnsiTheme="majorHAnsi" w:cstheme="majorHAnsi"/>
          <w:sz w:val="24"/>
          <w:szCs w:val="24"/>
          <w:lang w:val="ro-RO"/>
        </w:rPr>
        <w:t xml:space="preserve"> защитного оборудования в целях пред</w:t>
      </w:r>
      <w:r w:rsidR="00A56F3E">
        <w:rPr>
          <w:rFonts w:asciiTheme="majorHAnsi" w:eastAsia="Times New Roman" w:hAnsiTheme="majorHAnsi" w:cstheme="majorHAnsi"/>
          <w:sz w:val="24"/>
          <w:szCs w:val="24"/>
          <w:lang w:val="ru-RU"/>
        </w:rPr>
        <w:t>упрежд</w:t>
      </w:r>
      <w:r w:rsidRPr="00BD3358">
        <w:rPr>
          <w:rFonts w:asciiTheme="majorHAnsi" w:eastAsia="Times New Roman" w:hAnsiTheme="majorHAnsi" w:cstheme="majorHAnsi"/>
          <w:sz w:val="24"/>
          <w:szCs w:val="24"/>
          <w:lang w:val="ro-RO"/>
        </w:rPr>
        <w:t xml:space="preserve">ения и контроля инфекции COVID-19 и предоставления единовременных пособий инфицированным работникам, из которых было исполнено 94,1 млн. леев. </w:t>
      </w:r>
      <w:r w:rsidR="00A56F3E" w:rsidRPr="00A56F3E">
        <w:rPr>
          <w:rFonts w:asciiTheme="majorHAnsi" w:eastAsia="Times New Roman" w:hAnsiTheme="majorHAnsi" w:cstheme="majorHAnsi"/>
          <w:sz w:val="24"/>
          <w:szCs w:val="24"/>
          <w:lang w:val="ro-RO"/>
        </w:rPr>
        <w:t>Также,</w:t>
      </w:r>
      <w:r w:rsidRPr="00BD3358">
        <w:rPr>
          <w:rFonts w:asciiTheme="majorHAnsi" w:eastAsia="Times New Roman" w:hAnsiTheme="majorHAnsi" w:cstheme="majorHAnsi"/>
          <w:sz w:val="24"/>
          <w:szCs w:val="24"/>
          <w:lang w:val="ro-RO"/>
        </w:rPr>
        <w:t xml:space="preserve"> были </w:t>
      </w:r>
      <w:r w:rsidR="0066158B">
        <w:rPr>
          <w:rFonts w:asciiTheme="majorHAnsi" w:eastAsia="Times New Roman" w:hAnsiTheme="majorHAnsi" w:cstheme="majorHAnsi"/>
          <w:sz w:val="24"/>
          <w:szCs w:val="24"/>
          <w:lang w:val="ro-RO"/>
        </w:rPr>
        <w:t>исполнены</w:t>
      </w:r>
      <w:r w:rsidRPr="00BD3358">
        <w:rPr>
          <w:rFonts w:asciiTheme="majorHAnsi" w:eastAsia="Times New Roman" w:hAnsiTheme="majorHAnsi" w:cstheme="majorHAnsi"/>
          <w:sz w:val="24"/>
          <w:szCs w:val="24"/>
          <w:lang w:val="ro-RO"/>
        </w:rPr>
        <w:t xml:space="preserve"> средства на: выплату премии </w:t>
      </w:r>
      <w:r w:rsidR="00A56F3E" w:rsidRPr="00A56F3E">
        <w:rPr>
          <w:rFonts w:asciiTheme="majorHAnsi" w:eastAsia="Times New Roman" w:hAnsiTheme="majorHAnsi" w:cstheme="majorHAnsi"/>
          <w:sz w:val="24"/>
          <w:szCs w:val="24"/>
          <w:lang w:val="ro-RO"/>
        </w:rPr>
        <w:t>П</w:t>
      </w:r>
      <w:r w:rsidRPr="00BD3358">
        <w:rPr>
          <w:rFonts w:asciiTheme="majorHAnsi" w:eastAsia="Times New Roman" w:hAnsiTheme="majorHAnsi" w:cstheme="majorHAnsi"/>
          <w:sz w:val="24"/>
          <w:szCs w:val="24"/>
          <w:lang w:val="ro-RO"/>
        </w:rPr>
        <w:t>равительств</w:t>
      </w:r>
      <w:r w:rsidR="00A56F3E" w:rsidRPr="00A56F3E">
        <w:rPr>
          <w:rFonts w:asciiTheme="majorHAnsi" w:eastAsia="Times New Roman" w:hAnsiTheme="majorHAnsi" w:cstheme="majorHAnsi"/>
          <w:sz w:val="24"/>
          <w:szCs w:val="24"/>
          <w:lang w:val="ro-RO"/>
        </w:rPr>
        <w:t>а</w:t>
      </w:r>
      <w:r w:rsidRPr="00BD3358">
        <w:rPr>
          <w:rFonts w:asciiTheme="majorHAnsi" w:eastAsia="Times New Roman" w:hAnsiTheme="majorHAnsi" w:cstheme="majorHAnsi"/>
          <w:sz w:val="24"/>
          <w:szCs w:val="24"/>
          <w:lang w:val="ro-RO"/>
        </w:rPr>
        <w:t xml:space="preserve"> РМ (10,0 тыс. леев), выплату гонораров </w:t>
      </w:r>
      <w:r w:rsidR="00A56F3E" w:rsidRPr="00A56F3E">
        <w:rPr>
          <w:rFonts w:asciiTheme="majorHAnsi" w:eastAsia="Times New Roman" w:hAnsiTheme="majorHAnsi" w:cstheme="majorHAnsi"/>
          <w:sz w:val="24"/>
          <w:szCs w:val="24"/>
          <w:lang w:val="ro-RO"/>
        </w:rPr>
        <w:t>А</w:t>
      </w:r>
      <w:r w:rsidRPr="00BD3358">
        <w:rPr>
          <w:rFonts w:asciiTheme="majorHAnsi" w:eastAsia="Times New Roman" w:hAnsiTheme="majorHAnsi" w:cstheme="majorHAnsi"/>
          <w:sz w:val="24"/>
          <w:szCs w:val="24"/>
          <w:lang w:val="ro-RO"/>
        </w:rPr>
        <w:t xml:space="preserve">ссоциированному адвокатскому бюро „Buruiana&amp;Partners” (3,5 млн. леев) и </w:t>
      </w:r>
      <w:r w:rsidR="00A56F3E" w:rsidRPr="00A56F3E">
        <w:rPr>
          <w:rFonts w:asciiTheme="majorHAnsi" w:eastAsia="Times New Roman" w:hAnsiTheme="majorHAnsi" w:cstheme="majorHAnsi"/>
          <w:sz w:val="24"/>
          <w:szCs w:val="24"/>
          <w:lang w:val="ro-RO"/>
        </w:rPr>
        <w:t>н</w:t>
      </w:r>
      <w:r w:rsidRPr="00BD3358">
        <w:rPr>
          <w:rFonts w:asciiTheme="majorHAnsi" w:eastAsia="Times New Roman" w:hAnsiTheme="majorHAnsi" w:cstheme="majorHAnsi"/>
          <w:sz w:val="24"/>
          <w:szCs w:val="24"/>
          <w:lang w:val="ro-RO"/>
        </w:rPr>
        <w:t xml:space="preserve">а ликвидацию последствий наводнений (3,3 млн. леев). </w:t>
      </w:r>
    </w:p>
    <w:p w:rsidR="00EE39AB" w:rsidRPr="00F55BA6" w:rsidRDefault="00BD3358" w:rsidP="007138A4">
      <w:pPr>
        <w:spacing w:after="0" w:line="276" w:lineRule="auto"/>
        <w:rPr>
          <w:rFonts w:asciiTheme="majorHAnsi" w:eastAsia="Times New Roman" w:hAnsiTheme="majorHAnsi" w:cstheme="majorHAnsi"/>
          <w:sz w:val="24"/>
          <w:szCs w:val="24"/>
          <w:lang w:val="ro-RO"/>
        </w:rPr>
      </w:pPr>
      <w:r w:rsidRPr="00BD3358">
        <w:rPr>
          <w:rFonts w:asciiTheme="majorHAnsi" w:eastAsia="Times New Roman" w:hAnsiTheme="majorHAnsi" w:cstheme="majorHAnsi"/>
          <w:sz w:val="24"/>
          <w:szCs w:val="24"/>
          <w:lang w:val="ro-RO"/>
        </w:rPr>
        <w:t xml:space="preserve">В 2020 году расходы из </w:t>
      </w:r>
      <w:r w:rsidR="00A56F3E">
        <w:rPr>
          <w:rFonts w:asciiTheme="majorHAnsi" w:eastAsia="Times New Roman" w:hAnsiTheme="majorHAnsi" w:cstheme="majorHAnsi"/>
          <w:sz w:val="24"/>
          <w:szCs w:val="24"/>
          <w:lang w:val="ru-RU"/>
        </w:rPr>
        <w:t xml:space="preserve">Интервенционного </w:t>
      </w:r>
      <w:r w:rsidRPr="00BD3358">
        <w:rPr>
          <w:rFonts w:asciiTheme="majorHAnsi" w:eastAsia="Times New Roman" w:hAnsiTheme="majorHAnsi" w:cstheme="majorHAnsi"/>
          <w:sz w:val="24"/>
          <w:szCs w:val="24"/>
          <w:lang w:val="ro-RO"/>
        </w:rPr>
        <w:t xml:space="preserve">фонда </w:t>
      </w:r>
      <w:r w:rsidR="00A56F3E">
        <w:rPr>
          <w:rFonts w:asciiTheme="majorHAnsi" w:eastAsia="Times New Roman" w:hAnsiTheme="majorHAnsi" w:cstheme="majorHAnsi"/>
          <w:sz w:val="24"/>
          <w:szCs w:val="24"/>
          <w:lang w:val="ru-RU"/>
        </w:rPr>
        <w:t>П</w:t>
      </w:r>
      <w:r w:rsidRPr="00BD3358">
        <w:rPr>
          <w:rFonts w:asciiTheme="majorHAnsi" w:eastAsia="Times New Roman" w:hAnsiTheme="majorHAnsi" w:cstheme="majorHAnsi"/>
          <w:sz w:val="24"/>
          <w:szCs w:val="24"/>
          <w:lang w:val="ro-RO"/>
        </w:rPr>
        <w:t xml:space="preserve">равительства были </w:t>
      </w:r>
      <w:r w:rsidR="0066158B">
        <w:rPr>
          <w:rFonts w:asciiTheme="majorHAnsi" w:eastAsia="Times New Roman" w:hAnsiTheme="majorHAnsi" w:cstheme="majorHAnsi"/>
          <w:sz w:val="24"/>
          <w:szCs w:val="24"/>
          <w:lang w:val="ro-RO"/>
        </w:rPr>
        <w:t>исполнены</w:t>
      </w:r>
      <w:r w:rsidRPr="00BD3358">
        <w:rPr>
          <w:rFonts w:asciiTheme="majorHAnsi" w:eastAsia="Times New Roman" w:hAnsiTheme="majorHAnsi" w:cstheme="majorHAnsi"/>
          <w:sz w:val="24"/>
          <w:szCs w:val="24"/>
          <w:lang w:val="ro-RO"/>
        </w:rPr>
        <w:t xml:space="preserve"> в объеме 277,8 млн. </w:t>
      </w:r>
      <w:r w:rsidR="00A56F3E">
        <w:rPr>
          <w:rFonts w:asciiTheme="majorHAnsi" w:eastAsia="Times New Roman" w:hAnsiTheme="majorHAnsi" w:cstheme="majorHAnsi"/>
          <w:sz w:val="24"/>
          <w:szCs w:val="24"/>
          <w:lang w:val="ru-RU"/>
        </w:rPr>
        <w:t>леев</w:t>
      </w:r>
      <w:r w:rsidRPr="00BD3358">
        <w:rPr>
          <w:rFonts w:asciiTheme="majorHAnsi" w:eastAsia="Times New Roman" w:hAnsiTheme="majorHAnsi" w:cstheme="majorHAnsi"/>
          <w:sz w:val="24"/>
          <w:szCs w:val="24"/>
          <w:lang w:val="ro-RO"/>
        </w:rPr>
        <w:t xml:space="preserve">, из которых </w:t>
      </w:r>
      <w:r w:rsidR="00A56F3E" w:rsidRPr="00F55BA6">
        <w:rPr>
          <w:rFonts w:asciiTheme="majorHAnsi" w:eastAsia="Times New Roman" w:hAnsiTheme="majorHAnsi" w:cstheme="majorHAnsi"/>
          <w:sz w:val="24"/>
          <w:szCs w:val="24"/>
          <w:lang w:val="ro-RO"/>
        </w:rPr>
        <w:t xml:space="preserve">79,9% (222,0 </w:t>
      </w:r>
      <w:r w:rsidR="00294C8D">
        <w:rPr>
          <w:rFonts w:asciiTheme="majorHAnsi" w:eastAsia="Times New Roman" w:hAnsiTheme="majorHAnsi" w:cstheme="majorHAnsi"/>
          <w:sz w:val="24"/>
          <w:szCs w:val="24"/>
          <w:lang w:val="ru-RU"/>
        </w:rPr>
        <w:t>млн. леев</w:t>
      </w:r>
      <w:r w:rsidR="00A56F3E" w:rsidRPr="00F55BA6">
        <w:rPr>
          <w:rFonts w:asciiTheme="majorHAnsi" w:eastAsia="Times New Roman" w:hAnsiTheme="majorHAnsi" w:cstheme="majorHAnsi"/>
          <w:sz w:val="24"/>
          <w:szCs w:val="24"/>
          <w:lang w:val="ro-RO"/>
        </w:rPr>
        <w:t xml:space="preserve">) </w:t>
      </w:r>
      <w:r w:rsidR="00294C8D">
        <w:rPr>
          <w:rFonts w:asciiTheme="majorHAnsi" w:eastAsia="Times New Roman" w:hAnsiTheme="majorHAnsi" w:cstheme="majorHAnsi"/>
          <w:sz w:val="24"/>
          <w:szCs w:val="24"/>
          <w:lang w:val="ru-RU"/>
        </w:rPr>
        <w:t>-</w:t>
      </w:r>
      <w:r w:rsidR="00A56F3E" w:rsidRPr="00F55BA6">
        <w:rPr>
          <w:rFonts w:asciiTheme="majorHAnsi" w:eastAsia="Times New Roman" w:hAnsiTheme="majorHAnsi" w:cstheme="majorHAnsi"/>
          <w:sz w:val="24"/>
          <w:szCs w:val="24"/>
          <w:lang w:val="ro-RO"/>
        </w:rPr>
        <w:t xml:space="preserve"> 13 </w:t>
      </w:r>
      <w:r w:rsidR="00294C8D">
        <w:rPr>
          <w:rFonts w:asciiTheme="majorHAnsi" w:eastAsia="Times New Roman" w:hAnsiTheme="majorHAnsi" w:cstheme="majorHAnsi"/>
          <w:sz w:val="24"/>
          <w:szCs w:val="24"/>
          <w:lang w:val="ru-RU"/>
        </w:rPr>
        <w:t>ЦПО</w:t>
      </w:r>
      <w:r w:rsidR="00A56F3E" w:rsidRPr="00F55BA6">
        <w:rPr>
          <w:rFonts w:asciiTheme="majorHAnsi" w:eastAsia="Times New Roman" w:hAnsiTheme="majorHAnsi" w:cstheme="majorHAnsi"/>
          <w:sz w:val="24"/>
          <w:szCs w:val="24"/>
          <w:vertAlign w:val="superscript"/>
          <w:lang w:val="ro-RO"/>
        </w:rPr>
        <w:footnoteReference w:id="64"/>
      </w:r>
      <w:r w:rsidR="00A56F3E" w:rsidRPr="00F55BA6">
        <w:rPr>
          <w:rFonts w:asciiTheme="majorHAnsi" w:eastAsia="Times New Roman" w:hAnsiTheme="majorHAnsi" w:cstheme="majorHAnsi"/>
          <w:sz w:val="24"/>
          <w:szCs w:val="24"/>
          <w:lang w:val="ro-RO"/>
        </w:rPr>
        <w:t>,</w:t>
      </w:r>
      <w:r w:rsidR="00294C8D">
        <w:rPr>
          <w:rFonts w:asciiTheme="majorHAnsi" w:eastAsia="Times New Roman" w:hAnsiTheme="majorHAnsi" w:cstheme="majorHAnsi"/>
          <w:sz w:val="24"/>
          <w:szCs w:val="24"/>
          <w:lang w:val="ru-RU"/>
        </w:rPr>
        <w:t xml:space="preserve"> а </w:t>
      </w:r>
      <w:r w:rsidR="00294C8D" w:rsidRPr="00F55BA6">
        <w:rPr>
          <w:rFonts w:asciiTheme="majorHAnsi" w:eastAsia="Times New Roman" w:hAnsiTheme="majorHAnsi" w:cstheme="majorHAnsi"/>
          <w:sz w:val="24"/>
          <w:szCs w:val="24"/>
          <w:lang w:val="ro-RO"/>
        </w:rPr>
        <w:t xml:space="preserve">20,1% (55,8 </w:t>
      </w:r>
      <w:r w:rsidR="00294C8D">
        <w:rPr>
          <w:rFonts w:asciiTheme="majorHAnsi" w:eastAsia="Times New Roman" w:hAnsiTheme="majorHAnsi" w:cstheme="majorHAnsi"/>
          <w:sz w:val="24"/>
          <w:szCs w:val="24"/>
          <w:lang w:val="ru-RU"/>
        </w:rPr>
        <w:t>млн. леев</w:t>
      </w:r>
      <w:r w:rsidR="00294C8D" w:rsidRPr="00F55BA6">
        <w:rPr>
          <w:rFonts w:asciiTheme="majorHAnsi" w:eastAsia="Times New Roman" w:hAnsiTheme="majorHAnsi" w:cstheme="majorHAnsi"/>
          <w:sz w:val="24"/>
          <w:szCs w:val="24"/>
          <w:lang w:val="ro-RO"/>
        </w:rPr>
        <w:t>)</w:t>
      </w:r>
      <w:r w:rsidR="00294C8D">
        <w:rPr>
          <w:rFonts w:asciiTheme="majorHAnsi" w:eastAsia="Times New Roman" w:hAnsiTheme="majorHAnsi" w:cstheme="majorHAnsi"/>
          <w:sz w:val="24"/>
          <w:szCs w:val="24"/>
          <w:lang w:val="ru-RU"/>
        </w:rPr>
        <w:t xml:space="preserve"> приходятся на трансферты</w:t>
      </w:r>
      <w:r w:rsidRPr="00BD3358">
        <w:rPr>
          <w:rFonts w:asciiTheme="majorHAnsi" w:eastAsia="Times New Roman" w:hAnsiTheme="majorHAnsi" w:cstheme="majorHAnsi"/>
          <w:sz w:val="24"/>
          <w:szCs w:val="24"/>
          <w:lang w:val="ro-RO"/>
        </w:rPr>
        <w:t xml:space="preserve"> местны</w:t>
      </w:r>
      <w:r w:rsidR="00294C8D">
        <w:rPr>
          <w:rFonts w:asciiTheme="majorHAnsi" w:eastAsia="Times New Roman" w:hAnsiTheme="majorHAnsi" w:cstheme="majorHAnsi"/>
          <w:sz w:val="24"/>
          <w:szCs w:val="24"/>
          <w:lang w:val="ru-RU"/>
        </w:rPr>
        <w:t>м</w:t>
      </w:r>
      <w:r w:rsidRPr="00BD3358">
        <w:rPr>
          <w:rFonts w:asciiTheme="majorHAnsi" w:eastAsia="Times New Roman" w:hAnsiTheme="majorHAnsi" w:cstheme="majorHAnsi"/>
          <w:sz w:val="24"/>
          <w:szCs w:val="24"/>
          <w:lang w:val="ro-RO"/>
        </w:rPr>
        <w:t xml:space="preserve"> бюджет</w:t>
      </w:r>
      <w:r w:rsidR="00294C8D">
        <w:rPr>
          <w:rFonts w:asciiTheme="majorHAnsi" w:eastAsia="Times New Roman" w:hAnsiTheme="majorHAnsi" w:cstheme="majorHAnsi"/>
          <w:sz w:val="24"/>
          <w:szCs w:val="24"/>
          <w:lang w:val="ru-RU"/>
        </w:rPr>
        <w:t>ам</w:t>
      </w:r>
      <w:r w:rsidRPr="00BD3358">
        <w:rPr>
          <w:rFonts w:asciiTheme="majorHAnsi" w:eastAsia="Times New Roman" w:hAnsiTheme="majorHAnsi" w:cstheme="majorHAnsi"/>
          <w:sz w:val="24"/>
          <w:szCs w:val="24"/>
          <w:lang w:val="ro-RO"/>
        </w:rPr>
        <w:t>. Распределенные средства были использованы для предоставления единовременных пособий работникам, инфицированным COVID-19 во время выполнения служебных обязанностей (93,8 млн. леев), приобретени</w:t>
      </w:r>
      <w:r w:rsidR="003C36BF">
        <w:rPr>
          <w:rFonts w:asciiTheme="majorHAnsi" w:eastAsia="Times New Roman" w:hAnsiTheme="majorHAnsi" w:cstheme="majorHAnsi"/>
          <w:sz w:val="24"/>
          <w:szCs w:val="24"/>
          <w:lang w:val="ru-RU"/>
        </w:rPr>
        <w:t>я</w:t>
      </w:r>
      <w:r w:rsidRPr="00BD3358">
        <w:rPr>
          <w:rFonts w:asciiTheme="majorHAnsi" w:eastAsia="Times New Roman" w:hAnsiTheme="majorHAnsi" w:cstheme="majorHAnsi"/>
          <w:sz w:val="24"/>
          <w:szCs w:val="24"/>
          <w:lang w:val="ro-RO"/>
        </w:rPr>
        <w:t xml:space="preserve"> защитного оборудования в целях предотвращения инфекции COVID-19, ликвидации последствий чрезвычайных ситуаций (17,96 млн. леев), пополнени</w:t>
      </w:r>
      <w:r w:rsidR="003C36BF">
        <w:rPr>
          <w:rFonts w:asciiTheme="majorHAnsi" w:eastAsia="Times New Roman" w:hAnsiTheme="majorHAnsi" w:cstheme="majorHAnsi"/>
          <w:sz w:val="24"/>
          <w:szCs w:val="24"/>
          <w:lang w:val="ru-RU"/>
        </w:rPr>
        <w:t>я</w:t>
      </w:r>
      <w:r w:rsidRPr="00BD3358">
        <w:rPr>
          <w:rFonts w:asciiTheme="majorHAnsi" w:eastAsia="Times New Roman" w:hAnsiTheme="majorHAnsi" w:cstheme="majorHAnsi"/>
          <w:sz w:val="24"/>
          <w:szCs w:val="24"/>
          <w:lang w:val="ro-RO"/>
        </w:rPr>
        <w:t xml:space="preserve"> государственных материальных </w:t>
      </w:r>
      <w:r w:rsidR="00294C8D">
        <w:rPr>
          <w:rFonts w:asciiTheme="majorHAnsi" w:eastAsia="Times New Roman" w:hAnsiTheme="majorHAnsi" w:cstheme="majorHAnsi"/>
          <w:sz w:val="24"/>
          <w:szCs w:val="24"/>
          <w:lang w:val="ru-RU"/>
        </w:rPr>
        <w:t>запас</w:t>
      </w:r>
      <w:r w:rsidRPr="00BD3358">
        <w:rPr>
          <w:rFonts w:asciiTheme="majorHAnsi" w:eastAsia="Times New Roman" w:hAnsiTheme="majorHAnsi" w:cstheme="majorHAnsi"/>
          <w:sz w:val="24"/>
          <w:szCs w:val="24"/>
          <w:lang w:val="ro-RO"/>
        </w:rPr>
        <w:t>ов (0,6 млн. леев), с</w:t>
      </w:r>
      <w:r w:rsidR="00294C8D">
        <w:rPr>
          <w:rFonts w:asciiTheme="majorHAnsi" w:eastAsia="Times New Roman" w:hAnsiTheme="majorHAnsi" w:cstheme="majorHAnsi"/>
          <w:sz w:val="24"/>
          <w:szCs w:val="24"/>
          <w:lang w:val="ru-RU"/>
        </w:rPr>
        <w:t>окращ</w:t>
      </w:r>
      <w:r w:rsidRPr="00BD3358">
        <w:rPr>
          <w:rFonts w:asciiTheme="majorHAnsi" w:eastAsia="Times New Roman" w:hAnsiTheme="majorHAnsi" w:cstheme="majorHAnsi"/>
          <w:sz w:val="24"/>
          <w:szCs w:val="24"/>
          <w:lang w:val="ro-RO"/>
        </w:rPr>
        <w:t>ени</w:t>
      </w:r>
      <w:r w:rsidR="003C36BF">
        <w:rPr>
          <w:rFonts w:asciiTheme="majorHAnsi" w:eastAsia="Times New Roman" w:hAnsiTheme="majorHAnsi" w:cstheme="majorHAnsi"/>
          <w:sz w:val="24"/>
          <w:szCs w:val="24"/>
          <w:lang w:val="ru-RU"/>
        </w:rPr>
        <w:t>я</w:t>
      </w:r>
      <w:r w:rsidRPr="00BD3358">
        <w:rPr>
          <w:rFonts w:asciiTheme="majorHAnsi" w:eastAsia="Times New Roman" w:hAnsiTheme="majorHAnsi" w:cstheme="majorHAnsi"/>
          <w:sz w:val="24"/>
          <w:szCs w:val="24"/>
          <w:lang w:val="ro-RO"/>
        </w:rPr>
        <w:t xml:space="preserve"> последствий стихийных бедствий на урожай (159,7 млн. леев)</w:t>
      </w:r>
      <w:r w:rsidR="00294C8D">
        <w:rPr>
          <w:rFonts w:asciiTheme="majorHAnsi" w:eastAsia="Times New Roman" w:hAnsiTheme="majorHAnsi" w:cstheme="majorHAnsi"/>
          <w:sz w:val="24"/>
          <w:szCs w:val="24"/>
          <w:lang w:val="ru-RU"/>
        </w:rPr>
        <w:t xml:space="preserve"> и  покрыти</w:t>
      </w:r>
      <w:r w:rsidR="003C36BF">
        <w:rPr>
          <w:rFonts w:asciiTheme="majorHAnsi" w:eastAsia="Times New Roman" w:hAnsiTheme="majorHAnsi" w:cstheme="majorHAnsi"/>
          <w:sz w:val="24"/>
          <w:szCs w:val="24"/>
          <w:lang w:val="ru-RU"/>
        </w:rPr>
        <w:t>я</w:t>
      </w:r>
      <w:r w:rsidRPr="00BD3358">
        <w:rPr>
          <w:rFonts w:asciiTheme="majorHAnsi" w:eastAsia="Times New Roman" w:hAnsiTheme="majorHAnsi" w:cstheme="majorHAnsi"/>
          <w:sz w:val="24"/>
          <w:szCs w:val="24"/>
          <w:lang w:val="ro-RO"/>
        </w:rPr>
        <w:t xml:space="preserve"> расход</w:t>
      </w:r>
      <w:r w:rsidR="00294C8D">
        <w:rPr>
          <w:rFonts w:asciiTheme="majorHAnsi" w:eastAsia="Times New Roman" w:hAnsiTheme="majorHAnsi" w:cstheme="majorHAnsi"/>
          <w:sz w:val="24"/>
          <w:szCs w:val="24"/>
          <w:lang w:val="ru-RU"/>
        </w:rPr>
        <w:t>ов</w:t>
      </w:r>
      <w:r w:rsidRPr="00BD3358">
        <w:rPr>
          <w:rFonts w:asciiTheme="majorHAnsi" w:eastAsia="Times New Roman" w:hAnsiTheme="majorHAnsi" w:cstheme="majorHAnsi"/>
          <w:sz w:val="24"/>
          <w:szCs w:val="24"/>
          <w:lang w:val="ro-RO"/>
        </w:rPr>
        <w:t xml:space="preserve"> на закупку работ частично</w:t>
      </w:r>
      <w:r w:rsidR="00294C8D">
        <w:rPr>
          <w:rFonts w:asciiTheme="majorHAnsi" w:eastAsia="Times New Roman" w:hAnsiTheme="majorHAnsi" w:cstheme="majorHAnsi"/>
          <w:sz w:val="24"/>
          <w:szCs w:val="24"/>
          <w:lang w:val="ru-RU"/>
        </w:rPr>
        <w:t>го</w:t>
      </w:r>
      <w:r w:rsidRPr="00BD3358">
        <w:rPr>
          <w:rFonts w:asciiTheme="majorHAnsi" w:eastAsia="Times New Roman" w:hAnsiTheme="majorHAnsi" w:cstheme="majorHAnsi"/>
          <w:sz w:val="24"/>
          <w:szCs w:val="24"/>
          <w:lang w:val="ro-RO"/>
        </w:rPr>
        <w:t xml:space="preserve"> </w:t>
      </w:r>
      <w:r w:rsidR="00294C8D">
        <w:rPr>
          <w:rFonts w:asciiTheme="majorHAnsi" w:eastAsia="Times New Roman" w:hAnsiTheme="majorHAnsi" w:cstheme="majorHAnsi"/>
          <w:sz w:val="24"/>
          <w:szCs w:val="24"/>
          <w:lang w:val="ru-RU"/>
        </w:rPr>
        <w:t>сноса</w:t>
      </w:r>
      <w:r w:rsidRPr="00BD3358">
        <w:rPr>
          <w:rFonts w:asciiTheme="majorHAnsi" w:eastAsia="Times New Roman" w:hAnsiTheme="majorHAnsi" w:cstheme="majorHAnsi"/>
          <w:sz w:val="24"/>
          <w:szCs w:val="24"/>
          <w:lang w:val="ro-RO"/>
        </w:rPr>
        <w:t xml:space="preserve"> поврежденного здания Национальной филармонии им. Сергея Лункевича в результате пожара от 24.09.2020 (450,0 тыс. леев)</w:t>
      </w:r>
      <w:r w:rsidR="00E248F8" w:rsidRPr="00F55BA6">
        <w:rPr>
          <w:rFonts w:asciiTheme="majorHAnsi" w:eastAsia="Times New Roman" w:hAnsiTheme="majorHAnsi" w:cstheme="majorHAnsi"/>
          <w:sz w:val="24"/>
          <w:szCs w:val="24"/>
          <w:lang w:val="ro-RO"/>
        </w:rPr>
        <w:t xml:space="preserve">. </w:t>
      </w:r>
    </w:p>
    <w:p w:rsidR="00EA7373" w:rsidRPr="00F55BA6" w:rsidRDefault="005D6AE0" w:rsidP="00EA7373">
      <w:pPr>
        <w:spacing w:after="0"/>
        <w:rPr>
          <w:lang w:val="ro-RO"/>
        </w:rPr>
      </w:pPr>
      <w:r w:rsidRPr="00F55BA6">
        <w:rPr>
          <w:rFonts w:asciiTheme="majorHAnsi" w:hAnsiTheme="majorHAnsi" w:cstheme="majorHAnsi"/>
          <w:b/>
          <w:color w:val="000000" w:themeColor="text1"/>
          <w:sz w:val="24"/>
          <w:szCs w:val="24"/>
          <w:lang w:val="ro-RO"/>
        </w:rPr>
        <w:t>6.12</w:t>
      </w:r>
      <w:r w:rsidR="00EA7373" w:rsidRPr="00F55BA6">
        <w:rPr>
          <w:rFonts w:asciiTheme="majorHAnsi" w:hAnsiTheme="majorHAnsi" w:cstheme="majorHAnsi"/>
          <w:b/>
          <w:color w:val="000000" w:themeColor="text1"/>
          <w:sz w:val="24"/>
          <w:szCs w:val="24"/>
          <w:lang w:val="ro-RO"/>
        </w:rPr>
        <w:t xml:space="preserve"> </w:t>
      </w:r>
      <w:r w:rsidR="00BD3358" w:rsidRPr="00BD3358">
        <w:rPr>
          <w:rFonts w:asciiTheme="majorHAnsi" w:hAnsiTheme="majorHAnsi" w:cstheme="majorHAnsi"/>
          <w:b/>
          <w:color w:val="000000" w:themeColor="text1"/>
          <w:sz w:val="24"/>
          <w:szCs w:val="24"/>
          <w:lang w:val="ro-RO"/>
        </w:rPr>
        <w:t xml:space="preserve">Остаток </w:t>
      </w:r>
      <w:r w:rsidR="00E80806">
        <w:rPr>
          <w:rFonts w:asciiTheme="majorHAnsi" w:hAnsiTheme="majorHAnsi" w:cstheme="majorHAnsi"/>
          <w:b/>
          <w:color w:val="000000" w:themeColor="text1"/>
          <w:sz w:val="24"/>
          <w:szCs w:val="24"/>
          <w:lang w:val="ru-RU"/>
        </w:rPr>
        <w:t>обязательств</w:t>
      </w:r>
      <w:r w:rsidR="00BD3358" w:rsidRPr="00BD3358">
        <w:rPr>
          <w:rFonts w:asciiTheme="majorHAnsi" w:hAnsiTheme="majorHAnsi" w:cstheme="majorHAnsi"/>
          <w:b/>
          <w:color w:val="000000" w:themeColor="text1"/>
          <w:sz w:val="24"/>
          <w:szCs w:val="24"/>
          <w:lang w:val="ro-RO"/>
        </w:rPr>
        <w:t xml:space="preserve"> и долгов </w:t>
      </w:r>
      <w:r w:rsidR="00130C6A" w:rsidRPr="00130C6A">
        <w:rPr>
          <w:rFonts w:asciiTheme="majorHAnsi" w:hAnsiTheme="majorHAnsi" w:cstheme="majorHAnsi"/>
          <w:b/>
          <w:color w:val="000000" w:themeColor="text1"/>
          <w:sz w:val="24"/>
          <w:szCs w:val="24"/>
          <w:lang w:val="ro-RO"/>
        </w:rPr>
        <w:t>по</w:t>
      </w:r>
      <w:r w:rsidR="00BD3358" w:rsidRPr="00BD3358">
        <w:rPr>
          <w:rFonts w:asciiTheme="majorHAnsi" w:hAnsiTheme="majorHAnsi" w:cstheme="majorHAnsi"/>
          <w:b/>
          <w:color w:val="000000" w:themeColor="text1"/>
          <w:sz w:val="24"/>
          <w:szCs w:val="24"/>
          <w:lang w:val="ro-RO"/>
        </w:rPr>
        <w:t xml:space="preserve"> расход</w:t>
      </w:r>
      <w:r w:rsidR="00130C6A" w:rsidRPr="00130C6A">
        <w:rPr>
          <w:rFonts w:asciiTheme="majorHAnsi" w:hAnsiTheme="majorHAnsi" w:cstheme="majorHAnsi"/>
          <w:b/>
          <w:color w:val="000000" w:themeColor="text1"/>
          <w:sz w:val="24"/>
          <w:szCs w:val="24"/>
          <w:lang w:val="ro-RO"/>
        </w:rPr>
        <w:t>ам</w:t>
      </w:r>
      <w:r w:rsidR="00BD3358" w:rsidRPr="00BD3358">
        <w:rPr>
          <w:rFonts w:asciiTheme="majorHAnsi" w:hAnsiTheme="majorHAnsi" w:cstheme="majorHAnsi"/>
          <w:b/>
          <w:color w:val="000000" w:themeColor="text1"/>
          <w:sz w:val="24"/>
          <w:szCs w:val="24"/>
          <w:lang w:val="ro-RO"/>
        </w:rPr>
        <w:t xml:space="preserve"> и нефинансовы</w:t>
      </w:r>
      <w:r w:rsidR="00130C6A" w:rsidRPr="00130C6A">
        <w:rPr>
          <w:rFonts w:asciiTheme="majorHAnsi" w:hAnsiTheme="majorHAnsi" w:cstheme="majorHAnsi"/>
          <w:b/>
          <w:color w:val="000000" w:themeColor="text1"/>
          <w:sz w:val="24"/>
          <w:szCs w:val="24"/>
          <w:lang w:val="ro-RO"/>
        </w:rPr>
        <w:t>м</w:t>
      </w:r>
      <w:r w:rsidR="00BD3358" w:rsidRPr="00BD3358">
        <w:rPr>
          <w:rFonts w:asciiTheme="majorHAnsi" w:hAnsiTheme="majorHAnsi" w:cstheme="majorHAnsi"/>
          <w:b/>
          <w:color w:val="000000" w:themeColor="text1"/>
          <w:sz w:val="24"/>
          <w:szCs w:val="24"/>
          <w:lang w:val="ro-RO"/>
        </w:rPr>
        <w:t xml:space="preserve"> актив</w:t>
      </w:r>
      <w:r w:rsidR="00130C6A" w:rsidRPr="00130C6A">
        <w:rPr>
          <w:rFonts w:asciiTheme="majorHAnsi" w:hAnsiTheme="majorHAnsi" w:cstheme="majorHAnsi"/>
          <w:b/>
          <w:color w:val="000000" w:themeColor="text1"/>
          <w:sz w:val="24"/>
          <w:szCs w:val="24"/>
          <w:lang w:val="ro-RO"/>
        </w:rPr>
        <w:t>ам</w:t>
      </w:r>
      <w:r w:rsidR="00BD3358" w:rsidRPr="00BD3358">
        <w:rPr>
          <w:rFonts w:asciiTheme="majorHAnsi" w:hAnsiTheme="majorHAnsi" w:cstheme="majorHAnsi"/>
          <w:b/>
          <w:color w:val="000000" w:themeColor="text1"/>
          <w:sz w:val="24"/>
          <w:szCs w:val="24"/>
          <w:lang w:val="ro-RO"/>
        </w:rPr>
        <w:t xml:space="preserve"> </w:t>
      </w:r>
      <w:r w:rsidR="00E80806">
        <w:rPr>
          <w:rFonts w:asciiTheme="majorHAnsi" w:hAnsiTheme="majorHAnsi" w:cstheme="majorHAnsi"/>
          <w:b/>
          <w:color w:val="000000" w:themeColor="text1"/>
          <w:sz w:val="24"/>
          <w:szCs w:val="24"/>
          <w:lang w:val="ru-RU"/>
        </w:rPr>
        <w:t>увеличивается</w:t>
      </w:r>
      <w:r w:rsidR="00AE687E">
        <w:rPr>
          <w:rFonts w:asciiTheme="majorHAnsi" w:hAnsiTheme="majorHAnsi" w:cstheme="majorHAnsi"/>
          <w:b/>
          <w:color w:val="000000" w:themeColor="text1"/>
          <w:sz w:val="24"/>
          <w:szCs w:val="24"/>
          <w:lang w:val="ro-RO"/>
        </w:rPr>
        <w:t>.</w:t>
      </w:r>
    </w:p>
    <w:p w:rsidR="00EA7373" w:rsidRPr="00E4517B" w:rsidRDefault="00BD3358" w:rsidP="00EA7373">
      <w:pPr>
        <w:spacing w:after="0" w:line="276" w:lineRule="auto"/>
        <w:rPr>
          <w:rFonts w:asciiTheme="majorHAnsi" w:hAnsiTheme="majorHAnsi" w:cstheme="majorHAnsi"/>
          <w:i/>
          <w:sz w:val="24"/>
          <w:szCs w:val="24"/>
          <w:lang w:val="ro-RO"/>
        </w:rPr>
      </w:pPr>
      <w:r w:rsidRPr="00BD3358">
        <w:rPr>
          <w:rFonts w:asciiTheme="majorHAnsi" w:hAnsiTheme="majorHAnsi" w:cstheme="majorHAnsi"/>
          <w:sz w:val="24"/>
          <w:szCs w:val="24"/>
          <w:lang w:val="ro-RO"/>
        </w:rPr>
        <w:t xml:space="preserve">По состоянию на 31.12.2020 </w:t>
      </w:r>
      <w:r w:rsidR="00E80806" w:rsidRPr="00E80806">
        <w:rPr>
          <w:rFonts w:asciiTheme="majorHAnsi" w:hAnsiTheme="majorHAnsi" w:cstheme="majorHAnsi"/>
          <w:color w:val="000000" w:themeColor="text1"/>
          <w:sz w:val="24"/>
          <w:szCs w:val="24"/>
          <w:lang w:val="ru-RU"/>
        </w:rPr>
        <w:t>обязательства</w:t>
      </w:r>
      <w:r w:rsidRPr="00BD3358">
        <w:rPr>
          <w:rFonts w:asciiTheme="majorHAnsi" w:hAnsiTheme="majorHAnsi" w:cstheme="majorHAnsi"/>
          <w:sz w:val="24"/>
          <w:szCs w:val="24"/>
          <w:lang w:val="ro-RO"/>
        </w:rPr>
        <w:t xml:space="preserve"> составлял</w:t>
      </w:r>
      <w:r w:rsidR="00E80806">
        <w:rPr>
          <w:rFonts w:asciiTheme="majorHAnsi" w:hAnsiTheme="majorHAnsi" w:cstheme="majorHAnsi"/>
          <w:sz w:val="24"/>
          <w:szCs w:val="24"/>
          <w:lang w:val="ru-RU"/>
        </w:rPr>
        <w:t>и</w:t>
      </w:r>
      <w:r w:rsidRPr="00BD3358">
        <w:rPr>
          <w:rFonts w:asciiTheme="majorHAnsi" w:hAnsiTheme="majorHAnsi" w:cstheme="majorHAnsi"/>
          <w:sz w:val="24"/>
          <w:szCs w:val="24"/>
          <w:lang w:val="ro-RO"/>
        </w:rPr>
        <w:t xml:space="preserve"> 1 285,4 млн. леев, в том числе </w:t>
      </w:r>
      <w:r w:rsidR="00E80806">
        <w:rPr>
          <w:rFonts w:asciiTheme="majorHAnsi" w:hAnsiTheme="majorHAnsi" w:cstheme="majorHAnsi"/>
          <w:sz w:val="24"/>
          <w:szCs w:val="24"/>
          <w:lang w:val="ru-RU"/>
        </w:rPr>
        <w:t xml:space="preserve">просроченные </w:t>
      </w:r>
      <w:r w:rsidRPr="00BD3358">
        <w:rPr>
          <w:rFonts w:asciiTheme="majorHAnsi" w:hAnsiTheme="majorHAnsi" w:cstheme="majorHAnsi"/>
          <w:sz w:val="24"/>
          <w:szCs w:val="24"/>
          <w:lang w:val="ro-RO"/>
        </w:rPr>
        <w:t>-</w:t>
      </w:r>
      <w:r w:rsidR="00E80806">
        <w:rPr>
          <w:rFonts w:asciiTheme="majorHAnsi" w:hAnsiTheme="majorHAnsi" w:cstheme="majorHAnsi"/>
          <w:sz w:val="24"/>
          <w:szCs w:val="24"/>
          <w:lang w:val="ru-RU"/>
        </w:rPr>
        <w:t xml:space="preserve"> </w:t>
      </w:r>
      <w:r w:rsidRPr="00BD3358">
        <w:rPr>
          <w:rFonts w:asciiTheme="majorHAnsi" w:hAnsiTheme="majorHAnsi" w:cstheme="majorHAnsi"/>
          <w:sz w:val="24"/>
          <w:szCs w:val="24"/>
          <w:lang w:val="ro-RO"/>
        </w:rPr>
        <w:t xml:space="preserve">3,3 млн. леев, а долги достигли 1 010,6 млн. леев, в том числе с истекшим </w:t>
      </w:r>
      <w:r w:rsidRPr="00BD3358">
        <w:rPr>
          <w:rFonts w:asciiTheme="majorHAnsi" w:hAnsiTheme="majorHAnsi" w:cstheme="majorHAnsi"/>
          <w:sz w:val="24"/>
          <w:szCs w:val="24"/>
          <w:lang w:val="ro-RO"/>
        </w:rPr>
        <w:lastRenderedPageBreak/>
        <w:t xml:space="preserve">сроком </w:t>
      </w:r>
      <w:r w:rsidR="00E80806">
        <w:rPr>
          <w:rFonts w:asciiTheme="majorHAnsi" w:hAnsiTheme="majorHAnsi" w:cstheme="majorHAnsi"/>
          <w:sz w:val="24"/>
          <w:szCs w:val="24"/>
          <w:lang w:val="ru-RU"/>
        </w:rPr>
        <w:t xml:space="preserve">погашения </w:t>
      </w:r>
      <w:r w:rsidRPr="00BD3358">
        <w:rPr>
          <w:rFonts w:asciiTheme="majorHAnsi" w:hAnsiTheme="majorHAnsi" w:cstheme="majorHAnsi"/>
          <w:sz w:val="24"/>
          <w:szCs w:val="24"/>
          <w:lang w:val="ro-RO"/>
        </w:rPr>
        <w:t>-</w:t>
      </w:r>
      <w:r w:rsidR="00E80806">
        <w:rPr>
          <w:rFonts w:asciiTheme="majorHAnsi" w:hAnsiTheme="majorHAnsi" w:cstheme="majorHAnsi"/>
          <w:sz w:val="24"/>
          <w:szCs w:val="24"/>
          <w:lang w:val="ru-RU"/>
        </w:rPr>
        <w:t xml:space="preserve"> </w:t>
      </w:r>
      <w:r w:rsidRPr="00BD3358">
        <w:rPr>
          <w:rFonts w:asciiTheme="majorHAnsi" w:hAnsiTheme="majorHAnsi" w:cstheme="majorHAnsi"/>
          <w:sz w:val="24"/>
          <w:szCs w:val="24"/>
          <w:lang w:val="ro-RO"/>
        </w:rPr>
        <w:t xml:space="preserve">0,9 млн. </w:t>
      </w:r>
      <w:r w:rsidR="00E80806">
        <w:rPr>
          <w:rFonts w:asciiTheme="majorHAnsi" w:hAnsiTheme="majorHAnsi" w:cstheme="majorHAnsi"/>
          <w:sz w:val="24"/>
          <w:szCs w:val="24"/>
          <w:lang w:val="ru-RU"/>
        </w:rPr>
        <w:t>л</w:t>
      </w:r>
      <w:r w:rsidR="0025764C">
        <w:rPr>
          <w:rFonts w:asciiTheme="majorHAnsi" w:hAnsiTheme="majorHAnsi" w:cstheme="majorHAnsi"/>
          <w:sz w:val="24"/>
          <w:szCs w:val="24"/>
          <w:lang w:val="ro-RO"/>
        </w:rPr>
        <w:t>еев</w:t>
      </w:r>
      <w:r w:rsidRPr="00BD3358">
        <w:rPr>
          <w:rFonts w:asciiTheme="majorHAnsi" w:hAnsiTheme="majorHAnsi" w:cstheme="majorHAnsi"/>
          <w:sz w:val="24"/>
          <w:szCs w:val="24"/>
          <w:lang w:val="ro-RO"/>
        </w:rPr>
        <w:t xml:space="preserve">. Таким образом, </w:t>
      </w:r>
      <w:r w:rsidR="00E80806">
        <w:rPr>
          <w:rFonts w:asciiTheme="majorHAnsi" w:hAnsiTheme="majorHAnsi" w:cstheme="majorHAnsi"/>
          <w:sz w:val="24"/>
          <w:szCs w:val="24"/>
          <w:lang w:val="ru-RU"/>
        </w:rPr>
        <w:t>обязательства</w:t>
      </w:r>
      <w:r w:rsidRPr="00BD3358">
        <w:rPr>
          <w:rFonts w:asciiTheme="majorHAnsi" w:hAnsiTheme="majorHAnsi" w:cstheme="majorHAnsi"/>
          <w:sz w:val="24"/>
          <w:szCs w:val="24"/>
          <w:lang w:val="ro-RO"/>
        </w:rPr>
        <w:t xml:space="preserve"> и долги по расходам и нефинансовым активам, </w:t>
      </w:r>
      <w:r w:rsidR="00E80806" w:rsidRPr="00BD3358">
        <w:rPr>
          <w:rFonts w:asciiTheme="majorHAnsi" w:hAnsiTheme="majorHAnsi" w:cstheme="majorHAnsi"/>
          <w:sz w:val="24"/>
          <w:szCs w:val="24"/>
          <w:lang w:val="ro-RO"/>
        </w:rPr>
        <w:t>сформированны</w:t>
      </w:r>
      <w:r w:rsidR="00E80806">
        <w:rPr>
          <w:rFonts w:asciiTheme="majorHAnsi" w:hAnsiTheme="majorHAnsi" w:cstheme="majorHAnsi"/>
          <w:sz w:val="24"/>
          <w:szCs w:val="24"/>
          <w:lang w:val="ru-RU"/>
        </w:rPr>
        <w:t xml:space="preserve">е </w:t>
      </w:r>
      <w:r w:rsidRPr="00BD3358">
        <w:rPr>
          <w:rFonts w:asciiTheme="majorHAnsi" w:hAnsiTheme="majorHAnsi" w:cstheme="majorHAnsi"/>
          <w:sz w:val="24"/>
          <w:szCs w:val="24"/>
          <w:lang w:val="ro-RO"/>
        </w:rPr>
        <w:t xml:space="preserve">в </w:t>
      </w:r>
      <w:r w:rsidR="00E80806">
        <w:rPr>
          <w:rFonts w:asciiTheme="majorHAnsi" w:hAnsiTheme="majorHAnsi" w:cstheme="majorHAnsi"/>
          <w:sz w:val="24"/>
          <w:szCs w:val="24"/>
          <w:lang w:val="ru-RU"/>
        </w:rPr>
        <w:t xml:space="preserve">рамках </w:t>
      </w:r>
      <w:r w:rsidRPr="00BD3358">
        <w:rPr>
          <w:rFonts w:asciiTheme="majorHAnsi" w:hAnsiTheme="majorHAnsi" w:cstheme="majorHAnsi"/>
          <w:sz w:val="24"/>
          <w:szCs w:val="24"/>
          <w:lang w:val="ro-RO"/>
        </w:rPr>
        <w:t>бюджетных орган</w:t>
      </w:r>
      <w:r w:rsidR="00E80806">
        <w:rPr>
          <w:rFonts w:asciiTheme="majorHAnsi" w:hAnsiTheme="majorHAnsi" w:cstheme="majorHAnsi"/>
          <w:sz w:val="24"/>
          <w:szCs w:val="24"/>
          <w:lang w:val="ru-RU"/>
        </w:rPr>
        <w:t>ов</w:t>
      </w:r>
      <w:r w:rsidRPr="00BD3358">
        <w:rPr>
          <w:rFonts w:asciiTheme="majorHAnsi" w:hAnsiTheme="majorHAnsi" w:cstheme="majorHAnsi"/>
          <w:sz w:val="24"/>
          <w:szCs w:val="24"/>
          <w:lang w:val="ro-RO"/>
        </w:rPr>
        <w:t>/учреждени</w:t>
      </w:r>
      <w:r w:rsidR="00E80806">
        <w:rPr>
          <w:rFonts w:asciiTheme="majorHAnsi" w:hAnsiTheme="majorHAnsi" w:cstheme="majorHAnsi"/>
          <w:sz w:val="24"/>
          <w:szCs w:val="24"/>
          <w:lang w:val="ru-RU"/>
        </w:rPr>
        <w:t>й з</w:t>
      </w:r>
      <w:r w:rsidRPr="00BD3358">
        <w:rPr>
          <w:rFonts w:asciiTheme="majorHAnsi" w:hAnsiTheme="majorHAnsi" w:cstheme="majorHAnsi"/>
          <w:sz w:val="24"/>
          <w:szCs w:val="24"/>
          <w:lang w:val="ro-RO"/>
        </w:rPr>
        <w:t xml:space="preserve">а 2020 год, увеличились по сравнению с 2019 годом на 24,7% и 26,4%. </w:t>
      </w:r>
      <w:r w:rsidR="00E80806">
        <w:rPr>
          <w:rFonts w:asciiTheme="majorHAnsi" w:hAnsiTheme="majorHAnsi" w:cstheme="majorHAnsi"/>
          <w:sz w:val="24"/>
          <w:szCs w:val="24"/>
          <w:lang w:val="ru-RU"/>
        </w:rPr>
        <w:t>Самые</w:t>
      </w:r>
      <w:r w:rsidRPr="00BD3358">
        <w:rPr>
          <w:rFonts w:asciiTheme="majorHAnsi" w:hAnsiTheme="majorHAnsi" w:cstheme="majorHAnsi"/>
          <w:sz w:val="24"/>
          <w:szCs w:val="24"/>
          <w:lang w:val="ro-RO"/>
        </w:rPr>
        <w:t xml:space="preserve"> значи</w:t>
      </w:r>
      <w:r w:rsidR="00E80806">
        <w:rPr>
          <w:rFonts w:asciiTheme="majorHAnsi" w:hAnsiTheme="majorHAnsi" w:cstheme="majorHAnsi"/>
          <w:sz w:val="24"/>
          <w:szCs w:val="24"/>
          <w:lang w:val="ru-RU"/>
        </w:rPr>
        <w:t>тельн</w:t>
      </w:r>
      <w:r w:rsidRPr="00BD3358">
        <w:rPr>
          <w:rFonts w:asciiTheme="majorHAnsi" w:hAnsiTheme="majorHAnsi" w:cstheme="majorHAnsi"/>
          <w:sz w:val="24"/>
          <w:szCs w:val="24"/>
          <w:lang w:val="ro-RO"/>
        </w:rPr>
        <w:t xml:space="preserve">ые </w:t>
      </w:r>
      <w:r w:rsidR="00E80806">
        <w:rPr>
          <w:rFonts w:asciiTheme="majorHAnsi" w:hAnsiTheme="majorHAnsi" w:cstheme="majorHAnsi"/>
          <w:sz w:val="24"/>
          <w:szCs w:val="24"/>
          <w:lang w:val="ru-RU"/>
        </w:rPr>
        <w:t>обязательства</w:t>
      </w:r>
      <w:r w:rsidRPr="00BD3358">
        <w:rPr>
          <w:rFonts w:asciiTheme="majorHAnsi" w:hAnsiTheme="majorHAnsi" w:cstheme="majorHAnsi"/>
          <w:sz w:val="24"/>
          <w:szCs w:val="24"/>
          <w:lang w:val="ro-RO"/>
        </w:rPr>
        <w:t xml:space="preserve"> зарегистрированы в </w:t>
      </w:r>
      <w:r w:rsidR="00E80806">
        <w:rPr>
          <w:rFonts w:asciiTheme="majorHAnsi" w:hAnsiTheme="majorHAnsi" w:cstheme="majorHAnsi"/>
          <w:sz w:val="24"/>
          <w:szCs w:val="24"/>
          <w:lang w:val="ru-RU"/>
        </w:rPr>
        <w:t xml:space="preserve">МОКИ </w:t>
      </w:r>
      <w:r w:rsidRPr="00BD3358">
        <w:rPr>
          <w:rFonts w:asciiTheme="majorHAnsi" w:hAnsiTheme="majorHAnsi" w:cstheme="majorHAnsi"/>
          <w:sz w:val="24"/>
          <w:szCs w:val="24"/>
          <w:lang w:val="ro-RO"/>
        </w:rPr>
        <w:t>-</w:t>
      </w:r>
      <w:r w:rsidR="00E80806">
        <w:rPr>
          <w:rFonts w:asciiTheme="majorHAnsi" w:hAnsiTheme="majorHAnsi" w:cstheme="majorHAnsi"/>
          <w:sz w:val="24"/>
          <w:szCs w:val="24"/>
          <w:lang w:val="ru-RU"/>
        </w:rPr>
        <w:t xml:space="preserve"> </w:t>
      </w:r>
      <w:r w:rsidRPr="00BD3358">
        <w:rPr>
          <w:rFonts w:asciiTheme="majorHAnsi" w:hAnsiTheme="majorHAnsi" w:cstheme="majorHAnsi"/>
          <w:sz w:val="24"/>
          <w:szCs w:val="24"/>
          <w:lang w:val="ro-RO"/>
        </w:rPr>
        <w:t>128,3 млн. ле</w:t>
      </w:r>
      <w:r w:rsidR="00E80806">
        <w:rPr>
          <w:rFonts w:asciiTheme="majorHAnsi" w:hAnsiTheme="majorHAnsi" w:cstheme="majorHAnsi"/>
          <w:sz w:val="24"/>
          <w:szCs w:val="24"/>
          <w:lang w:val="ru-RU"/>
        </w:rPr>
        <w:t>ев</w:t>
      </w:r>
      <w:r w:rsidRPr="00BD3358">
        <w:rPr>
          <w:rFonts w:asciiTheme="majorHAnsi" w:hAnsiTheme="majorHAnsi" w:cstheme="majorHAnsi"/>
          <w:sz w:val="24"/>
          <w:szCs w:val="24"/>
          <w:lang w:val="ro-RO"/>
        </w:rPr>
        <w:t xml:space="preserve">, </w:t>
      </w:r>
      <w:r w:rsidR="00E80806">
        <w:rPr>
          <w:rFonts w:asciiTheme="majorHAnsi" w:hAnsiTheme="majorHAnsi" w:cstheme="majorHAnsi"/>
          <w:sz w:val="24"/>
          <w:szCs w:val="24"/>
          <w:lang w:val="ru-RU"/>
        </w:rPr>
        <w:t xml:space="preserve">МСХРРОС </w:t>
      </w:r>
      <w:r w:rsidRPr="00BD3358">
        <w:rPr>
          <w:rFonts w:asciiTheme="majorHAnsi" w:hAnsiTheme="majorHAnsi" w:cstheme="majorHAnsi"/>
          <w:sz w:val="24"/>
          <w:szCs w:val="24"/>
          <w:lang w:val="ro-RO"/>
        </w:rPr>
        <w:t>-</w:t>
      </w:r>
      <w:r w:rsidR="00E80806">
        <w:rPr>
          <w:rFonts w:asciiTheme="majorHAnsi" w:hAnsiTheme="majorHAnsi" w:cstheme="majorHAnsi"/>
          <w:sz w:val="24"/>
          <w:szCs w:val="24"/>
          <w:lang w:val="ru-RU"/>
        </w:rPr>
        <w:t xml:space="preserve"> </w:t>
      </w:r>
      <w:r w:rsidR="00E80806" w:rsidRPr="00E4517B">
        <w:rPr>
          <w:rFonts w:asciiTheme="majorHAnsi" w:hAnsiTheme="majorHAnsi" w:cstheme="majorHAnsi"/>
          <w:sz w:val="24"/>
          <w:szCs w:val="24"/>
          <w:lang w:val="ro-RO"/>
        </w:rPr>
        <w:t xml:space="preserve">67,5 </w:t>
      </w:r>
      <w:r w:rsidR="00E80806" w:rsidRPr="00BD3358">
        <w:rPr>
          <w:rFonts w:asciiTheme="majorHAnsi" w:hAnsiTheme="majorHAnsi" w:cstheme="majorHAnsi"/>
          <w:sz w:val="24"/>
          <w:szCs w:val="24"/>
          <w:lang w:val="ro-RO"/>
        </w:rPr>
        <w:t>млн. ле</w:t>
      </w:r>
      <w:r w:rsidR="00E80806">
        <w:rPr>
          <w:rFonts w:asciiTheme="majorHAnsi" w:hAnsiTheme="majorHAnsi" w:cstheme="majorHAnsi"/>
          <w:sz w:val="24"/>
          <w:szCs w:val="24"/>
          <w:lang w:val="ru-RU"/>
        </w:rPr>
        <w:t xml:space="preserve">ев, и МЗТСЗ - </w:t>
      </w:r>
      <w:r w:rsidRPr="00BD3358">
        <w:rPr>
          <w:rFonts w:asciiTheme="majorHAnsi" w:hAnsiTheme="majorHAnsi" w:cstheme="majorHAnsi"/>
          <w:sz w:val="24"/>
          <w:szCs w:val="24"/>
          <w:lang w:val="ro-RO"/>
        </w:rPr>
        <w:t>52,2 млн. ле</w:t>
      </w:r>
      <w:r w:rsidR="00E80806">
        <w:rPr>
          <w:rFonts w:asciiTheme="majorHAnsi" w:hAnsiTheme="majorHAnsi" w:cstheme="majorHAnsi"/>
          <w:sz w:val="24"/>
          <w:szCs w:val="24"/>
          <w:lang w:val="ru-RU"/>
        </w:rPr>
        <w:t>ев</w:t>
      </w:r>
      <w:r w:rsidRPr="00BD3358">
        <w:rPr>
          <w:rFonts w:asciiTheme="majorHAnsi" w:hAnsiTheme="majorHAnsi" w:cstheme="majorHAnsi"/>
          <w:sz w:val="24"/>
          <w:szCs w:val="24"/>
          <w:lang w:val="ro-RO"/>
        </w:rPr>
        <w:t xml:space="preserve">, НЦБК-9,8 млн. леев, а долги </w:t>
      </w:r>
      <w:r w:rsidR="00E80806">
        <w:rPr>
          <w:rFonts w:asciiTheme="majorHAnsi" w:hAnsiTheme="majorHAnsi" w:cstheme="majorHAnsi"/>
          <w:sz w:val="24"/>
          <w:szCs w:val="24"/>
          <w:lang w:val="ru-RU"/>
        </w:rPr>
        <w:t>в</w:t>
      </w:r>
      <w:r w:rsidRPr="00BD3358">
        <w:rPr>
          <w:rFonts w:asciiTheme="majorHAnsi" w:hAnsiTheme="majorHAnsi" w:cstheme="majorHAnsi"/>
          <w:sz w:val="24"/>
          <w:szCs w:val="24"/>
          <w:lang w:val="ro-RO"/>
        </w:rPr>
        <w:t xml:space="preserve"> МФ</w:t>
      </w:r>
      <w:r w:rsidR="00E80806">
        <w:rPr>
          <w:rFonts w:asciiTheme="majorHAnsi" w:hAnsiTheme="majorHAnsi" w:cstheme="majorHAnsi"/>
          <w:sz w:val="24"/>
          <w:szCs w:val="24"/>
          <w:lang w:val="ru-RU"/>
        </w:rPr>
        <w:t xml:space="preserve"> </w:t>
      </w:r>
      <w:r w:rsidRPr="00BD3358">
        <w:rPr>
          <w:rFonts w:asciiTheme="majorHAnsi" w:hAnsiTheme="majorHAnsi" w:cstheme="majorHAnsi"/>
          <w:sz w:val="24"/>
          <w:szCs w:val="24"/>
          <w:lang w:val="ro-RO"/>
        </w:rPr>
        <w:t>-</w:t>
      </w:r>
      <w:r w:rsidR="00E80806">
        <w:rPr>
          <w:rFonts w:asciiTheme="majorHAnsi" w:hAnsiTheme="majorHAnsi" w:cstheme="majorHAnsi"/>
          <w:sz w:val="24"/>
          <w:szCs w:val="24"/>
          <w:lang w:val="ru-RU"/>
        </w:rPr>
        <w:t xml:space="preserve"> </w:t>
      </w:r>
      <w:r w:rsidRPr="00BD3358">
        <w:rPr>
          <w:rFonts w:asciiTheme="majorHAnsi" w:hAnsiTheme="majorHAnsi" w:cstheme="majorHAnsi"/>
          <w:sz w:val="24"/>
          <w:szCs w:val="24"/>
          <w:lang w:val="ro-RO"/>
        </w:rPr>
        <w:t>66,5 млн. ле</w:t>
      </w:r>
      <w:r w:rsidR="00E80806">
        <w:rPr>
          <w:rFonts w:asciiTheme="majorHAnsi" w:hAnsiTheme="majorHAnsi" w:cstheme="majorHAnsi"/>
          <w:sz w:val="24"/>
          <w:szCs w:val="24"/>
          <w:lang w:val="ru-RU"/>
        </w:rPr>
        <w:t>ев</w:t>
      </w:r>
      <w:r w:rsidRPr="00BD3358">
        <w:rPr>
          <w:rFonts w:asciiTheme="majorHAnsi" w:hAnsiTheme="majorHAnsi" w:cstheme="majorHAnsi"/>
          <w:sz w:val="24"/>
          <w:szCs w:val="24"/>
          <w:lang w:val="ro-RO"/>
        </w:rPr>
        <w:t>, М</w:t>
      </w:r>
      <w:r w:rsidR="00E80806">
        <w:rPr>
          <w:rFonts w:asciiTheme="majorHAnsi" w:hAnsiTheme="majorHAnsi" w:cstheme="majorHAnsi"/>
          <w:sz w:val="24"/>
          <w:szCs w:val="24"/>
          <w:lang w:val="ru-RU"/>
        </w:rPr>
        <w:t xml:space="preserve">О </w:t>
      </w:r>
      <w:r w:rsidRPr="00BD3358">
        <w:rPr>
          <w:rFonts w:asciiTheme="majorHAnsi" w:hAnsiTheme="majorHAnsi" w:cstheme="majorHAnsi"/>
          <w:sz w:val="24"/>
          <w:szCs w:val="24"/>
          <w:lang w:val="ro-RO"/>
        </w:rPr>
        <w:t>-</w:t>
      </w:r>
      <w:r w:rsidR="00E80806">
        <w:rPr>
          <w:rFonts w:asciiTheme="majorHAnsi" w:hAnsiTheme="majorHAnsi" w:cstheme="majorHAnsi"/>
          <w:sz w:val="24"/>
          <w:szCs w:val="24"/>
          <w:lang w:val="ru-RU"/>
        </w:rPr>
        <w:t xml:space="preserve"> </w:t>
      </w:r>
      <w:r w:rsidRPr="00BD3358">
        <w:rPr>
          <w:rFonts w:asciiTheme="majorHAnsi" w:hAnsiTheme="majorHAnsi" w:cstheme="majorHAnsi"/>
          <w:sz w:val="24"/>
          <w:szCs w:val="24"/>
          <w:lang w:val="ro-RO"/>
        </w:rPr>
        <w:t>41,8 млн.</w:t>
      </w:r>
      <w:r w:rsidR="00E80806">
        <w:rPr>
          <w:rFonts w:asciiTheme="majorHAnsi" w:hAnsiTheme="majorHAnsi" w:cstheme="majorHAnsi"/>
          <w:sz w:val="24"/>
          <w:szCs w:val="24"/>
          <w:lang w:val="ru-RU"/>
        </w:rPr>
        <w:t xml:space="preserve"> л</w:t>
      </w:r>
      <w:r w:rsidR="0025764C">
        <w:rPr>
          <w:rFonts w:asciiTheme="majorHAnsi" w:hAnsiTheme="majorHAnsi" w:cstheme="majorHAnsi"/>
          <w:sz w:val="24"/>
          <w:szCs w:val="24"/>
          <w:lang w:val="ro-RO"/>
        </w:rPr>
        <w:t>еев</w:t>
      </w:r>
      <w:r w:rsidR="00E80806">
        <w:rPr>
          <w:rFonts w:asciiTheme="majorHAnsi" w:hAnsiTheme="majorHAnsi" w:cstheme="majorHAnsi"/>
          <w:sz w:val="24"/>
          <w:szCs w:val="24"/>
          <w:lang w:val="ru-RU"/>
        </w:rPr>
        <w:t xml:space="preserve">, МЗТСЗ - </w:t>
      </w:r>
      <w:r w:rsidR="00E80806" w:rsidRPr="00E4517B">
        <w:rPr>
          <w:rFonts w:asciiTheme="majorHAnsi" w:hAnsiTheme="majorHAnsi" w:cstheme="majorHAnsi"/>
          <w:sz w:val="24"/>
          <w:szCs w:val="24"/>
          <w:lang w:val="ro-RO"/>
        </w:rPr>
        <w:t>58,5</w:t>
      </w:r>
      <w:r w:rsidR="00E80806">
        <w:rPr>
          <w:rFonts w:asciiTheme="majorHAnsi" w:hAnsiTheme="majorHAnsi" w:cstheme="majorHAnsi"/>
          <w:sz w:val="24"/>
          <w:szCs w:val="24"/>
          <w:lang w:val="ru-RU"/>
        </w:rPr>
        <w:t xml:space="preserve"> </w:t>
      </w:r>
      <w:r w:rsidR="00E80806" w:rsidRPr="00BD3358">
        <w:rPr>
          <w:rFonts w:asciiTheme="majorHAnsi" w:hAnsiTheme="majorHAnsi" w:cstheme="majorHAnsi"/>
          <w:sz w:val="24"/>
          <w:szCs w:val="24"/>
          <w:lang w:val="ro-RO"/>
        </w:rPr>
        <w:t>млн.</w:t>
      </w:r>
      <w:r w:rsidR="00E80806">
        <w:rPr>
          <w:rFonts w:asciiTheme="majorHAnsi" w:hAnsiTheme="majorHAnsi" w:cstheme="majorHAnsi"/>
          <w:sz w:val="24"/>
          <w:szCs w:val="24"/>
          <w:lang w:val="ru-RU"/>
        </w:rPr>
        <w:t xml:space="preserve"> л</w:t>
      </w:r>
      <w:r w:rsidR="00E80806">
        <w:rPr>
          <w:rFonts w:asciiTheme="majorHAnsi" w:hAnsiTheme="majorHAnsi" w:cstheme="majorHAnsi"/>
          <w:sz w:val="24"/>
          <w:szCs w:val="24"/>
          <w:lang w:val="ro-RO"/>
        </w:rPr>
        <w:t>еев</w:t>
      </w:r>
      <w:r w:rsidRPr="00BD3358">
        <w:rPr>
          <w:rFonts w:asciiTheme="majorHAnsi" w:hAnsiTheme="majorHAnsi" w:cstheme="majorHAnsi"/>
          <w:sz w:val="24"/>
          <w:szCs w:val="24"/>
          <w:lang w:val="ro-RO"/>
        </w:rPr>
        <w:t xml:space="preserve">. По расходам и нефинансовым активам регистрируются долги с истекшим сроком погашения в основном в </w:t>
      </w:r>
      <w:r w:rsidR="00DC1807">
        <w:rPr>
          <w:rFonts w:asciiTheme="majorHAnsi" w:hAnsiTheme="majorHAnsi" w:cstheme="majorHAnsi"/>
          <w:sz w:val="24"/>
          <w:szCs w:val="24"/>
          <w:lang w:val="ru-RU"/>
        </w:rPr>
        <w:t>А</w:t>
      </w:r>
      <w:r w:rsidRPr="00BD3358">
        <w:rPr>
          <w:rFonts w:asciiTheme="majorHAnsi" w:hAnsiTheme="majorHAnsi" w:cstheme="majorHAnsi"/>
          <w:sz w:val="24"/>
          <w:szCs w:val="24"/>
          <w:lang w:val="ro-RO"/>
        </w:rPr>
        <w:t xml:space="preserve">гентстве </w:t>
      </w:r>
      <w:r w:rsidR="00DC1807" w:rsidRPr="00E4517B">
        <w:rPr>
          <w:rFonts w:asciiTheme="majorHAnsi" w:hAnsiTheme="majorHAnsi" w:cstheme="majorHAnsi"/>
          <w:sz w:val="24"/>
          <w:szCs w:val="24"/>
          <w:lang w:val="ro-RO"/>
        </w:rPr>
        <w:t>„Moldsilva”</w:t>
      </w:r>
      <w:r w:rsidRPr="00BD3358">
        <w:rPr>
          <w:rFonts w:asciiTheme="majorHAnsi" w:hAnsiTheme="majorHAnsi" w:cstheme="majorHAnsi"/>
          <w:sz w:val="24"/>
          <w:szCs w:val="24"/>
          <w:lang w:val="ro-RO"/>
        </w:rPr>
        <w:t xml:space="preserve"> - 0,5 млн. леев, </w:t>
      </w:r>
      <w:r w:rsidR="00DC1807">
        <w:rPr>
          <w:rFonts w:asciiTheme="majorHAnsi" w:hAnsiTheme="majorHAnsi" w:cstheme="majorHAnsi"/>
          <w:sz w:val="24"/>
          <w:szCs w:val="24"/>
          <w:lang w:val="ru-RU"/>
        </w:rPr>
        <w:t>и</w:t>
      </w:r>
      <w:r w:rsidRPr="00BD3358">
        <w:rPr>
          <w:rFonts w:asciiTheme="majorHAnsi" w:hAnsiTheme="majorHAnsi" w:cstheme="majorHAnsi"/>
          <w:sz w:val="24"/>
          <w:szCs w:val="24"/>
          <w:lang w:val="ro-RO"/>
        </w:rPr>
        <w:t xml:space="preserve"> в органах с режимом</w:t>
      </w:r>
      <w:r w:rsidR="00DC1807">
        <w:rPr>
          <w:rFonts w:asciiTheme="majorHAnsi" w:hAnsiTheme="majorHAnsi" w:cstheme="majorHAnsi"/>
          <w:sz w:val="24"/>
          <w:szCs w:val="24"/>
          <w:lang w:val="ru-RU"/>
        </w:rPr>
        <w:t xml:space="preserve"> секретности </w:t>
      </w:r>
      <w:r w:rsidRPr="00BD3358">
        <w:rPr>
          <w:rFonts w:asciiTheme="majorHAnsi" w:hAnsiTheme="majorHAnsi" w:cstheme="majorHAnsi"/>
          <w:sz w:val="24"/>
          <w:szCs w:val="24"/>
          <w:lang w:val="ro-RO"/>
        </w:rPr>
        <w:t>-</w:t>
      </w:r>
      <w:r w:rsidR="00DC1807">
        <w:rPr>
          <w:rFonts w:asciiTheme="majorHAnsi" w:hAnsiTheme="majorHAnsi" w:cstheme="majorHAnsi"/>
          <w:sz w:val="24"/>
          <w:szCs w:val="24"/>
          <w:lang w:val="ru-RU"/>
        </w:rPr>
        <w:t xml:space="preserve"> </w:t>
      </w:r>
      <w:r w:rsidRPr="00BD3358">
        <w:rPr>
          <w:rFonts w:asciiTheme="majorHAnsi" w:hAnsiTheme="majorHAnsi" w:cstheme="majorHAnsi"/>
          <w:sz w:val="24"/>
          <w:szCs w:val="24"/>
          <w:lang w:val="ro-RO"/>
        </w:rPr>
        <w:t xml:space="preserve">0,4 млн. леев, а просроченные </w:t>
      </w:r>
      <w:r w:rsidR="00DC1807">
        <w:rPr>
          <w:rFonts w:asciiTheme="majorHAnsi" w:hAnsiTheme="majorHAnsi" w:cstheme="majorHAnsi"/>
          <w:sz w:val="24"/>
          <w:szCs w:val="24"/>
          <w:lang w:val="ru-RU"/>
        </w:rPr>
        <w:t>обязательства</w:t>
      </w:r>
      <w:r w:rsidRPr="00BD3358">
        <w:rPr>
          <w:rFonts w:asciiTheme="majorHAnsi" w:hAnsiTheme="majorHAnsi" w:cstheme="majorHAnsi"/>
          <w:sz w:val="24"/>
          <w:szCs w:val="24"/>
          <w:lang w:val="ro-RO"/>
        </w:rPr>
        <w:t xml:space="preserve"> – в МФ</w:t>
      </w:r>
      <w:r w:rsidR="00DC1807">
        <w:rPr>
          <w:rFonts w:asciiTheme="majorHAnsi" w:hAnsiTheme="majorHAnsi" w:cstheme="majorHAnsi"/>
          <w:sz w:val="24"/>
          <w:szCs w:val="24"/>
          <w:lang w:val="ru-RU"/>
        </w:rPr>
        <w:t>,</w:t>
      </w:r>
      <w:r w:rsidRPr="00BD3358">
        <w:rPr>
          <w:rFonts w:asciiTheme="majorHAnsi" w:hAnsiTheme="majorHAnsi" w:cstheme="majorHAnsi"/>
          <w:sz w:val="24"/>
          <w:szCs w:val="24"/>
          <w:lang w:val="ro-RO"/>
        </w:rPr>
        <w:t xml:space="preserve"> </w:t>
      </w:r>
      <w:r w:rsidR="00DC1807">
        <w:rPr>
          <w:rFonts w:asciiTheme="majorHAnsi" w:hAnsiTheme="majorHAnsi" w:cstheme="majorHAnsi"/>
          <w:sz w:val="24"/>
          <w:szCs w:val="24"/>
          <w:lang w:val="ru-RU"/>
        </w:rPr>
        <w:t>в</w:t>
      </w:r>
      <w:r w:rsidRPr="00BD3358">
        <w:rPr>
          <w:rFonts w:asciiTheme="majorHAnsi" w:hAnsiTheme="majorHAnsi" w:cstheme="majorHAnsi"/>
          <w:sz w:val="24"/>
          <w:szCs w:val="24"/>
          <w:lang w:val="ro-RO"/>
        </w:rPr>
        <w:t xml:space="preserve"> сумм</w:t>
      </w:r>
      <w:r w:rsidR="00DC1807">
        <w:rPr>
          <w:rFonts w:asciiTheme="majorHAnsi" w:hAnsiTheme="majorHAnsi" w:cstheme="majorHAnsi"/>
          <w:sz w:val="24"/>
          <w:szCs w:val="24"/>
          <w:lang w:val="ru-RU"/>
        </w:rPr>
        <w:t>е</w:t>
      </w:r>
      <w:r w:rsidR="00DC1807">
        <w:rPr>
          <w:rFonts w:asciiTheme="majorHAnsi" w:hAnsiTheme="majorHAnsi" w:cstheme="majorHAnsi"/>
          <w:sz w:val="24"/>
          <w:szCs w:val="24"/>
          <w:lang w:val="ro-RO"/>
        </w:rPr>
        <w:t xml:space="preserve"> 3,2 млн. леев</w:t>
      </w:r>
      <w:r w:rsidR="00EA7373" w:rsidRPr="00E4517B">
        <w:rPr>
          <w:rFonts w:asciiTheme="majorHAnsi" w:hAnsiTheme="majorHAnsi" w:cstheme="majorHAnsi"/>
          <w:sz w:val="24"/>
          <w:szCs w:val="24"/>
          <w:lang w:val="ro-RO"/>
        </w:rPr>
        <w:t>.</w:t>
      </w:r>
      <w:r w:rsidR="00EA7373" w:rsidRPr="00E4517B">
        <w:rPr>
          <w:rFonts w:asciiTheme="majorHAnsi" w:hAnsiTheme="majorHAnsi" w:cstheme="majorHAnsi"/>
          <w:b/>
          <w:sz w:val="24"/>
          <w:szCs w:val="24"/>
          <w:lang w:val="ro-RO"/>
        </w:rPr>
        <w:t xml:space="preserve"> </w:t>
      </w:r>
    </w:p>
    <w:p w:rsidR="00EA7373" w:rsidRPr="00E4517B" w:rsidRDefault="00BD3358" w:rsidP="00EA7373">
      <w:pPr>
        <w:tabs>
          <w:tab w:val="left" w:pos="284"/>
        </w:tabs>
        <w:spacing w:after="0" w:line="276" w:lineRule="auto"/>
        <w:contextualSpacing/>
        <w:rPr>
          <w:rFonts w:asciiTheme="majorHAnsi" w:hAnsiTheme="majorHAnsi" w:cstheme="majorHAnsi"/>
          <w:sz w:val="24"/>
          <w:szCs w:val="24"/>
          <w:lang w:val="ro-RO"/>
        </w:rPr>
      </w:pPr>
      <w:r w:rsidRPr="00BD3358">
        <w:rPr>
          <w:rFonts w:asciiTheme="majorHAnsi" w:hAnsiTheme="majorHAnsi" w:cstheme="majorHAnsi"/>
          <w:sz w:val="24"/>
          <w:szCs w:val="24"/>
          <w:lang w:val="ro-RO"/>
        </w:rPr>
        <w:t>Аудит</w:t>
      </w:r>
      <w:r w:rsidR="00DC1807">
        <w:rPr>
          <w:rFonts w:asciiTheme="majorHAnsi" w:hAnsiTheme="majorHAnsi" w:cstheme="majorHAnsi"/>
          <w:sz w:val="24"/>
          <w:szCs w:val="24"/>
          <w:lang w:val="ru-RU"/>
        </w:rPr>
        <w:t>ом установлено</w:t>
      </w:r>
      <w:r w:rsidRPr="00BD3358">
        <w:rPr>
          <w:rFonts w:asciiTheme="majorHAnsi" w:hAnsiTheme="majorHAnsi" w:cstheme="majorHAnsi"/>
          <w:sz w:val="24"/>
          <w:szCs w:val="24"/>
          <w:lang w:val="ro-RO"/>
        </w:rPr>
        <w:t xml:space="preserve">, что в </w:t>
      </w:r>
      <w:r w:rsidR="00DC1807">
        <w:rPr>
          <w:rFonts w:asciiTheme="majorHAnsi" w:hAnsiTheme="majorHAnsi" w:cstheme="majorHAnsi"/>
          <w:sz w:val="24"/>
          <w:szCs w:val="24"/>
          <w:lang w:val="ru-RU"/>
        </w:rPr>
        <w:t>Ф</w:t>
      </w:r>
      <w:r w:rsidRPr="00BD3358">
        <w:rPr>
          <w:rFonts w:asciiTheme="majorHAnsi" w:hAnsiTheme="majorHAnsi" w:cstheme="majorHAnsi"/>
          <w:sz w:val="24"/>
          <w:szCs w:val="24"/>
          <w:lang w:val="ro-RO"/>
        </w:rPr>
        <w:t xml:space="preserve">орме </w:t>
      </w:r>
      <w:r w:rsidR="00DC1807">
        <w:rPr>
          <w:rFonts w:asciiTheme="majorHAnsi" w:hAnsiTheme="majorHAnsi" w:cstheme="majorHAnsi"/>
          <w:sz w:val="24"/>
          <w:szCs w:val="24"/>
          <w:lang w:val="ru-RU"/>
        </w:rPr>
        <w:t>№</w:t>
      </w:r>
      <w:r w:rsidRPr="00BD3358">
        <w:rPr>
          <w:rFonts w:asciiTheme="majorHAnsi" w:hAnsiTheme="majorHAnsi" w:cstheme="majorHAnsi"/>
          <w:sz w:val="24"/>
          <w:szCs w:val="24"/>
          <w:lang w:val="ro-RO"/>
        </w:rPr>
        <w:t xml:space="preserve">9 </w:t>
      </w:r>
      <w:r w:rsidR="00DC1807" w:rsidRPr="00E4517B">
        <w:rPr>
          <w:rFonts w:asciiTheme="majorHAnsi" w:hAnsiTheme="majorHAnsi" w:cstheme="majorHAnsi"/>
          <w:sz w:val="24"/>
          <w:szCs w:val="24"/>
          <w:lang w:val="ro-RO"/>
        </w:rPr>
        <w:t>„</w:t>
      </w:r>
      <w:r w:rsidR="00DC1807">
        <w:rPr>
          <w:rFonts w:asciiTheme="majorHAnsi" w:hAnsiTheme="majorHAnsi" w:cstheme="majorHAnsi"/>
          <w:sz w:val="24"/>
          <w:szCs w:val="24"/>
          <w:lang w:val="ru-RU"/>
        </w:rPr>
        <w:t>О</w:t>
      </w:r>
      <w:r w:rsidRPr="00BD3358">
        <w:rPr>
          <w:rFonts w:asciiTheme="majorHAnsi" w:hAnsiTheme="majorHAnsi" w:cstheme="majorHAnsi"/>
          <w:sz w:val="24"/>
          <w:szCs w:val="24"/>
          <w:lang w:val="ro-RO"/>
        </w:rPr>
        <w:t xml:space="preserve">тчет о </w:t>
      </w:r>
      <w:r w:rsidR="00DC1807">
        <w:rPr>
          <w:rFonts w:asciiTheme="majorHAnsi" w:hAnsiTheme="majorHAnsi" w:cstheme="majorHAnsi"/>
          <w:sz w:val="24"/>
          <w:szCs w:val="24"/>
          <w:lang w:val="ru-RU"/>
        </w:rPr>
        <w:t>долга</w:t>
      </w:r>
      <w:r w:rsidRPr="00BD3358">
        <w:rPr>
          <w:rFonts w:asciiTheme="majorHAnsi" w:hAnsiTheme="majorHAnsi" w:cstheme="majorHAnsi"/>
          <w:sz w:val="24"/>
          <w:szCs w:val="24"/>
          <w:lang w:val="ro-RO"/>
        </w:rPr>
        <w:t xml:space="preserve">х и обязательствах по расходам и нефинансовым активам, сформированным в бюджетных органах/учреждениях, финансируемых из </w:t>
      </w:r>
      <w:r w:rsidR="008F632D">
        <w:rPr>
          <w:rFonts w:asciiTheme="majorHAnsi" w:hAnsiTheme="majorHAnsi" w:cstheme="majorHAnsi"/>
          <w:sz w:val="24"/>
          <w:szCs w:val="24"/>
          <w:lang w:val="ro-RO"/>
        </w:rPr>
        <w:t>ГБ</w:t>
      </w:r>
      <w:r w:rsidRPr="00BD3358">
        <w:rPr>
          <w:rFonts w:asciiTheme="majorHAnsi" w:hAnsiTheme="majorHAnsi" w:cstheme="majorHAnsi"/>
          <w:sz w:val="24"/>
          <w:szCs w:val="24"/>
          <w:lang w:val="ro-RO"/>
        </w:rPr>
        <w:t xml:space="preserve"> в соответствии с экономической классификацией на 2020 год”, включены, согласно </w:t>
      </w:r>
      <w:r w:rsidR="00DC1807" w:rsidRPr="00BD3358">
        <w:rPr>
          <w:rFonts w:asciiTheme="majorHAnsi" w:hAnsiTheme="majorHAnsi" w:cstheme="majorHAnsi"/>
          <w:sz w:val="24"/>
          <w:szCs w:val="24"/>
          <w:lang w:val="ro-RO"/>
        </w:rPr>
        <w:t xml:space="preserve">утвержденному </w:t>
      </w:r>
      <w:r w:rsidRPr="00BD3358">
        <w:rPr>
          <w:rFonts w:asciiTheme="majorHAnsi" w:hAnsiTheme="majorHAnsi" w:cstheme="majorHAnsi"/>
          <w:sz w:val="24"/>
          <w:szCs w:val="24"/>
          <w:lang w:val="ro-RO"/>
        </w:rPr>
        <w:t>МФ</w:t>
      </w:r>
      <w:r w:rsidR="00D53BEB" w:rsidRPr="00D53BEB">
        <w:rPr>
          <w:rFonts w:asciiTheme="majorHAnsi" w:hAnsiTheme="majorHAnsi" w:cstheme="majorHAnsi"/>
          <w:sz w:val="24"/>
          <w:szCs w:val="24"/>
          <w:lang w:val="ro-RO"/>
        </w:rPr>
        <w:t xml:space="preserve"> </w:t>
      </w:r>
      <w:r w:rsidR="00D53BEB" w:rsidRPr="00BD3358">
        <w:rPr>
          <w:rFonts w:asciiTheme="majorHAnsi" w:hAnsiTheme="majorHAnsi" w:cstheme="majorHAnsi"/>
          <w:sz w:val="24"/>
          <w:szCs w:val="24"/>
          <w:lang w:val="ro-RO"/>
        </w:rPr>
        <w:t>приказу</w:t>
      </w:r>
      <w:r w:rsidRPr="00BD3358">
        <w:rPr>
          <w:rFonts w:asciiTheme="majorHAnsi" w:hAnsiTheme="majorHAnsi" w:cstheme="majorHAnsi"/>
          <w:sz w:val="24"/>
          <w:szCs w:val="24"/>
          <w:lang w:val="ro-RO"/>
        </w:rPr>
        <w:t xml:space="preserve">, только </w:t>
      </w:r>
      <w:r w:rsidR="00DC1807">
        <w:rPr>
          <w:rFonts w:asciiTheme="majorHAnsi" w:hAnsiTheme="majorHAnsi" w:cstheme="majorHAnsi"/>
          <w:sz w:val="24"/>
          <w:szCs w:val="24"/>
          <w:lang w:val="ru-RU"/>
        </w:rPr>
        <w:t>долги</w:t>
      </w:r>
      <w:r w:rsidRPr="00BD3358">
        <w:rPr>
          <w:rFonts w:asciiTheme="majorHAnsi" w:hAnsiTheme="majorHAnsi" w:cstheme="majorHAnsi"/>
          <w:sz w:val="24"/>
          <w:szCs w:val="24"/>
          <w:lang w:val="ro-RO"/>
        </w:rPr>
        <w:t xml:space="preserve"> и обязательства по расходам и нефинансовым активам, но не по доходам. Так, в ЦП</w:t>
      </w:r>
      <w:r w:rsidR="00DC1807">
        <w:rPr>
          <w:rFonts w:asciiTheme="majorHAnsi" w:hAnsiTheme="majorHAnsi" w:cstheme="majorHAnsi"/>
          <w:sz w:val="24"/>
          <w:szCs w:val="24"/>
          <w:lang w:val="ru-RU"/>
        </w:rPr>
        <w:t>О</w:t>
      </w:r>
      <w:r w:rsidRPr="00BD3358">
        <w:rPr>
          <w:rFonts w:asciiTheme="majorHAnsi" w:hAnsiTheme="majorHAnsi" w:cstheme="majorHAnsi"/>
          <w:sz w:val="24"/>
          <w:szCs w:val="24"/>
          <w:lang w:val="ro-RO"/>
        </w:rPr>
        <w:t xml:space="preserve"> (без </w:t>
      </w:r>
      <w:r w:rsidR="00D53BEB">
        <w:rPr>
          <w:rFonts w:asciiTheme="majorHAnsi" w:hAnsiTheme="majorHAnsi" w:cstheme="majorHAnsi"/>
          <w:sz w:val="24"/>
          <w:szCs w:val="24"/>
          <w:lang w:val="ru-RU"/>
        </w:rPr>
        <w:t xml:space="preserve">органов с </w:t>
      </w:r>
      <w:r w:rsidRPr="00BD3358">
        <w:rPr>
          <w:rFonts w:asciiTheme="majorHAnsi" w:hAnsiTheme="majorHAnsi" w:cstheme="majorHAnsi"/>
          <w:sz w:val="24"/>
          <w:szCs w:val="24"/>
          <w:lang w:val="ro-RO"/>
        </w:rPr>
        <w:t>режим</w:t>
      </w:r>
      <w:r w:rsidR="00D53BEB">
        <w:rPr>
          <w:rFonts w:asciiTheme="majorHAnsi" w:hAnsiTheme="majorHAnsi" w:cstheme="majorHAnsi"/>
          <w:sz w:val="24"/>
          <w:szCs w:val="24"/>
          <w:lang w:val="ru-RU"/>
        </w:rPr>
        <w:t>ом</w:t>
      </w:r>
      <w:r w:rsidR="00DC1807">
        <w:rPr>
          <w:rFonts w:asciiTheme="majorHAnsi" w:hAnsiTheme="majorHAnsi" w:cstheme="majorHAnsi"/>
          <w:sz w:val="24"/>
          <w:szCs w:val="24"/>
          <w:lang w:val="ru-RU"/>
        </w:rPr>
        <w:t xml:space="preserve"> секретности</w:t>
      </w:r>
      <w:r w:rsidRPr="00BD3358">
        <w:rPr>
          <w:rFonts w:asciiTheme="majorHAnsi" w:hAnsiTheme="majorHAnsi" w:cstheme="majorHAnsi"/>
          <w:sz w:val="24"/>
          <w:szCs w:val="24"/>
          <w:lang w:val="ro-RO"/>
        </w:rPr>
        <w:t xml:space="preserve">) были зарегистрированы </w:t>
      </w:r>
      <w:r w:rsidR="00DC1807">
        <w:rPr>
          <w:rFonts w:asciiTheme="majorHAnsi" w:hAnsiTheme="majorHAnsi" w:cstheme="majorHAnsi"/>
          <w:sz w:val="24"/>
          <w:szCs w:val="24"/>
          <w:lang w:val="ru-RU"/>
        </w:rPr>
        <w:t>обязательства по</w:t>
      </w:r>
      <w:r w:rsidRPr="00BD3358">
        <w:rPr>
          <w:rFonts w:asciiTheme="majorHAnsi" w:hAnsiTheme="majorHAnsi" w:cstheme="majorHAnsi"/>
          <w:sz w:val="24"/>
          <w:szCs w:val="24"/>
          <w:lang w:val="ro-RO"/>
        </w:rPr>
        <w:t xml:space="preserve"> доходам в размере 90,0 млн. леев, в том числе с истекшим сроком – 15,6 млн. леев, </w:t>
      </w:r>
      <w:r w:rsidR="00D53BEB">
        <w:rPr>
          <w:rFonts w:asciiTheme="majorHAnsi" w:hAnsiTheme="majorHAnsi" w:cstheme="majorHAnsi"/>
          <w:sz w:val="24"/>
          <w:szCs w:val="24"/>
          <w:lang w:val="ru-RU"/>
        </w:rPr>
        <w:t>и</w:t>
      </w:r>
      <w:r w:rsidRPr="00BD3358">
        <w:rPr>
          <w:rFonts w:asciiTheme="majorHAnsi" w:hAnsiTheme="majorHAnsi" w:cstheme="majorHAnsi"/>
          <w:sz w:val="24"/>
          <w:szCs w:val="24"/>
          <w:lang w:val="ro-RO"/>
        </w:rPr>
        <w:t xml:space="preserve"> долги - 39,3 млн. леев, в том числе с истекшим сроком </w:t>
      </w:r>
      <w:r w:rsidR="00D53BEB">
        <w:rPr>
          <w:rFonts w:asciiTheme="majorHAnsi" w:hAnsiTheme="majorHAnsi" w:cstheme="majorHAnsi"/>
          <w:sz w:val="24"/>
          <w:szCs w:val="24"/>
          <w:lang w:val="ru-RU"/>
        </w:rPr>
        <w:t>погашения</w:t>
      </w:r>
      <w:r w:rsidRPr="00BD3358">
        <w:rPr>
          <w:rFonts w:asciiTheme="majorHAnsi" w:hAnsiTheme="majorHAnsi" w:cstheme="majorHAnsi"/>
          <w:sz w:val="24"/>
          <w:szCs w:val="24"/>
          <w:lang w:val="ro-RO"/>
        </w:rPr>
        <w:t xml:space="preserve"> – 1,5 млн. леев. Самые значительные </w:t>
      </w:r>
      <w:r w:rsidR="00DC1807">
        <w:rPr>
          <w:rFonts w:asciiTheme="majorHAnsi" w:hAnsiTheme="majorHAnsi" w:cstheme="majorHAnsi"/>
          <w:sz w:val="24"/>
          <w:szCs w:val="24"/>
          <w:lang w:val="ru-RU"/>
        </w:rPr>
        <w:t xml:space="preserve">обязательства </w:t>
      </w:r>
      <w:r w:rsidRPr="00BD3358">
        <w:rPr>
          <w:rFonts w:asciiTheme="majorHAnsi" w:hAnsiTheme="majorHAnsi" w:cstheme="majorHAnsi"/>
          <w:sz w:val="24"/>
          <w:szCs w:val="24"/>
          <w:lang w:val="ro-RO"/>
        </w:rPr>
        <w:t>-</w:t>
      </w:r>
      <w:r w:rsidR="00DC1807">
        <w:rPr>
          <w:rFonts w:asciiTheme="majorHAnsi" w:hAnsiTheme="majorHAnsi" w:cstheme="majorHAnsi"/>
          <w:sz w:val="24"/>
          <w:szCs w:val="24"/>
          <w:lang w:val="ru-RU"/>
        </w:rPr>
        <w:t xml:space="preserve"> </w:t>
      </w:r>
      <w:r w:rsidRPr="00BD3358">
        <w:rPr>
          <w:rFonts w:asciiTheme="majorHAnsi" w:hAnsiTheme="majorHAnsi" w:cstheme="majorHAnsi"/>
          <w:sz w:val="24"/>
          <w:szCs w:val="24"/>
          <w:lang w:val="ro-RO"/>
        </w:rPr>
        <w:t>47,4 млн. леев, и долги</w:t>
      </w:r>
      <w:r w:rsidR="00DC1807">
        <w:rPr>
          <w:rFonts w:asciiTheme="majorHAnsi" w:hAnsiTheme="majorHAnsi" w:cstheme="majorHAnsi"/>
          <w:sz w:val="24"/>
          <w:szCs w:val="24"/>
          <w:lang w:val="ru-RU"/>
        </w:rPr>
        <w:t xml:space="preserve"> -</w:t>
      </w:r>
      <w:r w:rsidRPr="00BD3358">
        <w:rPr>
          <w:rFonts w:asciiTheme="majorHAnsi" w:hAnsiTheme="majorHAnsi" w:cstheme="majorHAnsi"/>
          <w:sz w:val="24"/>
          <w:szCs w:val="24"/>
          <w:lang w:val="ro-RO"/>
        </w:rPr>
        <w:t xml:space="preserve"> 36,9 млн. </w:t>
      </w:r>
      <w:r w:rsidR="00DC1807">
        <w:rPr>
          <w:rFonts w:asciiTheme="majorHAnsi" w:hAnsiTheme="majorHAnsi" w:cstheme="majorHAnsi"/>
          <w:sz w:val="24"/>
          <w:szCs w:val="24"/>
          <w:lang w:val="ro-RO"/>
        </w:rPr>
        <w:t>леев</w:t>
      </w:r>
      <w:r w:rsidRPr="00BD3358">
        <w:rPr>
          <w:rFonts w:asciiTheme="majorHAnsi" w:hAnsiTheme="majorHAnsi" w:cstheme="majorHAnsi"/>
          <w:sz w:val="24"/>
          <w:szCs w:val="24"/>
          <w:lang w:val="ro-RO"/>
        </w:rPr>
        <w:t xml:space="preserve"> были зарегистрированы п</w:t>
      </w:r>
      <w:r w:rsidR="00DC1807">
        <w:rPr>
          <w:rFonts w:asciiTheme="majorHAnsi" w:hAnsiTheme="majorHAnsi" w:cstheme="majorHAnsi"/>
          <w:sz w:val="24"/>
          <w:szCs w:val="24"/>
          <w:lang w:val="ru-RU"/>
        </w:rPr>
        <w:t>о</w:t>
      </w:r>
      <w:r w:rsidRPr="00BD3358">
        <w:rPr>
          <w:rFonts w:asciiTheme="majorHAnsi" w:hAnsiTheme="majorHAnsi" w:cstheme="majorHAnsi"/>
          <w:sz w:val="24"/>
          <w:szCs w:val="24"/>
          <w:lang w:val="ro-RO"/>
        </w:rPr>
        <w:t xml:space="preserve"> оказани</w:t>
      </w:r>
      <w:r w:rsidR="00DC1807">
        <w:rPr>
          <w:rFonts w:asciiTheme="majorHAnsi" w:hAnsiTheme="majorHAnsi" w:cstheme="majorHAnsi"/>
          <w:sz w:val="24"/>
          <w:szCs w:val="24"/>
          <w:lang w:val="ru-RU"/>
        </w:rPr>
        <w:t>ю</w:t>
      </w:r>
      <w:r w:rsidRPr="00BD3358">
        <w:rPr>
          <w:rFonts w:asciiTheme="majorHAnsi" w:hAnsiTheme="majorHAnsi" w:cstheme="majorHAnsi"/>
          <w:sz w:val="24"/>
          <w:szCs w:val="24"/>
          <w:lang w:val="ro-RO"/>
        </w:rPr>
        <w:t xml:space="preserve"> платных услуг. В 2020 году были исполнены доходы в </w:t>
      </w:r>
      <w:r w:rsidR="008F632D">
        <w:rPr>
          <w:rFonts w:asciiTheme="majorHAnsi" w:hAnsiTheme="majorHAnsi" w:cstheme="majorHAnsi"/>
          <w:sz w:val="24"/>
          <w:szCs w:val="24"/>
          <w:lang w:val="ro-RO"/>
        </w:rPr>
        <w:t>ГБ</w:t>
      </w:r>
      <w:r w:rsidRPr="00BD3358">
        <w:rPr>
          <w:rFonts w:asciiTheme="majorHAnsi" w:hAnsiTheme="majorHAnsi" w:cstheme="majorHAnsi"/>
          <w:sz w:val="24"/>
          <w:szCs w:val="24"/>
          <w:lang w:val="ro-RO"/>
        </w:rPr>
        <w:t xml:space="preserve"> на 197,6 млн. леев </w:t>
      </w:r>
      <w:r w:rsidR="00DC1807" w:rsidRPr="00BD3358">
        <w:rPr>
          <w:rFonts w:asciiTheme="majorHAnsi" w:hAnsiTheme="majorHAnsi" w:cstheme="majorHAnsi"/>
          <w:sz w:val="24"/>
          <w:szCs w:val="24"/>
          <w:lang w:val="ro-RO"/>
        </w:rPr>
        <w:t xml:space="preserve">меньше </w:t>
      </w:r>
      <w:r w:rsidRPr="00BD3358">
        <w:rPr>
          <w:rFonts w:asciiTheme="majorHAnsi" w:hAnsiTheme="majorHAnsi" w:cstheme="majorHAnsi"/>
          <w:sz w:val="24"/>
          <w:szCs w:val="24"/>
          <w:lang w:val="ro-RO"/>
        </w:rPr>
        <w:t xml:space="preserve">по сравнению с предыдущим годом (711,97 млн. </w:t>
      </w:r>
      <w:r w:rsidR="00DC1807" w:rsidRPr="00DC1807">
        <w:rPr>
          <w:rFonts w:asciiTheme="majorHAnsi" w:hAnsiTheme="majorHAnsi" w:cstheme="majorHAnsi"/>
          <w:sz w:val="24"/>
          <w:szCs w:val="24"/>
          <w:lang w:val="ro-RO"/>
        </w:rPr>
        <w:t xml:space="preserve">леев), </w:t>
      </w:r>
      <w:r w:rsidRPr="00BD3358">
        <w:rPr>
          <w:rFonts w:asciiTheme="majorHAnsi" w:hAnsiTheme="majorHAnsi" w:cstheme="majorHAnsi"/>
          <w:sz w:val="24"/>
          <w:szCs w:val="24"/>
          <w:lang w:val="ro-RO"/>
        </w:rPr>
        <w:t xml:space="preserve">таким образом, строгий мониторинг </w:t>
      </w:r>
      <w:r w:rsidR="00DC1807" w:rsidRPr="00DC1807">
        <w:rPr>
          <w:rFonts w:asciiTheme="majorHAnsi" w:hAnsiTheme="majorHAnsi" w:cstheme="majorHAnsi"/>
          <w:sz w:val="24"/>
          <w:szCs w:val="24"/>
          <w:lang w:val="ro-RO"/>
        </w:rPr>
        <w:t>обязательств</w:t>
      </w:r>
      <w:r w:rsidRPr="00BD3358">
        <w:rPr>
          <w:rFonts w:asciiTheme="majorHAnsi" w:hAnsiTheme="majorHAnsi" w:cstheme="majorHAnsi"/>
          <w:sz w:val="24"/>
          <w:szCs w:val="24"/>
          <w:lang w:val="ro-RO"/>
        </w:rPr>
        <w:t xml:space="preserve"> и долгов по доходам оказывает существенное влияние на увеличение поступлений от предоставления платных услуг</w:t>
      </w:r>
      <w:r w:rsidR="00EA7373" w:rsidRPr="00E4517B">
        <w:rPr>
          <w:rFonts w:asciiTheme="majorHAnsi" w:hAnsiTheme="majorHAnsi" w:cstheme="majorHAnsi"/>
          <w:sz w:val="24"/>
          <w:szCs w:val="24"/>
          <w:lang w:val="ro-RO"/>
        </w:rPr>
        <w:t>.</w:t>
      </w:r>
    </w:p>
    <w:p w:rsidR="009436D9" w:rsidRPr="00F55BA6" w:rsidRDefault="00434A9A" w:rsidP="00597D1E">
      <w:pPr>
        <w:spacing w:after="0"/>
        <w:rPr>
          <w:rFonts w:asciiTheme="minorHAnsi" w:hAnsiTheme="minorHAnsi"/>
          <w:sz w:val="22"/>
          <w:lang w:val="ro-RO"/>
        </w:rPr>
      </w:pPr>
      <w:r>
        <w:rPr>
          <w:rFonts w:asciiTheme="majorHAnsi" w:eastAsiaTheme="minorEastAsia" w:hAnsiTheme="majorHAnsi" w:cstheme="majorHAnsi"/>
          <w:sz w:val="24"/>
          <w:szCs w:val="24"/>
          <w:lang w:val="ru-RU"/>
        </w:rPr>
        <w:t>Групп</w:t>
      </w:r>
      <w:r w:rsidR="00BD3358" w:rsidRPr="00BD3358">
        <w:rPr>
          <w:rFonts w:asciiTheme="majorHAnsi" w:eastAsiaTheme="minorEastAsia" w:hAnsiTheme="majorHAnsi" w:cstheme="majorHAnsi"/>
          <w:sz w:val="24"/>
          <w:szCs w:val="24"/>
          <w:lang w:val="ro-RO"/>
        </w:rPr>
        <w:t xml:space="preserve">а </w:t>
      </w:r>
      <w:r>
        <w:rPr>
          <w:rFonts w:asciiTheme="majorHAnsi" w:eastAsiaTheme="minorEastAsia" w:hAnsiTheme="majorHAnsi" w:cstheme="majorHAnsi"/>
          <w:sz w:val="24"/>
          <w:szCs w:val="24"/>
          <w:lang w:val="ru-RU"/>
        </w:rPr>
        <w:t>СПРМ</w:t>
      </w:r>
      <w:r w:rsidR="00BD3358" w:rsidRPr="00BD3358">
        <w:rPr>
          <w:rFonts w:asciiTheme="majorHAnsi" w:eastAsiaTheme="minorEastAsia" w:hAnsiTheme="majorHAnsi" w:cstheme="majorHAnsi"/>
          <w:sz w:val="24"/>
          <w:szCs w:val="24"/>
          <w:lang w:val="ro-RO"/>
        </w:rPr>
        <w:t xml:space="preserve">, </w:t>
      </w:r>
      <w:r>
        <w:rPr>
          <w:rFonts w:asciiTheme="majorHAnsi" w:eastAsiaTheme="minorEastAsia" w:hAnsiTheme="majorHAnsi" w:cstheme="majorHAnsi"/>
          <w:sz w:val="24"/>
          <w:szCs w:val="24"/>
          <w:lang w:val="ru-RU"/>
        </w:rPr>
        <w:t>провод</w:t>
      </w:r>
      <w:r w:rsidR="00BD3358" w:rsidRPr="00BD3358">
        <w:rPr>
          <w:rFonts w:asciiTheme="majorHAnsi" w:eastAsiaTheme="minorEastAsia" w:hAnsiTheme="majorHAnsi" w:cstheme="majorHAnsi"/>
          <w:sz w:val="24"/>
          <w:szCs w:val="24"/>
          <w:lang w:val="ro-RO"/>
        </w:rPr>
        <w:t xml:space="preserve">ившая аудиторскую миссию в </w:t>
      </w:r>
      <w:r w:rsidR="00BD3358" w:rsidRPr="00434A9A">
        <w:rPr>
          <w:rFonts w:asciiTheme="majorHAnsi" w:eastAsiaTheme="minorEastAsia" w:hAnsiTheme="majorHAnsi" w:cstheme="majorHAnsi"/>
          <w:b/>
          <w:sz w:val="24"/>
          <w:szCs w:val="24"/>
          <w:lang w:val="ro-RO"/>
        </w:rPr>
        <w:t>МИДЕИ</w:t>
      </w:r>
      <w:r w:rsidRPr="00E4517B">
        <w:rPr>
          <w:rFonts w:asciiTheme="majorHAnsi" w:hAnsiTheme="majorHAnsi" w:cstheme="majorHAnsi"/>
          <w:sz w:val="24"/>
          <w:szCs w:val="24"/>
          <w:vertAlign w:val="superscript"/>
          <w:lang w:val="ro-RO"/>
        </w:rPr>
        <w:footnoteReference w:id="65"/>
      </w:r>
      <w:r w:rsidR="00BD3358" w:rsidRPr="00BD3358">
        <w:rPr>
          <w:rFonts w:asciiTheme="majorHAnsi" w:eastAsiaTheme="minorEastAsia" w:hAnsiTheme="majorHAnsi" w:cstheme="majorHAnsi"/>
          <w:sz w:val="24"/>
          <w:szCs w:val="24"/>
          <w:lang w:val="ro-RO"/>
        </w:rPr>
        <w:t xml:space="preserve">, </w:t>
      </w:r>
      <w:r>
        <w:rPr>
          <w:rFonts w:asciiTheme="majorHAnsi" w:eastAsiaTheme="minorEastAsia" w:hAnsiTheme="majorHAnsi" w:cstheme="majorHAnsi"/>
          <w:sz w:val="24"/>
          <w:szCs w:val="24"/>
          <w:lang w:val="ru-RU"/>
        </w:rPr>
        <w:t>установи</w:t>
      </w:r>
      <w:r w:rsidR="00BD3358" w:rsidRPr="00BD3358">
        <w:rPr>
          <w:rFonts w:asciiTheme="majorHAnsi" w:eastAsiaTheme="minorEastAsia" w:hAnsiTheme="majorHAnsi" w:cstheme="majorHAnsi"/>
          <w:sz w:val="24"/>
          <w:szCs w:val="24"/>
          <w:lang w:val="ro-RO"/>
        </w:rPr>
        <w:t>ла, что в 2020 году учреждения дипломатической службы МИДЕИ приобрели 5 автомобилей</w:t>
      </w:r>
      <w:r w:rsidRPr="00F55BA6">
        <w:rPr>
          <w:rFonts w:asciiTheme="majorHAnsi" w:eastAsiaTheme="minorEastAsia" w:hAnsiTheme="majorHAnsi" w:cstheme="majorHAnsi"/>
          <w:sz w:val="24"/>
          <w:szCs w:val="24"/>
          <w:vertAlign w:val="superscript"/>
          <w:lang w:val="ro-RO"/>
        </w:rPr>
        <w:footnoteReference w:id="66"/>
      </w:r>
      <w:r w:rsidR="00BD3358" w:rsidRPr="00BD3358">
        <w:rPr>
          <w:rFonts w:asciiTheme="majorHAnsi" w:eastAsiaTheme="minorEastAsia" w:hAnsiTheme="majorHAnsi" w:cstheme="majorHAnsi"/>
          <w:sz w:val="24"/>
          <w:szCs w:val="24"/>
          <w:lang w:val="ro-RO"/>
        </w:rPr>
        <w:t xml:space="preserve">, за которые было </w:t>
      </w:r>
      <w:r>
        <w:rPr>
          <w:rFonts w:asciiTheme="majorHAnsi" w:eastAsiaTheme="minorEastAsia" w:hAnsiTheme="majorHAnsi" w:cstheme="majorHAnsi"/>
          <w:sz w:val="24"/>
          <w:szCs w:val="24"/>
          <w:lang w:val="ru-RU"/>
        </w:rPr>
        <w:t>у</w:t>
      </w:r>
      <w:r w:rsidR="00BD3358" w:rsidRPr="00BD3358">
        <w:rPr>
          <w:rFonts w:asciiTheme="majorHAnsi" w:eastAsiaTheme="minorEastAsia" w:hAnsiTheme="majorHAnsi" w:cstheme="majorHAnsi"/>
          <w:sz w:val="24"/>
          <w:szCs w:val="24"/>
          <w:lang w:val="ro-RO"/>
        </w:rPr>
        <w:t xml:space="preserve">плачено 3,6 млн. леев, из которых </w:t>
      </w:r>
      <w:r>
        <w:rPr>
          <w:rFonts w:asciiTheme="majorHAnsi" w:eastAsiaTheme="minorEastAsia" w:hAnsiTheme="majorHAnsi" w:cstheme="majorHAnsi"/>
          <w:sz w:val="24"/>
          <w:szCs w:val="24"/>
          <w:lang w:val="ru-RU"/>
        </w:rPr>
        <w:t>для</w:t>
      </w:r>
      <w:r w:rsidR="00BD3358" w:rsidRPr="00BD3358">
        <w:rPr>
          <w:rFonts w:asciiTheme="majorHAnsi" w:eastAsiaTheme="minorEastAsia" w:hAnsiTheme="majorHAnsi" w:cstheme="majorHAnsi"/>
          <w:sz w:val="24"/>
          <w:szCs w:val="24"/>
          <w:lang w:val="ro-RO"/>
        </w:rPr>
        <w:t xml:space="preserve"> 3 автомобилей</w:t>
      </w:r>
      <w:r w:rsidRPr="00F55BA6">
        <w:rPr>
          <w:rFonts w:asciiTheme="majorHAnsi" w:eastAsiaTheme="minorEastAsia" w:hAnsiTheme="majorHAnsi" w:cstheme="majorHAnsi"/>
          <w:sz w:val="24"/>
          <w:szCs w:val="24"/>
          <w:vertAlign w:val="superscript"/>
          <w:lang w:val="ro-RO"/>
        </w:rPr>
        <w:footnoteReference w:id="67"/>
      </w:r>
      <w:r w:rsidR="00BD3358" w:rsidRPr="00BD3358">
        <w:rPr>
          <w:rFonts w:asciiTheme="majorHAnsi" w:eastAsiaTheme="minorEastAsia" w:hAnsiTheme="majorHAnsi" w:cstheme="majorHAnsi"/>
          <w:sz w:val="24"/>
          <w:szCs w:val="24"/>
          <w:lang w:val="ro-RO"/>
        </w:rPr>
        <w:t xml:space="preserve"> </w:t>
      </w:r>
      <w:r>
        <w:rPr>
          <w:rFonts w:asciiTheme="majorHAnsi" w:eastAsiaTheme="minorEastAsia" w:hAnsiTheme="majorHAnsi" w:cstheme="majorHAnsi"/>
          <w:sz w:val="24"/>
          <w:szCs w:val="24"/>
          <w:lang w:val="ru-RU"/>
        </w:rPr>
        <w:t>платежи были произведены в аванс</w:t>
      </w:r>
      <w:r w:rsidR="00BD3358" w:rsidRPr="00BD3358">
        <w:rPr>
          <w:rFonts w:asciiTheme="majorHAnsi" w:eastAsiaTheme="minorEastAsia" w:hAnsiTheme="majorHAnsi" w:cstheme="majorHAnsi"/>
          <w:sz w:val="24"/>
          <w:szCs w:val="24"/>
          <w:lang w:val="ro-RO"/>
        </w:rPr>
        <w:t xml:space="preserve">, что привело к увеличению </w:t>
      </w:r>
      <w:r>
        <w:rPr>
          <w:rFonts w:asciiTheme="majorHAnsi" w:eastAsiaTheme="minorEastAsia" w:hAnsiTheme="majorHAnsi" w:cstheme="majorHAnsi"/>
          <w:sz w:val="24"/>
          <w:szCs w:val="24"/>
          <w:lang w:val="ru-RU"/>
        </w:rPr>
        <w:t>обязательств</w:t>
      </w:r>
      <w:r>
        <w:rPr>
          <w:rFonts w:asciiTheme="majorHAnsi" w:eastAsiaTheme="minorEastAsia" w:hAnsiTheme="majorHAnsi" w:cstheme="majorHAnsi"/>
          <w:sz w:val="24"/>
          <w:szCs w:val="24"/>
          <w:lang w:val="ro-RO"/>
        </w:rPr>
        <w:t xml:space="preserve"> на 2,2 млн. леев</w:t>
      </w:r>
      <w:r w:rsidR="00F96A31" w:rsidRPr="00F55BA6">
        <w:rPr>
          <w:rFonts w:asciiTheme="majorHAnsi" w:eastAsiaTheme="minorEastAsia" w:hAnsiTheme="majorHAnsi" w:cstheme="majorHAnsi"/>
          <w:sz w:val="24"/>
          <w:szCs w:val="24"/>
          <w:lang w:val="ro-RO"/>
        </w:rPr>
        <w:t xml:space="preserve">. </w:t>
      </w:r>
    </w:p>
    <w:p w:rsidR="00BF1796" w:rsidRPr="00F55BA6" w:rsidRDefault="00BD3358" w:rsidP="00597D1E">
      <w:pPr>
        <w:tabs>
          <w:tab w:val="left" w:pos="284"/>
        </w:tabs>
        <w:spacing w:after="0" w:line="276" w:lineRule="auto"/>
        <w:contextualSpacing/>
        <w:rPr>
          <w:rFonts w:asciiTheme="majorHAnsi" w:eastAsiaTheme="minorEastAsia" w:hAnsiTheme="majorHAnsi" w:cstheme="majorHAnsi"/>
          <w:sz w:val="24"/>
          <w:szCs w:val="24"/>
          <w:lang w:val="ro-RO"/>
        </w:rPr>
      </w:pPr>
      <w:r w:rsidRPr="00434A9A">
        <w:rPr>
          <w:rFonts w:asciiTheme="majorHAnsi" w:eastAsiaTheme="minorEastAsia" w:hAnsiTheme="majorHAnsi" w:cstheme="majorHAnsi"/>
          <w:sz w:val="24"/>
          <w:szCs w:val="24"/>
          <w:lang w:val="ro-RO"/>
        </w:rPr>
        <w:t>В</w:t>
      </w:r>
      <w:r w:rsidRPr="00BD3358">
        <w:rPr>
          <w:rFonts w:asciiTheme="majorHAnsi" w:eastAsiaTheme="minorEastAsia" w:hAnsiTheme="majorHAnsi" w:cstheme="majorHAnsi"/>
          <w:b/>
          <w:sz w:val="24"/>
          <w:szCs w:val="24"/>
          <w:lang w:val="ro-RO"/>
        </w:rPr>
        <w:t xml:space="preserve"> МЮ </w:t>
      </w:r>
      <w:r w:rsidR="00434A9A">
        <w:rPr>
          <w:rFonts w:asciiTheme="majorHAnsi" w:eastAsiaTheme="minorEastAsia" w:hAnsiTheme="majorHAnsi" w:cstheme="majorHAnsi"/>
          <w:sz w:val="24"/>
          <w:szCs w:val="24"/>
          <w:lang w:val="ru-RU"/>
        </w:rPr>
        <w:t>обязательства</w:t>
      </w:r>
      <w:r w:rsidRPr="00BD3358">
        <w:rPr>
          <w:rFonts w:asciiTheme="majorHAnsi" w:eastAsiaTheme="minorEastAsia" w:hAnsiTheme="majorHAnsi" w:cstheme="majorHAnsi"/>
          <w:sz w:val="24"/>
          <w:szCs w:val="24"/>
          <w:lang w:val="ro-RO"/>
        </w:rPr>
        <w:t xml:space="preserve"> </w:t>
      </w:r>
      <w:r w:rsidR="00434A9A">
        <w:rPr>
          <w:rFonts w:asciiTheme="majorHAnsi" w:eastAsiaTheme="minorEastAsia" w:hAnsiTheme="majorHAnsi" w:cstheme="majorHAnsi"/>
          <w:sz w:val="24"/>
          <w:szCs w:val="24"/>
          <w:lang w:val="ru-RU"/>
        </w:rPr>
        <w:t>Н</w:t>
      </w:r>
      <w:r w:rsidRPr="00BD3358">
        <w:rPr>
          <w:rFonts w:asciiTheme="majorHAnsi" w:eastAsiaTheme="minorEastAsia" w:hAnsiTheme="majorHAnsi" w:cstheme="majorHAnsi"/>
          <w:sz w:val="24"/>
          <w:szCs w:val="24"/>
          <w:lang w:val="ro-RO"/>
        </w:rPr>
        <w:t xml:space="preserve">ациональной администрации пенитенциарных учреждений </w:t>
      </w:r>
      <w:r w:rsidR="00434A9A">
        <w:rPr>
          <w:rFonts w:asciiTheme="majorHAnsi" w:eastAsiaTheme="minorEastAsia" w:hAnsiTheme="majorHAnsi" w:cstheme="majorHAnsi"/>
          <w:sz w:val="24"/>
          <w:szCs w:val="24"/>
          <w:lang w:val="ru-RU"/>
        </w:rPr>
        <w:t>перед</w:t>
      </w:r>
      <w:r w:rsidRPr="00BD3358">
        <w:rPr>
          <w:rFonts w:asciiTheme="majorHAnsi" w:eastAsiaTheme="minorEastAsia" w:hAnsiTheme="majorHAnsi" w:cstheme="majorHAnsi"/>
          <w:sz w:val="24"/>
          <w:szCs w:val="24"/>
          <w:lang w:val="ro-RO"/>
        </w:rPr>
        <w:t xml:space="preserve"> государственным</w:t>
      </w:r>
      <w:r w:rsidR="00434A9A">
        <w:rPr>
          <w:rFonts w:asciiTheme="majorHAnsi" w:eastAsiaTheme="minorEastAsia" w:hAnsiTheme="majorHAnsi" w:cstheme="majorHAnsi"/>
          <w:sz w:val="24"/>
          <w:szCs w:val="24"/>
          <w:lang w:val="ru-RU"/>
        </w:rPr>
        <w:t>и</w:t>
      </w:r>
      <w:r w:rsidRPr="00BD3358">
        <w:rPr>
          <w:rFonts w:asciiTheme="majorHAnsi" w:eastAsiaTheme="minorEastAsia" w:hAnsiTheme="majorHAnsi" w:cstheme="majorHAnsi"/>
          <w:sz w:val="24"/>
          <w:szCs w:val="24"/>
          <w:lang w:val="ro-RO"/>
        </w:rPr>
        <w:t xml:space="preserve"> предприятиям</w:t>
      </w:r>
      <w:r w:rsidR="00434A9A">
        <w:rPr>
          <w:rFonts w:asciiTheme="majorHAnsi" w:eastAsiaTheme="minorEastAsia" w:hAnsiTheme="majorHAnsi" w:cstheme="majorHAnsi"/>
          <w:sz w:val="24"/>
          <w:szCs w:val="24"/>
          <w:lang w:val="ru-RU"/>
        </w:rPr>
        <w:t>и</w:t>
      </w:r>
      <w:r w:rsidRPr="00BD3358">
        <w:rPr>
          <w:rFonts w:asciiTheme="majorHAnsi" w:eastAsiaTheme="minorEastAsia" w:hAnsiTheme="majorHAnsi" w:cstheme="majorHAnsi"/>
          <w:sz w:val="24"/>
          <w:szCs w:val="24"/>
          <w:lang w:val="ro-RO"/>
        </w:rPr>
        <w:t xml:space="preserve">, </w:t>
      </w:r>
      <w:r w:rsidR="00434A9A">
        <w:rPr>
          <w:rFonts w:asciiTheme="majorHAnsi" w:eastAsiaTheme="minorEastAsia" w:hAnsiTheme="majorHAnsi" w:cstheme="majorHAnsi"/>
          <w:sz w:val="24"/>
          <w:szCs w:val="24"/>
          <w:lang w:val="ru-RU"/>
        </w:rPr>
        <w:t>созда</w:t>
      </w:r>
      <w:r w:rsidRPr="00BD3358">
        <w:rPr>
          <w:rFonts w:asciiTheme="majorHAnsi" w:eastAsiaTheme="minorEastAsia" w:hAnsiTheme="majorHAnsi" w:cstheme="majorHAnsi"/>
          <w:sz w:val="24"/>
          <w:szCs w:val="24"/>
          <w:lang w:val="ro-RO"/>
        </w:rPr>
        <w:t>нным</w:t>
      </w:r>
      <w:r w:rsidR="00FA1FB0">
        <w:rPr>
          <w:rFonts w:asciiTheme="majorHAnsi" w:eastAsiaTheme="minorEastAsia" w:hAnsiTheme="majorHAnsi" w:cstheme="majorHAnsi"/>
          <w:sz w:val="24"/>
          <w:szCs w:val="24"/>
          <w:lang w:val="ru-RU"/>
        </w:rPr>
        <w:t>и</w:t>
      </w:r>
      <w:r w:rsidRPr="00BD3358">
        <w:rPr>
          <w:rFonts w:asciiTheme="majorHAnsi" w:eastAsiaTheme="minorEastAsia" w:hAnsiTheme="majorHAnsi" w:cstheme="majorHAnsi"/>
          <w:sz w:val="24"/>
          <w:szCs w:val="24"/>
          <w:lang w:val="ro-RO"/>
        </w:rPr>
        <w:t xml:space="preserve"> в </w:t>
      </w:r>
      <w:r w:rsidR="00434A9A">
        <w:rPr>
          <w:rFonts w:asciiTheme="majorHAnsi" w:eastAsiaTheme="minorEastAsia" w:hAnsiTheme="majorHAnsi" w:cstheme="majorHAnsi"/>
          <w:sz w:val="24"/>
          <w:szCs w:val="24"/>
          <w:lang w:val="ru-RU"/>
        </w:rPr>
        <w:t xml:space="preserve">рамках </w:t>
      </w:r>
      <w:r w:rsidRPr="00BD3358">
        <w:rPr>
          <w:rFonts w:asciiTheme="majorHAnsi" w:eastAsiaTheme="minorEastAsia" w:hAnsiTheme="majorHAnsi" w:cstheme="majorHAnsi"/>
          <w:sz w:val="24"/>
          <w:szCs w:val="24"/>
          <w:lang w:val="ro-RO"/>
        </w:rPr>
        <w:t>пенитенциарной систем</w:t>
      </w:r>
      <w:r w:rsidR="00434A9A">
        <w:rPr>
          <w:rFonts w:asciiTheme="majorHAnsi" w:eastAsiaTheme="minorEastAsia" w:hAnsiTheme="majorHAnsi" w:cstheme="majorHAnsi"/>
          <w:sz w:val="24"/>
          <w:szCs w:val="24"/>
          <w:lang w:val="ru-RU"/>
        </w:rPr>
        <w:t>ы</w:t>
      </w:r>
      <w:r w:rsidRPr="00BD3358">
        <w:rPr>
          <w:rFonts w:asciiTheme="majorHAnsi" w:eastAsiaTheme="minorEastAsia" w:hAnsiTheme="majorHAnsi" w:cstheme="majorHAnsi"/>
          <w:sz w:val="24"/>
          <w:szCs w:val="24"/>
          <w:lang w:val="ro-RO"/>
        </w:rPr>
        <w:t xml:space="preserve">, </w:t>
      </w:r>
      <w:r w:rsidR="00434A9A">
        <w:rPr>
          <w:rFonts w:asciiTheme="majorHAnsi" w:eastAsiaTheme="minorEastAsia" w:hAnsiTheme="majorHAnsi" w:cstheme="majorHAnsi"/>
          <w:sz w:val="24"/>
          <w:szCs w:val="24"/>
          <w:lang w:val="ru-RU"/>
        </w:rPr>
        <w:t xml:space="preserve">по состоянию на </w:t>
      </w:r>
      <w:r w:rsidRPr="00BD3358">
        <w:rPr>
          <w:rFonts w:asciiTheme="majorHAnsi" w:eastAsiaTheme="minorEastAsia" w:hAnsiTheme="majorHAnsi" w:cstheme="majorHAnsi"/>
          <w:sz w:val="24"/>
          <w:szCs w:val="24"/>
          <w:lang w:val="ro-RO"/>
        </w:rPr>
        <w:t xml:space="preserve">31.12.2020 </w:t>
      </w:r>
      <w:r w:rsidR="00434A9A" w:rsidRPr="00BD3358">
        <w:rPr>
          <w:rFonts w:asciiTheme="majorHAnsi" w:eastAsiaTheme="minorEastAsia" w:hAnsiTheme="majorHAnsi" w:cstheme="majorHAnsi"/>
          <w:sz w:val="24"/>
          <w:szCs w:val="24"/>
          <w:lang w:val="ro-RO"/>
        </w:rPr>
        <w:t xml:space="preserve">составили </w:t>
      </w:r>
      <w:r w:rsidRPr="00BD3358">
        <w:rPr>
          <w:rFonts w:asciiTheme="majorHAnsi" w:eastAsiaTheme="minorEastAsia" w:hAnsiTheme="majorHAnsi" w:cstheme="majorHAnsi"/>
          <w:sz w:val="24"/>
          <w:szCs w:val="24"/>
          <w:lang w:val="ro-RO"/>
        </w:rPr>
        <w:t>8,8 млн.</w:t>
      </w:r>
      <w:r w:rsidR="003B0E39">
        <w:rPr>
          <w:rFonts w:asciiTheme="majorHAnsi" w:eastAsiaTheme="minorEastAsia" w:hAnsiTheme="majorHAnsi" w:cstheme="majorHAnsi"/>
          <w:sz w:val="24"/>
          <w:szCs w:val="24"/>
          <w:lang w:val="ru-RU"/>
        </w:rPr>
        <w:t xml:space="preserve"> </w:t>
      </w:r>
      <w:r w:rsidRPr="00BD3358">
        <w:rPr>
          <w:rFonts w:asciiTheme="majorHAnsi" w:eastAsiaTheme="minorEastAsia" w:hAnsiTheme="majorHAnsi" w:cstheme="majorHAnsi"/>
          <w:sz w:val="24"/>
          <w:szCs w:val="24"/>
          <w:lang w:val="ro-RO"/>
        </w:rPr>
        <w:t>леев, которые сформирова</w:t>
      </w:r>
      <w:r w:rsidR="003B0E39">
        <w:rPr>
          <w:rFonts w:asciiTheme="majorHAnsi" w:eastAsiaTheme="minorEastAsia" w:hAnsiTheme="majorHAnsi" w:cstheme="majorHAnsi"/>
          <w:sz w:val="24"/>
          <w:szCs w:val="24"/>
          <w:lang w:val="ru-RU"/>
        </w:rPr>
        <w:t>лись</w:t>
      </w:r>
      <w:r w:rsidRPr="00BD3358">
        <w:rPr>
          <w:rFonts w:asciiTheme="majorHAnsi" w:eastAsiaTheme="minorEastAsia" w:hAnsiTheme="majorHAnsi" w:cstheme="majorHAnsi"/>
          <w:sz w:val="24"/>
          <w:szCs w:val="24"/>
          <w:lang w:val="ro-RO"/>
        </w:rPr>
        <w:t xml:space="preserve"> в период 2013-2019 г</w:t>
      </w:r>
      <w:r w:rsidR="003B0E39">
        <w:rPr>
          <w:rFonts w:asciiTheme="majorHAnsi" w:eastAsiaTheme="minorEastAsia" w:hAnsiTheme="majorHAnsi" w:cstheme="majorHAnsi"/>
          <w:sz w:val="24"/>
          <w:szCs w:val="24"/>
          <w:lang w:val="ru-RU"/>
        </w:rPr>
        <w:t>одов</w:t>
      </w:r>
      <w:r w:rsidRPr="00BD3358">
        <w:rPr>
          <w:rFonts w:asciiTheme="majorHAnsi" w:eastAsiaTheme="minorEastAsia" w:hAnsiTheme="majorHAnsi" w:cstheme="majorHAnsi"/>
          <w:sz w:val="24"/>
          <w:szCs w:val="24"/>
          <w:lang w:val="ro-RO"/>
        </w:rPr>
        <w:t xml:space="preserve"> в результате </w:t>
      </w:r>
      <w:r w:rsidR="003B0E39">
        <w:rPr>
          <w:rFonts w:asciiTheme="majorHAnsi" w:eastAsiaTheme="minorEastAsia" w:hAnsiTheme="majorHAnsi" w:cstheme="majorHAnsi"/>
          <w:sz w:val="24"/>
          <w:szCs w:val="24"/>
          <w:lang w:val="ru-RU"/>
        </w:rPr>
        <w:t xml:space="preserve">использования </w:t>
      </w:r>
      <w:r w:rsidRPr="00BD3358">
        <w:rPr>
          <w:rFonts w:asciiTheme="majorHAnsi" w:eastAsiaTheme="minorEastAsia" w:hAnsiTheme="majorHAnsi" w:cstheme="majorHAnsi"/>
          <w:sz w:val="24"/>
          <w:szCs w:val="24"/>
          <w:lang w:val="ro-RO"/>
        </w:rPr>
        <w:t>труд</w:t>
      </w:r>
      <w:r w:rsidR="003B0E39">
        <w:rPr>
          <w:rFonts w:asciiTheme="majorHAnsi" w:eastAsiaTheme="minorEastAsia" w:hAnsiTheme="majorHAnsi" w:cstheme="majorHAnsi"/>
          <w:sz w:val="24"/>
          <w:szCs w:val="24"/>
          <w:lang w:val="ru-RU"/>
        </w:rPr>
        <w:t>а</w:t>
      </w:r>
      <w:r w:rsidRPr="00BD3358">
        <w:rPr>
          <w:rFonts w:asciiTheme="majorHAnsi" w:eastAsiaTheme="minorEastAsia" w:hAnsiTheme="majorHAnsi" w:cstheme="majorHAnsi"/>
          <w:sz w:val="24"/>
          <w:szCs w:val="24"/>
          <w:lang w:val="ro-RO"/>
        </w:rPr>
        <w:t xml:space="preserve"> осужденны</w:t>
      </w:r>
      <w:r w:rsidR="003B0E39">
        <w:rPr>
          <w:rFonts w:asciiTheme="majorHAnsi" w:eastAsiaTheme="minorEastAsia" w:hAnsiTheme="majorHAnsi" w:cstheme="majorHAnsi"/>
          <w:sz w:val="24"/>
          <w:szCs w:val="24"/>
          <w:lang w:val="ru-RU"/>
        </w:rPr>
        <w:t>х</w:t>
      </w:r>
      <w:r w:rsidRPr="00BD3358">
        <w:rPr>
          <w:rFonts w:asciiTheme="majorHAnsi" w:eastAsiaTheme="minorEastAsia" w:hAnsiTheme="majorHAnsi" w:cstheme="majorHAnsi"/>
          <w:sz w:val="24"/>
          <w:szCs w:val="24"/>
          <w:lang w:val="ro-RO"/>
        </w:rPr>
        <w:t xml:space="preserve"> на основании договоров, заключенных с некоторыми пенитенциарными учреждениями. </w:t>
      </w:r>
      <w:r w:rsidR="003B0E39">
        <w:rPr>
          <w:rFonts w:asciiTheme="majorHAnsi" w:eastAsiaTheme="minorEastAsia" w:hAnsiTheme="majorHAnsi" w:cstheme="majorHAnsi"/>
          <w:sz w:val="24"/>
          <w:szCs w:val="24"/>
          <w:lang w:val="ru-RU"/>
        </w:rPr>
        <w:t>Обязательства</w:t>
      </w:r>
      <w:r w:rsidRPr="00BD3358">
        <w:rPr>
          <w:rFonts w:asciiTheme="majorHAnsi" w:eastAsiaTheme="minorEastAsia" w:hAnsiTheme="majorHAnsi" w:cstheme="majorHAnsi"/>
          <w:sz w:val="24"/>
          <w:szCs w:val="24"/>
          <w:lang w:val="ro-RO"/>
        </w:rPr>
        <w:t xml:space="preserve"> также включают</w:t>
      </w:r>
      <w:r w:rsidR="003B0E39">
        <w:rPr>
          <w:rFonts w:asciiTheme="majorHAnsi" w:eastAsiaTheme="minorEastAsia" w:hAnsiTheme="majorHAnsi" w:cstheme="majorHAnsi"/>
          <w:sz w:val="24"/>
          <w:szCs w:val="24"/>
          <w:lang w:val="ru-RU"/>
        </w:rPr>
        <w:t xml:space="preserve"> и </w:t>
      </w:r>
      <w:r w:rsidRPr="00BD3358">
        <w:rPr>
          <w:rFonts w:asciiTheme="majorHAnsi" w:eastAsiaTheme="minorEastAsia" w:hAnsiTheme="majorHAnsi" w:cstheme="majorHAnsi"/>
          <w:sz w:val="24"/>
          <w:szCs w:val="24"/>
          <w:lang w:val="ro-RO"/>
        </w:rPr>
        <w:t>суммы взносов государственного социального страхования и взносов обязательного медицинского страхования</w:t>
      </w:r>
      <w:r w:rsidR="003B0E39">
        <w:rPr>
          <w:rFonts w:asciiTheme="majorHAnsi" w:eastAsiaTheme="minorEastAsia" w:hAnsiTheme="majorHAnsi" w:cstheme="majorHAnsi"/>
          <w:sz w:val="24"/>
          <w:szCs w:val="24"/>
          <w:lang w:val="ru-RU"/>
        </w:rPr>
        <w:t>,</w:t>
      </w:r>
      <w:r w:rsidRPr="00BD3358">
        <w:rPr>
          <w:rFonts w:asciiTheme="majorHAnsi" w:eastAsiaTheme="minorEastAsia" w:hAnsiTheme="majorHAnsi" w:cstheme="majorHAnsi"/>
          <w:sz w:val="24"/>
          <w:szCs w:val="24"/>
          <w:lang w:val="ro-RO"/>
        </w:rPr>
        <w:t xml:space="preserve"> в размере 1,5 млн.</w:t>
      </w:r>
      <w:r w:rsidR="003B0E39">
        <w:rPr>
          <w:rFonts w:asciiTheme="majorHAnsi" w:eastAsiaTheme="minorEastAsia" w:hAnsiTheme="majorHAnsi" w:cstheme="majorHAnsi"/>
          <w:sz w:val="24"/>
          <w:szCs w:val="24"/>
          <w:lang w:val="ru-RU"/>
        </w:rPr>
        <w:t xml:space="preserve"> </w:t>
      </w:r>
      <w:r w:rsidRPr="00BD3358">
        <w:rPr>
          <w:rFonts w:asciiTheme="majorHAnsi" w:eastAsiaTheme="minorEastAsia" w:hAnsiTheme="majorHAnsi" w:cstheme="majorHAnsi"/>
          <w:sz w:val="24"/>
          <w:szCs w:val="24"/>
          <w:lang w:val="ro-RO"/>
        </w:rPr>
        <w:t>ле</w:t>
      </w:r>
      <w:r w:rsidR="003B0E39">
        <w:rPr>
          <w:rFonts w:asciiTheme="majorHAnsi" w:eastAsiaTheme="minorEastAsia" w:hAnsiTheme="majorHAnsi" w:cstheme="majorHAnsi"/>
          <w:sz w:val="24"/>
          <w:szCs w:val="24"/>
          <w:lang w:val="ru-RU"/>
        </w:rPr>
        <w:t>ев</w:t>
      </w:r>
      <w:r w:rsidRPr="00BD3358">
        <w:rPr>
          <w:rFonts w:asciiTheme="majorHAnsi" w:eastAsiaTheme="minorEastAsia" w:hAnsiTheme="majorHAnsi" w:cstheme="majorHAnsi"/>
          <w:sz w:val="24"/>
          <w:szCs w:val="24"/>
          <w:lang w:val="ro-RO"/>
        </w:rPr>
        <w:t xml:space="preserve"> с истекшим сроком оплаты. Нефункциональность системы </w:t>
      </w:r>
      <w:r w:rsidR="00A93658">
        <w:rPr>
          <w:rFonts w:asciiTheme="majorHAnsi" w:eastAsiaTheme="minorEastAsia" w:hAnsiTheme="majorHAnsi" w:cstheme="majorHAnsi"/>
          <w:sz w:val="24"/>
          <w:szCs w:val="24"/>
          <w:lang w:val="ru-RU"/>
        </w:rPr>
        <w:t>погаш</w:t>
      </w:r>
      <w:r w:rsidRPr="00BD3358">
        <w:rPr>
          <w:rFonts w:asciiTheme="majorHAnsi" w:eastAsiaTheme="minorEastAsia" w:hAnsiTheme="majorHAnsi" w:cstheme="majorHAnsi"/>
          <w:sz w:val="24"/>
          <w:szCs w:val="24"/>
          <w:lang w:val="ro-RO"/>
        </w:rPr>
        <w:t xml:space="preserve">ения </w:t>
      </w:r>
      <w:r w:rsidR="003B0E39" w:rsidRPr="003B0E39">
        <w:rPr>
          <w:rFonts w:asciiTheme="majorHAnsi" w:eastAsiaTheme="minorEastAsia" w:hAnsiTheme="majorHAnsi" w:cstheme="majorHAnsi"/>
          <w:sz w:val="24"/>
          <w:szCs w:val="24"/>
          <w:lang w:val="ro-RO"/>
        </w:rPr>
        <w:t>обязательств</w:t>
      </w:r>
      <w:r w:rsidRPr="00BD3358">
        <w:rPr>
          <w:rFonts w:asciiTheme="majorHAnsi" w:eastAsiaTheme="minorEastAsia" w:hAnsiTheme="majorHAnsi" w:cstheme="majorHAnsi"/>
          <w:sz w:val="24"/>
          <w:szCs w:val="24"/>
          <w:lang w:val="ro-RO"/>
        </w:rPr>
        <w:t xml:space="preserve"> в </w:t>
      </w:r>
      <w:r w:rsidR="003B0E39" w:rsidRPr="003B0E39">
        <w:rPr>
          <w:rFonts w:asciiTheme="majorHAnsi" w:eastAsiaTheme="minorEastAsia" w:hAnsiTheme="majorHAnsi" w:cstheme="majorHAnsi"/>
          <w:sz w:val="24"/>
          <w:szCs w:val="24"/>
          <w:lang w:val="ro-RO"/>
        </w:rPr>
        <w:t xml:space="preserve">рамках </w:t>
      </w:r>
      <w:r w:rsidRPr="00BD3358">
        <w:rPr>
          <w:rFonts w:asciiTheme="majorHAnsi" w:eastAsiaTheme="minorEastAsia" w:hAnsiTheme="majorHAnsi" w:cstheme="majorHAnsi"/>
          <w:sz w:val="24"/>
          <w:szCs w:val="24"/>
          <w:lang w:val="ro-RO"/>
        </w:rPr>
        <w:t>пенитенциарных учреждени</w:t>
      </w:r>
      <w:r w:rsidR="003B0E39" w:rsidRPr="003B0E39">
        <w:rPr>
          <w:rFonts w:asciiTheme="majorHAnsi" w:eastAsiaTheme="minorEastAsia" w:hAnsiTheme="majorHAnsi" w:cstheme="majorHAnsi"/>
          <w:sz w:val="24"/>
          <w:szCs w:val="24"/>
          <w:lang w:val="ro-RO"/>
        </w:rPr>
        <w:t>й</w:t>
      </w:r>
      <w:r w:rsidRPr="00BD3358">
        <w:rPr>
          <w:rFonts w:asciiTheme="majorHAnsi" w:eastAsiaTheme="minorEastAsia" w:hAnsiTheme="majorHAnsi" w:cstheme="majorHAnsi"/>
          <w:sz w:val="24"/>
          <w:szCs w:val="24"/>
          <w:lang w:val="ro-RO"/>
        </w:rPr>
        <w:t xml:space="preserve"> может привести к их потенциальному не</w:t>
      </w:r>
      <w:r w:rsidR="00A93658">
        <w:rPr>
          <w:rFonts w:asciiTheme="majorHAnsi" w:eastAsiaTheme="minorEastAsia" w:hAnsiTheme="majorHAnsi" w:cstheme="majorHAnsi"/>
          <w:sz w:val="24"/>
          <w:szCs w:val="24"/>
          <w:lang w:val="ru-RU"/>
        </w:rPr>
        <w:t>погаш</w:t>
      </w:r>
      <w:r w:rsidRPr="00BD3358">
        <w:rPr>
          <w:rFonts w:asciiTheme="majorHAnsi" w:eastAsiaTheme="minorEastAsia" w:hAnsiTheme="majorHAnsi" w:cstheme="majorHAnsi"/>
          <w:sz w:val="24"/>
          <w:szCs w:val="24"/>
          <w:lang w:val="ro-RO"/>
        </w:rPr>
        <w:t xml:space="preserve">ению, </w:t>
      </w:r>
      <w:r w:rsidR="003B0E39" w:rsidRPr="003B0E39">
        <w:rPr>
          <w:rFonts w:asciiTheme="majorHAnsi" w:eastAsiaTheme="minorEastAsia" w:hAnsiTheme="majorHAnsi" w:cstheme="majorHAnsi"/>
          <w:sz w:val="24"/>
          <w:szCs w:val="24"/>
          <w:lang w:val="ro-RO"/>
        </w:rPr>
        <w:t xml:space="preserve">и </w:t>
      </w:r>
      <w:r w:rsidRPr="00BD3358">
        <w:rPr>
          <w:rFonts w:asciiTheme="majorHAnsi" w:eastAsiaTheme="minorEastAsia" w:hAnsiTheme="majorHAnsi" w:cstheme="majorHAnsi"/>
          <w:sz w:val="24"/>
          <w:szCs w:val="24"/>
          <w:lang w:val="ro-RO"/>
        </w:rPr>
        <w:t xml:space="preserve">впоследствии </w:t>
      </w:r>
      <w:r w:rsidR="00A93658">
        <w:rPr>
          <w:rFonts w:asciiTheme="majorHAnsi" w:eastAsiaTheme="minorEastAsia" w:hAnsiTheme="majorHAnsi" w:cstheme="majorHAnsi"/>
          <w:sz w:val="24"/>
          <w:szCs w:val="24"/>
          <w:lang w:val="ru-RU"/>
        </w:rPr>
        <w:t xml:space="preserve">они </w:t>
      </w:r>
      <w:r w:rsidRPr="00BD3358">
        <w:rPr>
          <w:rFonts w:asciiTheme="majorHAnsi" w:eastAsiaTheme="minorEastAsia" w:hAnsiTheme="majorHAnsi" w:cstheme="majorHAnsi"/>
          <w:sz w:val="24"/>
          <w:szCs w:val="24"/>
          <w:lang w:val="ro-RO"/>
        </w:rPr>
        <w:t>мо</w:t>
      </w:r>
      <w:r w:rsidR="003B0E39" w:rsidRPr="003B0E39">
        <w:rPr>
          <w:rFonts w:asciiTheme="majorHAnsi" w:eastAsiaTheme="minorEastAsia" w:hAnsiTheme="majorHAnsi" w:cstheme="majorHAnsi"/>
          <w:sz w:val="24"/>
          <w:szCs w:val="24"/>
          <w:lang w:val="ro-RO"/>
        </w:rPr>
        <w:t>гу</w:t>
      </w:r>
      <w:r w:rsidRPr="00BD3358">
        <w:rPr>
          <w:rFonts w:asciiTheme="majorHAnsi" w:eastAsiaTheme="minorEastAsia" w:hAnsiTheme="majorHAnsi" w:cstheme="majorHAnsi"/>
          <w:sz w:val="24"/>
          <w:szCs w:val="24"/>
          <w:lang w:val="ro-RO"/>
        </w:rPr>
        <w:t>т быть выплачен</w:t>
      </w:r>
      <w:r w:rsidR="003B0E39" w:rsidRPr="003B0E39">
        <w:rPr>
          <w:rFonts w:asciiTheme="majorHAnsi" w:eastAsiaTheme="minorEastAsia" w:hAnsiTheme="majorHAnsi" w:cstheme="majorHAnsi"/>
          <w:sz w:val="24"/>
          <w:szCs w:val="24"/>
          <w:lang w:val="ro-RO"/>
        </w:rPr>
        <w:t>ы</w:t>
      </w:r>
      <w:r w:rsidRPr="00BD3358">
        <w:rPr>
          <w:rFonts w:asciiTheme="majorHAnsi" w:eastAsiaTheme="minorEastAsia" w:hAnsiTheme="majorHAnsi" w:cstheme="majorHAnsi"/>
          <w:sz w:val="24"/>
          <w:szCs w:val="24"/>
          <w:lang w:val="ro-RO"/>
        </w:rPr>
        <w:t xml:space="preserve"> из бюджетных средств, поскольку некоторые государственные предприятия </w:t>
      </w:r>
      <w:r w:rsidR="003B0E39" w:rsidRPr="003B0E39">
        <w:rPr>
          <w:rFonts w:asciiTheme="majorHAnsi" w:eastAsiaTheme="minorEastAsia" w:hAnsiTheme="majorHAnsi" w:cstheme="majorHAnsi"/>
          <w:sz w:val="24"/>
          <w:szCs w:val="24"/>
          <w:lang w:val="ro-RO"/>
        </w:rPr>
        <w:t>уже</w:t>
      </w:r>
      <w:r w:rsidRPr="00BD3358">
        <w:rPr>
          <w:rFonts w:asciiTheme="majorHAnsi" w:eastAsiaTheme="minorEastAsia" w:hAnsiTheme="majorHAnsi" w:cstheme="majorHAnsi"/>
          <w:sz w:val="24"/>
          <w:szCs w:val="24"/>
          <w:lang w:val="ro-RO"/>
        </w:rPr>
        <w:t xml:space="preserve"> </w:t>
      </w:r>
      <w:r w:rsidR="003B0E39">
        <w:rPr>
          <w:rFonts w:asciiTheme="majorHAnsi" w:eastAsiaTheme="minorEastAsia" w:hAnsiTheme="majorHAnsi" w:cstheme="majorHAnsi"/>
          <w:sz w:val="24"/>
          <w:szCs w:val="24"/>
          <w:lang w:val="ru-RU"/>
        </w:rPr>
        <w:t>не работают</w:t>
      </w:r>
      <w:r w:rsidR="00D129E5" w:rsidRPr="00F55BA6">
        <w:rPr>
          <w:rFonts w:asciiTheme="majorHAnsi" w:eastAsiaTheme="minorEastAsia" w:hAnsiTheme="majorHAnsi" w:cstheme="majorHAnsi"/>
          <w:sz w:val="24"/>
          <w:szCs w:val="24"/>
          <w:lang w:val="ro-RO"/>
        </w:rPr>
        <w:t>.</w:t>
      </w:r>
    </w:p>
    <w:p w:rsidR="00C3538A" w:rsidRPr="00F55BA6" w:rsidRDefault="005D6AE0" w:rsidP="00C3538A">
      <w:pPr>
        <w:tabs>
          <w:tab w:val="left" w:pos="0"/>
        </w:tabs>
        <w:spacing w:after="0" w:line="276" w:lineRule="auto"/>
        <w:contextualSpacing/>
        <w:outlineLvl w:val="2"/>
        <w:rPr>
          <w:rFonts w:asciiTheme="majorHAnsi" w:hAnsiTheme="majorHAnsi" w:cstheme="majorHAnsi"/>
          <w:b/>
          <w:sz w:val="24"/>
          <w:szCs w:val="24"/>
          <w:lang w:val="ro-RO"/>
        </w:rPr>
      </w:pPr>
      <w:bookmarkStart w:id="1" w:name="_Toc10126088"/>
      <w:r w:rsidRPr="00E4517B">
        <w:rPr>
          <w:rFonts w:asciiTheme="majorHAnsi" w:eastAsia="Times New Roman" w:hAnsiTheme="majorHAnsi" w:cstheme="majorHAnsi"/>
          <w:b/>
          <w:sz w:val="24"/>
          <w:szCs w:val="24"/>
          <w:lang w:val="ro-RO"/>
        </w:rPr>
        <w:lastRenderedPageBreak/>
        <w:t>6.13</w:t>
      </w:r>
      <w:r w:rsidR="00C3538A" w:rsidRPr="00F55BA6">
        <w:rPr>
          <w:rFonts w:asciiTheme="majorHAnsi" w:hAnsiTheme="majorHAnsi" w:cstheme="majorHAnsi"/>
          <w:b/>
          <w:sz w:val="24"/>
          <w:szCs w:val="24"/>
          <w:lang w:val="ro-RO"/>
        </w:rPr>
        <w:t xml:space="preserve"> </w:t>
      </w:r>
      <w:r w:rsidR="004C67D5" w:rsidRPr="004C67D5">
        <w:rPr>
          <w:rFonts w:asciiTheme="majorHAnsi" w:hAnsiTheme="majorHAnsi" w:cstheme="majorHAnsi"/>
          <w:b/>
          <w:sz w:val="24"/>
          <w:szCs w:val="24"/>
          <w:lang w:val="ro-RO"/>
        </w:rPr>
        <w:t>По р</w:t>
      </w:r>
      <w:r w:rsidR="00BD3358" w:rsidRPr="00BD3358">
        <w:rPr>
          <w:rFonts w:asciiTheme="majorHAnsi" w:hAnsiTheme="majorHAnsi" w:cstheme="majorHAnsi"/>
          <w:b/>
          <w:sz w:val="24"/>
          <w:szCs w:val="24"/>
          <w:lang w:val="ro-RO"/>
        </w:rPr>
        <w:t>езультат</w:t>
      </w:r>
      <w:r w:rsidR="004C67D5" w:rsidRPr="004C67D5">
        <w:rPr>
          <w:rFonts w:asciiTheme="majorHAnsi" w:hAnsiTheme="majorHAnsi" w:cstheme="majorHAnsi"/>
          <w:b/>
          <w:sz w:val="24"/>
          <w:szCs w:val="24"/>
          <w:lang w:val="ro-RO"/>
        </w:rPr>
        <w:t>ам</w:t>
      </w:r>
      <w:r w:rsidR="00BD3358" w:rsidRPr="00BD3358">
        <w:rPr>
          <w:rFonts w:asciiTheme="majorHAnsi" w:hAnsiTheme="majorHAnsi" w:cstheme="majorHAnsi"/>
          <w:b/>
          <w:sz w:val="24"/>
          <w:szCs w:val="24"/>
          <w:lang w:val="ro-RO"/>
        </w:rPr>
        <w:t xml:space="preserve"> исполнения гос</w:t>
      </w:r>
      <w:r w:rsidR="003B0E39" w:rsidRPr="003B0E39">
        <w:rPr>
          <w:rFonts w:asciiTheme="majorHAnsi" w:hAnsiTheme="majorHAnsi" w:cstheme="majorHAnsi"/>
          <w:b/>
          <w:sz w:val="24"/>
          <w:szCs w:val="24"/>
          <w:lang w:val="ro-RO"/>
        </w:rPr>
        <w:t xml:space="preserve">ударственного </w:t>
      </w:r>
      <w:r w:rsidR="00BD3358" w:rsidRPr="00BD3358">
        <w:rPr>
          <w:rFonts w:asciiTheme="majorHAnsi" w:hAnsiTheme="majorHAnsi" w:cstheme="majorHAnsi"/>
          <w:b/>
          <w:sz w:val="24"/>
          <w:szCs w:val="24"/>
          <w:lang w:val="ro-RO"/>
        </w:rPr>
        <w:t xml:space="preserve">бюджета </w:t>
      </w:r>
      <w:r w:rsidR="004C67D5" w:rsidRPr="004C67D5">
        <w:rPr>
          <w:rFonts w:asciiTheme="majorHAnsi" w:hAnsiTheme="majorHAnsi" w:cstheme="majorHAnsi"/>
          <w:b/>
          <w:sz w:val="24"/>
          <w:szCs w:val="24"/>
          <w:lang w:val="ro-RO"/>
        </w:rPr>
        <w:t>сформировался</w:t>
      </w:r>
      <w:r w:rsidR="00BD3358" w:rsidRPr="00BD3358">
        <w:rPr>
          <w:rFonts w:asciiTheme="majorHAnsi" w:hAnsiTheme="majorHAnsi" w:cstheme="majorHAnsi"/>
          <w:b/>
          <w:sz w:val="24"/>
          <w:szCs w:val="24"/>
          <w:lang w:val="ro-RO"/>
        </w:rPr>
        <w:t xml:space="preserve"> дефицит в </w:t>
      </w:r>
      <w:r w:rsidR="004C67D5" w:rsidRPr="004C67D5">
        <w:rPr>
          <w:rFonts w:asciiTheme="majorHAnsi" w:hAnsiTheme="majorHAnsi" w:cstheme="majorHAnsi"/>
          <w:b/>
          <w:sz w:val="24"/>
          <w:szCs w:val="24"/>
          <w:lang w:val="ro-RO"/>
        </w:rPr>
        <w:t xml:space="preserve"> размере </w:t>
      </w:r>
      <w:r w:rsidR="00BD3358" w:rsidRPr="00BD3358">
        <w:rPr>
          <w:rFonts w:asciiTheme="majorHAnsi" w:hAnsiTheme="majorHAnsi" w:cstheme="majorHAnsi"/>
          <w:b/>
          <w:sz w:val="24"/>
          <w:szCs w:val="24"/>
          <w:lang w:val="ro-RO"/>
        </w:rPr>
        <w:t>11 134,9 млн. ле</w:t>
      </w:r>
      <w:r w:rsidR="003B0E39" w:rsidRPr="003B0E39">
        <w:rPr>
          <w:rFonts w:asciiTheme="majorHAnsi" w:hAnsiTheme="majorHAnsi" w:cstheme="majorHAnsi"/>
          <w:b/>
          <w:sz w:val="24"/>
          <w:szCs w:val="24"/>
          <w:lang w:val="ro-RO"/>
        </w:rPr>
        <w:t>ев</w:t>
      </w:r>
      <w:r w:rsidR="00BD3358" w:rsidRPr="00BD3358">
        <w:rPr>
          <w:rFonts w:asciiTheme="majorHAnsi" w:hAnsiTheme="majorHAnsi" w:cstheme="majorHAnsi"/>
          <w:b/>
          <w:sz w:val="24"/>
          <w:szCs w:val="24"/>
          <w:lang w:val="ro-RO"/>
        </w:rPr>
        <w:t>, увеличившись на 8 028,9 млн. леев по сравнению с предыдущим годом</w:t>
      </w:r>
      <w:bookmarkEnd w:id="1"/>
      <w:r w:rsidR="00AE687E">
        <w:rPr>
          <w:rFonts w:asciiTheme="majorHAnsi" w:hAnsiTheme="majorHAnsi" w:cstheme="majorHAnsi"/>
          <w:b/>
          <w:sz w:val="24"/>
          <w:szCs w:val="24"/>
          <w:lang w:val="ro-RO"/>
        </w:rPr>
        <w:t>.</w:t>
      </w:r>
    </w:p>
    <w:p w:rsidR="00C3538A" w:rsidRPr="00F55BA6" w:rsidRDefault="00BD3358" w:rsidP="00C3538A">
      <w:pPr>
        <w:spacing w:after="0" w:line="276" w:lineRule="auto"/>
        <w:rPr>
          <w:rFonts w:asciiTheme="majorHAnsi" w:eastAsia="Times New Roman" w:hAnsiTheme="majorHAnsi" w:cstheme="majorHAnsi"/>
          <w:sz w:val="24"/>
          <w:szCs w:val="24"/>
          <w:lang w:val="ro-RO"/>
        </w:rPr>
      </w:pPr>
      <w:r w:rsidRPr="00BD3358">
        <w:rPr>
          <w:rFonts w:asciiTheme="majorHAnsi" w:hAnsiTheme="majorHAnsi" w:cstheme="majorHAnsi"/>
          <w:sz w:val="24"/>
          <w:szCs w:val="24"/>
          <w:lang w:val="ro-RO"/>
        </w:rPr>
        <w:t xml:space="preserve">Аудит </w:t>
      </w:r>
      <w:r w:rsidR="004C67D5">
        <w:rPr>
          <w:rFonts w:asciiTheme="majorHAnsi" w:hAnsiTheme="majorHAnsi" w:cstheme="majorHAnsi"/>
          <w:sz w:val="24"/>
          <w:szCs w:val="24"/>
          <w:lang w:val="ru-RU"/>
        </w:rPr>
        <w:t>по О</w:t>
      </w:r>
      <w:r w:rsidRPr="00BD3358">
        <w:rPr>
          <w:rFonts w:asciiTheme="majorHAnsi" w:hAnsiTheme="majorHAnsi" w:cstheme="majorHAnsi"/>
          <w:sz w:val="24"/>
          <w:szCs w:val="24"/>
          <w:lang w:val="ro-RO"/>
        </w:rPr>
        <w:t>тчет</w:t>
      </w:r>
      <w:r w:rsidR="004C67D5">
        <w:rPr>
          <w:rFonts w:asciiTheme="majorHAnsi" w:hAnsiTheme="majorHAnsi" w:cstheme="majorHAnsi"/>
          <w:sz w:val="24"/>
          <w:szCs w:val="24"/>
          <w:lang w:val="ru-RU"/>
        </w:rPr>
        <w:t>у</w:t>
      </w:r>
      <w:r w:rsidRPr="00BD3358">
        <w:rPr>
          <w:rFonts w:asciiTheme="majorHAnsi" w:hAnsiTheme="majorHAnsi" w:cstheme="majorHAnsi"/>
          <w:sz w:val="24"/>
          <w:szCs w:val="24"/>
          <w:lang w:val="ro-RO"/>
        </w:rPr>
        <w:t xml:space="preserve"> об исполнении общих показателей и источников финансирования государственного бюджета</w:t>
      </w:r>
      <w:r w:rsidR="004C67D5" w:rsidRPr="00E4517B">
        <w:rPr>
          <w:rFonts w:asciiTheme="majorHAnsi" w:hAnsiTheme="majorHAnsi" w:cstheme="majorHAnsi"/>
          <w:sz w:val="24"/>
          <w:szCs w:val="24"/>
          <w:vertAlign w:val="superscript"/>
          <w:lang w:val="ro-RO"/>
        </w:rPr>
        <w:footnoteReference w:id="68"/>
      </w:r>
      <w:r w:rsidRPr="00BD3358">
        <w:rPr>
          <w:rFonts w:asciiTheme="majorHAnsi" w:hAnsiTheme="majorHAnsi" w:cstheme="majorHAnsi"/>
          <w:sz w:val="24"/>
          <w:szCs w:val="24"/>
          <w:lang w:val="ro-RO"/>
        </w:rPr>
        <w:t xml:space="preserve"> </w:t>
      </w:r>
      <w:r w:rsidR="004C67D5">
        <w:rPr>
          <w:rFonts w:asciiTheme="majorHAnsi" w:hAnsiTheme="majorHAnsi" w:cstheme="majorHAnsi"/>
          <w:sz w:val="24"/>
          <w:szCs w:val="24"/>
          <w:lang w:val="ru-RU"/>
        </w:rPr>
        <w:t>з</w:t>
      </w:r>
      <w:r w:rsidRPr="00BD3358">
        <w:rPr>
          <w:rFonts w:asciiTheme="majorHAnsi" w:hAnsiTheme="majorHAnsi" w:cstheme="majorHAnsi"/>
          <w:sz w:val="24"/>
          <w:szCs w:val="24"/>
          <w:lang w:val="ro-RO"/>
        </w:rPr>
        <w:t>а 2020 год показ</w:t>
      </w:r>
      <w:r w:rsidR="004C67D5">
        <w:rPr>
          <w:rFonts w:asciiTheme="majorHAnsi" w:hAnsiTheme="majorHAnsi" w:cstheme="majorHAnsi"/>
          <w:sz w:val="24"/>
          <w:szCs w:val="24"/>
          <w:lang w:val="ru-RU"/>
        </w:rPr>
        <w:t>ал</w:t>
      </w:r>
      <w:r w:rsidRPr="00BD3358">
        <w:rPr>
          <w:rFonts w:asciiTheme="majorHAnsi" w:hAnsiTheme="majorHAnsi" w:cstheme="majorHAnsi"/>
          <w:sz w:val="24"/>
          <w:szCs w:val="24"/>
          <w:lang w:val="ro-RO"/>
        </w:rPr>
        <w:t xml:space="preserve">, что исполнение государственного бюджета на 31.12.2020 завершилось </w:t>
      </w:r>
      <w:r w:rsidR="004C67D5">
        <w:rPr>
          <w:rFonts w:asciiTheme="majorHAnsi" w:hAnsiTheme="majorHAnsi" w:cstheme="majorHAnsi"/>
          <w:sz w:val="24"/>
          <w:szCs w:val="24"/>
          <w:lang w:val="ru-RU"/>
        </w:rPr>
        <w:t xml:space="preserve">с </w:t>
      </w:r>
      <w:r w:rsidRPr="00BD3358">
        <w:rPr>
          <w:rFonts w:asciiTheme="majorHAnsi" w:hAnsiTheme="majorHAnsi" w:cstheme="majorHAnsi"/>
          <w:sz w:val="24"/>
          <w:szCs w:val="24"/>
          <w:lang w:val="ro-RO"/>
        </w:rPr>
        <w:t>дефицитом (-11 134,9) млн. ле</w:t>
      </w:r>
      <w:r w:rsidR="004C67D5">
        <w:rPr>
          <w:rFonts w:asciiTheme="majorHAnsi" w:hAnsiTheme="majorHAnsi" w:cstheme="majorHAnsi"/>
          <w:sz w:val="24"/>
          <w:szCs w:val="24"/>
          <w:lang w:val="ru-RU"/>
        </w:rPr>
        <w:t>ев</w:t>
      </w:r>
      <w:r w:rsidRPr="00BD3358">
        <w:rPr>
          <w:rFonts w:asciiTheme="majorHAnsi" w:hAnsiTheme="majorHAnsi" w:cstheme="majorHAnsi"/>
          <w:sz w:val="24"/>
          <w:szCs w:val="24"/>
          <w:lang w:val="ro-RO"/>
        </w:rPr>
        <w:t xml:space="preserve">, </w:t>
      </w:r>
      <w:r w:rsidR="004C67D5">
        <w:rPr>
          <w:rFonts w:asciiTheme="majorHAnsi" w:hAnsiTheme="majorHAnsi" w:cstheme="majorHAnsi"/>
          <w:sz w:val="24"/>
          <w:szCs w:val="24"/>
          <w:lang w:val="ru-RU"/>
        </w:rPr>
        <w:t xml:space="preserve">или </w:t>
      </w:r>
      <w:r w:rsidRPr="00BD3358">
        <w:rPr>
          <w:rFonts w:asciiTheme="majorHAnsi" w:hAnsiTheme="majorHAnsi" w:cstheme="majorHAnsi"/>
          <w:sz w:val="24"/>
          <w:szCs w:val="24"/>
          <w:lang w:val="ro-RO"/>
        </w:rPr>
        <w:t xml:space="preserve">на 4 864,5 млн. леев ниже </w:t>
      </w:r>
      <w:r w:rsidR="004C67D5" w:rsidRPr="00BD3358">
        <w:rPr>
          <w:rFonts w:asciiTheme="majorHAnsi" w:hAnsiTheme="majorHAnsi" w:cstheme="majorHAnsi"/>
          <w:sz w:val="24"/>
          <w:szCs w:val="24"/>
          <w:lang w:val="ro-RO"/>
        </w:rPr>
        <w:t xml:space="preserve">уточненного </w:t>
      </w:r>
      <w:r w:rsidRPr="00BD3358">
        <w:rPr>
          <w:rFonts w:asciiTheme="majorHAnsi" w:hAnsiTheme="majorHAnsi" w:cstheme="majorHAnsi"/>
          <w:sz w:val="24"/>
          <w:szCs w:val="24"/>
          <w:lang w:val="ro-RO"/>
        </w:rPr>
        <w:t>уровня дефицита (- 15 999,4 млн. ле</w:t>
      </w:r>
      <w:r w:rsidR="004C67D5">
        <w:rPr>
          <w:rFonts w:asciiTheme="majorHAnsi" w:hAnsiTheme="majorHAnsi" w:cstheme="majorHAnsi"/>
          <w:sz w:val="24"/>
          <w:szCs w:val="24"/>
          <w:lang w:val="ru-RU"/>
        </w:rPr>
        <w:t>ев</w:t>
      </w:r>
      <w:r w:rsidRPr="00BD3358">
        <w:rPr>
          <w:rFonts w:asciiTheme="majorHAnsi" w:hAnsiTheme="majorHAnsi" w:cstheme="majorHAnsi"/>
          <w:sz w:val="24"/>
          <w:szCs w:val="24"/>
          <w:lang w:val="ro-RO"/>
        </w:rPr>
        <w:t xml:space="preserve">). </w:t>
      </w:r>
      <w:r w:rsidR="004C67D5">
        <w:rPr>
          <w:rFonts w:asciiTheme="majorHAnsi" w:hAnsiTheme="majorHAnsi" w:cstheme="majorHAnsi"/>
          <w:sz w:val="24"/>
          <w:szCs w:val="24"/>
          <w:lang w:val="ru-RU"/>
        </w:rPr>
        <w:t>По</w:t>
      </w:r>
      <w:r w:rsidRPr="00BD3358">
        <w:rPr>
          <w:rFonts w:asciiTheme="majorHAnsi" w:hAnsiTheme="majorHAnsi" w:cstheme="majorHAnsi"/>
          <w:sz w:val="24"/>
          <w:szCs w:val="24"/>
          <w:lang w:val="ro-RO"/>
        </w:rPr>
        <w:t xml:space="preserve"> сравнени</w:t>
      </w:r>
      <w:r w:rsidR="004C67D5">
        <w:rPr>
          <w:rFonts w:asciiTheme="majorHAnsi" w:hAnsiTheme="majorHAnsi" w:cstheme="majorHAnsi"/>
          <w:sz w:val="24"/>
          <w:szCs w:val="24"/>
          <w:lang w:val="ru-RU"/>
        </w:rPr>
        <w:t>ю</w:t>
      </w:r>
      <w:r w:rsidRPr="00BD3358">
        <w:rPr>
          <w:rFonts w:asciiTheme="majorHAnsi" w:hAnsiTheme="majorHAnsi" w:cstheme="majorHAnsi"/>
          <w:sz w:val="24"/>
          <w:szCs w:val="24"/>
          <w:lang w:val="ro-RO"/>
        </w:rPr>
        <w:t xml:space="preserve"> с 2019 годом, результат исполнения государственного бюджета (дефицит) в 2020 году увеличился на 358,5%, а по сравнению с 2018 годом</w:t>
      </w:r>
      <w:r w:rsidR="004C67D5">
        <w:rPr>
          <w:rFonts w:asciiTheme="majorHAnsi" w:hAnsiTheme="majorHAnsi" w:cstheme="majorHAnsi"/>
          <w:sz w:val="24"/>
          <w:szCs w:val="24"/>
          <w:lang w:val="ru-RU"/>
        </w:rPr>
        <w:t xml:space="preserve"> </w:t>
      </w:r>
      <w:r w:rsidRPr="00BD3358">
        <w:rPr>
          <w:rFonts w:asciiTheme="majorHAnsi" w:hAnsiTheme="majorHAnsi" w:cstheme="majorHAnsi"/>
          <w:sz w:val="24"/>
          <w:szCs w:val="24"/>
          <w:lang w:val="ro-RO"/>
        </w:rPr>
        <w:t>-</w:t>
      </w:r>
      <w:r w:rsidR="004C67D5">
        <w:rPr>
          <w:rFonts w:asciiTheme="majorHAnsi" w:hAnsiTheme="majorHAnsi" w:cstheme="majorHAnsi"/>
          <w:sz w:val="24"/>
          <w:szCs w:val="24"/>
          <w:lang w:val="ru-RU"/>
        </w:rPr>
        <w:t xml:space="preserve"> </w:t>
      </w:r>
      <w:r w:rsidRPr="00BD3358">
        <w:rPr>
          <w:rFonts w:asciiTheme="majorHAnsi" w:hAnsiTheme="majorHAnsi" w:cstheme="majorHAnsi"/>
          <w:sz w:val="24"/>
          <w:szCs w:val="24"/>
          <w:lang w:val="ro-RO"/>
        </w:rPr>
        <w:t xml:space="preserve">на 489,3%, в результате эволюции национальной экономики под давлением последствий пандемии COVID-19 и последствий климатических явлений в стране. </w:t>
      </w:r>
      <w:r w:rsidRPr="004C67D5">
        <w:rPr>
          <w:rFonts w:asciiTheme="majorHAnsi" w:hAnsiTheme="majorHAnsi" w:cstheme="majorHAnsi"/>
          <w:i/>
          <w:sz w:val="24"/>
          <w:szCs w:val="24"/>
          <w:lang w:val="ro-RO"/>
        </w:rPr>
        <w:t>Тенденции дефицита гос</w:t>
      </w:r>
      <w:r w:rsidR="004C67D5" w:rsidRPr="004C67D5">
        <w:rPr>
          <w:rFonts w:asciiTheme="majorHAnsi" w:hAnsiTheme="majorHAnsi" w:cstheme="majorHAnsi"/>
          <w:i/>
          <w:sz w:val="24"/>
          <w:szCs w:val="24"/>
          <w:lang w:val="ru-RU"/>
        </w:rPr>
        <w:t xml:space="preserve">ударственного </w:t>
      </w:r>
      <w:r w:rsidRPr="004C67D5">
        <w:rPr>
          <w:rFonts w:asciiTheme="majorHAnsi" w:hAnsiTheme="majorHAnsi" w:cstheme="majorHAnsi"/>
          <w:i/>
          <w:sz w:val="24"/>
          <w:szCs w:val="24"/>
          <w:lang w:val="ro-RO"/>
        </w:rPr>
        <w:t xml:space="preserve">бюджета </w:t>
      </w:r>
      <w:r w:rsidR="004C67D5" w:rsidRPr="004C67D5">
        <w:rPr>
          <w:rFonts w:asciiTheme="majorHAnsi" w:hAnsiTheme="majorHAnsi" w:cstheme="majorHAnsi"/>
          <w:i/>
          <w:sz w:val="24"/>
          <w:szCs w:val="24"/>
          <w:lang w:val="ru-RU"/>
        </w:rPr>
        <w:t>з</w:t>
      </w:r>
      <w:r w:rsidRPr="004C67D5">
        <w:rPr>
          <w:rFonts w:asciiTheme="majorHAnsi" w:hAnsiTheme="majorHAnsi" w:cstheme="majorHAnsi"/>
          <w:i/>
          <w:sz w:val="24"/>
          <w:szCs w:val="24"/>
          <w:lang w:val="ro-RO"/>
        </w:rPr>
        <w:t xml:space="preserve">а 2020 год, в динамике, а также его </w:t>
      </w:r>
      <w:r w:rsidR="004C67D5" w:rsidRPr="004C67D5">
        <w:rPr>
          <w:rFonts w:asciiTheme="majorHAnsi" w:hAnsiTheme="majorHAnsi" w:cstheme="majorHAnsi"/>
          <w:i/>
          <w:sz w:val="24"/>
          <w:szCs w:val="24"/>
          <w:lang w:val="ru-RU"/>
        </w:rPr>
        <w:t>удельный вес</w:t>
      </w:r>
      <w:r w:rsidRPr="004C67D5">
        <w:rPr>
          <w:rFonts w:asciiTheme="majorHAnsi" w:hAnsiTheme="majorHAnsi" w:cstheme="majorHAnsi"/>
          <w:i/>
          <w:sz w:val="24"/>
          <w:szCs w:val="24"/>
          <w:lang w:val="ro-RO"/>
        </w:rPr>
        <w:t xml:space="preserve"> в ВВП представлены в таблице</w:t>
      </w:r>
      <w:r w:rsidR="004C67D5" w:rsidRPr="004C67D5">
        <w:rPr>
          <w:rFonts w:asciiTheme="majorHAnsi" w:hAnsiTheme="majorHAnsi" w:cstheme="majorHAnsi"/>
          <w:i/>
          <w:sz w:val="24"/>
          <w:szCs w:val="24"/>
          <w:lang w:val="ru-RU"/>
        </w:rPr>
        <w:t xml:space="preserve"> </w:t>
      </w:r>
      <w:r w:rsidRPr="004C67D5">
        <w:rPr>
          <w:rFonts w:asciiTheme="majorHAnsi" w:hAnsiTheme="majorHAnsi" w:cstheme="majorHAnsi"/>
          <w:i/>
          <w:sz w:val="24"/>
          <w:szCs w:val="24"/>
          <w:lang w:val="ro-RO"/>
        </w:rPr>
        <w:t>№1</w:t>
      </w:r>
      <w:r w:rsidR="00C3538A" w:rsidRPr="00973E5B">
        <w:rPr>
          <w:rFonts w:asciiTheme="majorHAnsi" w:hAnsiTheme="majorHAnsi" w:cstheme="majorHAnsi"/>
          <w:i/>
          <w:sz w:val="24"/>
          <w:szCs w:val="24"/>
          <w:lang w:val="ro-RO"/>
        </w:rPr>
        <w:t>.</w:t>
      </w:r>
    </w:p>
    <w:p w:rsidR="00C3538A" w:rsidRPr="00E4517B" w:rsidRDefault="004C67D5" w:rsidP="00C3538A">
      <w:pPr>
        <w:spacing w:after="0" w:line="276" w:lineRule="auto"/>
        <w:jc w:val="right"/>
        <w:rPr>
          <w:rFonts w:asciiTheme="majorHAnsi" w:eastAsia="Times New Roman" w:hAnsiTheme="majorHAnsi" w:cstheme="majorHAnsi"/>
          <w:i/>
          <w:sz w:val="24"/>
          <w:szCs w:val="24"/>
          <w:lang w:val="ro-RO" w:eastAsia="ru-RU"/>
        </w:rPr>
      </w:pPr>
      <w:r>
        <w:rPr>
          <w:rFonts w:asciiTheme="majorHAnsi" w:eastAsia="Times New Roman" w:hAnsiTheme="majorHAnsi" w:cstheme="majorHAnsi"/>
          <w:i/>
          <w:sz w:val="24"/>
          <w:szCs w:val="24"/>
          <w:lang w:val="ro-RO" w:eastAsia="ru-RU"/>
        </w:rPr>
        <w:t>Таблица №</w:t>
      </w:r>
      <w:r w:rsidR="00C3538A" w:rsidRPr="00E4517B">
        <w:rPr>
          <w:rFonts w:asciiTheme="majorHAnsi" w:eastAsia="Times New Roman" w:hAnsiTheme="majorHAnsi" w:cstheme="majorHAnsi"/>
          <w:i/>
          <w:sz w:val="24"/>
          <w:szCs w:val="24"/>
          <w:lang w:val="ro-RO" w:eastAsia="ru-RU"/>
        </w:rPr>
        <w:t>1</w:t>
      </w:r>
    </w:p>
    <w:p w:rsidR="00C3538A" w:rsidRPr="005B717F" w:rsidRDefault="005B717F" w:rsidP="005B717F">
      <w:pPr>
        <w:spacing w:after="0" w:line="276" w:lineRule="auto"/>
        <w:ind w:right="51"/>
        <w:jc w:val="center"/>
        <w:rPr>
          <w:rFonts w:asciiTheme="majorHAnsi" w:eastAsia="Times New Roman" w:hAnsiTheme="majorHAnsi" w:cstheme="majorHAnsi"/>
          <w:b/>
          <w:sz w:val="24"/>
          <w:szCs w:val="24"/>
          <w:lang w:val="ro-RO" w:eastAsia="ru-RU"/>
        </w:rPr>
      </w:pPr>
      <w:r w:rsidRPr="005B717F">
        <w:rPr>
          <w:rFonts w:asciiTheme="majorHAnsi" w:hAnsiTheme="majorHAnsi" w:cstheme="majorHAnsi"/>
          <w:b/>
          <w:sz w:val="24"/>
          <w:szCs w:val="24"/>
          <w:lang w:val="ro-RO"/>
        </w:rPr>
        <w:t>Тенденции дефицита гос</w:t>
      </w:r>
      <w:r w:rsidRPr="005B717F">
        <w:rPr>
          <w:rFonts w:asciiTheme="majorHAnsi" w:hAnsiTheme="majorHAnsi" w:cstheme="majorHAnsi"/>
          <w:b/>
          <w:sz w:val="24"/>
          <w:szCs w:val="24"/>
          <w:lang w:val="ru-RU"/>
        </w:rPr>
        <w:t xml:space="preserve">ударственного </w:t>
      </w:r>
      <w:r w:rsidRPr="005B717F">
        <w:rPr>
          <w:rFonts w:asciiTheme="majorHAnsi" w:hAnsiTheme="majorHAnsi" w:cstheme="majorHAnsi"/>
          <w:b/>
          <w:sz w:val="24"/>
          <w:szCs w:val="24"/>
          <w:lang w:val="ro-RO"/>
        </w:rPr>
        <w:t xml:space="preserve">бюджета </w:t>
      </w:r>
      <w:r w:rsidRPr="005B717F">
        <w:rPr>
          <w:rFonts w:asciiTheme="majorHAnsi" w:hAnsiTheme="majorHAnsi" w:cstheme="majorHAnsi"/>
          <w:b/>
          <w:sz w:val="24"/>
          <w:szCs w:val="24"/>
          <w:lang w:val="ru-RU"/>
        </w:rPr>
        <w:t>з</w:t>
      </w:r>
      <w:r w:rsidRPr="005B717F">
        <w:rPr>
          <w:rFonts w:asciiTheme="majorHAnsi" w:hAnsiTheme="majorHAnsi" w:cstheme="majorHAnsi"/>
          <w:b/>
          <w:sz w:val="24"/>
          <w:szCs w:val="24"/>
          <w:lang w:val="ro-RO"/>
        </w:rPr>
        <w:t>а</w:t>
      </w:r>
      <w:r w:rsidRPr="005B717F">
        <w:rPr>
          <w:rFonts w:asciiTheme="majorHAnsi" w:eastAsia="Times New Roman" w:hAnsiTheme="majorHAnsi" w:cstheme="majorHAnsi"/>
          <w:b/>
          <w:sz w:val="24"/>
          <w:szCs w:val="24"/>
          <w:lang w:val="ro-RO" w:eastAsia="ru-RU"/>
        </w:rPr>
        <w:t xml:space="preserve"> </w:t>
      </w:r>
      <w:r w:rsidR="00C3538A" w:rsidRPr="005B717F">
        <w:rPr>
          <w:rFonts w:asciiTheme="majorHAnsi" w:eastAsia="Times New Roman" w:hAnsiTheme="majorHAnsi" w:cstheme="majorHAnsi"/>
          <w:b/>
          <w:sz w:val="24"/>
          <w:szCs w:val="24"/>
          <w:lang w:val="ro-RO" w:eastAsia="ru-RU"/>
        </w:rPr>
        <w:t>2018-2020</w:t>
      </w:r>
      <w:r w:rsidRPr="005B717F">
        <w:rPr>
          <w:rFonts w:asciiTheme="majorHAnsi" w:eastAsia="Times New Roman" w:hAnsiTheme="majorHAnsi" w:cstheme="majorHAnsi"/>
          <w:b/>
          <w:sz w:val="24"/>
          <w:szCs w:val="24"/>
          <w:lang w:val="ru-RU" w:eastAsia="ru-RU"/>
        </w:rPr>
        <w:t xml:space="preserve"> годы и </w:t>
      </w:r>
      <w:r w:rsidR="00C3538A" w:rsidRPr="005B717F">
        <w:rPr>
          <w:rFonts w:asciiTheme="majorHAnsi" w:eastAsia="Times New Roman" w:hAnsiTheme="majorHAnsi" w:cstheme="majorHAnsi"/>
          <w:b/>
          <w:sz w:val="24"/>
          <w:szCs w:val="24"/>
          <w:lang w:val="ro-RO" w:eastAsia="ru-RU"/>
        </w:rPr>
        <w:t xml:space="preserve"> </w:t>
      </w:r>
      <w:r w:rsidRPr="005B717F">
        <w:rPr>
          <w:rFonts w:asciiTheme="majorHAnsi" w:hAnsiTheme="majorHAnsi" w:cstheme="majorHAnsi"/>
          <w:b/>
          <w:sz w:val="24"/>
          <w:szCs w:val="24"/>
          <w:lang w:val="ro-RO"/>
        </w:rPr>
        <w:t xml:space="preserve">его </w:t>
      </w:r>
      <w:r w:rsidRPr="005B717F">
        <w:rPr>
          <w:rFonts w:asciiTheme="majorHAnsi" w:hAnsiTheme="majorHAnsi" w:cstheme="majorHAnsi"/>
          <w:b/>
          <w:sz w:val="24"/>
          <w:szCs w:val="24"/>
          <w:lang w:val="ru-RU"/>
        </w:rPr>
        <w:t>удельный вес</w:t>
      </w:r>
      <w:r w:rsidRPr="005B717F">
        <w:rPr>
          <w:rFonts w:asciiTheme="majorHAnsi" w:hAnsiTheme="majorHAnsi" w:cstheme="majorHAnsi"/>
          <w:b/>
          <w:sz w:val="24"/>
          <w:szCs w:val="24"/>
          <w:lang w:val="ro-RO"/>
        </w:rPr>
        <w:t xml:space="preserve"> в ВВП</w:t>
      </w:r>
    </w:p>
    <w:p w:rsidR="00C3538A" w:rsidRPr="00B05CFC" w:rsidRDefault="00C3538A" w:rsidP="00C3538A">
      <w:pPr>
        <w:spacing w:after="0" w:line="276" w:lineRule="auto"/>
        <w:jc w:val="right"/>
        <w:rPr>
          <w:rFonts w:asciiTheme="majorHAnsi" w:eastAsia="Times New Roman" w:hAnsiTheme="majorHAnsi" w:cstheme="majorHAnsi"/>
          <w:b/>
          <w:sz w:val="24"/>
          <w:szCs w:val="24"/>
          <w:lang w:val="ro-RO" w:eastAsia="ru-RU"/>
        </w:rPr>
      </w:pPr>
      <w:r w:rsidRPr="00B05CFC">
        <w:rPr>
          <w:rFonts w:asciiTheme="majorHAnsi" w:eastAsia="Times New Roman" w:hAnsiTheme="majorHAnsi" w:cstheme="majorHAnsi"/>
          <w:b/>
          <w:sz w:val="24"/>
          <w:szCs w:val="24"/>
          <w:lang w:val="ro-RO" w:eastAsia="ru-RU"/>
        </w:rPr>
        <w:t>(</w:t>
      </w:r>
      <w:r w:rsidR="005B717F">
        <w:rPr>
          <w:rFonts w:asciiTheme="majorHAnsi" w:eastAsia="Times New Roman" w:hAnsiTheme="majorHAnsi" w:cstheme="majorHAnsi"/>
          <w:b/>
          <w:sz w:val="24"/>
          <w:szCs w:val="24"/>
          <w:lang w:val="ro-RO" w:eastAsia="ru-RU"/>
        </w:rPr>
        <w:t>млн. леев</w:t>
      </w:r>
      <w:r w:rsidRPr="00B05CFC">
        <w:rPr>
          <w:rFonts w:asciiTheme="majorHAnsi" w:eastAsia="Times New Roman" w:hAnsiTheme="majorHAnsi" w:cstheme="majorHAnsi"/>
          <w:b/>
          <w:sz w:val="24"/>
          <w:szCs w:val="24"/>
          <w:lang w:val="ro-RO" w:eastAsia="ru-RU"/>
        </w:rPr>
        <w:t>)</w:t>
      </w:r>
    </w:p>
    <w:tbl>
      <w:tblPr>
        <w:tblStyle w:val="GridTable1Light1"/>
        <w:tblW w:w="9695" w:type="dxa"/>
        <w:tblLook w:val="04A0" w:firstRow="1" w:lastRow="0" w:firstColumn="1" w:lastColumn="0" w:noHBand="0" w:noVBand="1"/>
      </w:tblPr>
      <w:tblGrid>
        <w:gridCol w:w="1633"/>
        <w:gridCol w:w="1108"/>
        <w:gridCol w:w="1151"/>
        <w:gridCol w:w="1306"/>
        <w:gridCol w:w="1057"/>
        <w:gridCol w:w="1143"/>
        <w:gridCol w:w="1147"/>
        <w:gridCol w:w="1150"/>
      </w:tblGrid>
      <w:tr w:rsidR="00C3538A" w:rsidRPr="00E4517B" w:rsidTr="00B517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tcPr>
          <w:p w:rsidR="00C3538A" w:rsidRPr="005B717F" w:rsidRDefault="005B717F" w:rsidP="00B51730">
            <w:pPr>
              <w:jc w:val="center"/>
              <w:rPr>
                <w:rFonts w:asciiTheme="majorHAnsi" w:eastAsia="Times New Roman" w:hAnsiTheme="majorHAnsi" w:cstheme="majorHAnsi"/>
                <w:b w:val="0"/>
                <w:i/>
                <w:sz w:val="16"/>
                <w:szCs w:val="16"/>
                <w:lang w:val="ru-RU" w:eastAsia="ru-RU"/>
              </w:rPr>
            </w:pPr>
            <w:r>
              <w:rPr>
                <w:rFonts w:asciiTheme="majorHAnsi" w:eastAsia="Times New Roman" w:hAnsiTheme="majorHAnsi" w:cstheme="majorHAnsi"/>
                <w:i/>
                <w:sz w:val="20"/>
                <w:szCs w:val="20"/>
                <w:lang w:val="ru-RU" w:eastAsia="ru-RU"/>
              </w:rPr>
              <w:t>Показатели</w:t>
            </w:r>
          </w:p>
        </w:tc>
        <w:tc>
          <w:tcPr>
            <w:tcW w:w="1029" w:type="dxa"/>
            <w:vAlign w:val="center"/>
          </w:tcPr>
          <w:p w:rsidR="00C3538A" w:rsidRPr="005B717F" w:rsidRDefault="00C3538A" w:rsidP="00B51730">
            <w:pPr>
              <w:ind w:right="-127"/>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u-RU" w:eastAsia="ru-RU"/>
              </w:rPr>
            </w:pPr>
            <w:r w:rsidRPr="00E4517B">
              <w:rPr>
                <w:rFonts w:asciiTheme="majorHAnsi" w:eastAsia="Times New Roman" w:hAnsiTheme="majorHAnsi" w:cstheme="majorHAnsi"/>
                <w:i/>
                <w:sz w:val="20"/>
                <w:szCs w:val="20"/>
                <w:lang w:val="ro-RO" w:eastAsia="ru-RU"/>
              </w:rPr>
              <w:t>2018</w:t>
            </w:r>
            <w:r w:rsidR="005B717F">
              <w:rPr>
                <w:rFonts w:asciiTheme="majorHAnsi" w:eastAsia="Times New Roman" w:hAnsiTheme="majorHAnsi" w:cstheme="majorHAnsi"/>
                <w:i/>
                <w:sz w:val="20"/>
                <w:szCs w:val="20"/>
                <w:lang w:val="ru-RU" w:eastAsia="ru-RU"/>
              </w:rPr>
              <w:t xml:space="preserve"> год</w:t>
            </w:r>
          </w:p>
        </w:tc>
        <w:tc>
          <w:tcPr>
            <w:tcW w:w="1193" w:type="dxa"/>
            <w:vAlign w:val="center"/>
          </w:tcPr>
          <w:p w:rsidR="00C3538A" w:rsidRPr="005B717F" w:rsidRDefault="00C3538A" w:rsidP="00B51730">
            <w:pPr>
              <w:ind w:right="-1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u-RU" w:eastAsia="ru-RU"/>
              </w:rPr>
            </w:pPr>
            <w:r w:rsidRPr="00E4517B">
              <w:rPr>
                <w:rFonts w:asciiTheme="majorHAnsi" w:eastAsia="Times New Roman" w:hAnsiTheme="majorHAnsi" w:cstheme="majorHAnsi"/>
                <w:i/>
                <w:sz w:val="20"/>
                <w:szCs w:val="20"/>
                <w:lang w:val="ro-RO" w:eastAsia="ru-RU"/>
              </w:rPr>
              <w:t>2019</w:t>
            </w:r>
            <w:r w:rsidR="005B717F">
              <w:rPr>
                <w:rFonts w:asciiTheme="majorHAnsi" w:eastAsia="Times New Roman" w:hAnsiTheme="majorHAnsi" w:cstheme="majorHAnsi"/>
                <w:i/>
                <w:sz w:val="20"/>
                <w:szCs w:val="20"/>
                <w:lang w:val="ru-RU" w:eastAsia="ru-RU"/>
              </w:rPr>
              <w:t xml:space="preserve"> год</w:t>
            </w:r>
          </w:p>
        </w:tc>
        <w:tc>
          <w:tcPr>
            <w:tcW w:w="3104" w:type="dxa"/>
            <w:gridSpan w:val="3"/>
            <w:vAlign w:val="center"/>
          </w:tcPr>
          <w:p w:rsidR="00C3538A" w:rsidRPr="005B717F" w:rsidRDefault="00C3538A" w:rsidP="00B51730">
            <w:pPr>
              <w:ind w:right="-127"/>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20"/>
                <w:szCs w:val="20"/>
                <w:lang w:val="ru-RU" w:eastAsia="ru-RU"/>
              </w:rPr>
            </w:pPr>
            <w:r w:rsidRPr="00E4517B">
              <w:rPr>
                <w:rFonts w:asciiTheme="majorHAnsi" w:eastAsia="Times New Roman" w:hAnsiTheme="majorHAnsi" w:cstheme="majorHAnsi"/>
                <w:i/>
                <w:sz w:val="20"/>
                <w:szCs w:val="20"/>
                <w:lang w:val="ro-RO" w:eastAsia="ru-RU"/>
              </w:rPr>
              <w:t>2020</w:t>
            </w:r>
            <w:r w:rsidR="005B717F">
              <w:rPr>
                <w:rFonts w:asciiTheme="majorHAnsi" w:eastAsia="Times New Roman" w:hAnsiTheme="majorHAnsi" w:cstheme="majorHAnsi"/>
                <w:i/>
                <w:sz w:val="20"/>
                <w:szCs w:val="20"/>
                <w:lang w:val="ru-RU" w:eastAsia="ru-RU"/>
              </w:rPr>
              <w:t xml:space="preserve"> год</w:t>
            </w:r>
          </w:p>
        </w:tc>
        <w:tc>
          <w:tcPr>
            <w:tcW w:w="2389" w:type="dxa"/>
            <w:gridSpan w:val="2"/>
            <w:vAlign w:val="center"/>
          </w:tcPr>
          <w:p w:rsidR="00C3538A" w:rsidRPr="00E4517B" w:rsidRDefault="005B717F" w:rsidP="00B51730">
            <w:pPr>
              <w:ind w:right="-127"/>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i/>
                <w:sz w:val="20"/>
                <w:szCs w:val="20"/>
                <w:lang w:val="ro-RO" w:eastAsia="ru-RU"/>
              </w:rPr>
            </w:pPr>
            <w:r>
              <w:rPr>
                <w:rFonts w:asciiTheme="majorHAnsi" w:eastAsia="Times New Roman" w:hAnsiTheme="majorHAnsi" w:cstheme="majorHAnsi"/>
                <w:i/>
                <w:sz w:val="20"/>
                <w:szCs w:val="20"/>
                <w:lang w:val="ru-RU" w:eastAsia="ru-RU"/>
              </w:rPr>
              <w:t>Отклонения</w:t>
            </w:r>
            <w:r w:rsidR="00C3538A" w:rsidRPr="00E4517B">
              <w:rPr>
                <w:rFonts w:asciiTheme="majorHAnsi" w:eastAsia="Times New Roman" w:hAnsiTheme="majorHAnsi" w:cstheme="majorHAnsi"/>
                <w:i/>
                <w:sz w:val="20"/>
                <w:szCs w:val="20"/>
                <w:lang w:val="ro-RO" w:eastAsia="ru-RU"/>
              </w:rPr>
              <w:t xml:space="preserve"> (+/-)</w:t>
            </w:r>
          </w:p>
        </w:tc>
      </w:tr>
      <w:tr w:rsidR="00C3538A" w:rsidRPr="00E4517B" w:rsidTr="00B51730">
        <w:tc>
          <w:tcPr>
            <w:cnfStyle w:val="001000000000" w:firstRow="0" w:lastRow="0" w:firstColumn="1" w:lastColumn="0" w:oddVBand="0" w:evenVBand="0" w:oddHBand="0" w:evenHBand="0" w:firstRowFirstColumn="0" w:firstRowLastColumn="0" w:lastRowFirstColumn="0" w:lastRowLastColumn="0"/>
            <w:tcW w:w="1980" w:type="dxa"/>
            <w:vMerge/>
            <w:vAlign w:val="center"/>
          </w:tcPr>
          <w:p w:rsidR="00C3538A" w:rsidRPr="00E4517B" w:rsidRDefault="00C3538A" w:rsidP="00B51730">
            <w:pPr>
              <w:jc w:val="center"/>
              <w:rPr>
                <w:rFonts w:asciiTheme="majorHAnsi" w:eastAsia="Times New Roman" w:hAnsiTheme="majorHAnsi" w:cstheme="majorHAnsi"/>
                <w:b w:val="0"/>
                <w:i/>
                <w:sz w:val="16"/>
                <w:szCs w:val="16"/>
                <w:lang w:val="ro-RO" w:eastAsia="ru-RU"/>
              </w:rPr>
            </w:pPr>
          </w:p>
        </w:tc>
        <w:tc>
          <w:tcPr>
            <w:tcW w:w="1029" w:type="dxa"/>
            <w:vAlign w:val="center"/>
          </w:tcPr>
          <w:p w:rsidR="00C3538A" w:rsidRPr="00E4517B" w:rsidRDefault="005B717F"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Pr>
                <w:rFonts w:asciiTheme="majorHAnsi" w:eastAsia="Times New Roman" w:hAnsiTheme="majorHAnsi" w:cstheme="majorHAnsi"/>
                <w:b/>
                <w:i/>
                <w:sz w:val="20"/>
                <w:szCs w:val="20"/>
                <w:lang w:val="ro-RO" w:eastAsia="ru-RU"/>
              </w:rPr>
              <w:t>исполнено</w:t>
            </w:r>
          </w:p>
        </w:tc>
        <w:tc>
          <w:tcPr>
            <w:tcW w:w="1193" w:type="dxa"/>
            <w:vAlign w:val="center"/>
          </w:tcPr>
          <w:p w:rsidR="00C3538A" w:rsidRPr="00E4517B" w:rsidRDefault="005B717F" w:rsidP="00B51730">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Pr>
                <w:rFonts w:asciiTheme="majorHAnsi" w:eastAsia="Times New Roman" w:hAnsiTheme="majorHAnsi" w:cstheme="majorHAnsi"/>
                <w:b/>
                <w:i/>
                <w:sz w:val="20"/>
                <w:szCs w:val="20"/>
                <w:lang w:val="ro-RO" w:eastAsia="ru-RU"/>
              </w:rPr>
              <w:t>исполнено</w:t>
            </w:r>
          </w:p>
        </w:tc>
        <w:tc>
          <w:tcPr>
            <w:tcW w:w="935" w:type="dxa"/>
            <w:vAlign w:val="center"/>
          </w:tcPr>
          <w:p w:rsidR="00C3538A" w:rsidRPr="005B717F" w:rsidRDefault="005B717F" w:rsidP="00B51730">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u-RU" w:eastAsia="ru-RU"/>
              </w:rPr>
            </w:pPr>
            <w:r>
              <w:rPr>
                <w:rFonts w:asciiTheme="majorHAnsi" w:eastAsia="Times New Roman" w:hAnsiTheme="majorHAnsi" w:cstheme="majorHAnsi"/>
                <w:b/>
                <w:i/>
                <w:sz w:val="20"/>
                <w:szCs w:val="20"/>
                <w:lang w:val="ru-RU" w:eastAsia="ru-RU"/>
              </w:rPr>
              <w:t>утверждено</w:t>
            </w:r>
          </w:p>
        </w:tc>
        <w:tc>
          <w:tcPr>
            <w:tcW w:w="992" w:type="dxa"/>
            <w:vAlign w:val="center"/>
          </w:tcPr>
          <w:p w:rsidR="00C3538A" w:rsidRPr="005B717F" w:rsidRDefault="005B717F"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u-RU" w:eastAsia="ru-RU"/>
              </w:rPr>
            </w:pPr>
            <w:r>
              <w:rPr>
                <w:rFonts w:asciiTheme="majorHAnsi" w:eastAsia="Times New Roman" w:hAnsiTheme="majorHAnsi" w:cstheme="majorHAnsi"/>
                <w:b/>
                <w:i/>
                <w:sz w:val="20"/>
                <w:szCs w:val="20"/>
                <w:lang w:val="ru-RU" w:eastAsia="ru-RU"/>
              </w:rPr>
              <w:t>уточнено</w:t>
            </w:r>
          </w:p>
        </w:tc>
        <w:tc>
          <w:tcPr>
            <w:tcW w:w="1177" w:type="dxa"/>
            <w:vAlign w:val="center"/>
          </w:tcPr>
          <w:p w:rsidR="00C3538A" w:rsidRPr="00E4517B" w:rsidRDefault="005B717F"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Pr>
                <w:rFonts w:asciiTheme="majorHAnsi" w:eastAsia="Times New Roman" w:hAnsiTheme="majorHAnsi" w:cstheme="majorHAnsi"/>
                <w:b/>
                <w:i/>
                <w:sz w:val="20"/>
                <w:szCs w:val="20"/>
                <w:lang w:val="ro-RO" w:eastAsia="ru-RU"/>
              </w:rPr>
              <w:t>исполнено</w:t>
            </w:r>
          </w:p>
        </w:tc>
        <w:tc>
          <w:tcPr>
            <w:tcW w:w="1191" w:type="dxa"/>
            <w:vAlign w:val="center"/>
          </w:tcPr>
          <w:p w:rsidR="00C3538A" w:rsidRPr="00E4517B" w:rsidRDefault="00C3538A"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E4517B">
              <w:rPr>
                <w:rFonts w:asciiTheme="majorHAnsi" w:eastAsia="Times New Roman" w:hAnsiTheme="majorHAnsi" w:cstheme="majorHAnsi"/>
                <w:b/>
                <w:i/>
                <w:sz w:val="20"/>
                <w:szCs w:val="20"/>
                <w:lang w:val="ro-RO" w:eastAsia="ru-RU"/>
              </w:rPr>
              <w:t>2020/2019</w:t>
            </w:r>
          </w:p>
        </w:tc>
        <w:tc>
          <w:tcPr>
            <w:tcW w:w="1198" w:type="dxa"/>
            <w:vAlign w:val="center"/>
          </w:tcPr>
          <w:p w:rsidR="00C3538A" w:rsidRPr="00E4517B" w:rsidRDefault="00C3538A"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E4517B">
              <w:rPr>
                <w:rFonts w:asciiTheme="majorHAnsi" w:eastAsia="Times New Roman" w:hAnsiTheme="majorHAnsi" w:cstheme="majorHAnsi"/>
                <w:b/>
                <w:i/>
                <w:sz w:val="20"/>
                <w:szCs w:val="20"/>
                <w:lang w:val="ro-RO" w:eastAsia="ru-RU"/>
              </w:rPr>
              <w:t>2020/2018</w:t>
            </w:r>
          </w:p>
        </w:tc>
      </w:tr>
      <w:tr w:rsidR="00C3538A" w:rsidRPr="00E4517B" w:rsidTr="00B51730">
        <w:tc>
          <w:tcPr>
            <w:cnfStyle w:val="001000000000" w:firstRow="0" w:lastRow="0" w:firstColumn="1" w:lastColumn="0" w:oddVBand="0" w:evenVBand="0" w:oddHBand="0" w:evenHBand="0" w:firstRowFirstColumn="0" w:firstRowLastColumn="0" w:lastRowFirstColumn="0" w:lastRowLastColumn="0"/>
            <w:tcW w:w="1980" w:type="dxa"/>
          </w:tcPr>
          <w:p w:rsidR="00C3538A" w:rsidRPr="00E4517B" w:rsidRDefault="00C3538A" w:rsidP="00B51730">
            <w:pPr>
              <w:jc w:val="center"/>
              <w:rPr>
                <w:rFonts w:asciiTheme="majorHAnsi" w:eastAsia="Times New Roman" w:hAnsiTheme="majorHAnsi" w:cstheme="majorHAnsi"/>
                <w:b w:val="0"/>
                <w:i/>
                <w:sz w:val="16"/>
                <w:szCs w:val="16"/>
                <w:lang w:val="ro-RO" w:eastAsia="ru-RU"/>
              </w:rPr>
            </w:pPr>
            <w:r w:rsidRPr="00E4517B">
              <w:rPr>
                <w:rFonts w:asciiTheme="majorHAnsi" w:eastAsia="Times New Roman" w:hAnsiTheme="majorHAnsi" w:cstheme="majorHAnsi"/>
                <w:b w:val="0"/>
                <w:i/>
                <w:sz w:val="16"/>
                <w:szCs w:val="16"/>
                <w:lang w:val="ro-RO" w:eastAsia="ru-RU"/>
              </w:rPr>
              <w:t>1</w:t>
            </w:r>
          </w:p>
        </w:tc>
        <w:tc>
          <w:tcPr>
            <w:tcW w:w="1029" w:type="dxa"/>
          </w:tcPr>
          <w:p w:rsidR="00C3538A" w:rsidRPr="00973E5B" w:rsidRDefault="00C3538A"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RO" w:eastAsia="ru-RU"/>
              </w:rPr>
            </w:pPr>
            <w:r w:rsidRPr="00973E5B">
              <w:rPr>
                <w:rFonts w:asciiTheme="majorHAnsi" w:eastAsia="Times New Roman" w:hAnsiTheme="majorHAnsi" w:cstheme="majorHAnsi"/>
                <w:i/>
                <w:sz w:val="16"/>
                <w:szCs w:val="16"/>
                <w:lang w:val="ro-RO" w:eastAsia="ru-RU"/>
              </w:rPr>
              <w:t>2</w:t>
            </w:r>
          </w:p>
        </w:tc>
        <w:tc>
          <w:tcPr>
            <w:tcW w:w="1193" w:type="dxa"/>
          </w:tcPr>
          <w:p w:rsidR="00C3538A" w:rsidRPr="00973E5B" w:rsidRDefault="00C3538A" w:rsidP="00B51730">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RO" w:eastAsia="ru-RU"/>
              </w:rPr>
            </w:pPr>
            <w:r w:rsidRPr="00973E5B">
              <w:rPr>
                <w:rFonts w:asciiTheme="majorHAnsi" w:eastAsia="Times New Roman" w:hAnsiTheme="majorHAnsi" w:cstheme="majorHAnsi"/>
                <w:i/>
                <w:sz w:val="16"/>
                <w:szCs w:val="16"/>
                <w:lang w:val="ro-RO" w:eastAsia="ru-RU"/>
              </w:rPr>
              <w:t>3</w:t>
            </w:r>
          </w:p>
        </w:tc>
        <w:tc>
          <w:tcPr>
            <w:tcW w:w="935" w:type="dxa"/>
          </w:tcPr>
          <w:p w:rsidR="00C3538A" w:rsidRPr="00B05CFC" w:rsidRDefault="00C3538A" w:rsidP="00B51730">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RO" w:eastAsia="ru-RU"/>
              </w:rPr>
            </w:pPr>
            <w:r w:rsidRPr="00B05CFC">
              <w:rPr>
                <w:rFonts w:asciiTheme="majorHAnsi" w:eastAsia="Times New Roman" w:hAnsiTheme="majorHAnsi" w:cstheme="majorHAnsi"/>
                <w:i/>
                <w:sz w:val="16"/>
                <w:szCs w:val="16"/>
                <w:lang w:val="ro-RO" w:eastAsia="ru-RU"/>
              </w:rPr>
              <w:t>4</w:t>
            </w:r>
          </w:p>
        </w:tc>
        <w:tc>
          <w:tcPr>
            <w:tcW w:w="992" w:type="dxa"/>
          </w:tcPr>
          <w:p w:rsidR="00C3538A" w:rsidRPr="00E4517B" w:rsidRDefault="00C3538A"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RO" w:eastAsia="ru-RU"/>
              </w:rPr>
            </w:pPr>
            <w:r w:rsidRPr="00E4517B">
              <w:rPr>
                <w:rFonts w:asciiTheme="majorHAnsi" w:eastAsia="Times New Roman" w:hAnsiTheme="majorHAnsi" w:cstheme="majorHAnsi"/>
                <w:i/>
                <w:sz w:val="16"/>
                <w:szCs w:val="16"/>
                <w:lang w:val="ro-RO" w:eastAsia="ru-RU"/>
              </w:rPr>
              <w:t>5</w:t>
            </w:r>
          </w:p>
        </w:tc>
        <w:tc>
          <w:tcPr>
            <w:tcW w:w="1177" w:type="dxa"/>
          </w:tcPr>
          <w:p w:rsidR="00C3538A" w:rsidRPr="00E4517B" w:rsidRDefault="00C3538A"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RO" w:eastAsia="ru-RU"/>
              </w:rPr>
            </w:pPr>
            <w:r w:rsidRPr="00E4517B">
              <w:rPr>
                <w:rFonts w:asciiTheme="majorHAnsi" w:eastAsia="Times New Roman" w:hAnsiTheme="majorHAnsi" w:cstheme="majorHAnsi"/>
                <w:i/>
                <w:sz w:val="16"/>
                <w:szCs w:val="16"/>
                <w:lang w:val="ro-RO" w:eastAsia="ru-RU"/>
              </w:rPr>
              <w:t>6</w:t>
            </w:r>
          </w:p>
        </w:tc>
        <w:tc>
          <w:tcPr>
            <w:tcW w:w="1191" w:type="dxa"/>
          </w:tcPr>
          <w:p w:rsidR="00C3538A" w:rsidRPr="00E4517B" w:rsidRDefault="00C3538A"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RO" w:eastAsia="ru-RU"/>
              </w:rPr>
            </w:pPr>
            <w:r w:rsidRPr="00E4517B">
              <w:rPr>
                <w:rFonts w:asciiTheme="majorHAnsi" w:eastAsia="Times New Roman" w:hAnsiTheme="majorHAnsi" w:cstheme="majorHAnsi"/>
                <w:i/>
                <w:sz w:val="16"/>
                <w:szCs w:val="16"/>
                <w:lang w:val="ro-RO" w:eastAsia="ru-RU"/>
              </w:rPr>
              <w:t>7=6-3</w:t>
            </w:r>
          </w:p>
        </w:tc>
        <w:tc>
          <w:tcPr>
            <w:tcW w:w="1198" w:type="dxa"/>
          </w:tcPr>
          <w:p w:rsidR="00C3538A" w:rsidRPr="00E4517B" w:rsidRDefault="00C3538A" w:rsidP="00B51730">
            <w:pPr>
              <w:ind w:right="-12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i/>
                <w:sz w:val="16"/>
                <w:szCs w:val="16"/>
                <w:lang w:val="ro-RO" w:eastAsia="ru-RU"/>
              </w:rPr>
            </w:pPr>
            <w:r w:rsidRPr="00E4517B">
              <w:rPr>
                <w:rFonts w:asciiTheme="majorHAnsi" w:eastAsia="Times New Roman" w:hAnsiTheme="majorHAnsi" w:cstheme="majorHAnsi"/>
                <w:i/>
                <w:sz w:val="16"/>
                <w:szCs w:val="16"/>
                <w:lang w:val="ro-RO" w:eastAsia="ru-RU"/>
              </w:rPr>
              <w:t>8=6-2</w:t>
            </w:r>
          </w:p>
        </w:tc>
      </w:tr>
      <w:tr w:rsidR="00C3538A" w:rsidRPr="00E4517B" w:rsidTr="00B51730">
        <w:tc>
          <w:tcPr>
            <w:cnfStyle w:val="001000000000" w:firstRow="0" w:lastRow="0" w:firstColumn="1" w:lastColumn="0" w:oddVBand="0" w:evenVBand="0" w:oddHBand="0" w:evenHBand="0" w:firstRowFirstColumn="0" w:firstRowLastColumn="0" w:lastRowFirstColumn="0" w:lastRowLastColumn="0"/>
            <w:tcW w:w="1980" w:type="dxa"/>
          </w:tcPr>
          <w:p w:rsidR="00C3538A" w:rsidRPr="005B717F" w:rsidRDefault="005B717F" w:rsidP="00B51730">
            <w:pPr>
              <w:ind w:right="-37"/>
              <w:jc w:val="left"/>
              <w:rPr>
                <w:rFonts w:asciiTheme="majorHAnsi" w:eastAsia="Times New Roman" w:hAnsiTheme="majorHAnsi" w:cstheme="majorHAnsi"/>
                <w:sz w:val="20"/>
                <w:szCs w:val="20"/>
                <w:lang w:val="ru-RU" w:eastAsia="ru-RU"/>
              </w:rPr>
            </w:pPr>
            <w:r>
              <w:rPr>
                <w:rFonts w:asciiTheme="majorHAnsi" w:eastAsia="Times New Roman" w:hAnsiTheme="majorHAnsi" w:cstheme="majorHAnsi"/>
                <w:sz w:val="20"/>
                <w:szCs w:val="20"/>
                <w:lang w:val="ru-RU" w:eastAsia="ru-RU"/>
              </w:rPr>
              <w:t>Дефицит</w:t>
            </w:r>
          </w:p>
        </w:tc>
        <w:tc>
          <w:tcPr>
            <w:tcW w:w="1029" w:type="dxa"/>
          </w:tcPr>
          <w:p w:rsidR="00C3538A" w:rsidRPr="00973E5B" w:rsidRDefault="00C3538A" w:rsidP="00B51730">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973E5B">
              <w:rPr>
                <w:rFonts w:asciiTheme="majorHAnsi" w:eastAsia="Times New Roman" w:hAnsiTheme="majorHAnsi" w:cstheme="majorHAnsi"/>
                <w:b/>
                <w:sz w:val="20"/>
                <w:szCs w:val="20"/>
                <w:lang w:val="ro-RO" w:eastAsia="ru-RU"/>
              </w:rPr>
              <w:t>- 2 275,6</w:t>
            </w:r>
          </w:p>
        </w:tc>
        <w:tc>
          <w:tcPr>
            <w:tcW w:w="1193" w:type="dxa"/>
          </w:tcPr>
          <w:p w:rsidR="00C3538A" w:rsidRPr="00973E5B" w:rsidRDefault="00C3538A" w:rsidP="00B51730">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973E5B">
              <w:rPr>
                <w:rFonts w:asciiTheme="majorHAnsi" w:eastAsia="Times New Roman" w:hAnsiTheme="majorHAnsi" w:cstheme="majorHAnsi"/>
                <w:b/>
                <w:sz w:val="20"/>
                <w:szCs w:val="20"/>
                <w:lang w:val="ro-RO" w:eastAsia="ru-RU"/>
              </w:rPr>
              <w:t>- 3 106,0</w:t>
            </w:r>
          </w:p>
        </w:tc>
        <w:tc>
          <w:tcPr>
            <w:tcW w:w="935" w:type="dxa"/>
          </w:tcPr>
          <w:p w:rsidR="00C3538A" w:rsidRPr="00B05CFC" w:rsidRDefault="00C3538A" w:rsidP="00B51730">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B05CFC">
              <w:rPr>
                <w:rFonts w:asciiTheme="majorHAnsi" w:eastAsia="Times New Roman" w:hAnsiTheme="majorHAnsi" w:cstheme="majorHAnsi"/>
                <w:b/>
                <w:sz w:val="20"/>
                <w:szCs w:val="20"/>
                <w:lang w:val="ro-RO" w:eastAsia="ru-RU"/>
              </w:rPr>
              <w:t>- 7 415,3</w:t>
            </w:r>
          </w:p>
        </w:tc>
        <w:tc>
          <w:tcPr>
            <w:tcW w:w="992" w:type="dxa"/>
          </w:tcPr>
          <w:p w:rsidR="00C3538A" w:rsidRPr="00E4517B" w:rsidRDefault="00C3538A" w:rsidP="00B51730">
            <w:pPr>
              <w:ind w:right="-8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E4517B">
              <w:rPr>
                <w:rFonts w:asciiTheme="majorHAnsi" w:eastAsia="Times New Roman" w:hAnsiTheme="majorHAnsi" w:cstheme="majorHAnsi"/>
                <w:b/>
                <w:i/>
                <w:sz w:val="20"/>
                <w:szCs w:val="20"/>
                <w:lang w:val="ro-RO" w:eastAsia="ru-RU"/>
              </w:rPr>
              <w:t>-15 999,4</w:t>
            </w:r>
          </w:p>
        </w:tc>
        <w:tc>
          <w:tcPr>
            <w:tcW w:w="1177" w:type="dxa"/>
          </w:tcPr>
          <w:p w:rsidR="00C3538A" w:rsidRPr="00E4517B" w:rsidRDefault="00C3538A" w:rsidP="00B51730">
            <w:pPr>
              <w:ind w:right="-11"/>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E4517B">
              <w:rPr>
                <w:rFonts w:asciiTheme="majorHAnsi" w:eastAsia="Times New Roman" w:hAnsiTheme="majorHAnsi" w:cstheme="majorHAnsi"/>
                <w:b/>
                <w:sz w:val="20"/>
                <w:szCs w:val="20"/>
                <w:lang w:val="ro-RO" w:eastAsia="ru-RU"/>
              </w:rPr>
              <w:t>-11 134,9</w:t>
            </w:r>
          </w:p>
        </w:tc>
        <w:tc>
          <w:tcPr>
            <w:tcW w:w="1191" w:type="dxa"/>
          </w:tcPr>
          <w:p w:rsidR="00C3538A" w:rsidRPr="00E4517B" w:rsidRDefault="00C3538A" w:rsidP="00B51730">
            <w:pPr>
              <w:ind w:right="-8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E4517B">
              <w:rPr>
                <w:rFonts w:asciiTheme="majorHAnsi" w:eastAsia="Times New Roman" w:hAnsiTheme="majorHAnsi" w:cstheme="majorHAnsi"/>
                <w:b/>
                <w:i/>
                <w:sz w:val="20"/>
                <w:szCs w:val="20"/>
                <w:lang w:val="ro-RO" w:eastAsia="ru-RU"/>
              </w:rPr>
              <w:t>+8 028,9</w:t>
            </w:r>
          </w:p>
        </w:tc>
        <w:tc>
          <w:tcPr>
            <w:tcW w:w="1198" w:type="dxa"/>
          </w:tcPr>
          <w:p w:rsidR="00C3538A" w:rsidRPr="00F55BA6" w:rsidRDefault="00C3538A" w:rsidP="00B51730">
            <w:pPr>
              <w:ind w:right="-3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F55BA6">
              <w:rPr>
                <w:rFonts w:asciiTheme="majorHAnsi" w:eastAsia="Times New Roman" w:hAnsiTheme="majorHAnsi" w:cstheme="majorHAnsi"/>
                <w:b/>
                <w:i/>
                <w:sz w:val="20"/>
                <w:szCs w:val="20"/>
                <w:lang w:val="ro-RO" w:eastAsia="ru-RU"/>
              </w:rPr>
              <w:t>+8 859,3</w:t>
            </w:r>
          </w:p>
        </w:tc>
      </w:tr>
      <w:tr w:rsidR="00C3538A" w:rsidRPr="00E4517B" w:rsidTr="00B51730">
        <w:tc>
          <w:tcPr>
            <w:cnfStyle w:val="001000000000" w:firstRow="0" w:lastRow="0" w:firstColumn="1" w:lastColumn="0" w:oddVBand="0" w:evenVBand="0" w:oddHBand="0" w:evenHBand="0" w:firstRowFirstColumn="0" w:firstRowLastColumn="0" w:lastRowFirstColumn="0" w:lastRowLastColumn="0"/>
            <w:tcW w:w="1980" w:type="dxa"/>
          </w:tcPr>
          <w:p w:rsidR="00C3538A" w:rsidRPr="00E4517B" w:rsidRDefault="005B717F" w:rsidP="005B717F">
            <w:pPr>
              <w:ind w:right="-37"/>
              <w:jc w:val="left"/>
              <w:rPr>
                <w:rFonts w:asciiTheme="majorHAnsi" w:eastAsia="Times New Roman" w:hAnsiTheme="majorHAnsi" w:cstheme="majorHAnsi"/>
                <w:sz w:val="20"/>
                <w:szCs w:val="20"/>
                <w:lang w:val="ro-RO" w:eastAsia="ru-RU"/>
              </w:rPr>
            </w:pPr>
            <w:r>
              <w:rPr>
                <w:rFonts w:asciiTheme="majorHAnsi" w:eastAsia="Times New Roman" w:hAnsiTheme="majorHAnsi" w:cstheme="majorHAnsi"/>
                <w:sz w:val="20"/>
                <w:szCs w:val="20"/>
                <w:lang w:val="ru-RU" w:eastAsia="ru-RU"/>
              </w:rPr>
              <w:t>У</w:t>
            </w:r>
            <w:r w:rsidRPr="005B717F">
              <w:rPr>
                <w:rFonts w:asciiTheme="majorHAnsi" w:eastAsia="Times New Roman" w:hAnsiTheme="majorHAnsi" w:cstheme="majorHAnsi"/>
                <w:sz w:val="20"/>
                <w:szCs w:val="20"/>
                <w:lang w:val="ru-RU" w:eastAsia="ru-RU"/>
              </w:rPr>
              <w:t>дельный вес</w:t>
            </w:r>
            <w:r w:rsidRPr="005B717F">
              <w:rPr>
                <w:rFonts w:asciiTheme="majorHAnsi" w:eastAsia="Times New Roman" w:hAnsiTheme="majorHAnsi" w:cstheme="majorHAnsi"/>
                <w:sz w:val="20"/>
                <w:szCs w:val="20"/>
                <w:lang w:val="ro-RO" w:eastAsia="ru-RU"/>
              </w:rPr>
              <w:t xml:space="preserve"> в ВВП</w:t>
            </w:r>
            <w:r w:rsidR="00C3538A" w:rsidRPr="00E4517B">
              <w:rPr>
                <w:rFonts w:asciiTheme="majorHAnsi" w:eastAsia="Times New Roman" w:hAnsiTheme="majorHAnsi" w:cstheme="majorHAnsi"/>
                <w:sz w:val="20"/>
                <w:szCs w:val="20"/>
                <w:lang w:val="ro-RO" w:eastAsia="ru-RU"/>
              </w:rPr>
              <w:t>*, %</w:t>
            </w:r>
          </w:p>
        </w:tc>
        <w:tc>
          <w:tcPr>
            <w:tcW w:w="1029" w:type="dxa"/>
          </w:tcPr>
          <w:p w:rsidR="00C3538A" w:rsidRPr="00973E5B" w:rsidRDefault="00C3538A" w:rsidP="00B517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973E5B">
              <w:rPr>
                <w:rFonts w:asciiTheme="majorHAnsi" w:eastAsia="Times New Roman" w:hAnsiTheme="majorHAnsi" w:cstheme="majorHAnsi"/>
                <w:b/>
                <w:sz w:val="20"/>
                <w:szCs w:val="20"/>
                <w:lang w:val="ro-RO" w:eastAsia="ru-RU"/>
              </w:rPr>
              <w:t>- 1,2</w:t>
            </w:r>
          </w:p>
        </w:tc>
        <w:tc>
          <w:tcPr>
            <w:tcW w:w="1193" w:type="dxa"/>
          </w:tcPr>
          <w:p w:rsidR="00C3538A" w:rsidRPr="00973E5B" w:rsidRDefault="00C3538A" w:rsidP="00B517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973E5B">
              <w:rPr>
                <w:rFonts w:asciiTheme="majorHAnsi" w:eastAsia="Times New Roman" w:hAnsiTheme="majorHAnsi" w:cstheme="majorHAnsi"/>
                <w:b/>
                <w:sz w:val="20"/>
                <w:szCs w:val="20"/>
                <w:lang w:val="ro-RO" w:eastAsia="ru-RU"/>
              </w:rPr>
              <w:t>- 1,5</w:t>
            </w:r>
          </w:p>
        </w:tc>
        <w:tc>
          <w:tcPr>
            <w:tcW w:w="935" w:type="dxa"/>
          </w:tcPr>
          <w:p w:rsidR="00C3538A" w:rsidRPr="009131CF" w:rsidRDefault="00371720" w:rsidP="00B517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B05CFC">
              <w:rPr>
                <w:rFonts w:asciiTheme="majorHAnsi" w:eastAsia="Times New Roman" w:hAnsiTheme="majorHAnsi" w:cstheme="majorHAnsi"/>
                <w:b/>
                <w:sz w:val="20"/>
                <w:szCs w:val="20"/>
                <w:lang w:val="ro-RO" w:eastAsia="ru-RU"/>
              </w:rPr>
              <w:t>-3,3</w:t>
            </w:r>
          </w:p>
        </w:tc>
        <w:tc>
          <w:tcPr>
            <w:tcW w:w="992" w:type="dxa"/>
          </w:tcPr>
          <w:p w:rsidR="00C3538A" w:rsidRPr="00E4517B" w:rsidRDefault="00C3538A" w:rsidP="00B51730">
            <w:pPr>
              <w:ind w:right="-8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E4517B">
              <w:rPr>
                <w:rFonts w:asciiTheme="majorHAnsi" w:eastAsia="Times New Roman" w:hAnsiTheme="majorHAnsi" w:cstheme="majorHAnsi"/>
                <w:b/>
                <w:i/>
                <w:sz w:val="20"/>
                <w:szCs w:val="20"/>
                <w:lang w:val="ro-RO" w:eastAsia="ru-RU"/>
              </w:rPr>
              <w:t>-7,8</w:t>
            </w:r>
          </w:p>
        </w:tc>
        <w:tc>
          <w:tcPr>
            <w:tcW w:w="1177" w:type="dxa"/>
          </w:tcPr>
          <w:p w:rsidR="00C3538A" w:rsidRPr="00E4517B" w:rsidRDefault="00C3538A" w:rsidP="00B51730">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lang w:val="ro-RO" w:eastAsia="ru-RU"/>
              </w:rPr>
            </w:pPr>
            <w:r w:rsidRPr="00E4517B">
              <w:rPr>
                <w:rFonts w:asciiTheme="majorHAnsi" w:eastAsia="Times New Roman" w:hAnsiTheme="majorHAnsi" w:cstheme="majorHAnsi"/>
                <w:b/>
                <w:sz w:val="20"/>
                <w:szCs w:val="20"/>
                <w:lang w:val="ro-RO" w:eastAsia="ru-RU"/>
              </w:rPr>
              <w:t>-5,4</w:t>
            </w:r>
          </w:p>
        </w:tc>
        <w:tc>
          <w:tcPr>
            <w:tcW w:w="1191" w:type="dxa"/>
          </w:tcPr>
          <w:p w:rsidR="00C3538A" w:rsidRPr="00E4517B" w:rsidRDefault="00C3538A" w:rsidP="00B51730">
            <w:pPr>
              <w:ind w:right="-89"/>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E4517B">
              <w:rPr>
                <w:rFonts w:asciiTheme="majorHAnsi" w:eastAsia="Times New Roman" w:hAnsiTheme="majorHAnsi" w:cstheme="majorHAnsi"/>
                <w:b/>
                <w:i/>
                <w:sz w:val="20"/>
                <w:szCs w:val="20"/>
                <w:lang w:val="ro-RO" w:eastAsia="ru-RU"/>
              </w:rPr>
              <w:t>+3,9</w:t>
            </w:r>
          </w:p>
        </w:tc>
        <w:tc>
          <w:tcPr>
            <w:tcW w:w="1198" w:type="dxa"/>
          </w:tcPr>
          <w:p w:rsidR="00C3538A" w:rsidRPr="00E4517B" w:rsidRDefault="00C3538A" w:rsidP="00B51730">
            <w:pPr>
              <w:ind w:right="-37"/>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i/>
                <w:sz w:val="20"/>
                <w:szCs w:val="20"/>
                <w:lang w:val="ro-RO" w:eastAsia="ru-RU"/>
              </w:rPr>
            </w:pPr>
            <w:r w:rsidRPr="00E4517B">
              <w:rPr>
                <w:rFonts w:asciiTheme="majorHAnsi" w:eastAsia="Times New Roman" w:hAnsiTheme="majorHAnsi" w:cstheme="majorHAnsi"/>
                <w:b/>
                <w:i/>
                <w:sz w:val="20"/>
                <w:szCs w:val="20"/>
                <w:lang w:val="ro-RO" w:eastAsia="ru-RU"/>
              </w:rPr>
              <w:t>+4,2</w:t>
            </w:r>
          </w:p>
        </w:tc>
      </w:tr>
    </w:tbl>
    <w:p w:rsidR="00D50ABF" w:rsidRDefault="00C3538A" w:rsidP="00D50ABF">
      <w:pPr>
        <w:spacing w:after="0" w:line="240" w:lineRule="auto"/>
        <w:rPr>
          <w:rFonts w:asciiTheme="majorHAnsi" w:eastAsia="Times New Roman" w:hAnsiTheme="majorHAnsi" w:cstheme="majorHAnsi"/>
          <w:i/>
          <w:sz w:val="20"/>
          <w:szCs w:val="24"/>
          <w:lang w:val="ro-RO" w:eastAsia="ru-RU"/>
        </w:rPr>
      </w:pPr>
      <w:r w:rsidRPr="00E4517B">
        <w:rPr>
          <w:rFonts w:asciiTheme="majorHAnsi" w:eastAsia="Times New Roman" w:hAnsiTheme="majorHAnsi" w:cstheme="majorHAnsi"/>
          <w:b/>
          <w:i/>
          <w:sz w:val="20"/>
          <w:szCs w:val="24"/>
          <w:lang w:val="ro-RO" w:eastAsia="ru-RU"/>
        </w:rPr>
        <w:t>*</w:t>
      </w:r>
      <w:r w:rsidR="00D50ABF" w:rsidRPr="00D50ABF">
        <w:rPr>
          <w:lang w:val="ru-RU"/>
        </w:rPr>
        <w:t xml:space="preserve"> </w:t>
      </w:r>
      <w:r w:rsidR="00D50ABF" w:rsidRPr="00D50ABF">
        <w:rPr>
          <w:rFonts w:asciiTheme="majorHAnsi" w:eastAsia="Times New Roman" w:hAnsiTheme="majorHAnsi" w:cstheme="majorHAnsi"/>
          <w:i/>
          <w:sz w:val="20"/>
          <w:szCs w:val="24"/>
          <w:lang w:val="ro-RO" w:eastAsia="ru-RU"/>
        </w:rPr>
        <w:t xml:space="preserve">Валовой внутренний продукт, принятый в расчет на 2018 год, составляет 192 509,0 млн. леев, на 2019 год по обновленным данным НБС-210 378,0 млн. леев, </w:t>
      </w:r>
      <w:r w:rsidR="00D50ABF">
        <w:rPr>
          <w:rFonts w:asciiTheme="majorHAnsi" w:eastAsia="Times New Roman" w:hAnsiTheme="majorHAnsi" w:cstheme="majorHAnsi"/>
          <w:i/>
          <w:sz w:val="20"/>
          <w:szCs w:val="24"/>
          <w:lang w:val="ru-RU" w:eastAsia="ru-RU"/>
        </w:rPr>
        <w:t>и</w:t>
      </w:r>
      <w:r w:rsidR="00D50ABF" w:rsidRPr="00D50ABF">
        <w:rPr>
          <w:rFonts w:asciiTheme="majorHAnsi" w:eastAsia="Times New Roman" w:hAnsiTheme="majorHAnsi" w:cstheme="majorHAnsi"/>
          <w:i/>
          <w:sz w:val="20"/>
          <w:szCs w:val="24"/>
          <w:lang w:val="ro-RO" w:eastAsia="ru-RU"/>
        </w:rPr>
        <w:t xml:space="preserve"> на 2020 год-206 352,0 млн. леев. </w:t>
      </w:r>
    </w:p>
    <w:p w:rsidR="00C3538A" w:rsidRPr="00E4517B" w:rsidRDefault="00D50ABF" w:rsidP="00C3538A">
      <w:pPr>
        <w:spacing w:after="0" w:line="240" w:lineRule="auto"/>
        <w:rPr>
          <w:rFonts w:asciiTheme="majorHAnsi" w:eastAsia="Times New Roman" w:hAnsiTheme="majorHAnsi" w:cstheme="majorHAnsi"/>
          <w:i/>
          <w:sz w:val="20"/>
          <w:szCs w:val="24"/>
          <w:lang w:val="ro-RO" w:eastAsia="ru-RU"/>
        </w:rPr>
      </w:pPr>
      <w:r w:rsidRPr="00D50ABF">
        <w:rPr>
          <w:rFonts w:asciiTheme="majorHAnsi" w:eastAsia="Times New Roman" w:hAnsiTheme="majorHAnsi" w:cstheme="majorHAnsi"/>
          <w:b/>
          <w:i/>
          <w:sz w:val="20"/>
          <w:szCs w:val="24"/>
          <w:lang w:val="ro-RO" w:eastAsia="ru-RU"/>
        </w:rPr>
        <w:t xml:space="preserve">Источник: </w:t>
      </w:r>
      <w:r>
        <w:rPr>
          <w:rFonts w:asciiTheme="majorHAnsi" w:eastAsia="Times New Roman" w:hAnsiTheme="majorHAnsi" w:cstheme="majorHAnsi"/>
          <w:i/>
          <w:sz w:val="20"/>
          <w:szCs w:val="24"/>
          <w:lang w:val="ru-RU" w:eastAsia="ru-RU"/>
        </w:rPr>
        <w:t>Д</w:t>
      </w:r>
      <w:r w:rsidRPr="00D50ABF">
        <w:rPr>
          <w:rFonts w:asciiTheme="majorHAnsi" w:eastAsia="Times New Roman" w:hAnsiTheme="majorHAnsi" w:cstheme="majorHAnsi"/>
          <w:i/>
          <w:sz w:val="20"/>
          <w:szCs w:val="24"/>
          <w:lang w:val="ro-RO" w:eastAsia="ru-RU"/>
        </w:rPr>
        <w:t>анные</w:t>
      </w:r>
      <w:r>
        <w:rPr>
          <w:rFonts w:asciiTheme="majorHAnsi" w:eastAsia="Times New Roman" w:hAnsiTheme="majorHAnsi" w:cstheme="majorHAnsi"/>
          <w:i/>
          <w:sz w:val="20"/>
          <w:szCs w:val="24"/>
          <w:lang w:val="ru-RU" w:eastAsia="ru-RU"/>
        </w:rPr>
        <w:t>,</w:t>
      </w:r>
      <w:r w:rsidRPr="00D50ABF">
        <w:rPr>
          <w:rFonts w:asciiTheme="majorHAnsi" w:eastAsia="Times New Roman" w:hAnsiTheme="majorHAnsi" w:cstheme="majorHAnsi"/>
          <w:i/>
          <w:sz w:val="20"/>
          <w:szCs w:val="24"/>
          <w:lang w:val="ro-RO" w:eastAsia="ru-RU"/>
        </w:rPr>
        <w:t xml:space="preserve"> обобщенные аудиторской групп</w:t>
      </w:r>
      <w:r>
        <w:rPr>
          <w:rFonts w:asciiTheme="majorHAnsi" w:eastAsia="Times New Roman" w:hAnsiTheme="majorHAnsi" w:cstheme="majorHAnsi"/>
          <w:i/>
          <w:sz w:val="20"/>
          <w:szCs w:val="24"/>
          <w:lang w:val="ru-RU" w:eastAsia="ru-RU"/>
        </w:rPr>
        <w:t>ой из О</w:t>
      </w:r>
      <w:r w:rsidRPr="00D50ABF">
        <w:rPr>
          <w:rFonts w:asciiTheme="majorHAnsi" w:eastAsia="Times New Roman" w:hAnsiTheme="majorHAnsi" w:cstheme="majorHAnsi"/>
          <w:i/>
          <w:sz w:val="20"/>
          <w:szCs w:val="24"/>
          <w:lang w:val="ro-RO" w:eastAsia="ru-RU"/>
        </w:rPr>
        <w:t xml:space="preserve">тчетов об исполнении государственного бюджета </w:t>
      </w:r>
      <w:r>
        <w:rPr>
          <w:rFonts w:asciiTheme="majorHAnsi" w:eastAsia="Times New Roman" w:hAnsiTheme="majorHAnsi" w:cstheme="majorHAnsi"/>
          <w:i/>
          <w:sz w:val="20"/>
          <w:szCs w:val="24"/>
          <w:lang w:val="ru-RU" w:eastAsia="ru-RU"/>
        </w:rPr>
        <w:t>з</w:t>
      </w:r>
      <w:r w:rsidRPr="00D50ABF">
        <w:rPr>
          <w:rFonts w:asciiTheme="majorHAnsi" w:eastAsia="Times New Roman" w:hAnsiTheme="majorHAnsi" w:cstheme="majorHAnsi"/>
          <w:i/>
          <w:sz w:val="20"/>
          <w:szCs w:val="24"/>
          <w:lang w:val="ro-RO" w:eastAsia="ru-RU"/>
        </w:rPr>
        <w:t xml:space="preserve">а 2018-2019 </w:t>
      </w:r>
      <w:r>
        <w:rPr>
          <w:rFonts w:asciiTheme="majorHAnsi" w:eastAsia="Times New Roman" w:hAnsiTheme="majorHAnsi" w:cstheme="majorHAnsi"/>
          <w:i/>
          <w:sz w:val="20"/>
          <w:szCs w:val="24"/>
          <w:lang w:val="ru-RU" w:eastAsia="ru-RU"/>
        </w:rPr>
        <w:t>годы</w:t>
      </w:r>
      <w:r w:rsidRPr="00D50ABF">
        <w:rPr>
          <w:rFonts w:asciiTheme="majorHAnsi" w:eastAsia="Times New Roman" w:hAnsiTheme="majorHAnsi" w:cstheme="majorHAnsi"/>
          <w:i/>
          <w:sz w:val="20"/>
          <w:szCs w:val="24"/>
          <w:lang w:val="ro-RO" w:eastAsia="ru-RU"/>
        </w:rPr>
        <w:t>.</w:t>
      </w:r>
    </w:p>
    <w:p w:rsidR="00C3538A" w:rsidRPr="00F55BA6" w:rsidRDefault="00C3538A" w:rsidP="00C3538A">
      <w:pPr>
        <w:spacing w:after="0" w:line="276" w:lineRule="auto"/>
        <w:jc w:val="left"/>
        <w:rPr>
          <w:rFonts w:asciiTheme="majorHAnsi" w:hAnsiTheme="majorHAnsi" w:cstheme="majorHAnsi"/>
          <w:sz w:val="24"/>
          <w:szCs w:val="24"/>
          <w:lang w:val="ro-RO"/>
        </w:rPr>
      </w:pPr>
    </w:p>
    <w:p w:rsidR="00C3538A" w:rsidRPr="00973E5B" w:rsidRDefault="00BD3358" w:rsidP="00BE0647">
      <w:pPr>
        <w:spacing w:after="0" w:line="276" w:lineRule="auto"/>
        <w:rPr>
          <w:rFonts w:asciiTheme="majorHAnsi" w:eastAsia="Times New Roman" w:hAnsiTheme="majorHAnsi" w:cstheme="majorHAnsi"/>
          <w:sz w:val="24"/>
          <w:szCs w:val="24"/>
          <w:lang w:val="ro-RO" w:eastAsia="ru-RU"/>
        </w:rPr>
      </w:pPr>
      <w:r w:rsidRPr="00BD3358">
        <w:rPr>
          <w:rFonts w:asciiTheme="majorHAnsi" w:hAnsiTheme="majorHAnsi" w:cstheme="majorHAnsi"/>
          <w:sz w:val="24"/>
          <w:szCs w:val="24"/>
          <w:lang w:val="ro-RO"/>
        </w:rPr>
        <w:t xml:space="preserve">Дефицит </w:t>
      </w:r>
      <w:r w:rsidR="008F632D">
        <w:rPr>
          <w:rFonts w:asciiTheme="majorHAnsi" w:hAnsiTheme="majorHAnsi" w:cstheme="majorHAnsi"/>
          <w:sz w:val="24"/>
          <w:szCs w:val="24"/>
          <w:lang w:val="ro-RO"/>
        </w:rPr>
        <w:t>ГБ</w:t>
      </w:r>
      <w:r w:rsidRPr="00BD3358">
        <w:rPr>
          <w:rFonts w:asciiTheme="majorHAnsi" w:hAnsiTheme="majorHAnsi" w:cstheme="majorHAnsi"/>
          <w:sz w:val="24"/>
          <w:szCs w:val="24"/>
          <w:lang w:val="ro-RO"/>
        </w:rPr>
        <w:t xml:space="preserve"> как </w:t>
      </w:r>
      <w:r w:rsidR="00BE0647">
        <w:rPr>
          <w:rFonts w:asciiTheme="majorHAnsi" w:hAnsiTheme="majorHAnsi" w:cstheme="majorHAnsi"/>
          <w:sz w:val="24"/>
          <w:szCs w:val="24"/>
          <w:lang w:val="ro-RO"/>
        </w:rPr>
        <w:t>удельный вес</w:t>
      </w:r>
      <w:r w:rsidRPr="00BD3358">
        <w:rPr>
          <w:rFonts w:asciiTheme="majorHAnsi" w:hAnsiTheme="majorHAnsi" w:cstheme="majorHAnsi"/>
          <w:sz w:val="24"/>
          <w:szCs w:val="24"/>
          <w:lang w:val="ro-RO"/>
        </w:rPr>
        <w:t xml:space="preserve"> </w:t>
      </w:r>
      <w:r w:rsidR="00BE0647">
        <w:rPr>
          <w:rFonts w:asciiTheme="majorHAnsi" w:hAnsiTheme="majorHAnsi" w:cstheme="majorHAnsi"/>
          <w:sz w:val="24"/>
          <w:szCs w:val="24"/>
          <w:lang w:val="ru-RU"/>
        </w:rPr>
        <w:t xml:space="preserve">в </w:t>
      </w:r>
      <w:r w:rsidRPr="00BD3358">
        <w:rPr>
          <w:rFonts w:asciiTheme="majorHAnsi" w:hAnsiTheme="majorHAnsi" w:cstheme="majorHAnsi"/>
          <w:sz w:val="24"/>
          <w:szCs w:val="24"/>
          <w:lang w:val="ro-RO"/>
        </w:rPr>
        <w:t xml:space="preserve">ВВП </w:t>
      </w:r>
      <w:r w:rsidR="00BE0647">
        <w:rPr>
          <w:rFonts w:asciiTheme="majorHAnsi" w:hAnsiTheme="majorHAnsi" w:cstheme="majorHAnsi"/>
          <w:sz w:val="24"/>
          <w:szCs w:val="24"/>
          <w:lang w:val="ru-RU"/>
        </w:rPr>
        <w:t xml:space="preserve">имеет тенденцию </w:t>
      </w:r>
      <w:r w:rsidRPr="00BD3358">
        <w:rPr>
          <w:rFonts w:asciiTheme="majorHAnsi" w:hAnsiTheme="majorHAnsi" w:cstheme="majorHAnsi"/>
          <w:sz w:val="24"/>
          <w:szCs w:val="24"/>
          <w:lang w:val="ro-RO"/>
        </w:rPr>
        <w:t>р</w:t>
      </w:r>
      <w:r w:rsidR="00BE0647">
        <w:rPr>
          <w:rFonts w:asciiTheme="majorHAnsi" w:hAnsiTheme="majorHAnsi" w:cstheme="majorHAnsi"/>
          <w:sz w:val="24"/>
          <w:szCs w:val="24"/>
          <w:lang w:val="ru-RU"/>
        </w:rPr>
        <w:t>оста</w:t>
      </w:r>
      <w:r w:rsidRPr="00BD3358">
        <w:rPr>
          <w:rFonts w:asciiTheme="majorHAnsi" w:hAnsiTheme="majorHAnsi" w:cstheme="majorHAnsi"/>
          <w:sz w:val="24"/>
          <w:szCs w:val="24"/>
          <w:lang w:val="ro-RO"/>
        </w:rPr>
        <w:t xml:space="preserve"> и в 2020 году составил 5,4%, или меньше прогнозируемого показателя на 2,4 п. п., в 2019 году</w:t>
      </w:r>
      <w:r w:rsidR="00BE0647">
        <w:rPr>
          <w:rFonts w:asciiTheme="majorHAnsi" w:hAnsiTheme="majorHAnsi" w:cstheme="majorHAnsi"/>
          <w:sz w:val="24"/>
          <w:szCs w:val="24"/>
          <w:lang w:val="ru-RU"/>
        </w:rPr>
        <w:t xml:space="preserve"> </w:t>
      </w:r>
      <w:r w:rsidRPr="00BD3358">
        <w:rPr>
          <w:rFonts w:asciiTheme="majorHAnsi" w:hAnsiTheme="majorHAnsi" w:cstheme="majorHAnsi"/>
          <w:sz w:val="24"/>
          <w:szCs w:val="24"/>
          <w:lang w:val="ro-RO"/>
        </w:rPr>
        <w:t>-</w:t>
      </w:r>
      <w:r w:rsidR="00BE0647">
        <w:rPr>
          <w:rFonts w:asciiTheme="majorHAnsi" w:hAnsiTheme="majorHAnsi" w:cstheme="majorHAnsi"/>
          <w:sz w:val="24"/>
          <w:szCs w:val="24"/>
          <w:lang w:val="ru-RU"/>
        </w:rPr>
        <w:t xml:space="preserve"> </w:t>
      </w:r>
      <w:r w:rsidRPr="00BD3358">
        <w:rPr>
          <w:rFonts w:asciiTheme="majorHAnsi" w:hAnsiTheme="majorHAnsi" w:cstheme="majorHAnsi"/>
          <w:sz w:val="24"/>
          <w:szCs w:val="24"/>
          <w:lang w:val="ro-RO"/>
        </w:rPr>
        <w:t>1</w:t>
      </w:r>
      <w:r w:rsidR="00BE0647">
        <w:rPr>
          <w:rFonts w:asciiTheme="majorHAnsi" w:hAnsiTheme="majorHAnsi" w:cstheme="majorHAnsi"/>
          <w:sz w:val="24"/>
          <w:szCs w:val="24"/>
          <w:lang w:val="ro-RO"/>
        </w:rPr>
        <w:t>,5%, а в 2018 году</w:t>
      </w:r>
      <w:r w:rsidR="00BE0647">
        <w:rPr>
          <w:rFonts w:asciiTheme="majorHAnsi" w:hAnsiTheme="majorHAnsi" w:cstheme="majorHAnsi"/>
          <w:sz w:val="24"/>
          <w:szCs w:val="24"/>
          <w:lang w:val="ru-RU"/>
        </w:rPr>
        <w:t xml:space="preserve"> </w:t>
      </w:r>
      <w:r w:rsidR="00BE0647">
        <w:rPr>
          <w:rFonts w:asciiTheme="majorHAnsi" w:hAnsiTheme="majorHAnsi" w:cstheme="majorHAnsi"/>
          <w:sz w:val="24"/>
          <w:szCs w:val="24"/>
          <w:lang w:val="ro-RO"/>
        </w:rPr>
        <w:t>-</w:t>
      </w:r>
      <w:r w:rsidR="00BE0647">
        <w:rPr>
          <w:rFonts w:asciiTheme="majorHAnsi" w:hAnsiTheme="majorHAnsi" w:cstheme="majorHAnsi"/>
          <w:sz w:val="24"/>
          <w:szCs w:val="24"/>
          <w:lang w:val="ru-RU"/>
        </w:rPr>
        <w:t xml:space="preserve"> </w:t>
      </w:r>
      <w:r w:rsidR="00BE0647">
        <w:rPr>
          <w:rFonts w:asciiTheme="majorHAnsi" w:hAnsiTheme="majorHAnsi" w:cstheme="majorHAnsi"/>
          <w:sz w:val="24"/>
          <w:szCs w:val="24"/>
          <w:lang w:val="ro-RO"/>
        </w:rPr>
        <w:t>1,2%</w:t>
      </w:r>
      <w:r w:rsidR="00C3538A" w:rsidRPr="00973E5B">
        <w:rPr>
          <w:rFonts w:asciiTheme="majorHAnsi" w:eastAsia="Times New Roman" w:hAnsiTheme="majorHAnsi" w:cstheme="majorHAnsi"/>
          <w:sz w:val="24"/>
          <w:szCs w:val="24"/>
          <w:lang w:val="ro-RO" w:eastAsia="ru-RU"/>
        </w:rPr>
        <w:t>.</w:t>
      </w:r>
    </w:p>
    <w:p w:rsidR="00C3538A" w:rsidRPr="00E4517B" w:rsidRDefault="00BD3358" w:rsidP="00BE0647">
      <w:pPr>
        <w:spacing w:after="0" w:line="276" w:lineRule="auto"/>
        <w:rPr>
          <w:rFonts w:asciiTheme="majorHAnsi" w:hAnsiTheme="majorHAnsi" w:cstheme="majorHAnsi"/>
          <w:sz w:val="24"/>
          <w:szCs w:val="24"/>
          <w:lang w:val="ro-RO"/>
        </w:rPr>
      </w:pPr>
      <w:r w:rsidRPr="00BD3358">
        <w:rPr>
          <w:rFonts w:asciiTheme="majorHAnsi" w:eastAsia="Times New Roman" w:hAnsiTheme="majorHAnsi" w:cstheme="majorHAnsi"/>
          <w:sz w:val="24"/>
          <w:szCs w:val="24"/>
          <w:lang w:val="ro-RO"/>
        </w:rPr>
        <w:t xml:space="preserve">Финансирование, доступное для покрытия дефицита бюджета, представляет собой общий объем финансовых активов и </w:t>
      </w:r>
      <w:r w:rsidR="00BE0647">
        <w:rPr>
          <w:rFonts w:asciiTheme="majorHAnsi" w:eastAsia="Times New Roman" w:hAnsiTheme="majorHAnsi" w:cstheme="majorHAnsi"/>
          <w:sz w:val="24"/>
          <w:szCs w:val="24"/>
          <w:lang w:val="ru-RU"/>
        </w:rPr>
        <w:t>поступлений от</w:t>
      </w:r>
      <w:r w:rsidRPr="00BD3358">
        <w:rPr>
          <w:rFonts w:asciiTheme="majorHAnsi" w:eastAsia="Times New Roman" w:hAnsiTheme="majorHAnsi" w:cstheme="majorHAnsi"/>
          <w:sz w:val="24"/>
          <w:szCs w:val="24"/>
          <w:lang w:val="ro-RO"/>
        </w:rPr>
        <w:t xml:space="preserve"> кредитов и выпусков внутренних и внешних ценных бумаг, из которых вычитаются необходимые </w:t>
      </w:r>
      <w:r w:rsidR="00BE0647" w:rsidRPr="00BD3358">
        <w:rPr>
          <w:rFonts w:asciiTheme="majorHAnsi" w:eastAsia="Times New Roman" w:hAnsiTheme="majorHAnsi" w:cstheme="majorHAnsi"/>
          <w:sz w:val="24"/>
          <w:szCs w:val="24"/>
          <w:lang w:val="ro-RO"/>
        </w:rPr>
        <w:t>ресурсы</w:t>
      </w:r>
      <w:r w:rsidR="00BE0647">
        <w:rPr>
          <w:rFonts w:asciiTheme="majorHAnsi" w:eastAsia="Times New Roman" w:hAnsiTheme="majorHAnsi" w:cstheme="majorHAnsi"/>
          <w:sz w:val="24"/>
          <w:szCs w:val="24"/>
          <w:lang w:val="ru-RU"/>
        </w:rPr>
        <w:t xml:space="preserve"> </w:t>
      </w:r>
      <w:r w:rsidRPr="00BD3358">
        <w:rPr>
          <w:rFonts w:asciiTheme="majorHAnsi" w:eastAsia="Times New Roman" w:hAnsiTheme="majorHAnsi" w:cstheme="majorHAnsi"/>
          <w:sz w:val="24"/>
          <w:szCs w:val="24"/>
          <w:lang w:val="ro-RO"/>
        </w:rPr>
        <w:t xml:space="preserve">для погашения основной суммы долга. В 2020 году была изменена структура источников финансирования дефицита в результате пересмотра </w:t>
      </w:r>
      <w:r w:rsidR="00BE0647">
        <w:rPr>
          <w:rFonts w:asciiTheme="majorHAnsi" w:eastAsia="Times New Roman" w:hAnsiTheme="majorHAnsi" w:cstheme="majorHAnsi"/>
          <w:sz w:val="24"/>
          <w:szCs w:val="24"/>
          <w:lang w:val="ru-RU"/>
        </w:rPr>
        <w:t>поступлений от займ</w:t>
      </w:r>
      <w:r w:rsidRPr="00BD3358">
        <w:rPr>
          <w:rFonts w:asciiTheme="majorHAnsi" w:eastAsia="Times New Roman" w:hAnsiTheme="majorHAnsi" w:cstheme="majorHAnsi"/>
          <w:sz w:val="24"/>
          <w:szCs w:val="24"/>
          <w:lang w:val="ro-RO"/>
        </w:rPr>
        <w:t xml:space="preserve">ов, особенно </w:t>
      </w:r>
      <w:r w:rsidR="00BE0647">
        <w:rPr>
          <w:rFonts w:asciiTheme="majorHAnsi" w:eastAsia="Times New Roman" w:hAnsiTheme="majorHAnsi" w:cstheme="majorHAnsi"/>
          <w:sz w:val="24"/>
          <w:szCs w:val="24"/>
          <w:lang w:val="ru-RU"/>
        </w:rPr>
        <w:t>экстренн</w:t>
      </w:r>
      <w:r w:rsidRPr="00BD3358">
        <w:rPr>
          <w:rFonts w:asciiTheme="majorHAnsi" w:eastAsia="Times New Roman" w:hAnsiTheme="majorHAnsi" w:cstheme="majorHAnsi"/>
          <w:sz w:val="24"/>
          <w:szCs w:val="24"/>
          <w:lang w:val="ro-RO"/>
        </w:rPr>
        <w:t xml:space="preserve">ых </w:t>
      </w:r>
      <w:r w:rsidR="00BE0647">
        <w:rPr>
          <w:rFonts w:asciiTheme="majorHAnsi" w:eastAsia="Times New Roman" w:hAnsiTheme="majorHAnsi" w:cstheme="majorHAnsi"/>
          <w:sz w:val="24"/>
          <w:szCs w:val="24"/>
          <w:lang w:val="ru-RU"/>
        </w:rPr>
        <w:t>займов</w:t>
      </w:r>
      <w:r w:rsidRPr="00BD3358">
        <w:rPr>
          <w:rFonts w:asciiTheme="majorHAnsi" w:eastAsia="Times New Roman" w:hAnsiTheme="majorHAnsi" w:cstheme="majorHAnsi"/>
          <w:sz w:val="24"/>
          <w:szCs w:val="24"/>
          <w:lang w:val="ro-RO"/>
        </w:rPr>
        <w:t xml:space="preserve">, предназначенных </w:t>
      </w:r>
      <w:r w:rsidR="00BE0647" w:rsidRPr="00BD3358">
        <w:rPr>
          <w:rFonts w:asciiTheme="majorHAnsi" w:eastAsia="Times New Roman" w:hAnsiTheme="majorHAnsi" w:cstheme="majorHAnsi"/>
          <w:sz w:val="24"/>
          <w:szCs w:val="24"/>
          <w:lang w:val="ro-RO"/>
        </w:rPr>
        <w:t xml:space="preserve">в основном </w:t>
      </w:r>
      <w:r w:rsidRPr="00BD3358">
        <w:rPr>
          <w:rFonts w:asciiTheme="majorHAnsi" w:eastAsia="Times New Roman" w:hAnsiTheme="majorHAnsi" w:cstheme="majorHAnsi"/>
          <w:sz w:val="24"/>
          <w:szCs w:val="24"/>
          <w:lang w:val="ro-RO"/>
        </w:rPr>
        <w:t>для смягчения последствий пандемии COVID-19 и изменения остатков денежных средств на счетах. Проверки аудит</w:t>
      </w:r>
      <w:r w:rsidR="00BE0647" w:rsidRPr="00BE0647">
        <w:rPr>
          <w:rFonts w:asciiTheme="majorHAnsi" w:eastAsia="Times New Roman" w:hAnsiTheme="majorHAnsi" w:cstheme="majorHAnsi"/>
          <w:sz w:val="24"/>
          <w:szCs w:val="24"/>
          <w:lang w:val="ro-RO"/>
        </w:rPr>
        <w:t>ом</w:t>
      </w:r>
      <w:r w:rsidRPr="00BD3358">
        <w:rPr>
          <w:rFonts w:asciiTheme="majorHAnsi" w:eastAsia="Times New Roman" w:hAnsiTheme="majorHAnsi" w:cstheme="majorHAnsi"/>
          <w:sz w:val="24"/>
          <w:szCs w:val="24"/>
          <w:lang w:val="ro-RO"/>
        </w:rPr>
        <w:t xml:space="preserve"> соответстви</w:t>
      </w:r>
      <w:r w:rsidR="00BE0647" w:rsidRPr="00BE0647">
        <w:rPr>
          <w:rFonts w:asciiTheme="majorHAnsi" w:eastAsia="Times New Roman" w:hAnsiTheme="majorHAnsi" w:cstheme="majorHAnsi"/>
          <w:sz w:val="24"/>
          <w:szCs w:val="24"/>
          <w:lang w:val="ro-RO"/>
        </w:rPr>
        <w:t>я</w:t>
      </w:r>
      <w:r w:rsidRPr="00BD3358">
        <w:rPr>
          <w:rFonts w:asciiTheme="majorHAnsi" w:eastAsia="Times New Roman" w:hAnsiTheme="majorHAnsi" w:cstheme="majorHAnsi"/>
          <w:sz w:val="24"/>
          <w:szCs w:val="24"/>
          <w:lang w:val="ro-RO"/>
        </w:rPr>
        <w:t xml:space="preserve"> формировани</w:t>
      </w:r>
      <w:r w:rsidR="00BE0647" w:rsidRPr="00BE0647">
        <w:rPr>
          <w:rFonts w:asciiTheme="majorHAnsi" w:eastAsia="Times New Roman" w:hAnsiTheme="majorHAnsi" w:cstheme="majorHAnsi"/>
          <w:sz w:val="24"/>
          <w:szCs w:val="24"/>
          <w:lang w:val="ro-RO"/>
        </w:rPr>
        <w:t>я</w:t>
      </w:r>
      <w:r w:rsidRPr="00BD3358">
        <w:rPr>
          <w:rFonts w:asciiTheme="majorHAnsi" w:eastAsia="Times New Roman" w:hAnsiTheme="majorHAnsi" w:cstheme="majorHAnsi"/>
          <w:sz w:val="24"/>
          <w:szCs w:val="24"/>
          <w:lang w:val="ro-RO"/>
        </w:rPr>
        <w:t xml:space="preserve"> источников финансирования</w:t>
      </w:r>
      <w:r w:rsidR="00BE0647" w:rsidRPr="00E4517B">
        <w:rPr>
          <w:rFonts w:asciiTheme="majorHAnsi" w:hAnsiTheme="majorHAnsi" w:cstheme="majorHAnsi"/>
          <w:sz w:val="24"/>
          <w:szCs w:val="24"/>
          <w:vertAlign w:val="superscript"/>
          <w:lang w:val="ro-RO"/>
        </w:rPr>
        <w:footnoteReference w:id="69"/>
      </w:r>
      <w:r w:rsidRPr="00BD3358">
        <w:rPr>
          <w:rFonts w:asciiTheme="majorHAnsi" w:eastAsia="Times New Roman" w:hAnsiTheme="majorHAnsi" w:cstheme="majorHAnsi"/>
          <w:sz w:val="24"/>
          <w:szCs w:val="24"/>
          <w:lang w:val="ro-RO"/>
        </w:rPr>
        <w:t xml:space="preserve"> дефицита </w:t>
      </w:r>
      <w:r w:rsidR="008F632D">
        <w:rPr>
          <w:rFonts w:asciiTheme="majorHAnsi" w:eastAsia="Times New Roman" w:hAnsiTheme="majorHAnsi" w:cstheme="majorHAnsi"/>
          <w:sz w:val="24"/>
          <w:szCs w:val="24"/>
          <w:lang w:val="ro-RO"/>
        </w:rPr>
        <w:t>ГБ</w:t>
      </w:r>
      <w:r w:rsidRPr="00BD3358">
        <w:rPr>
          <w:rFonts w:asciiTheme="majorHAnsi" w:eastAsia="Times New Roman" w:hAnsiTheme="majorHAnsi" w:cstheme="majorHAnsi"/>
          <w:sz w:val="24"/>
          <w:szCs w:val="24"/>
          <w:lang w:val="ro-RO"/>
        </w:rPr>
        <w:t xml:space="preserve"> в 2020 году</w:t>
      </w:r>
      <w:r w:rsidR="00BE0647" w:rsidRPr="00BE0647">
        <w:rPr>
          <w:rFonts w:asciiTheme="majorHAnsi" w:eastAsia="Times New Roman" w:hAnsiTheme="majorHAnsi" w:cstheme="majorHAnsi"/>
          <w:sz w:val="24"/>
          <w:szCs w:val="24"/>
          <w:lang w:val="ro-RO"/>
        </w:rPr>
        <w:t>,</w:t>
      </w:r>
      <w:r w:rsidRPr="00BD3358">
        <w:rPr>
          <w:rFonts w:asciiTheme="majorHAnsi" w:eastAsia="Times New Roman" w:hAnsiTheme="majorHAnsi" w:cstheme="majorHAnsi"/>
          <w:sz w:val="24"/>
          <w:szCs w:val="24"/>
          <w:lang w:val="ro-RO"/>
        </w:rPr>
        <w:t xml:space="preserve"> выявили следующее</w:t>
      </w:r>
      <w:r w:rsidR="00C3538A" w:rsidRPr="00E4517B">
        <w:rPr>
          <w:rFonts w:asciiTheme="majorHAnsi" w:hAnsiTheme="majorHAnsi" w:cstheme="majorHAnsi"/>
          <w:sz w:val="24"/>
          <w:szCs w:val="24"/>
          <w:lang w:val="ro-RO"/>
        </w:rPr>
        <w:t>:</w:t>
      </w:r>
    </w:p>
    <w:p w:rsidR="00C3538A" w:rsidRPr="00E4517B" w:rsidRDefault="00BD0B0B" w:rsidP="00BE0647">
      <w:pPr>
        <w:tabs>
          <w:tab w:val="left" w:pos="142"/>
        </w:tabs>
        <w:spacing w:after="0" w:line="276" w:lineRule="auto"/>
        <w:contextualSpacing/>
        <w:rPr>
          <w:rFonts w:asciiTheme="minorHAnsi" w:hAnsiTheme="minorHAnsi"/>
          <w:sz w:val="22"/>
          <w:lang w:val="ro-RO"/>
        </w:rPr>
      </w:pPr>
      <w:r w:rsidRPr="00BD0B0B">
        <w:rPr>
          <w:rFonts w:asciiTheme="majorHAnsi" w:hAnsiTheme="majorHAnsi" w:cstheme="majorHAnsi"/>
          <w:sz w:val="24"/>
          <w:szCs w:val="24"/>
          <w:lang w:val="ro-RO"/>
        </w:rPr>
        <w:t xml:space="preserve">- согласно ст.6 Закона </w:t>
      </w:r>
      <w:r w:rsidR="00BE0647">
        <w:rPr>
          <w:rFonts w:asciiTheme="majorHAnsi" w:hAnsiTheme="majorHAnsi" w:cstheme="majorHAnsi"/>
          <w:sz w:val="24"/>
          <w:szCs w:val="24"/>
          <w:lang w:val="ru-RU"/>
        </w:rPr>
        <w:t>о</w:t>
      </w:r>
      <w:r w:rsidRPr="00BD0B0B">
        <w:rPr>
          <w:rFonts w:asciiTheme="majorHAnsi" w:hAnsiTheme="majorHAnsi" w:cstheme="majorHAnsi"/>
          <w:sz w:val="24"/>
          <w:szCs w:val="24"/>
          <w:lang w:val="ro-RO"/>
        </w:rPr>
        <w:t xml:space="preserve"> государственном бюджете на 2020 год были предусмотрены финансовые средства для увеличения уставного капитала ГП „Железная дорога Молдовы” </w:t>
      </w:r>
      <w:r w:rsidRPr="00BD0B0B">
        <w:rPr>
          <w:rFonts w:asciiTheme="majorHAnsi" w:hAnsiTheme="majorHAnsi" w:cstheme="majorHAnsi"/>
          <w:sz w:val="24"/>
          <w:szCs w:val="24"/>
          <w:lang w:val="ro-RO"/>
        </w:rPr>
        <w:lastRenderedPageBreak/>
        <w:t>(460,96 млн. ле</w:t>
      </w:r>
      <w:r w:rsidR="00BE0647">
        <w:rPr>
          <w:rFonts w:asciiTheme="majorHAnsi" w:hAnsiTheme="majorHAnsi" w:cstheme="majorHAnsi"/>
          <w:sz w:val="24"/>
          <w:szCs w:val="24"/>
          <w:lang w:val="ru-RU"/>
        </w:rPr>
        <w:t>ев</w:t>
      </w:r>
      <w:r w:rsidRPr="00BD0B0B">
        <w:rPr>
          <w:rFonts w:asciiTheme="majorHAnsi" w:hAnsiTheme="majorHAnsi" w:cstheme="majorHAnsi"/>
          <w:sz w:val="24"/>
          <w:szCs w:val="24"/>
          <w:lang w:val="ro-RO"/>
        </w:rPr>
        <w:t>, эквивалент 22,16 млн. евро)</w:t>
      </w:r>
      <w:r w:rsidR="00BE0647" w:rsidRPr="00F55BA6">
        <w:rPr>
          <w:rFonts w:asciiTheme="minorHAnsi" w:hAnsiTheme="minorHAnsi"/>
          <w:sz w:val="22"/>
          <w:vertAlign w:val="superscript"/>
          <w:lang w:val="ro-RO"/>
        </w:rPr>
        <w:footnoteReference w:id="70"/>
      </w:r>
      <w:r w:rsidRPr="00BD0B0B">
        <w:rPr>
          <w:rFonts w:asciiTheme="majorHAnsi" w:hAnsiTheme="majorHAnsi" w:cstheme="majorHAnsi"/>
          <w:sz w:val="24"/>
          <w:szCs w:val="24"/>
          <w:lang w:val="ro-RO"/>
        </w:rPr>
        <w:t xml:space="preserve"> и ООО „Национальная арена” (71,3 млн. ле</w:t>
      </w:r>
      <w:r w:rsidR="00BE0647">
        <w:rPr>
          <w:rFonts w:asciiTheme="majorHAnsi" w:hAnsiTheme="majorHAnsi" w:cstheme="majorHAnsi"/>
          <w:sz w:val="24"/>
          <w:szCs w:val="24"/>
          <w:lang w:val="ru-RU"/>
        </w:rPr>
        <w:t>ев</w:t>
      </w:r>
      <w:r w:rsidRPr="00BD0B0B">
        <w:rPr>
          <w:rFonts w:asciiTheme="majorHAnsi" w:hAnsiTheme="majorHAnsi" w:cstheme="majorHAnsi"/>
          <w:sz w:val="24"/>
          <w:szCs w:val="24"/>
          <w:lang w:val="ro-RO"/>
        </w:rPr>
        <w:t xml:space="preserve">). </w:t>
      </w:r>
      <w:r w:rsidR="00A177FE">
        <w:rPr>
          <w:rFonts w:asciiTheme="majorHAnsi" w:hAnsiTheme="majorHAnsi" w:cstheme="majorHAnsi"/>
          <w:sz w:val="24"/>
          <w:szCs w:val="24"/>
          <w:lang w:val="ru-RU"/>
        </w:rPr>
        <w:t>При этом</w:t>
      </w:r>
      <w:r w:rsidRPr="00BD0B0B">
        <w:rPr>
          <w:rFonts w:asciiTheme="majorHAnsi" w:hAnsiTheme="majorHAnsi" w:cstheme="majorHAnsi"/>
          <w:sz w:val="24"/>
          <w:szCs w:val="24"/>
          <w:lang w:val="ro-RO"/>
        </w:rPr>
        <w:t xml:space="preserve">, доля участия РМ в уставном капитале </w:t>
      </w:r>
      <w:r w:rsidR="00BE0647" w:rsidRPr="00BD0B0B">
        <w:rPr>
          <w:rFonts w:asciiTheme="majorHAnsi" w:hAnsiTheme="majorHAnsi" w:cstheme="majorHAnsi"/>
          <w:sz w:val="24"/>
          <w:szCs w:val="24"/>
          <w:lang w:val="ro-RO"/>
        </w:rPr>
        <w:t>международн</w:t>
      </w:r>
      <w:r w:rsidR="00BE0647" w:rsidRPr="00BE0647">
        <w:rPr>
          <w:rFonts w:asciiTheme="majorHAnsi" w:hAnsiTheme="majorHAnsi" w:cstheme="majorHAnsi"/>
          <w:sz w:val="24"/>
          <w:szCs w:val="24"/>
          <w:lang w:val="ro-RO"/>
        </w:rPr>
        <w:t>ых</w:t>
      </w:r>
      <w:r w:rsidR="00BE0647" w:rsidRPr="00BD0B0B">
        <w:rPr>
          <w:rFonts w:asciiTheme="majorHAnsi" w:hAnsiTheme="majorHAnsi" w:cstheme="majorHAnsi"/>
          <w:sz w:val="24"/>
          <w:szCs w:val="24"/>
          <w:lang w:val="ro-RO"/>
        </w:rPr>
        <w:t xml:space="preserve"> </w:t>
      </w:r>
      <w:r w:rsidRPr="00BD0B0B">
        <w:rPr>
          <w:rFonts w:asciiTheme="majorHAnsi" w:hAnsiTheme="majorHAnsi" w:cstheme="majorHAnsi"/>
          <w:sz w:val="24"/>
          <w:szCs w:val="24"/>
          <w:lang w:val="ro-RO"/>
        </w:rPr>
        <w:t>банков развития составила 5,5 млн. ле</w:t>
      </w:r>
      <w:r w:rsidR="00BE0647" w:rsidRPr="00BE0647">
        <w:rPr>
          <w:rFonts w:asciiTheme="majorHAnsi" w:hAnsiTheme="majorHAnsi" w:cstheme="majorHAnsi"/>
          <w:sz w:val="24"/>
          <w:szCs w:val="24"/>
          <w:lang w:val="ro-RO"/>
        </w:rPr>
        <w:t>ев</w:t>
      </w:r>
      <w:r w:rsidRPr="00BD0B0B">
        <w:rPr>
          <w:rFonts w:asciiTheme="majorHAnsi" w:hAnsiTheme="majorHAnsi" w:cstheme="majorHAnsi"/>
          <w:sz w:val="24"/>
          <w:szCs w:val="24"/>
          <w:lang w:val="ro-RO"/>
        </w:rPr>
        <w:t xml:space="preserve"> (эквивалент 300,0 тыс. долларов США)</w:t>
      </w:r>
      <w:r w:rsidR="00C3538A" w:rsidRPr="00F55BA6">
        <w:rPr>
          <w:rFonts w:asciiTheme="majorHAnsi" w:hAnsiTheme="majorHAnsi" w:cstheme="majorHAnsi"/>
          <w:sz w:val="24"/>
          <w:szCs w:val="24"/>
          <w:lang w:val="ro-RO"/>
        </w:rPr>
        <w:t>.</w:t>
      </w:r>
    </w:p>
    <w:p w:rsidR="00C3538A" w:rsidRPr="00F55BA6" w:rsidRDefault="00BD0B0B" w:rsidP="00C3538A">
      <w:pPr>
        <w:tabs>
          <w:tab w:val="left" w:pos="851"/>
        </w:tabs>
        <w:spacing w:after="0" w:line="276" w:lineRule="auto"/>
        <w:rPr>
          <w:rFonts w:asciiTheme="majorHAnsi" w:eastAsia="Times New Roman" w:hAnsiTheme="majorHAnsi" w:cstheme="majorHAnsi"/>
          <w:sz w:val="24"/>
          <w:szCs w:val="24"/>
          <w:lang w:val="ro-RO"/>
        </w:rPr>
      </w:pPr>
      <w:r w:rsidRPr="00BD0B0B">
        <w:rPr>
          <w:rFonts w:asciiTheme="majorHAnsi" w:hAnsiTheme="majorHAnsi" w:cstheme="majorHAnsi"/>
          <w:sz w:val="24"/>
          <w:szCs w:val="24"/>
          <w:lang w:val="ro-RO"/>
        </w:rPr>
        <w:t xml:space="preserve">Согласно </w:t>
      </w:r>
      <w:r w:rsidR="00DC57E6">
        <w:rPr>
          <w:rFonts w:asciiTheme="majorHAnsi" w:hAnsiTheme="majorHAnsi" w:cstheme="majorHAnsi"/>
          <w:sz w:val="24"/>
          <w:szCs w:val="24"/>
          <w:lang w:val="ru-RU"/>
        </w:rPr>
        <w:t>ПП №</w:t>
      </w:r>
      <w:r w:rsidRPr="00BD0B0B">
        <w:rPr>
          <w:rFonts w:asciiTheme="majorHAnsi" w:hAnsiTheme="majorHAnsi" w:cstheme="majorHAnsi"/>
          <w:sz w:val="24"/>
          <w:szCs w:val="24"/>
          <w:lang w:val="ro-RO"/>
        </w:rPr>
        <w:t xml:space="preserve">402 </w:t>
      </w:r>
      <w:r w:rsidR="00DC57E6">
        <w:rPr>
          <w:rFonts w:asciiTheme="majorHAnsi" w:hAnsiTheme="majorHAnsi" w:cstheme="majorHAnsi"/>
          <w:sz w:val="24"/>
          <w:szCs w:val="24"/>
          <w:lang w:val="ru-RU"/>
        </w:rPr>
        <w:t>от</w:t>
      </w:r>
      <w:r w:rsidRPr="00BD0B0B">
        <w:rPr>
          <w:rFonts w:asciiTheme="majorHAnsi" w:hAnsiTheme="majorHAnsi" w:cstheme="majorHAnsi"/>
          <w:sz w:val="24"/>
          <w:szCs w:val="24"/>
          <w:lang w:val="ro-RO"/>
        </w:rPr>
        <w:t xml:space="preserve"> 17.06.2020</w:t>
      </w:r>
      <w:r w:rsidR="00DC57E6" w:rsidRPr="00F55BA6">
        <w:rPr>
          <w:rFonts w:asciiTheme="majorHAnsi" w:hAnsiTheme="majorHAnsi" w:cstheme="majorHAnsi"/>
          <w:sz w:val="24"/>
          <w:szCs w:val="24"/>
          <w:vertAlign w:val="superscript"/>
          <w:lang w:val="ro-RO"/>
        </w:rPr>
        <w:footnoteReference w:id="71"/>
      </w:r>
      <w:r w:rsidR="00DC57E6">
        <w:rPr>
          <w:rFonts w:asciiTheme="majorHAnsi" w:hAnsiTheme="majorHAnsi" w:cstheme="majorHAnsi"/>
          <w:sz w:val="24"/>
          <w:szCs w:val="24"/>
          <w:lang w:val="ru-RU"/>
        </w:rPr>
        <w:t>,</w:t>
      </w:r>
      <w:r w:rsidRPr="00BD0B0B">
        <w:rPr>
          <w:rFonts w:asciiTheme="majorHAnsi" w:hAnsiTheme="majorHAnsi" w:cstheme="majorHAnsi"/>
          <w:sz w:val="24"/>
          <w:szCs w:val="24"/>
          <w:lang w:val="ro-RO"/>
        </w:rPr>
        <w:t xml:space="preserve"> ГП </w:t>
      </w:r>
      <w:r w:rsidR="00DC57E6" w:rsidRPr="00BD0B0B">
        <w:rPr>
          <w:rFonts w:asciiTheme="majorHAnsi" w:hAnsiTheme="majorHAnsi" w:cstheme="majorHAnsi"/>
          <w:sz w:val="24"/>
          <w:szCs w:val="24"/>
          <w:lang w:val="ro-RO"/>
        </w:rPr>
        <w:t>„Железная дорога Молдовы”</w:t>
      </w:r>
      <w:r w:rsidRPr="00BD0B0B">
        <w:rPr>
          <w:rFonts w:asciiTheme="majorHAnsi" w:hAnsiTheme="majorHAnsi" w:cstheme="majorHAnsi"/>
          <w:sz w:val="24"/>
          <w:szCs w:val="24"/>
          <w:lang w:val="ro-RO"/>
        </w:rPr>
        <w:t xml:space="preserve"> </w:t>
      </w:r>
      <w:r w:rsidR="00DC57E6">
        <w:rPr>
          <w:rFonts w:asciiTheme="majorHAnsi" w:hAnsiTheme="majorHAnsi" w:cstheme="majorHAnsi"/>
          <w:sz w:val="24"/>
          <w:szCs w:val="24"/>
          <w:lang w:val="ru-RU"/>
        </w:rPr>
        <w:t xml:space="preserve">были </w:t>
      </w:r>
      <w:r w:rsidRPr="00BD0B0B">
        <w:rPr>
          <w:rFonts w:asciiTheme="majorHAnsi" w:hAnsiTheme="majorHAnsi" w:cstheme="majorHAnsi"/>
          <w:sz w:val="24"/>
          <w:szCs w:val="24"/>
          <w:lang w:val="ro-RO"/>
        </w:rPr>
        <w:t>выдел</w:t>
      </w:r>
      <w:r w:rsidR="00DC57E6">
        <w:rPr>
          <w:rFonts w:asciiTheme="majorHAnsi" w:hAnsiTheme="majorHAnsi" w:cstheme="majorHAnsi"/>
          <w:sz w:val="24"/>
          <w:szCs w:val="24"/>
          <w:lang w:val="ru-RU"/>
        </w:rPr>
        <w:t>ены</w:t>
      </w:r>
      <w:r w:rsidRPr="00BD0B0B">
        <w:rPr>
          <w:rFonts w:asciiTheme="majorHAnsi" w:hAnsiTheme="majorHAnsi" w:cstheme="majorHAnsi"/>
          <w:sz w:val="24"/>
          <w:szCs w:val="24"/>
          <w:lang w:val="ro-RO"/>
        </w:rPr>
        <w:t xml:space="preserve"> средства </w:t>
      </w:r>
      <w:r w:rsidR="00DC57E6">
        <w:rPr>
          <w:rFonts w:asciiTheme="majorHAnsi" w:hAnsiTheme="majorHAnsi" w:cstheme="majorHAnsi"/>
          <w:sz w:val="24"/>
          <w:szCs w:val="24"/>
          <w:lang w:val="ru-RU"/>
        </w:rPr>
        <w:t>в размере</w:t>
      </w:r>
      <w:r w:rsidRPr="00BD0B0B">
        <w:rPr>
          <w:rFonts w:asciiTheme="majorHAnsi" w:hAnsiTheme="majorHAnsi" w:cstheme="majorHAnsi"/>
          <w:sz w:val="24"/>
          <w:szCs w:val="24"/>
          <w:lang w:val="ro-RO"/>
        </w:rPr>
        <w:t xml:space="preserve"> 267,1 млн.</w:t>
      </w:r>
      <w:r w:rsidR="00DC57E6">
        <w:rPr>
          <w:rFonts w:asciiTheme="majorHAnsi" w:hAnsiTheme="majorHAnsi" w:cstheme="majorHAnsi"/>
          <w:sz w:val="24"/>
          <w:szCs w:val="24"/>
          <w:lang w:val="ru-RU"/>
        </w:rPr>
        <w:t xml:space="preserve"> леев</w:t>
      </w:r>
      <w:r w:rsidR="00DC57E6" w:rsidRPr="00F55BA6">
        <w:rPr>
          <w:rFonts w:asciiTheme="majorHAnsi" w:hAnsiTheme="majorHAnsi" w:cstheme="majorHAnsi"/>
          <w:sz w:val="24"/>
          <w:szCs w:val="24"/>
          <w:vertAlign w:val="superscript"/>
          <w:lang w:val="ro-RO"/>
        </w:rPr>
        <w:footnoteReference w:id="72"/>
      </w:r>
      <w:r w:rsidR="00DC57E6">
        <w:rPr>
          <w:rFonts w:asciiTheme="majorHAnsi" w:hAnsiTheme="majorHAnsi" w:cstheme="majorHAnsi"/>
          <w:sz w:val="24"/>
          <w:szCs w:val="24"/>
          <w:lang w:val="ru-RU"/>
        </w:rPr>
        <w:t xml:space="preserve">, или </w:t>
      </w:r>
      <w:r w:rsidR="00DC57E6" w:rsidRPr="00F55BA6">
        <w:rPr>
          <w:rFonts w:asciiTheme="majorHAnsi" w:hAnsiTheme="majorHAnsi" w:cstheme="majorHAnsi"/>
          <w:sz w:val="24"/>
          <w:szCs w:val="24"/>
          <w:lang w:val="ro-RO"/>
        </w:rPr>
        <w:t xml:space="preserve">57,9% </w:t>
      </w:r>
      <w:r w:rsidR="00DC57E6">
        <w:rPr>
          <w:rFonts w:asciiTheme="majorHAnsi" w:hAnsiTheme="majorHAnsi" w:cstheme="majorHAnsi"/>
          <w:sz w:val="24"/>
          <w:szCs w:val="24"/>
          <w:lang w:val="ru-RU"/>
        </w:rPr>
        <w:t>из</w:t>
      </w:r>
      <w:r w:rsidR="00DC57E6" w:rsidRPr="00F55BA6">
        <w:rPr>
          <w:rFonts w:asciiTheme="majorHAnsi" w:hAnsiTheme="majorHAnsi" w:cstheme="majorHAnsi"/>
          <w:sz w:val="24"/>
          <w:szCs w:val="24"/>
          <w:lang w:val="ro-RO"/>
        </w:rPr>
        <w:t xml:space="preserve"> 460,96 </w:t>
      </w:r>
      <w:r w:rsidR="00DC57E6" w:rsidRPr="00BD0B0B">
        <w:rPr>
          <w:rFonts w:asciiTheme="majorHAnsi" w:hAnsiTheme="majorHAnsi" w:cstheme="majorHAnsi"/>
          <w:sz w:val="24"/>
          <w:szCs w:val="24"/>
          <w:lang w:val="ro-RO"/>
        </w:rPr>
        <w:t>млн.</w:t>
      </w:r>
      <w:r w:rsidR="00DC57E6">
        <w:rPr>
          <w:rFonts w:asciiTheme="majorHAnsi" w:hAnsiTheme="majorHAnsi" w:cstheme="majorHAnsi"/>
          <w:sz w:val="24"/>
          <w:szCs w:val="24"/>
          <w:lang w:val="ru-RU"/>
        </w:rPr>
        <w:t xml:space="preserve"> леев</w:t>
      </w:r>
      <w:r w:rsidRPr="00BD0B0B">
        <w:rPr>
          <w:rFonts w:asciiTheme="majorHAnsi" w:hAnsiTheme="majorHAnsi" w:cstheme="majorHAnsi"/>
          <w:sz w:val="24"/>
          <w:szCs w:val="24"/>
          <w:lang w:val="ro-RO"/>
        </w:rPr>
        <w:t>, утвержденны</w:t>
      </w:r>
      <w:r w:rsidR="00DC57E6">
        <w:rPr>
          <w:rFonts w:asciiTheme="majorHAnsi" w:hAnsiTheme="majorHAnsi" w:cstheme="majorHAnsi"/>
          <w:sz w:val="24"/>
          <w:szCs w:val="24"/>
          <w:lang w:val="ru-RU"/>
        </w:rPr>
        <w:t>х</w:t>
      </w:r>
      <w:r w:rsidRPr="00BD0B0B">
        <w:rPr>
          <w:rFonts w:asciiTheme="majorHAnsi" w:hAnsiTheme="majorHAnsi" w:cstheme="majorHAnsi"/>
          <w:sz w:val="24"/>
          <w:szCs w:val="24"/>
          <w:lang w:val="ro-RO"/>
        </w:rPr>
        <w:t xml:space="preserve"> </w:t>
      </w:r>
      <w:r w:rsidR="00DC57E6">
        <w:rPr>
          <w:rFonts w:asciiTheme="majorHAnsi" w:hAnsiTheme="majorHAnsi" w:cstheme="majorHAnsi"/>
          <w:sz w:val="24"/>
          <w:szCs w:val="24"/>
          <w:lang w:val="ru-RU"/>
        </w:rPr>
        <w:t>в</w:t>
      </w:r>
      <w:r w:rsidR="00517B11">
        <w:rPr>
          <w:rFonts w:asciiTheme="majorHAnsi" w:hAnsiTheme="majorHAnsi" w:cstheme="majorHAnsi"/>
          <w:sz w:val="24"/>
          <w:szCs w:val="24"/>
          <w:lang w:val="ro-RO"/>
        </w:rPr>
        <w:t xml:space="preserve"> Закон</w:t>
      </w:r>
      <w:r w:rsidR="00DC57E6">
        <w:rPr>
          <w:rFonts w:asciiTheme="majorHAnsi" w:hAnsiTheme="majorHAnsi" w:cstheme="majorHAnsi"/>
          <w:sz w:val="24"/>
          <w:szCs w:val="24"/>
          <w:lang w:val="ru-RU"/>
        </w:rPr>
        <w:t>е</w:t>
      </w:r>
      <w:r w:rsidR="00517B11">
        <w:rPr>
          <w:rFonts w:asciiTheme="majorHAnsi" w:hAnsiTheme="majorHAnsi" w:cstheme="majorHAnsi"/>
          <w:sz w:val="24"/>
          <w:szCs w:val="24"/>
          <w:lang w:val="ro-RO"/>
        </w:rPr>
        <w:t xml:space="preserve"> о ГБ </w:t>
      </w:r>
      <w:r w:rsidRPr="00BD0B0B">
        <w:rPr>
          <w:rFonts w:asciiTheme="majorHAnsi" w:hAnsiTheme="majorHAnsi" w:cstheme="majorHAnsi"/>
          <w:sz w:val="24"/>
          <w:szCs w:val="24"/>
          <w:lang w:val="ro-RO"/>
        </w:rPr>
        <w:t xml:space="preserve">на 2020 год. В результате </w:t>
      </w:r>
      <w:r w:rsidR="00DC57E6" w:rsidRPr="00BD0B0B">
        <w:rPr>
          <w:rFonts w:asciiTheme="majorHAnsi" w:hAnsiTheme="majorHAnsi" w:cstheme="majorHAnsi"/>
          <w:sz w:val="24"/>
          <w:szCs w:val="24"/>
          <w:lang w:val="ro-RO"/>
        </w:rPr>
        <w:t>аудит</w:t>
      </w:r>
      <w:r w:rsidR="00DC57E6" w:rsidRPr="00DC57E6">
        <w:rPr>
          <w:rFonts w:asciiTheme="majorHAnsi" w:hAnsiTheme="majorHAnsi" w:cstheme="majorHAnsi"/>
          <w:sz w:val="24"/>
          <w:szCs w:val="24"/>
          <w:lang w:val="ro-RO"/>
        </w:rPr>
        <w:t xml:space="preserve">орской </w:t>
      </w:r>
      <w:r w:rsidRPr="00BD0B0B">
        <w:rPr>
          <w:rFonts w:asciiTheme="majorHAnsi" w:hAnsiTheme="majorHAnsi" w:cstheme="majorHAnsi"/>
          <w:sz w:val="24"/>
          <w:szCs w:val="24"/>
          <w:lang w:val="ro-RO"/>
        </w:rPr>
        <w:t>провер</w:t>
      </w:r>
      <w:r w:rsidR="00DC57E6" w:rsidRPr="00DC57E6">
        <w:rPr>
          <w:rFonts w:asciiTheme="majorHAnsi" w:hAnsiTheme="majorHAnsi" w:cstheme="majorHAnsi"/>
          <w:sz w:val="24"/>
          <w:szCs w:val="24"/>
          <w:lang w:val="ro-RO"/>
        </w:rPr>
        <w:t>ки</w:t>
      </w:r>
      <w:r w:rsidR="00DC57E6">
        <w:rPr>
          <w:rFonts w:asciiTheme="majorHAnsi" w:hAnsiTheme="majorHAnsi" w:cstheme="majorHAnsi"/>
          <w:sz w:val="24"/>
          <w:szCs w:val="24"/>
          <w:lang w:val="ru-RU"/>
        </w:rPr>
        <w:t xml:space="preserve">, </w:t>
      </w:r>
      <w:r w:rsidRPr="00BD0B0B">
        <w:rPr>
          <w:rFonts w:asciiTheme="majorHAnsi" w:hAnsiTheme="majorHAnsi" w:cstheme="majorHAnsi"/>
          <w:sz w:val="24"/>
          <w:szCs w:val="24"/>
          <w:lang w:val="ro-RO"/>
        </w:rPr>
        <w:t xml:space="preserve">было установлено, что, вопреки </w:t>
      </w:r>
      <w:r w:rsidR="00DC57E6" w:rsidRPr="00BD0B0B">
        <w:rPr>
          <w:rFonts w:asciiTheme="majorHAnsi" w:hAnsiTheme="majorHAnsi" w:cstheme="majorHAnsi"/>
          <w:sz w:val="24"/>
          <w:szCs w:val="24"/>
          <w:lang w:val="ro-RO"/>
        </w:rPr>
        <w:t xml:space="preserve">положениям </w:t>
      </w:r>
      <w:r w:rsidRPr="00BD0B0B">
        <w:rPr>
          <w:rFonts w:asciiTheme="majorHAnsi" w:hAnsiTheme="majorHAnsi" w:cstheme="majorHAnsi"/>
          <w:sz w:val="24"/>
          <w:szCs w:val="24"/>
          <w:lang w:val="ro-RO"/>
        </w:rPr>
        <w:t>указанн</w:t>
      </w:r>
      <w:r w:rsidR="00DC57E6">
        <w:rPr>
          <w:rFonts w:asciiTheme="majorHAnsi" w:hAnsiTheme="majorHAnsi" w:cstheme="majorHAnsi"/>
          <w:sz w:val="24"/>
          <w:szCs w:val="24"/>
          <w:lang w:val="ru-RU"/>
        </w:rPr>
        <w:t>ого</w:t>
      </w:r>
      <w:r w:rsidRPr="00BD0B0B">
        <w:rPr>
          <w:rFonts w:asciiTheme="majorHAnsi" w:hAnsiTheme="majorHAnsi" w:cstheme="majorHAnsi"/>
          <w:sz w:val="24"/>
          <w:szCs w:val="24"/>
          <w:lang w:val="ro-RO"/>
        </w:rPr>
        <w:t xml:space="preserve"> </w:t>
      </w:r>
      <w:r w:rsidR="00DC57E6">
        <w:rPr>
          <w:rFonts w:asciiTheme="majorHAnsi" w:hAnsiTheme="majorHAnsi" w:cstheme="majorHAnsi"/>
          <w:sz w:val="24"/>
          <w:szCs w:val="24"/>
          <w:lang w:val="ru-RU"/>
        </w:rPr>
        <w:t>П</w:t>
      </w:r>
      <w:r w:rsidRPr="00BD0B0B">
        <w:rPr>
          <w:rFonts w:asciiTheme="majorHAnsi" w:hAnsiTheme="majorHAnsi" w:cstheme="majorHAnsi"/>
          <w:sz w:val="24"/>
          <w:szCs w:val="24"/>
          <w:lang w:val="ro-RO"/>
        </w:rPr>
        <w:t xml:space="preserve">П, </w:t>
      </w:r>
      <w:r w:rsidR="00DC57E6">
        <w:rPr>
          <w:rFonts w:asciiTheme="majorHAnsi" w:hAnsiTheme="majorHAnsi" w:cstheme="majorHAnsi"/>
          <w:sz w:val="24"/>
          <w:szCs w:val="24"/>
          <w:lang w:val="ru-RU"/>
        </w:rPr>
        <w:t>АПС</w:t>
      </w:r>
      <w:r w:rsidRPr="00BD0B0B">
        <w:rPr>
          <w:rFonts w:asciiTheme="majorHAnsi" w:hAnsiTheme="majorHAnsi" w:cstheme="majorHAnsi"/>
          <w:sz w:val="24"/>
          <w:szCs w:val="24"/>
          <w:lang w:val="ro-RO"/>
        </w:rPr>
        <w:t xml:space="preserve">, в качестве </w:t>
      </w:r>
      <w:r w:rsidR="00DC57E6">
        <w:rPr>
          <w:rFonts w:asciiTheme="majorHAnsi" w:hAnsiTheme="majorHAnsi" w:cstheme="majorHAnsi"/>
          <w:sz w:val="24"/>
          <w:szCs w:val="24"/>
          <w:lang w:val="ru-RU"/>
        </w:rPr>
        <w:t>учредител</w:t>
      </w:r>
      <w:r w:rsidRPr="00BD0B0B">
        <w:rPr>
          <w:rFonts w:asciiTheme="majorHAnsi" w:hAnsiTheme="majorHAnsi" w:cstheme="majorHAnsi"/>
          <w:sz w:val="24"/>
          <w:szCs w:val="24"/>
          <w:lang w:val="ro-RO"/>
        </w:rPr>
        <w:t>я, не обеспечил</w:t>
      </w:r>
      <w:r w:rsidR="00DC57E6">
        <w:rPr>
          <w:rFonts w:asciiTheme="majorHAnsi" w:hAnsiTheme="majorHAnsi" w:cstheme="majorHAnsi"/>
          <w:sz w:val="24"/>
          <w:szCs w:val="24"/>
          <w:lang w:val="ru-RU"/>
        </w:rPr>
        <w:t>о</w:t>
      </w:r>
      <w:r w:rsidRPr="00BD0B0B">
        <w:rPr>
          <w:rFonts w:asciiTheme="majorHAnsi" w:hAnsiTheme="majorHAnsi" w:cstheme="majorHAnsi"/>
          <w:sz w:val="24"/>
          <w:szCs w:val="24"/>
          <w:lang w:val="ro-RO"/>
        </w:rPr>
        <w:t xml:space="preserve"> изменени</w:t>
      </w:r>
      <w:r w:rsidR="00DC57E6">
        <w:rPr>
          <w:rFonts w:asciiTheme="majorHAnsi" w:hAnsiTheme="majorHAnsi" w:cstheme="majorHAnsi"/>
          <w:sz w:val="24"/>
          <w:szCs w:val="24"/>
          <w:lang w:val="ru-RU"/>
        </w:rPr>
        <w:t>е</w:t>
      </w:r>
      <w:r w:rsidRPr="00BD0B0B">
        <w:rPr>
          <w:rFonts w:asciiTheme="majorHAnsi" w:hAnsiTheme="majorHAnsi" w:cstheme="majorHAnsi"/>
          <w:sz w:val="24"/>
          <w:szCs w:val="24"/>
          <w:lang w:val="ro-RO"/>
        </w:rPr>
        <w:t xml:space="preserve"> статуса </w:t>
      </w:r>
      <w:r w:rsidR="00DC57E6">
        <w:rPr>
          <w:rFonts w:asciiTheme="majorHAnsi" w:hAnsiTheme="majorHAnsi" w:cstheme="majorHAnsi"/>
          <w:sz w:val="24"/>
          <w:szCs w:val="24"/>
          <w:lang w:val="ru-RU"/>
        </w:rPr>
        <w:t>Г</w:t>
      </w:r>
      <w:r w:rsidRPr="00BD0B0B">
        <w:rPr>
          <w:rFonts w:asciiTheme="majorHAnsi" w:hAnsiTheme="majorHAnsi" w:cstheme="majorHAnsi"/>
          <w:sz w:val="24"/>
          <w:szCs w:val="24"/>
          <w:lang w:val="ro-RO"/>
        </w:rPr>
        <w:t xml:space="preserve">осударственного предприятия </w:t>
      </w:r>
      <w:r w:rsidR="00DC57E6">
        <w:rPr>
          <w:rFonts w:asciiTheme="majorHAnsi" w:hAnsiTheme="majorHAnsi" w:cstheme="majorHAnsi"/>
          <w:sz w:val="24"/>
          <w:szCs w:val="24"/>
          <w:lang w:val="ru-RU"/>
        </w:rPr>
        <w:t>в целях</w:t>
      </w:r>
      <w:r w:rsidRPr="00BD0B0B">
        <w:rPr>
          <w:rFonts w:asciiTheme="majorHAnsi" w:hAnsiTheme="majorHAnsi" w:cstheme="majorHAnsi"/>
          <w:sz w:val="24"/>
          <w:szCs w:val="24"/>
          <w:lang w:val="ro-RO"/>
        </w:rPr>
        <w:t xml:space="preserve"> увеличения уставного капитала в 2020 году, </w:t>
      </w:r>
      <w:r w:rsidR="00DC57E6">
        <w:rPr>
          <w:rFonts w:asciiTheme="majorHAnsi" w:hAnsiTheme="majorHAnsi" w:cstheme="majorHAnsi"/>
          <w:sz w:val="24"/>
          <w:szCs w:val="24"/>
          <w:lang w:val="ru-RU"/>
        </w:rPr>
        <w:t xml:space="preserve">эти </w:t>
      </w:r>
      <w:r w:rsidRPr="00BD0B0B">
        <w:rPr>
          <w:rFonts w:asciiTheme="majorHAnsi" w:hAnsiTheme="majorHAnsi" w:cstheme="majorHAnsi"/>
          <w:sz w:val="24"/>
          <w:szCs w:val="24"/>
          <w:lang w:val="ro-RO"/>
        </w:rPr>
        <w:t xml:space="preserve">изменения были </w:t>
      </w:r>
      <w:r w:rsidR="00DC57E6">
        <w:rPr>
          <w:rFonts w:asciiTheme="majorHAnsi" w:hAnsiTheme="majorHAnsi" w:cstheme="majorHAnsi"/>
          <w:sz w:val="24"/>
          <w:szCs w:val="24"/>
          <w:lang w:val="ru-RU"/>
        </w:rPr>
        <w:t>инициированы</w:t>
      </w:r>
      <w:r w:rsidRPr="00BD0B0B">
        <w:rPr>
          <w:rFonts w:asciiTheme="majorHAnsi" w:hAnsiTheme="majorHAnsi" w:cstheme="majorHAnsi"/>
          <w:sz w:val="24"/>
          <w:szCs w:val="24"/>
          <w:lang w:val="ro-RO"/>
        </w:rPr>
        <w:t xml:space="preserve"> 18.02.2021</w:t>
      </w:r>
      <w:r w:rsidR="00C3538A" w:rsidRPr="00F55BA6">
        <w:rPr>
          <w:rFonts w:asciiTheme="majorHAnsi" w:eastAsia="Times New Roman" w:hAnsiTheme="majorHAnsi" w:cstheme="majorHAnsi"/>
          <w:sz w:val="24"/>
          <w:szCs w:val="24"/>
          <w:vertAlign w:val="superscript"/>
          <w:lang w:val="ro-RO"/>
        </w:rPr>
        <w:footnoteReference w:id="73"/>
      </w:r>
      <w:r w:rsidR="00C3538A" w:rsidRPr="00F55BA6">
        <w:rPr>
          <w:rFonts w:asciiTheme="majorHAnsi" w:eastAsia="Times New Roman" w:hAnsiTheme="majorHAnsi" w:cstheme="majorHAnsi"/>
          <w:sz w:val="24"/>
          <w:szCs w:val="24"/>
          <w:lang w:val="ro-RO"/>
        </w:rPr>
        <w:t xml:space="preserve">. </w:t>
      </w:r>
    </w:p>
    <w:p w:rsidR="00C3538A" w:rsidRPr="00F55BA6" w:rsidRDefault="00BD0B0B" w:rsidP="00C3538A">
      <w:pPr>
        <w:tabs>
          <w:tab w:val="left" w:pos="851"/>
        </w:tabs>
        <w:spacing w:after="0"/>
        <w:contextualSpacing/>
        <w:rPr>
          <w:rFonts w:asciiTheme="majorHAnsi" w:eastAsia="Times New Roman" w:hAnsiTheme="majorHAnsi" w:cstheme="majorHAnsi"/>
          <w:sz w:val="24"/>
          <w:szCs w:val="24"/>
          <w:lang w:val="ro-RO"/>
        </w:rPr>
      </w:pPr>
      <w:r w:rsidRPr="00BD0B0B">
        <w:rPr>
          <w:rFonts w:asciiTheme="majorHAnsi" w:hAnsiTheme="majorHAnsi" w:cstheme="majorHAnsi"/>
          <w:sz w:val="24"/>
          <w:szCs w:val="24"/>
          <w:lang w:val="ro-RO"/>
        </w:rPr>
        <w:t xml:space="preserve">Согласно </w:t>
      </w:r>
      <w:r w:rsidR="00DC57E6">
        <w:rPr>
          <w:rFonts w:asciiTheme="majorHAnsi" w:hAnsiTheme="majorHAnsi" w:cstheme="majorHAnsi"/>
          <w:sz w:val="24"/>
          <w:szCs w:val="24"/>
          <w:lang w:val="ru-RU"/>
        </w:rPr>
        <w:t>ПП №</w:t>
      </w:r>
      <w:r w:rsidRPr="00BD0B0B">
        <w:rPr>
          <w:rFonts w:asciiTheme="majorHAnsi" w:hAnsiTheme="majorHAnsi" w:cstheme="majorHAnsi"/>
          <w:sz w:val="24"/>
          <w:szCs w:val="24"/>
          <w:lang w:val="ro-RO"/>
        </w:rPr>
        <w:t xml:space="preserve">467 </w:t>
      </w:r>
      <w:r w:rsidR="00DC57E6">
        <w:rPr>
          <w:rFonts w:asciiTheme="majorHAnsi" w:hAnsiTheme="majorHAnsi" w:cstheme="majorHAnsi"/>
          <w:sz w:val="24"/>
          <w:szCs w:val="24"/>
          <w:lang w:val="ru-RU"/>
        </w:rPr>
        <w:t>от</w:t>
      </w:r>
      <w:r w:rsidRPr="00BD0B0B">
        <w:rPr>
          <w:rFonts w:asciiTheme="majorHAnsi" w:hAnsiTheme="majorHAnsi" w:cstheme="majorHAnsi"/>
          <w:sz w:val="24"/>
          <w:szCs w:val="24"/>
          <w:lang w:val="ro-RO"/>
        </w:rPr>
        <w:t xml:space="preserve"> 03.07.2020</w:t>
      </w:r>
      <w:r w:rsidR="00DC57E6" w:rsidRPr="00F55BA6">
        <w:rPr>
          <w:rFonts w:asciiTheme="majorHAnsi" w:hAnsiTheme="majorHAnsi" w:cstheme="majorHAnsi"/>
          <w:sz w:val="24"/>
          <w:szCs w:val="24"/>
          <w:vertAlign w:val="superscript"/>
          <w:lang w:val="ro-RO"/>
        </w:rPr>
        <w:footnoteReference w:id="74"/>
      </w:r>
      <w:r w:rsidR="00DC57E6">
        <w:rPr>
          <w:rFonts w:asciiTheme="majorHAnsi" w:hAnsiTheme="majorHAnsi" w:cstheme="majorHAnsi"/>
          <w:sz w:val="24"/>
          <w:szCs w:val="24"/>
          <w:lang w:val="ru-RU"/>
        </w:rPr>
        <w:t>,</w:t>
      </w:r>
      <w:r w:rsidRPr="00BD0B0B">
        <w:rPr>
          <w:rFonts w:asciiTheme="majorHAnsi" w:hAnsiTheme="majorHAnsi" w:cstheme="majorHAnsi"/>
          <w:sz w:val="24"/>
          <w:szCs w:val="24"/>
          <w:lang w:val="ro-RO"/>
        </w:rPr>
        <w:t xml:space="preserve"> МФ выделил</w:t>
      </w:r>
      <w:r w:rsidR="00DC57E6">
        <w:rPr>
          <w:rFonts w:asciiTheme="majorHAnsi" w:hAnsiTheme="majorHAnsi" w:cstheme="majorHAnsi"/>
          <w:sz w:val="24"/>
          <w:szCs w:val="24"/>
          <w:lang w:val="ru-RU"/>
        </w:rPr>
        <w:t>о</w:t>
      </w:r>
      <w:r w:rsidRPr="00BD0B0B">
        <w:rPr>
          <w:rFonts w:asciiTheme="majorHAnsi" w:hAnsiTheme="majorHAnsi" w:cstheme="majorHAnsi"/>
          <w:sz w:val="24"/>
          <w:szCs w:val="24"/>
          <w:lang w:val="ro-RO"/>
        </w:rPr>
        <w:t xml:space="preserve"> средства из БС </w:t>
      </w:r>
      <w:r w:rsidR="00DC57E6">
        <w:rPr>
          <w:rFonts w:asciiTheme="majorHAnsi" w:hAnsiTheme="majorHAnsi" w:cstheme="majorHAnsi"/>
          <w:sz w:val="24"/>
          <w:szCs w:val="24"/>
          <w:lang w:val="ru-RU"/>
        </w:rPr>
        <w:t>в</w:t>
      </w:r>
      <w:r w:rsidRPr="00BD0B0B">
        <w:rPr>
          <w:rFonts w:asciiTheme="majorHAnsi" w:hAnsiTheme="majorHAnsi" w:cstheme="majorHAnsi"/>
          <w:sz w:val="24"/>
          <w:szCs w:val="24"/>
          <w:lang w:val="ro-RO"/>
        </w:rPr>
        <w:t xml:space="preserve"> сумм</w:t>
      </w:r>
      <w:r w:rsidR="00DC57E6">
        <w:rPr>
          <w:rFonts w:asciiTheme="majorHAnsi" w:hAnsiTheme="majorHAnsi" w:cstheme="majorHAnsi"/>
          <w:sz w:val="24"/>
          <w:szCs w:val="24"/>
          <w:lang w:val="ru-RU"/>
        </w:rPr>
        <w:t>е</w:t>
      </w:r>
      <w:r w:rsidRPr="00BD0B0B">
        <w:rPr>
          <w:rFonts w:asciiTheme="majorHAnsi" w:hAnsiTheme="majorHAnsi" w:cstheme="majorHAnsi"/>
          <w:sz w:val="24"/>
          <w:szCs w:val="24"/>
          <w:lang w:val="ro-RO"/>
        </w:rPr>
        <w:t xml:space="preserve"> 71,3 млн. </w:t>
      </w:r>
      <w:r w:rsidR="00DC57E6">
        <w:rPr>
          <w:rFonts w:asciiTheme="majorHAnsi" w:hAnsiTheme="majorHAnsi" w:cstheme="majorHAnsi"/>
          <w:sz w:val="24"/>
          <w:szCs w:val="24"/>
          <w:lang w:val="ru-RU"/>
        </w:rPr>
        <w:t>леев</w:t>
      </w:r>
      <w:r w:rsidRPr="00BD0B0B">
        <w:rPr>
          <w:rFonts w:asciiTheme="majorHAnsi" w:hAnsiTheme="majorHAnsi" w:cstheme="majorHAnsi"/>
          <w:sz w:val="24"/>
          <w:szCs w:val="24"/>
          <w:lang w:val="ro-RO"/>
        </w:rPr>
        <w:t xml:space="preserve"> ООО „Национальная арена</w:t>
      </w:r>
      <w:r w:rsidRPr="000413D9">
        <w:rPr>
          <w:rFonts w:asciiTheme="majorHAnsi" w:hAnsiTheme="majorHAnsi" w:cstheme="majorHAnsi"/>
          <w:b/>
          <w:sz w:val="24"/>
          <w:szCs w:val="24"/>
          <w:lang w:val="ro-RO"/>
        </w:rPr>
        <w:t>”</w:t>
      </w:r>
      <w:r w:rsidR="00DC57E6" w:rsidRPr="000413D9">
        <w:rPr>
          <w:rFonts w:asciiTheme="majorHAnsi" w:hAnsiTheme="majorHAnsi" w:cstheme="majorHAnsi"/>
          <w:b/>
          <w:sz w:val="24"/>
          <w:szCs w:val="24"/>
          <w:vertAlign w:val="superscript"/>
          <w:lang w:val="ro-RO"/>
        </w:rPr>
        <w:t xml:space="preserve"> </w:t>
      </w:r>
      <w:r w:rsidR="00DC57E6" w:rsidRPr="000413D9">
        <w:rPr>
          <w:rFonts w:asciiTheme="majorHAnsi" w:hAnsiTheme="majorHAnsi" w:cstheme="majorHAnsi"/>
          <w:b/>
          <w:sz w:val="24"/>
          <w:szCs w:val="24"/>
          <w:vertAlign w:val="superscript"/>
          <w:lang w:val="ro-RO"/>
        </w:rPr>
        <w:footnoteReference w:id="75"/>
      </w:r>
      <w:r w:rsidRPr="000413D9">
        <w:rPr>
          <w:rFonts w:asciiTheme="majorHAnsi" w:hAnsiTheme="majorHAnsi" w:cstheme="majorHAnsi"/>
          <w:b/>
          <w:sz w:val="24"/>
          <w:szCs w:val="24"/>
          <w:lang w:val="ro-RO"/>
        </w:rPr>
        <w:t xml:space="preserve">, а </w:t>
      </w:r>
      <w:r w:rsidR="00DC57E6" w:rsidRPr="000413D9">
        <w:rPr>
          <w:rFonts w:asciiTheme="majorHAnsi" w:hAnsiTheme="majorHAnsi" w:cstheme="majorHAnsi"/>
          <w:b/>
          <w:sz w:val="24"/>
          <w:szCs w:val="24"/>
          <w:lang w:val="ru-RU"/>
        </w:rPr>
        <w:t>АПС</w:t>
      </w:r>
      <w:r w:rsidRPr="000413D9">
        <w:rPr>
          <w:rFonts w:asciiTheme="majorHAnsi" w:hAnsiTheme="majorHAnsi" w:cstheme="majorHAnsi"/>
          <w:b/>
          <w:sz w:val="24"/>
          <w:szCs w:val="24"/>
          <w:lang w:val="ro-RO"/>
        </w:rPr>
        <w:t xml:space="preserve"> внесло изменения в </w:t>
      </w:r>
      <w:r w:rsidR="00DC57E6" w:rsidRPr="000413D9">
        <w:rPr>
          <w:rFonts w:asciiTheme="majorHAnsi" w:hAnsiTheme="majorHAnsi" w:cstheme="majorHAnsi"/>
          <w:b/>
          <w:sz w:val="24"/>
          <w:szCs w:val="24"/>
          <w:lang w:val="ru-RU"/>
        </w:rPr>
        <w:t>У</w:t>
      </w:r>
      <w:r w:rsidRPr="000413D9">
        <w:rPr>
          <w:rFonts w:asciiTheme="majorHAnsi" w:hAnsiTheme="majorHAnsi" w:cstheme="majorHAnsi"/>
          <w:b/>
          <w:sz w:val="24"/>
          <w:szCs w:val="24"/>
          <w:lang w:val="ro-RO"/>
        </w:rPr>
        <w:t>став с целью увеличения уставного к</w:t>
      </w:r>
      <w:r w:rsidRPr="00BD0B0B">
        <w:rPr>
          <w:rFonts w:asciiTheme="majorHAnsi" w:hAnsiTheme="majorHAnsi" w:cstheme="majorHAnsi"/>
          <w:sz w:val="24"/>
          <w:szCs w:val="24"/>
          <w:lang w:val="ro-RO"/>
        </w:rPr>
        <w:t>апитала</w:t>
      </w:r>
      <w:r w:rsidR="00DC57E6" w:rsidRPr="00F55BA6">
        <w:rPr>
          <w:rFonts w:asciiTheme="majorHAnsi" w:hAnsiTheme="majorHAnsi" w:cstheme="majorHAnsi"/>
          <w:sz w:val="24"/>
          <w:szCs w:val="24"/>
          <w:vertAlign w:val="superscript"/>
          <w:lang w:val="ro-RO"/>
        </w:rPr>
        <w:footnoteReference w:id="76"/>
      </w:r>
      <w:r w:rsidRPr="00BD0B0B">
        <w:rPr>
          <w:rFonts w:asciiTheme="majorHAnsi" w:hAnsiTheme="majorHAnsi" w:cstheme="majorHAnsi"/>
          <w:sz w:val="24"/>
          <w:szCs w:val="24"/>
          <w:lang w:val="ro-RO"/>
        </w:rPr>
        <w:t xml:space="preserve"> и осуществило государственную регистрацию </w:t>
      </w:r>
      <w:r w:rsidR="00DC57E6">
        <w:rPr>
          <w:rFonts w:asciiTheme="majorHAnsi" w:hAnsiTheme="majorHAnsi" w:cstheme="majorHAnsi"/>
          <w:sz w:val="24"/>
          <w:szCs w:val="24"/>
          <w:lang w:val="ru-RU"/>
        </w:rPr>
        <w:t>в</w:t>
      </w:r>
      <w:r w:rsidRPr="00BD0B0B">
        <w:rPr>
          <w:rFonts w:asciiTheme="majorHAnsi" w:hAnsiTheme="majorHAnsi" w:cstheme="majorHAnsi"/>
          <w:sz w:val="24"/>
          <w:szCs w:val="24"/>
          <w:lang w:val="ro-RO"/>
        </w:rPr>
        <w:t xml:space="preserve"> </w:t>
      </w:r>
      <w:r w:rsidR="00DC57E6">
        <w:rPr>
          <w:rFonts w:asciiTheme="majorHAnsi" w:hAnsiTheme="majorHAnsi" w:cstheme="majorHAnsi"/>
          <w:sz w:val="24"/>
          <w:szCs w:val="24"/>
          <w:lang w:val="ru-RU"/>
        </w:rPr>
        <w:t>ПУ</w:t>
      </w:r>
      <w:r w:rsidRPr="00BD0B0B">
        <w:rPr>
          <w:rFonts w:asciiTheme="majorHAnsi" w:hAnsiTheme="majorHAnsi" w:cstheme="majorHAnsi"/>
          <w:sz w:val="24"/>
          <w:szCs w:val="24"/>
          <w:lang w:val="ro-RO"/>
        </w:rPr>
        <w:t xml:space="preserve"> „Агентство публичных услуг”</w:t>
      </w:r>
      <w:r w:rsidR="00DC57E6" w:rsidRPr="00DC57E6">
        <w:rPr>
          <w:rFonts w:asciiTheme="majorHAnsi" w:eastAsia="Times New Roman" w:hAnsiTheme="majorHAnsi" w:cstheme="majorHAnsi"/>
          <w:sz w:val="24"/>
          <w:szCs w:val="24"/>
          <w:vertAlign w:val="superscript"/>
          <w:lang w:val="ro-RO"/>
        </w:rPr>
        <w:t xml:space="preserve"> </w:t>
      </w:r>
      <w:r w:rsidR="00DC57E6" w:rsidRPr="00CA261A">
        <w:rPr>
          <w:rFonts w:asciiTheme="majorHAnsi" w:eastAsia="Times New Roman" w:hAnsiTheme="majorHAnsi" w:cstheme="majorHAnsi"/>
          <w:sz w:val="24"/>
          <w:szCs w:val="24"/>
          <w:vertAlign w:val="superscript"/>
          <w:lang w:val="ro-RO"/>
        </w:rPr>
        <w:footnoteReference w:id="77"/>
      </w:r>
      <w:r w:rsidRPr="00BD0B0B">
        <w:rPr>
          <w:rFonts w:asciiTheme="majorHAnsi" w:hAnsiTheme="majorHAnsi" w:cstheme="majorHAnsi"/>
          <w:sz w:val="24"/>
          <w:szCs w:val="24"/>
          <w:lang w:val="ro-RO"/>
        </w:rPr>
        <w:t>. В</w:t>
      </w:r>
      <w:r w:rsidR="00DC57E6" w:rsidRPr="00DC57E6">
        <w:rPr>
          <w:rFonts w:asciiTheme="majorHAnsi" w:hAnsiTheme="majorHAnsi" w:cstheme="majorHAnsi"/>
          <w:sz w:val="24"/>
          <w:szCs w:val="24"/>
          <w:lang w:val="ro-RO"/>
        </w:rPr>
        <w:t>месте с тем</w:t>
      </w:r>
      <w:r w:rsidRPr="00BD0B0B">
        <w:rPr>
          <w:rFonts w:asciiTheme="majorHAnsi" w:hAnsiTheme="majorHAnsi" w:cstheme="majorHAnsi"/>
          <w:sz w:val="24"/>
          <w:szCs w:val="24"/>
          <w:lang w:val="ro-RO"/>
        </w:rPr>
        <w:t xml:space="preserve">, в проекте бюджета на 2020 год были предусмотрены, по расходам, ассигнования в размере 7,0 млн. леев </w:t>
      </w:r>
      <w:r w:rsidR="00DC57E6" w:rsidRPr="00DC57E6">
        <w:rPr>
          <w:rFonts w:asciiTheme="majorHAnsi" w:hAnsiTheme="majorHAnsi" w:cstheme="majorHAnsi"/>
          <w:sz w:val="24"/>
          <w:szCs w:val="24"/>
          <w:lang w:val="ro-RO"/>
        </w:rPr>
        <w:t>н</w:t>
      </w:r>
      <w:r w:rsidRPr="00BD0B0B">
        <w:rPr>
          <w:rFonts w:asciiTheme="majorHAnsi" w:hAnsiTheme="majorHAnsi" w:cstheme="majorHAnsi"/>
          <w:sz w:val="24"/>
          <w:szCs w:val="24"/>
          <w:lang w:val="ro-RO"/>
        </w:rPr>
        <w:t>а компенсаци</w:t>
      </w:r>
      <w:r w:rsidR="00DC57E6" w:rsidRPr="00DC57E6">
        <w:rPr>
          <w:rFonts w:asciiTheme="majorHAnsi" w:hAnsiTheme="majorHAnsi" w:cstheme="majorHAnsi"/>
          <w:sz w:val="24"/>
          <w:szCs w:val="24"/>
          <w:lang w:val="ro-RO"/>
        </w:rPr>
        <w:t>и</w:t>
      </w:r>
      <w:r w:rsidRPr="00BD0B0B">
        <w:rPr>
          <w:rFonts w:asciiTheme="majorHAnsi" w:hAnsiTheme="majorHAnsi" w:cstheme="majorHAnsi"/>
          <w:sz w:val="24"/>
          <w:szCs w:val="24"/>
          <w:lang w:val="ro-RO"/>
        </w:rPr>
        <w:t xml:space="preserve"> владельцам земельных участков общественн</w:t>
      </w:r>
      <w:r w:rsidR="00D20FF5" w:rsidRPr="00D20FF5">
        <w:rPr>
          <w:rFonts w:asciiTheme="majorHAnsi" w:hAnsiTheme="majorHAnsi" w:cstheme="majorHAnsi"/>
          <w:sz w:val="24"/>
          <w:szCs w:val="24"/>
          <w:lang w:val="ro-RO"/>
        </w:rPr>
        <w:t>ой</w:t>
      </w:r>
      <w:r w:rsidRPr="00BD0B0B">
        <w:rPr>
          <w:rFonts w:asciiTheme="majorHAnsi" w:hAnsiTheme="majorHAnsi" w:cstheme="majorHAnsi"/>
          <w:sz w:val="24"/>
          <w:szCs w:val="24"/>
          <w:lang w:val="ro-RO"/>
        </w:rPr>
        <w:t xml:space="preserve"> полезност</w:t>
      </w:r>
      <w:r w:rsidR="00D20FF5" w:rsidRPr="00D20FF5">
        <w:rPr>
          <w:rFonts w:asciiTheme="majorHAnsi" w:hAnsiTheme="majorHAnsi" w:cstheme="majorHAnsi"/>
          <w:sz w:val="24"/>
          <w:szCs w:val="24"/>
          <w:lang w:val="ro-RO"/>
        </w:rPr>
        <w:t>и</w:t>
      </w:r>
      <w:r w:rsidRPr="00BD0B0B">
        <w:rPr>
          <w:rFonts w:asciiTheme="majorHAnsi" w:hAnsiTheme="majorHAnsi" w:cstheme="majorHAnsi"/>
          <w:sz w:val="24"/>
          <w:szCs w:val="24"/>
          <w:lang w:val="ro-RO"/>
        </w:rPr>
        <w:t xml:space="preserve"> национального интереса, необходимые дополнительно для выполнения </w:t>
      </w:r>
      <w:r w:rsidR="00D20FF5" w:rsidRPr="00D20FF5">
        <w:rPr>
          <w:rFonts w:asciiTheme="majorHAnsi" w:hAnsiTheme="majorHAnsi" w:cstheme="majorHAnsi"/>
          <w:sz w:val="24"/>
          <w:szCs w:val="24"/>
          <w:lang w:val="ro-RO"/>
        </w:rPr>
        <w:t xml:space="preserve">работ по </w:t>
      </w:r>
      <w:r w:rsidRPr="00BD0B0B">
        <w:rPr>
          <w:rFonts w:asciiTheme="majorHAnsi" w:hAnsiTheme="majorHAnsi" w:cstheme="majorHAnsi"/>
          <w:sz w:val="24"/>
          <w:szCs w:val="24"/>
          <w:lang w:val="ro-RO"/>
        </w:rPr>
        <w:t>строитель</w:t>
      </w:r>
      <w:r w:rsidR="00D20FF5" w:rsidRPr="00D20FF5">
        <w:rPr>
          <w:rFonts w:asciiTheme="majorHAnsi" w:hAnsiTheme="majorHAnsi" w:cstheme="majorHAnsi"/>
          <w:sz w:val="24"/>
          <w:szCs w:val="24"/>
          <w:lang w:val="ro-RO"/>
        </w:rPr>
        <w:t>ству</w:t>
      </w:r>
      <w:r w:rsidRPr="00BD0B0B">
        <w:rPr>
          <w:rFonts w:asciiTheme="majorHAnsi" w:hAnsiTheme="majorHAnsi" w:cstheme="majorHAnsi"/>
          <w:sz w:val="24"/>
          <w:szCs w:val="24"/>
          <w:lang w:val="ro-RO"/>
        </w:rPr>
        <w:t>, благоустройств</w:t>
      </w:r>
      <w:r w:rsidR="00D20FF5" w:rsidRPr="00D20FF5">
        <w:rPr>
          <w:rFonts w:asciiTheme="majorHAnsi" w:hAnsiTheme="majorHAnsi" w:cstheme="majorHAnsi"/>
          <w:sz w:val="24"/>
          <w:szCs w:val="24"/>
          <w:lang w:val="ro-RO"/>
        </w:rPr>
        <w:t>у</w:t>
      </w:r>
      <w:r w:rsidRPr="00BD0B0B">
        <w:rPr>
          <w:rFonts w:asciiTheme="majorHAnsi" w:hAnsiTheme="majorHAnsi" w:cstheme="majorHAnsi"/>
          <w:sz w:val="24"/>
          <w:szCs w:val="24"/>
          <w:lang w:val="ro-RO"/>
        </w:rPr>
        <w:t xml:space="preserve"> и </w:t>
      </w:r>
      <w:r w:rsidR="00D20FF5" w:rsidRPr="00D20FF5">
        <w:rPr>
          <w:rFonts w:asciiTheme="majorHAnsi" w:hAnsiTheme="majorHAnsi" w:cstheme="majorHAnsi"/>
          <w:sz w:val="24"/>
          <w:szCs w:val="24"/>
          <w:lang w:val="ro-RO"/>
        </w:rPr>
        <w:t xml:space="preserve">обеспечению </w:t>
      </w:r>
      <w:r w:rsidRPr="00BD0B0B">
        <w:rPr>
          <w:rFonts w:asciiTheme="majorHAnsi" w:hAnsiTheme="majorHAnsi" w:cstheme="majorHAnsi"/>
          <w:sz w:val="24"/>
          <w:szCs w:val="24"/>
          <w:lang w:val="ro-RO"/>
        </w:rPr>
        <w:t xml:space="preserve">доступа к комплексу многопрофильной арены национального значения, </w:t>
      </w:r>
      <w:r w:rsidR="00D20FF5" w:rsidRPr="00D20FF5">
        <w:rPr>
          <w:rFonts w:asciiTheme="majorHAnsi" w:hAnsiTheme="majorHAnsi" w:cstheme="majorHAnsi"/>
          <w:sz w:val="24"/>
          <w:szCs w:val="24"/>
          <w:lang w:val="ro-RO"/>
        </w:rPr>
        <w:t>однако</w:t>
      </w:r>
      <w:r w:rsidRPr="00BD0B0B">
        <w:rPr>
          <w:rFonts w:asciiTheme="majorHAnsi" w:hAnsiTheme="majorHAnsi" w:cstheme="majorHAnsi"/>
          <w:sz w:val="24"/>
          <w:szCs w:val="24"/>
          <w:lang w:val="ro-RO"/>
        </w:rPr>
        <w:t xml:space="preserve"> при </w:t>
      </w:r>
      <w:r w:rsidR="00D20FF5" w:rsidRPr="00D20FF5">
        <w:rPr>
          <w:rFonts w:asciiTheme="majorHAnsi" w:hAnsiTheme="majorHAnsi" w:cstheme="majorHAnsi"/>
          <w:sz w:val="24"/>
          <w:szCs w:val="24"/>
          <w:lang w:val="ro-RO"/>
        </w:rPr>
        <w:t>уточн</w:t>
      </w:r>
      <w:r w:rsidRPr="00BD0B0B">
        <w:rPr>
          <w:rFonts w:asciiTheme="majorHAnsi" w:hAnsiTheme="majorHAnsi" w:cstheme="majorHAnsi"/>
          <w:sz w:val="24"/>
          <w:szCs w:val="24"/>
          <w:lang w:val="ro-RO"/>
        </w:rPr>
        <w:t xml:space="preserve">ении бюджета </w:t>
      </w:r>
      <w:r w:rsidR="00D20FF5" w:rsidRPr="00D20FF5">
        <w:rPr>
          <w:rFonts w:asciiTheme="majorHAnsi" w:hAnsiTheme="majorHAnsi" w:cstheme="majorHAnsi"/>
          <w:sz w:val="24"/>
          <w:szCs w:val="24"/>
          <w:lang w:val="ro-RO"/>
        </w:rPr>
        <w:t>ассигнован</w:t>
      </w:r>
      <w:r w:rsidRPr="00BD0B0B">
        <w:rPr>
          <w:rFonts w:asciiTheme="majorHAnsi" w:hAnsiTheme="majorHAnsi" w:cstheme="majorHAnsi"/>
          <w:sz w:val="24"/>
          <w:szCs w:val="24"/>
          <w:lang w:val="ro-RO"/>
        </w:rPr>
        <w:t>ия были уменьшены</w:t>
      </w:r>
      <w:r w:rsidR="00C3538A" w:rsidRPr="00CA261A">
        <w:rPr>
          <w:rFonts w:asciiTheme="majorHAnsi" w:eastAsia="Times New Roman" w:hAnsiTheme="majorHAnsi" w:cstheme="majorHAnsi"/>
          <w:sz w:val="24"/>
          <w:szCs w:val="24"/>
          <w:lang w:val="ro-RO"/>
        </w:rPr>
        <w:t>.</w:t>
      </w:r>
    </w:p>
    <w:p w:rsidR="00C3538A" w:rsidRPr="00F55BA6" w:rsidRDefault="00BD0B0B" w:rsidP="00C3538A">
      <w:pPr>
        <w:tabs>
          <w:tab w:val="left" w:pos="851"/>
        </w:tabs>
        <w:spacing w:after="0"/>
        <w:contextualSpacing/>
        <w:rPr>
          <w:rFonts w:asciiTheme="majorHAnsi" w:hAnsiTheme="majorHAnsi" w:cstheme="majorHAnsi"/>
          <w:sz w:val="24"/>
          <w:szCs w:val="24"/>
          <w:lang w:val="ro-RO"/>
        </w:rPr>
      </w:pPr>
      <w:r w:rsidRPr="00BD0B0B">
        <w:rPr>
          <w:rFonts w:asciiTheme="majorHAnsi" w:hAnsiTheme="majorHAnsi" w:cstheme="majorHAnsi"/>
          <w:sz w:val="24"/>
          <w:szCs w:val="24"/>
          <w:lang w:val="ro-RO"/>
        </w:rPr>
        <w:t xml:space="preserve">Утвержденные финансовые средства (5,5 млн. леев) </w:t>
      </w:r>
      <w:r w:rsidR="00D20FF5">
        <w:rPr>
          <w:rFonts w:asciiTheme="majorHAnsi" w:hAnsiTheme="majorHAnsi" w:cstheme="majorHAnsi"/>
          <w:sz w:val="24"/>
          <w:szCs w:val="24"/>
          <w:lang w:val="ru-RU"/>
        </w:rPr>
        <w:t>н</w:t>
      </w:r>
      <w:r w:rsidRPr="00BD0B0B">
        <w:rPr>
          <w:rFonts w:asciiTheme="majorHAnsi" w:hAnsiTheme="majorHAnsi" w:cstheme="majorHAnsi"/>
          <w:sz w:val="24"/>
          <w:szCs w:val="24"/>
          <w:lang w:val="ro-RO"/>
        </w:rPr>
        <w:t xml:space="preserve">а </w:t>
      </w:r>
      <w:r w:rsidR="00D20FF5">
        <w:rPr>
          <w:rFonts w:asciiTheme="majorHAnsi" w:hAnsiTheme="majorHAnsi" w:cstheme="majorHAnsi"/>
          <w:sz w:val="24"/>
          <w:szCs w:val="24"/>
          <w:lang w:val="ru-RU"/>
        </w:rPr>
        <w:t xml:space="preserve">оплату </w:t>
      </w:r>
      <w:r w:rsidRPr="00BD0B0B">
        <w:rPr>
          <w:rFonts w:asciiTheme="majorHAnsi" w:hAnsiTheme="majorHAnsi" w:cstheme="majorHAnsi"/>
          <w:sz w:val="24"/>
          <w:szCs w:val="24"/>
          <w:lang w:val="ro-RO"/>
        </w:rPr>
        <w:t>дол</w:t>
      </w:r>
      <w:r w:rsidR="00D20FF5">
        <w:rPr>
          <w:rFonts w:asciiTheme="majorHAnsi" w:hAnsiTheme="majorHAnsi" w:cstheme="majorHAnsi"/>
          <w:sz w:val="24"/>
          <w:szCs w:val="24"/>
          <w:lang w:val="ru-RU"/>
        </w:rPr>
        <w:t>и</w:t>
      </w:r>
      <w:r w:rsidRPr="00BD0B0B">
        <w:rPr>
          <w:rFonts w:asciiTheme="majorHAnsi" w:hAnsiTheme="majorHAnsi" w:cstheme="majorHAnsi"/>
          <w:sz w:val="24"/>
          <w:szCs w:val="24"/>
          <w:lang w:val="ro-RO"/>
        </w:rPr>
        <w:t xml:space="preserve"> участия РМ в уставном капитале </w:t>
      </w:r>
      <w:r w:rsidR="00D20FF5" w:rsidRPr="00BD0B0B">
        <w:rPr>
          <w:rFonts w:asciiTheme="majorHAnsi" w:hAnsiTheme="majorHAnsi" w:cstheme="majorHAnsi"/>
          <w:sz w:val="24"/>
          <w:szCs w:val="24"/>
          <w:lang w:val="ro-RO"/>
        </w:rPr>
        <w:t>международн</w:t>
      </w:r>
      <w:r w:rsidR="00D20FF5">
        <w:rPr>
          <w:rFonts w:asciiTheme="majorHAnsi" w:hAnsiTheme="majorHAnsi" w:cstheme="majorHAnsi"/>
          <w:sz w:val="24"/>
          <w:szCs w:val="24"/>
          <w:lang w:val="ru-RU"/>
        </w:rPr>
        <w:t>ых</w:t>
      </w:r>
      <w:r w:rsidR="00D20FF5" w:rsidRPr="00BD0B0B">
        <w:rPr>
          <w:rFonts w:asciiTheme="majorHAnsi" w:hAnsiTheme="majorHAnsi" w:cstheme="majorHAnsi"/>
          <w:sz w:val="24"/>
          <w:szCs w:val="24"/>
          <w:lang w:val="ro-RO"/>
        </w:rPr>
        <w:t xml:space="preserve"> </w:t>
      </w:r>
      <w:r w:rsidRPr="00BD0B0B">
        <w:rPr>
          <w:rFonts w:asciiTheme="majorHAnsi" w:hAnsiTheme="majorHAnsi" w:cstheme="majorHAnsi"/>
          <w:sz w:val="24"/>
          <w:szCs w:val="24"/>
          <w:lang w:val="ro-RO"/>
        </w:rPr>
        <w:t>банков развития</w:t>
      </w:r>
      <w:r w:rsidR="00D20FF5">
        <w:rPr>
          <w:rFonts w:asciiTheme="majorHAnsi" w:hAnsiTheme="majorHAnsi" w:cstheme="majorHAnsi"/>
          <w:sz w:val="24"/>
          <w:szCs w:val="24"/>
          <w:lang w:val="ru-RU"/>
        </w:rPr>
        <w:t>,</w:t>
      </w:r>
      <w:r w:rsidRPr="00BD0B0B">
        <w:rPr>
          <w:rFonts w:asciiTheme="majorHAnsi" w:hAnsiTheme="majorHAnsi" w:cstheme="majorHAnsi"/>
          <w:sz w:val="24"/>
          <w:szCs w:val="24"/>
          <w:lang w:val="ro-RO"/>
        </w:rPr>
        <w:t xml:space="preserve"> не были исполнены. П</w:t>
      </w:r>
      <w:r w:rsidR="00D20FF5" w:rsidRPr="00D20FF5">
        <w:rPr>
          <w:rFonts w:asciiTheme="majorHAnsi" w:hAnsiTheme="majorHAnsi" w:cstheme="majorHAnsi"/>
          <w:sz w:val="24"/>
          <w:szCs w:val="24"/>
          <w:lang w:val="ro-RO"/>
        </w:rPr>
        <w:t>рисоединение</w:t>
      </w:r>
      <w:r w:rsidRPr="00BD0B0B">
        <w:rPr>
          <w:rFonts w:asciiTheme="majorHAnsi" w:hAnsiTheme="majorHAnsi" w:cstheme="majorHAnsi"/>
          <w:sz w:val="24"/>
          <w:szCs w:val="24"/>
          <w:lang w:val="ro-RO"/>
        </w:rPr>
        <w:t xml:space="preserve"> РМ </w:t>
      </w:r>
      <w:r w:rsidR="00D20FF5" w:rsidRPr="00D20FF5">
        <w:rPr>
          <w:rFonts w:asciiTheme="majorHAnsi" w:hAnsiTheme="majorHAnsi" w:cstheme="majorHAnsi"/>
          <w:sz w:val="24"/>
          <w:szCs w:val="24"/>
          <w:lang w:val="ro-RO"/>
        </w:rPr>
        <w:t>к</w:t>
      </w:r>
      <w:r w:rsidRPr="00BD0B0B">
        <w:rPr>
          <w:rFonts w:asciiTheme="majorHAnsi" w:hAnsiTheme="majorHAnsi" w:cstheme="majorHAnsi"/>
          <w:sz w:val="24"/>
          <w:szCs w:val="24"/>
          <w:lang w:val="ro-RO"/>
        </w:rPr>
        <w:t xml:space="preserve"> социальн</w:t>
      </w:r>
      <w:r w:rsidR="00D20FF5" w:rsidRPr="00D20FF5">
        <w:rPr>
          <w:rFonts w:asciiTheme="majorHAnsi" w:hAnsiTheme="majorHAnsi" w:cstheme="majorHAnsi"/>
          <w:sz w:val="24"/>
          <w:szCs w:val="24"/>
          <w:lang w:val="ro-RO"/>
        </w:rPr>
        <w:t>ому пакету Б</w:t>
      </w:r>
      <w:r w:rsidRPr="00BD0B0B">
        <w:rPr>
          <w:rFonts w:asciiTheme="majorHAnsi" w:hAnsiTheme="majorHAnsi" w:cstheme="majorHAnsi"/>
          <w:sz w:val="24"/>
          <w:szCs w:val="24"/>
          <w:lang w:val="ro-RO"/>
        </w:rPr>
        <w:t xml:space="preserve">анков, а также </w:t>
      </w:r>
      <w:r w:rsidR="00D20FF5" w:rsidRPr="00D20FF5">
        <w:rPr>
          <w:rFonts w:asciiTheme="majorHAnsi" w:hAnsiTheme="majorHAnsi" w:cstheme="majorHAnsi"/>
          <w:sz w:val="24"/>
          <w:szCs w:val="24"/>
          <w:lang w:val="ro-RO"/>
        </w:rPr>
        <w:t>о</w:t>
      </w:r>
      <w:r w:rsidRPr="00BD0B0B">
        <w:rPr>
          <w:rFonts w:asciiTheme="majorHAnsi" w:hAnsiTheme="majorHAnsi" w:cstheme="majorHAnsi"/>
          <w:sz w:val="24"/>
          <w:szCs w:val="24"/>
          <w:lang w:val="ro-RO"/>
        </w:rPr>
        <w:t>плата бюджетных средств в этом отношении</w:t>
      </w:r>
      <w:r w:rsidR="00D20FF5" w:rsidRPr="00D20FF5">
        <w:rPr>
          <w:rFonts w:asciiTheme="majorHAnsi" w:hAnsiTheme="majorHAnsi" w:cstheme="majorHAnsi"/>
          <w:sz w:val="24"/>
          <w:szCs w:val="24"/>
          <w:lang w:val="ro-RO"/>
        </w:rPr>
        <w:t>,</w:t>
      </w:r>
      <w:r w:rsidRPr="00BD0B0B">
        <w:rPr>
          <w:rFonts w:asciiTheme="majorHAnsi" w:hAnsiTheme="majorHAnsi" w:cstheme="majorHAnsi"/>
          <w:sz w:val="24"/>
          <w:szCs w:val="24"/>
          <w:lang w:val="ro-RO"/>
        </w:rPr>
        <w:t xml:space="preserve"> должно было осуществл</w:t>
      </w:r>
      <w:r w:rsidR="00D566EF">
        <w:rPr>
          <w:rFonts w:asciiTheme="majorHAnsi" w:hAnsiTheme="majorHAnsi" w:cstheme="majorHAnsi"/>
          <w:sz w:val="24"/>
          <w:szCs w:val="24"/>
          <w:lang w:val="ro-RO"/>
        </w:rPr>
        <w:t>я</w:t>
      </w:r>
      <w:r w:rsidR="00D20FF5" w:rsidRPr="00D20FF5">
        <w:rPr>
          <w:rFonts w:asciiTheme="majorHAnsi" w:hAnsiTheme="majorHAnsi" w:cstheme="majorHAnsi"/>
          <w:sz w:val="24"/>
          <w:szCs w:val="24"/>
          <w:lang w:val="ro-RO"/>
        </w:rPr>
        <w:t>ться</w:t>
      </w:r>
      <w:r w:rsidRPr="00BD0B0B">
        <w:rPr>
          <w:rFonts w:asciiTheme="majorHAnsi" w:hAnsiTheme="majorHAnsi" w:cstheme="majorHAnsi"/>
          <w:sz w:val="24"/>
          <w:szCs w:val="24"/>
          <w:lang w:val="ro-RO"/>
        </w:rPr>
        <w:t xml:space="preserve"> после завершения процедур присоединения в соответствии с положениями Закона</w:t>
      </w:r>
      <w:r w:rsidR="00D20FF5" w:rsidRPr="00D20FF5">
        <w:rPr>
          <w:rFonts w:asciiTheme="majorHAnsi" w:hAnsiTheme="majorHAnsi" w:cstheme="majorHAnsi"/>
          <w:sz w:val="24"/>
          <w:szCs w:val="24"/>
          <w:lang w:val="ro-RO"/>
        </w:rPr>
        <w:t xml:space="preserve"> </w:t>
      </w:r>
      <w:r w:rsidRPr="00BD0B0B">
        <w:rPr>
          <w:rFonts w:asciiTheme="majorHAnsi" w:hAnsiTheme="majorHAnsi" w:cstheme="majorHAnsi"/>
          <w:sz w:val="24"/>
          <w:szCs w:val="24"/>
          <w:lang w:val="ro-RO"/>
        </w:rPr>
        <w:t>о международных договорах Республики Молдова</w:t>
      </w:r>
      <w:r w:rsidR="00D20FF5" w:rsidRPr="00D20FF5">
        <w:rPr>
          <w:rFonts w:asciiTheme="majorHAnsi" w:hAnsiTheme="majorHAnsi" w:cstheme="majorHAnsi"/>
          <w:sz w:val="24"/>
          <w:szCs w:val="24"/>
          <w:lang w:val="ro-RO"/>
        </w:rPr>
        <w:t xml:space="preserve"> </w:t>
      </w:r>
      <w:r w:rsidR="00D20FF5" w:rsidRPr="00BD0B0B">
        <w:rPr>
          <w:rFonts w:asciiTheme="majorHAnsi" w:hAnsiTheme="majorHAnsi" w:cstheme="majorHAnsi"/>
          <w:sz w:val="24"/>
          <w:szCs w:val="24"/>
          <w:lang w:val="ro-RO"/>
        </w:rPr>
        <w:t>№595/1999</w:t>
      </w:r>
      <w:r w:rsidR="00D20FF5" w:rsidRPr="00D20FF5">
        <w:rPr>
          <w:rFonts w:asciiTheme="majorHAnsi" w:hAnsiTheme="majorHAnsi" w:cstheme="majorHAnsi"/>
          <w:sz w:val="24"/>
          <w:szCs w:val="24"/>
          <w:lang w:val="ro-RO"/>
        </w:rPr>
        <w:t>,</w:t>
      </w:r>
      <w:r w:rsidR="00D20FF5" w:rsidRPr="00BD0B0B">
        <w:rPr>
          <w:rFonts w:asciiTheme="majorHAnsi" w:hAnsiTheme="majorHAnsi" w:cstheme="majorHAnsi"/>
          <w:sz w:val="24"/>
          <w:szCs w:val="24"/>
          <w:lang w:val="ro-RO"/>
        </w:rPr>
        <w:t xml:space="preserve"> </w:t>
      </w:r>
      <w:r w:rsidRPr="00BD0B0B">
        <w:rPr>
          <w:rFonts w:asciiTheme="majorHAnsi" w:hAnsiTheme="majorHAnsi" w:cstheme="majorHAnsi"/>
          <w:sz w:val="24"/>
          <w:szCs w:val="24"/>
          <w:lang w:val="ro-RO"/>
        </w:rPr>
        <w:t xml:space="preserve"> </w:t>
      </w:r>
      <w:r w:rsidR="00D20FF5" w:rsidRPr="00D20FF5">
        <w:rPr>
          <w:rFonts w:asciiTheme="majorHAnsi" w:hAnsiTheme="majorHAnsi" w:cstheme="majorHAnsi"/>
          <w:sz w:val="24"/>
          <w:szCs w:val="24"/>
          <w:lang w:val="ro-RO"/>
        </w:rPr>
        <w:t>ПП</w:t>
      </w:r>
      <w:r w:rsidRPr="00BD0B0B">
        <w:rPr>
          <w:rFonts w:asciiTheme="majorHAnsi" w:hAnsiTheme="majorHAnsi" w:cstheme="majorHAnsi"/>
          <w:sz w:val="24"/>
          <w:szCs w:val="24"/>
          <w:lang w:val="ro-RO"/>
        </w:rPr>
        <w:t xml:space="preserve"> </w:t>
      </w:r>
      <w:r w:rsidR="00517B11">
        <w:rPr>
          <w:rFonts w:asciiTheme="majorHAnsi" w:hAnsiTheme="majorHAnsi" w:cstheme="majorHAnsi"/>
          <w:sz w:val="24"/>
          <w:szCs w:val="24"/>
          <w:lang w:val="ro-RO"/>
        </w:rPr>
        <w:t>№</w:t>
      </w:r>
      <w:r w:rsidRPr="00BD0B0B">
        <w:rPr>
          <w:rFonts w:asciiTheme="majorHAnsi" w:hAnsiTheme="majorHAnsi" w:cstheme="majorHAnsi"/>
          <w:sz w:val="24"/>
          <w:szCs w:val="24"/>
          <w:lang w:val="ro-RO"/>
        </w:rPr>
        <w:t xml:space="preserve">120/2001 „Об утверждении Положения о механизме заключения международных договоров", а также </w:t>
      </w:r>
      <w:r w:rsidR="00D20FF5" w:rsidRPr="00D20FF5">
        <w:rPr>
          <w:rFonts w:asciiTheme="majorHAnsi" w:hAnsiTheme="majorHAnsi" w:cstheme="majorHAnsi"/>
          <w:sz w:val="24"/>
          <w:szCs w:val="24"/>
          <w:lang w:val="ro-RO"/>
        </w:rPr>
        <w:t>С</w:t>
      </w:r>
      <w:r w:rsidRPr="00BD0B0B">
        <w:rPr>
          <w:rFonts w:asciiTheme="majorHAnsi" w:hAnsiTheme="majorHAnsi" w:cstheme="majorHAnsi"/>
          <w:sz w:val="24"/>
          <w:szCs w:val="24"/>
          <w:lang w:val="ro-RO"/>
        </w:rPr>
        <w:t xml:space="preserve">оглашений о создании </w:t>
      </w:r>
      <w:r w:rsidR="00D20FF5" w:rsidRPr="00D20FF5">
        <w:rPr>
          <w:rFonts w:asciiTheme="majorHAnsi" w:hAnsiTheme="majorHAnsi" w:cstheme="majorHAnsi"/>
          <w:sz w:val="24"/>
          <w:szCs w:val="24"/>
          <w:lang w:val="ro-RO"/>
        </w:rPr>
        <w:t>указанн</w:t>
      </w:r>
      <w:r w:rsidRPr="00BD0B0B">
        <w:rPr>
          <w:rFonts w:asciiTheme="majorHAnsi" w:hAnsiTheme="majorHAnsi" w:cstheme="majorHAnsi"/>
          <w:sz w:val="24"/>
          <w:szCs w:val="24"/>
          <w:lang w:val="ro-RO"/>
        </w:rPr>
        <w:t xml:space="preserve">ых </w:t>
      </w:r>
      <w:r w:rsidR="00D20FF5" w:rsidRPr="00D20FF5">
        <w:rPr>
          <w:rFonts w:asciiTheme="majorHAnsi" w:hAnsiTheme="majorHAnsi" w:cstheme="majorHAnsi"/>
          <w:sz w:val="24"/>
          <w:szCs w:val="24"/>
          <w:lang w:val="ro-RO"/>
        </w:rPr>
        <w:t>Б</w:t>
      </w:r>
      <w:r w:rsidRPr="00BD0B0B">
        <w:rPr>
          <w:rFonts w:asciiTheme="majorHAnsi" w:hAnsiTheme="majorHAnsi" w:cstheme="majorHAnsi"/>
          <w:sz w:val="24"/>
          <w:szCs w:val="24"/>
          <w:lang w:val="ro-RO"/>
        </w:rPr>
        <w:t>анков</w:t>
      </w:r>
      <w:r w:rsidR="003A12E6">
        <w:rPr>
          <w:rFonts w:asciiTheme="majorHAnsi" w:hAnsiTheme="majorHAnsi" w:cstheme="majorHAnsi"/>
          <w:sz w:val="24"/>
          <w:szCs w:val="24"/>
          <w:lang w:val="ro-RO"/>
        </w:rPr>
        <w:t>;</w:t>
      </w:r>
    </w:p>
    <w:p w:rsidR="00C3538A" w:rsidRPr="00F55BA6" w:rsidRDefault="00BD0B0B" w:rsidP="005E5EEC">
      <w:pPr>
        <w:pStyle w:val="ListParagraph"/>
        <w:tabs>
          <w:tab w:val="left" w:pos="142"/>
        </w:tabs>
        <w:spacing w:after="0" w:line="276" w:lineRule="auto"/>
        <w:ind w:left="0"/>
        <w:rPr>
          <w:rFonts w:asciiTheme="majorHAnsi" w:hAnsiTheme="majorHAnsi" w:cstheme="majorHAnsi"/>
          <w:sz w:val="24"/>
          <w:szCs w:val="24"/>
          <w:lang w:val="ro-RO"/>
        </w:rPr>
      </w:pPr>
      <w:r w:rsidRPr="00BD0B0B">
        <w:rPr>
          <w:rFonts w:asciiTheme="majorHAnsi" w:eastAsia="Times New Roman" w:hAnsiTheme="majorHAnsi" w:cstheme="majorHAnsi"/>
          <w:color w:val="000000"/>
          <w:sz w:val="24"/>
          <w:szCs w:val="24"/>
          <w:lang w:val="ro-RO" w:eastAsia="ru-RU" w:bidi="ro-RO"/>
        </w:rPr>
        <w:t xml:space="preserve">- </w:t>
      </w:r>
      <w:r w:rsidR="005E5EEC">
        <w:rPr>
          <w:rFonts w:asciiTheme="majorHAnsi" w:eastAsia="Times New Roman" w:hAnsiTheme="majorHAnsi" w:cstheme="majorHAnsi"/>
          <w:color w:val="000000"/>
          <w:sz w:val="24"/>
          <w:szCs w:val="24"/>
          <w:lang w:val="ru-RU" w:eastAsia="ru-RU" w:bidi="ro-RO"/>
        </w:rPr>
        <w:t xml:space="preserve">были </w:t>
      </w:r>
      <w:r w:rsidRPr="00BD0B0B">
        <w:rPr>
          <w:rFonts w:asciiTheme="majorHAnsi" w:eastAsia="Times New Roman" w:hAnsiTheme="majorHAnsi" w:cstheme="majorHAnsi"/>
          <w:color w:val="000000"/>
          <w:sz w:val="24"/>
          <w:szCs w:val="24"/>
          <w:lang w:val="ro-RO" w:eastAsia="ru-RU" w:bidi="ro-RO"/>
        </w:rPr>
        <w:t xml:space="preserve">утверждены доходы в размере 700,0 млн. леев, которые </w:t>
      </w:r>
      <w:r w:rsidR="005E5EEC">
        <w:rPr>
          <w:rFonts w:asciiTheme="majorHAnsi" w:eastAsia="Times New Roman" w:hAnsiTheme="majorHAnsi" w:cstheme="majorHAnsi"/>
          <w:color w:val="000000"/>
          <w:sz w:val="24"/>
          <w:szCs w:val="24"/>
          <w:lang w:val="ru-RU" w:eastAsia="ru-RU" w:bidi="ro-RO"/>
        </w:rPr>
        <w:t>подлежали взиманию</w:t>
      </w:r>
      <w:r w:rsidRPr="00BD0B0B">
        <w:rPr>
          <w:rFonts w:asciiTheme="majorHAnsi" w:eastAsia="Times New Roman" w:hAnsiTheme="majorHAnsi" w:cstheme="majorHAnsi"/>
          <w:color w:val="000000"/>
          <w:sz w:val="24"/>
          <w:szCs w:val="24"/>
          <w:lang w:val="ro-RO" w:eastAsia="ru-RU" w:bidi="ro-RO"/>
        </w:rPr>
        <w:t xml:space="preserve"> от приватизации имущества публичной собственности, </w:t>
      </w:r>
      <w:r w:rsidR="005E5EEC">
        <w:rPr>
          <w:rFonts w:asciiTheme="majorHAnsi" w:eastAsia="Times New Roman" w:hAnsiTheme="majorHAnsi" w:cstheme="majorHAnsi"/>
          <w:color w:val="000000"/>
          <w:sz w:val="24"/>
          <w:szCs w:val="24"/>
          <w:lang w:val="ru-RU" w:eastAsia="ru-RU" w:bidi="ro-RO"/>
        </w:rPr>
        <w:t xml:space="preserve">и </w:t>
      </w:r>
      <w:r w:rsidRPr="00BD0B0B">
        <w:rPr>
          <w:rFonts w:asciiTheme="majorHAnsi" w:eastAsia="Times New Roman" w:hAnsiTheme="majorHAnsi" w:cstheme="majorHAnsi"/>
          <w:color w:val="000000"/>
          <w:sz w:val="24"/>
          <w:szCs w:val="24"/>
          <w:lang w:val="ro-RO" w:eastAsia="ru-RU" w:bidi="ro-RO"/>
        </w:rPr>
        <w:t xml:space="preserve">были исполнены на сумму 348,1 млн. леев, или </w:t>
      </w:r>
      <w:r w:rsidR="005E5EEC">
        <w:rPr>
          <w:rFonts w:asciiTheme="majorHAnsi" w:eastAsia="Times New Roman" w:hAnsiTheme="majorHAnsi" w:cstheme="majorHAnsi"/>
          <w:color w:val="000000"/>
          <w:sz w:val="24"/>
          <w:szCs w:val="24"/>
          <w:lang w:val="ru-RU" w:eastAsia="ru-RU" w:bidi="ro-RO"/>
        </w:rPr>
        <w:t xml:space="preserve">на уровне </w:t>
      </w:r>
      <w:r w:rsidRPr="00BD0B0B">
        <w:rPr>
          <w:rFonts w:asciiTheme="majorHAnsi" w:eastAsia="Times New Roman" w:hAnsiTheme="majorHAnsi" w:cstheme="majorHAnsi"/>
          <w:color w:val="000000"/>
          <w:sz w:val="24"/>
          <w:szCs w:val="24"/>
          <w:lang w:val="ro-RO" w:eastAsia="ru-RU" w:bidi="ro-RO"/>
        </w:rPr>
        <w:t>49,7%, что на 597,3 млн. ле</w:t>
      </w:r>
      <w:r w:rsidR="005E5EEC">
        <w:rPr>
          <w:rFonts w:asciiTheme="majorHAnsi" w:eastAsia="Times New Roman" w:hAnsiTheme="majorHAnsi" w:cstheme="majorHAnsi"/>
          <w:color w:val="000000"/>
          <w:sz w:val="24"/>
          <w:szCs w:val="24"/>
          <w:lang w:val="ru-RU" w:eastAsia="ru-RU" w:bidi="ro-RO"/>
        </w:rPr>
        <w:t>ев</w:t>
      </w:r>
      <w:r w:rsidRPr="00BD0B0B">
        <w:rPr>
          <w:rFonts w:asciiTheme="majorHAnsi" w:eastAsia="Times New Roman" w:hAnsiTheme="majorHAnsi" w:cstheme="majorHAnsi"/>
          <w:color w:val="000000"/>
          <w:sz w:val="24"/>
          <w:szCs w:val="24"/>
          <w:lang w:val="ro-RO" w:eastAsia="ru-RU" w:bidi="ro-RO"/>
        </w:rPr>
        <w:t xml:space="preserve"> </w:t>
      </w:r>
      <w:r w:rsidR="005E5EEC" w:rsidRPr="00BD0B0B">
        <w:rPr>
          <w:rFonts w:asciiTheme="majorHAnsi" w:eastAsia="Times New Roman" w:hAnsiTheme="majorHAnsi" w:cstheme="majorHAnsi"/>
          <w:color w:val="000000"/>
          <w:sz w:val="24"/>
          <w:szCs w:val="24"/>
          <w:lang w:val="ro-RO" w:eastAsia="ru-RU" w:bidi="ro-RO"/>
        </w:rPr>
        <w:t xml:space="preserve">меньше </w:t>
      </w:r>
      <w:r w:rsidRPr="00BD0B0B">
        <w:rPr>
          <w:rFonts w:asciiTheme="majorHAnsi" w:eastAsia="Times New Roman" w:hAnsiTheme="majorHAnsi" w:cstheme="majorHAnsi"/>
          <w:color w:val="000000"/>
          <w:sz w:val="24"/>
          <w:szCs w:val="24"/>
          <w:lang w:val="ro-RO" w:eastAsia="ru-RU" w:bidi="ro-RO"/>
        </w:rPr>
        <w:t>по сравнению с 2019 годом (945,4 млн. ле</w:t>
      </w:r>
      <w:r w:rsidR="005E5EEC">
        <w:rPr>
          <w:rFonts w:asciiTheme="majorHAnsi" w:eastAsia="Times New Roman" w:hAnsiTheme="majorHAnsi" w:cstheme="majorHAnsi"/>
          <w:color w:val="000000"/>
          <w:sz w:val="24"/>
          <w:szCs w:val="24"/>
          <w:lang w:val="ru-RU" w:eastAsia="ru-RU" w:bidi="ro-RO"/>
        </w:rPr>
        <w:t>ев</w:t>
      </w:r>
      <w:r w:rsidRPr="00BD0B0B">
        <w:rPr>
          <w:rFonts w:asciiTheme="majorHAnsi" w:eastAsia="Times New Roman" w:hAnsiTheme="majorHAnsi" w:cstheme="majorHAnsi"/>
          <w:color w:val="000000"/>
          <w:sz w:val="24"/>
          <w:szCs w:val="24"/>
          <w:lang w:val="ro-RO" w:eastAsia="ru-RU" w:bidi="ro-RO"/>
        </w:rPr>
        <w:t>). В результате</w:t>
      </w:r>
      <w:r w:rsidR="005E5EEC" w:rsidRPr="005E5EEC">
        <w:rPr>
          <w:rFonts w:asciiTheme="majorHAnsi" w:eastAsia="Times New Roman" w:hAnsiTheme="majorHAnsi" w:cstheme="majorHAnsi"/>
          <w:color w:val="000000"/>
          <w:sz w:val="24"/>
          <w:szCs w:val="24"/>
          <w:lang w:val="ro-RO" w:eastAsia="ru-RU" w:bidi="ro-RO"/>
        </w:rPr>
        <w:t>,</w:t>
      </w:r>
      <w:r w:rsidRPr="00BD0B0B">
        <w:rPr>
          <w:rFonts w:asciiTheme="majorHAnsi" w:eastAsia="Times New Roman" w:hAnsiTheme="majorHAnsi" w:cstheme="majorHAnsi"/>
          <w:color w:val="000000"/>
          <w:sz w:val="24"/>
          <w:szCs w:val="24"/>
          <w:lang w:val="ro-RO" w:eastAsia="ru-RU" w:bidi="ro-RO"/>
        </w:rPr>
        <w:t xml:space="preserve"> были отнесены следующие источники </w:t>
      </w:r>
      <w:r w:rsidR="005E5EEC" w:rsidRPr="005E5EEC">
        <w:rPr>
          <w:rFonts w:asciiTheme="majorHAnsi" w:eastAsia="Times New Roman" w:hAnsiTheme="majorHAnsi" w:cstheme="majorHAnsi"/>
          <w:color w:val="000000"/>
          <w:sz w:val="24"/>
          <w:szCs w:val="24"/>
          <w:lang w:val="ro-RO" w:eastAsia="ru-RU" w:bidi="ro-RO"/>
        </w:rPr>
        <w:t xml:space="preserve">от </w:t>
      </w:r>
      <w:r w:rsidRPr="00BD0B0B">
        <w:rPr>
          <w:rFonts w:asciiTheme="majorHAnsi" w:eastAsia="Times New Roman" w:hAnsiTheme="majorHAnsi" w:cstheme="majorHAnsi"/>
          <w:color w:val="000000"/>
          <w:sz w:val="24"/>
          <w:szCs w:val="24"/>
          <w:lang w:val="ro-RO" w:eastAsia="ru-RU" w:bidi="ro-RO"/>
        </w:rPr>
        <w:t>приватизации: государственные предприятия (единые имущественные комплексы)</w:t>
      </w:r>
      <w:r w:rsidR="0029724E" w:rsidRPr="0029724E">
        <w:rPr>
          <w:rFonts w:asciiTheme="majorHAnsi" w:eastAsia="Times New Roman" w:hAnsiTheme="majorHAnsi" w:cstheme="majorHAnsi"/>
          <w:color w:val="000000"/>
          <w:sz w:val="24"/>
          <w:szCs w:val="24"/>
          <w:lang w:val="ro-RO" w:eastAsia="ru-RU" w:bidi="ro-RO"/>
        </w:rPr>
        <w:t xml:space="preserve"> в</w:t>
      </w:r>
      <w:r w:rsidRPr="00BD0B0B">
        <w:rPr>
          <w:rFonts w:asciiTheme="majorHAnsi" w:eastAsia="Times New Roman" w:hAnsiTheme="majorHAnsi" w:cstheme="majorHAnsi"/>
          <w:color w:val="000000"/>
          <w:sz w:val="24"/>
          <w:szCs w:val="24"/>
          <w:lang w:val="ro-RO" w:eastAsia="ru-RU" w:bidi="ro-RO"/>
        </w:rPr>
        <w:t xml:space="preserve"> сумм</w:t>
      </w:r>
      <w:r w:rsidR="0029724E" w:rsidRPr="0029724E">
        <w:rPr>
          <w:rFonts w:asciiTheme="majorHAnsi" w:eastAsia="Times New Roman" w:hAnsiTheme="majorHAnsi" w:cstheme="majorHAnsi"/>
          <w:color w:val="000000"/>
          <w:sz w:val="24"/>
          <w:szCs w:val="24"/>
          <w:lang w:val="ro-RO" w:eastAsia="ru-RU" w:bidi="ro-RO"/>
        </w:rPr>
        <w:t>е</w:t>
      </w:r>
      <w:r w:rsidRPr="00BD0B0B">
        <w:rPr>
          <w:rFonts w:asciiTheme="majorHAnsi" w:eastAsia="Times New Roman" w:hAnsiTheme="majorHAnsi" w:cstheme="majorHAnsi"/>
          <w:color w:val="000000"/>
          <w:sz w:val="24"/>
          <w:szCs w:val="24"/>
          <w:lang w:val="ro-RO" w:eastAsia="ru-RU" w:bidi="ro-RO"/>
        </w:rPr>
        <w:t xml:space="preserve"> 15,5 млн. леев, комплексы </w:t>
      </w:r>
      <w:r w:rsidR="0029724E" w:rsidRPr="0029724E">
        <w:rPr>
          <w:rFonts w:asciiTheme="majorHAnsi" w:eastAsia="Times New Roman" w:hAnsiTheme="majorHAnsi" w:cstheme="majorHAnsi"/>
          <w:color w:val="000000"/>
          <w:sz w:val="24"/>
          <w:szCs w:val="24"/>
          <w:lang w:val="ro-RO" w:eastAsia="ru-RU" w:bidi="ro-RO"/>
        </w:rPr>
        <w:t>объект</w:t>
      </w:r>
      <w:r w:rsidR="002B6891">
        <w:rPr>
          <w:rFonts w:asciiTheme="majorHAnsi" w:eastAsia="Times New Roman" w:hAnsiTheme="majorHAnsi" w:cstheme="majorHAnsi"/>
          <w:color w:val="000000"/>
          <w:sz w:val="24"/>
          <w:szCs w:val="24"/>
          <w:lang w:val="ro-RO" w:eastAsia="ru-RU" w:bidi="ro-RO"/>
        </w:rPr>
        <w:t>ов в</w:t>
      </w:r>
      <w:r w:rsidRPr="00BD0B0B">
        <w:rPr>
          <w:rFonts w:asciiTheme="majorHAnsi" w:eastAsia="Times New Roman" w:hAnsiTheme="majorHAnsi" w:cstheme="majorHAnsi"/>
          <w:color w:val="000000"/>
          <w:sz w:val="24"/>
          <w:szCs w:val="24"/>
          <w:lang w:val="ro-RO" w:eastAsia="ru-RU" w:bidi="ro-RO"/>
        </w:rPr>
        <w:t xml:space="preserve"> сумм</w:t>
      </w:r>
      <w:r w:rsidR="0029724E" w:rsidRPr="0029724E">
        <w:rPr>
          <w:rFonts w:asciiTheme="majorHAnsi" w:eastAsia="Times New Roman" w:hAnsiTheme="majorHAnsi" w:cstheme="majorHAnsi"/>
          <w:color w:val="000000"/>
          <w:sz w:val="24"/>
          <w:szCs w:val="24"/>
          <w:lang w:val="ro-RO" w:eastAsia="ru-RU" w:bidi="ro-RO"/>
        </w:rPr>
        <w:t>е</w:t>
      </w:r>
      <w:r w:rsidRPr="00BD0B0B">
        <w:rPr>
          <w:rFonts w:asciiTheme="majorHAnsi" w:eastAsia="Times New Roman" w:hAnsiTheme="majorHAnsi" w:cstheme="majorHAnsi"/>
          <w:color w:val="000000"/>
          <w:sz w:val="24"/>
          <w:szCs w:val="24"/>
          <w:lang w:val="ro-RO" w:eastAsia="ru-RU" w:bidi="ro-RO"/>
        </w:rPr>
        <w:t xml:space="preserve"> 14,2 млн. леев и продажа земельных участков в сумме 318,4 млн. леев. </w:t>
      </w:r>
      <w:r w:rsidR="0029724E">
        <w:rPr>
          <w:rFonts w:asciiTheme="majorHAnsi" w:hAnsiTheme="majorHAnsi" w:cstheme="majorHAnsi"/>
          <w:sz w:val="24"/>
          <w:szCs w:val="24"/>
          <w:lang w:val="ru-RU"/>
        </w:rPr>
        <w:t>Одновременно</w:t>
      </w:r>
      <w:r w:rsidRPr="00BD0B0B">
        <w:rPr>
          <w:rFonts w:asciiTheme="majorHAnsi" w:hAnsiTheme="majorHAnsi" w:cstheme="majorHAnsi"/>
          <w:sz w:val="24"/>
          <w:szCs w:val="24"/>
          <w:lang w:val="ro-RO"/>
        </w:rPr>
        <w:t xml:space="preserve"> отме</w:t>
      </w:r>
      <w:r w:rsidR="0029724E">
        <w:rPr>
          <w:rFonts w:asciiTheme="majorHAnsi" w:hAnsiTheme="majorHAnsi" w:cstheme="majorHAnsi"/>
          <w:sz w:val="24"/>
          <w:szCs w:val="24"/>
          <w:lang w:val="ru-RU"/>
        </w:rPr>
        <w:t>чается</w:t>
      </w:r>
      <w:r w:rsidRPr="00BD0B0B">
        <w:rPr>
          <w:rFonts w:asciiTheme="majorHAnsi" w:hAnsiTheme="majorHAnsi" w:cstheme="majorHAnsi"/>
          <w:sz w:val="24"/>
          <w:szCs w:val="24"/>
          <w:lang w:val="ro-RO"/>
        </w:rPr>
        <w:t xml:space="preserve">, что </w:t>
      </w:r>
      <w:r w:rsidR="0029724E">
        <w:rPr>
          <w:rFonts w:asciiTheme="majorHAnsi" w:hAnsiTheme="majorHAnsi" w:cstheme="majorHAnsi"/>
          <w:sz w:val="24"/>
          <w:szCs w:val="24"/>
          <w:lang w:val="ru-RU"/>
        </w:rPr>
        <w:t>по</w:t>
      </w:r>
      <w:r w:rsidRPr="00BD0B0B">
        <w:rPr>
          <w:rFonts w:asciiTheme="majorHAnsi" w:hAnsiTheme="majorHAnsi" w:cstheme="majorHAnsi"/>
          <w:sz w:val="24"/>
          <w:szCs w:val="24"/>
          <w:lang w:val="ro-RO"/>
        </w:rPr>
        <w:t xml:space="preserve"> части доходов </w:t>
      </w:r>
      <w:r w:rsidR="008F632D">
        <w:rPr>
          <w:rFonts w:asciiTheme="majorHAnsi" w:hAnsiTheme="majorHAnsi" w:cstheme="majorHAnsi"/>
          <w:sz w:val="24"/>
          <w:szCs w:val="24"/>
          <w:lang w:val="ro-RO"/>
        </w:rPr>
        <w:t>ГБ</w:t>
      </w:r>
      <w:r w:rsidRPr="00BD0B0B">
        <w:rPr>
          <w:rFonts w:asciiTheme="majorHAnsi" w:hAnsiTheme="majorHAnsi" w:cstheme="majorHAnsi"/>
          <w:sz w:val="24"/>
          <w:szCs w:val="24"/>
          <w:lang w:val="ro-RO"/>
        </w:rPr>
        <w:t xml:space="preserve"> </w:t>
      </w:r>
      <w:r w:rsidRPr="0029724E">
        <w:rPr>
          <w:rFonts w:asciiTheme="majorHAnsi" w:hAnsiTheme="majorHAnsi" w:cstheme="majorHAnsi"/>
          <w:i/>
          <w:sz w:val="24"/>
          <w:szCs w:val="24"/>
          <w:lang w:val="ro-RO"/>
        </w:rPr>
        <w:t>(</w:t>
      </w:r>
      <w:r w:rsidR="0029724E">
        <w:rPr>
          <w:rFonts w:asciiTheme="majorHAnsi" w:hAnsiTheme="majorHAnsi" w:cstheme="majorHAnsi"/>
          <w:i/>
          <w:sz w:val="24"/>
          <w:szCs w:val="24"/>
          <w:lang w:val="ru-RU"/>
        </w:rPr>
        <w:t>прива</w:t>
      </w:r>
      <w:r w:rsidRPr="0029724E">
        <w:rPr>
          <w:rFonts w:asciiTheme="majorHAnsi" w:hAnsiTheme="majorHAnsi" w:cstheme="majorHAnsi"/>
          <w:i/>
          <w:sz w:val="24"/>
          <w:szCs w:val="24"/>
          <w:lang w:val="ro-RO"/>
        </w:rPr>
        <w:t>тный налог)</w:t>
      </w:r>
      <w:r w:rsidRPr="00BD0B0B">
        <w:rPr>
          <w:rFonts w:asciiTheme="majorHAnsi" w:hAnsiTheme="majorHAnsi" w:cstheme="majorHAnsi"/>
          <w:sz w:val="24"/>
          <w:szCs w:val="24"/>
          <w:lang w:val="ro-RO"/>
        </w:rPr>
        <w:t xml:space="preserve"> было выплачено </w:t>
      </w:r>
      <w:r w:rsidRPr="00BD0B0B">
        <w:rPr>
          <w:rFonts w:asciiTheme="majorHAnsi" w:hAnsiTheme="majorHAnsi" w:cstheme="majorHAnsi"/>
          <w:sz w:val="24"/>
          <w:szCs w:val="24"/>
          <w:lang w:val="ro-RO"/>
        </w:rPr>
        <w:lastRenderedPageBreak/>
        <w:t xml:space="preserve">3,7 млн. леев, что составляет 1% от </w:t>
      </w:r>
      <w:r w:rsidR="0029724E">
        <w:rPr>
          <w:rFonts w:asciiTheme="majorHAnsi" w:hAnsiTheme="majorHAnsi" w:cstheme="majorHAnsi"/>
          <w:sz w:val="24"/>
          <w:szCs w:val="24"/>
          <w:lang w:val="ru-RU"/>
        </w:rPr>
        <w:t xml:space="preserve">закупочной </w:t>
      </w:r>
      <w:r w:rsidRPr="00BD0B0B">
        <w:rPr>
          <w:rFonts w:asciiTheme="majorHAnsi" w:hAnsiTheme="majorHAnsi" w:cstheme="majorHAnsi"/>
          <w:sz w:val="24"/>
          <w:szCs w:val="24"/>
          <w:lang w:val="ro-RO"/>
        </w:rPr>
        <w:t xml:space="preserve">стоимости имущества публичной собственности, подлежащего приватизации, в том числе от стоимости акций, подлежащих приватизации. Аудит </w:t>
      </w:r>
      <w:r w:rsidR="0029724E">
        <w:rPr>
          <w:rFonts w:asciiTheme="majorHAnsi" w:hAnsiTheme="majorHAnsi" w:cstheme="majorHAnsi"/>
          <w:sz w:val="24"/>
          <w:szCs w:val="24"/>
          <w:lang w:val="ru-RU"/>
        </w:rPr>
        <w:t>отмеч</w:t>
      </w:r>
      <w:r w:rsidRPr="00BD0B0B">
        <w:rPr>
          <w:rFonts w:asciiTheme="majorHAnsi" w:hAnsiTheme="majorHAnsi" w:cstheme="majorHAnsi"/>
          <w:sz w:val="24"/>
          <w:szCs w:val="24"/>
          <w:lang w:val="ro-RO"/>
        </w:rPr>
        <w:t xml:space="preserve">ает, что в ст.9 Закона </w:t>
      </w:r>
      <w:r w:rsidR="0029724E">
        <w:rPr>
          <w:rFonts w:asciiTheme="majorHAnsi" w:hAnsiTheme="majorHAnsi" w:cstheme="majorHAnsi"/>
          <w:sz w:val="24"/>
          <w:szCs w:val="24"/>
          <w:lang w:val="ru-RU"/>
        </w:rPr>
        <w:t>о</w:t>
      </w:r>
      <w:r w:rsidRPr="00BD0B0B">
        <w:rPr>
          <w:rFonts w:asciiTheme="majorHAnsi" w:hAnsiTheme="majorHAnsi" w:cstheme="majorHAnsi"/>
          <w:sz w:val="24"/>
          <w:szCs w:val="24"/>
          <w:lang w:val="ro-RO"/>
        </w:rPr>
        <w:t xml:space="preserve"> государственном бюджете на 2020 год рег</w:t>
      </w:r>
      <w:r w:rsidR="0029724E">
        <w:rPr>
          <w:rFonts w:asciiTheme="majorHAnsi" w:hAnsiTheme="majorHAnsi" w:cstheme="majorHAnsi"/>
          <w:sz w:val="24"/>
          <w:szCs w:val="24"/>
          <w:lang w:val="ru-RU"/>
        </w:rPr>
        <w:t>ламент</w:t>
      </w:r>
      <w:r w:rsidRPr="00BD0B0B">
        <w:rPr>
          <w:rFonts w:asciiTheme="majorHAnsi" w:hAnsiTheme="majorHAnsi" w:cstheme="majorHAnsi"/>
          <w:sz w:val="24"/>
          <w:szCs w:val="24"/>
          <w:lang w:val="ro-RO"/>
        </w:rPr>
        <w:t xml:space="preserve">ируется </w:t>
      </w:r>
      <w:r w:rsidR="0029724E">
        <w:rPr>
          <w:rFonts w:asciiTheme="majorHAnsi" w:hAnsiTheme="majorHAnsi" w:cstheme="majorHAnsi"/>
          <w:sz w:val="24"/>
          <w:szCs w:val="24"/>
          <w:lang w:val="ru-RU"/>
        </w:rPr>
        <w:t xml:space="preserve">порядок </w:t>
      </w:r>
      <w:r w:rsidRPr="00BD0B0B">
        <w:rPr>
          <w:rFonts w:asciiTheme="majorHAnsi" w:hAnsiTheme="majorHAnsi" w:cstheme="majorHAnsi"/>
          <w:sz w:val="24"/>
          <w:szCs w:val="24"/>
          <w:lang w:val="ro-RO"/>
        </w:rPr>
        <w:t>вз</w:t>
      </w:r>
      <w:r w:rsidR="0029724E">
        <w:rPr>
          <w:rFonts w:asciiTheme="majorHAnsi" w:hAnsiTheme="majorHAnsi" w:cstheme="majorHAnsi"/>
          <w:sz w:val="24"/>
          <w:szCs w:val="24"/>
          <w:lang w:val="ru-RU"/>
        </w:rPr>
        <w:t>им</w:t>
      </w:r>
      <w:r w:rsidRPr="00BD0B0B">
        <w:rPr>
          <w:rFonts w:asciiTheme="majorHAnsi" w:hAnsiTheme="majorHAnsi" w:cstheme="majorHAnsi"/>
          <w:sz w:val="24"/>
          <w:szCs w:val="24"/>
          <w:lang w:val="ro-RO"/>
        </w:rPr>
        <w:t>ани</w:t>
      </w:r>
      <w:r w:rsidR="0029724E">
        <w:rPr>
          <w:rFonts w:asciiTheme="majorHAnsi" w:hAnsiTheme="majorHAnsi" w:cstheme="majorHAnsi"/>
          <w:sz w:val="24"/>
          <w:szCs w:val="24"/>
          <w:lang w:val="ru-RU"/>
        </w:rPr>
        <w:t>я</w:t>
      </w:r>
      <w:r w:rsidRPr="00BD0B0B">
        <w:rPr>
          <w:rFonts w:asciiTheme="majorHAnsi" w:hAnsiTheme="majorHAnsi" w:cstheme="majorHAnsi"/>
          <w:sz w:val="24"/>
          <w:szCs w:val="24"/>
          <w:lang w:val="ro-RO"/>
        </w:rPr>
        <w:t xml:space="preserve"> </w:t>
      </w:r>
      <w:r w:rsidR="0029724E">
        <w:rPr>
          <w:rFonts w:asciiTheme="majorHAnsi" w:hAnsiTheme="majorHAnsi" w:cstheme="majorHAnsi"/>
          <w:sz w:val="24"/>
          <w:szCs w:val="24"/>
          <w:lang w:val="ru-RU"/>
        </w:rPr>
        <w:t>прива</w:t>
      </w:r>
      <w:r w:rsidRPr="00BD0B0B">
        <w:rPr>
          <w:rFonts w:asciiTheme="majorHAnsi" w:hAnsiTheme="majorHAnsi" w:cstheme="majorHAnsi"/>
          <w:sz w:val="24"/>
          <w:szCs w:val="24"/>
          <w:lang w:val="ro-RO"/>
        </w:rPr>
        <w:t xml:space="preserve">тного налога в </w:t>
      </w:r>
      <w:r w:rsidR="008F632D">
        <w:rPr>
          <w:rFonts w:asciiTheme="majorHAnsi" w:hAnsiTheme="majorHAnsi" w:cstheme="majorHAnsi"/>
          <w:sz w:val="24"/>
          <w:szCs w:val="24"/>
          <w:lang w:val="ro-RO"/>
        </w:rPr>
        <w:t>ГБ</w:t>
      </w:r>
      <w:r w:rsidRPr="00BD0B0B">
        <w:rPr>
          <w:rFonts w:asciiTheme="majorHAnsi" w:hAnsiTheme="majorHAnsi" w:cstheme="majorHAnsi"/>
          <w:sz w:val="24"/>
          <w:szCs w:val="24"/>
          <w:lang w:val="ro-RO"/>
        </w:rPr>
        <w:t xml:space="preserve">, хотя в соответствии со ст.7 (1) Налогового кодекса </w:t>
      </w:r>
      <w:r w:rsidR="0029724E">
        <w:rPr>
          <w:rFonts w:asciiTheme="majorHAnsi" w:hAnsiTheme="majorHAnsi" w:cstheme="majorHAnsi"/>
          <w:sz w:val="24"/>
          <w:szCs w:val="24"/>
          <w:lang w:val="ro-RO"/>
        </w:rPr>
        <w:t>„</w:t>
      </w:r>
      <w:r w:rsidRPr="00BD0B0B">
        <w:rPr>
          <w:rFonts w:asciiTheme="majorHAnsi" w:hAnsiTheme="majorHAnsi" w:cstheme="majorHAnsi"/>
          <w:sz w:val="24"/>
          <w:szCs w:val="24"/>
          <w:lang w:val="ro-RO"/>
        </w:rPr>
        <w:t>государственные и местные налоги и сборы устанавливаются, изменяются или отменяются исключительно путем внесения изменений и дополнений в Кодекс</w:t>
      </w:r>
      <w:r w:rsidR="0029724E" w:rsidRPr="00F55BA6">
        <w:rPr>
          <w:rFonts w:asciiTheme="majorHAnsi" w:hAnsiTheme="majorHAnsi" w:cstheme="majorHAnsi"/>
          <w:sz w:val="24"/>
          <w:szCs w:val="24"/>
          <w:lang w:val="ro-RO"/>
        </w:rPr>
        <w:t>”</w:t>
      </w:r>
      <w:r w:rsidRPr="00BD0B0B">
        <w:rPr>
          <w:rFonts w:asciiTheme="majorHAnsi" w:hAnsiTheme="majorHAnsi" w:cstheme="majorHAnsi"/>
          <w:sz w:val="24"/>
          <w:szCs w:val="24"/>
          <w:lang w:val="ro-RO"/>
        </w:rPr>
        <w:t>. Таким образом, отмечается, что в соответствии с Налоговым кодексом</w:t>
      </w:r>
      <w:r w:rsidR="0029724E">
        <w:rPr>
          <w:rFonts w:asciiTheme="majorHAnsi" w:hAnsiTheme="majorHAnsi" w:cstheme="majorHAnsi"/>
          <w:sz w:val="24"/>
          <w:szCs w:val="24"/>
          <w:lang w:val="ru-RU"/>
        </w:rPr>
        <w:t>,</w:t>
      </w:r>
      <w:r w:rsidRPr="00BD0B0B">
        <w:rPr>
          <w:rFonts w:asciiTheme="majorHAnsi" w:hAnsiTheme="majorHAnsi" w:cstheme="majorHAnsi"/>
          <w:sz w:val="24"/>
          <w:szCs w:val="24"/>
          <w:lang w:val="ro-RO"/>
        </w:rPr>
        <w:t xml:space="preserve"> система государственных налогов и сборов включает </w:t>
      </w:r>
      <w:r w:rsidR="0029724E">
        <w:rPr>
          <w:rFonts w:asciiTheme="majorHAnsi" w:hAnsiTheme="majorHAnsi" w:cstheme="majorHAnsi"/>
          <w:sz w:val="24"/>
          <w:szCs w:val="24"/>
          <w:lang w:val="ru-RU"/>
        </w:rPr>
        <w:t>прива</w:t>
      </w:r>
      <w:r w:rsidRPr="00BD0B0B">
        <w:rPr>
          <w:rFonts w:asciiTheme="majorHAnsi" w:hAnsiTheme="majorHAnsi" w:cstheme="majorHAnsi"/>
          <w:sz w:val="24"/>
          <w:szCs w:val="24"/>
          <w:lang w:val="ro-RO"/>
        </w:rPr>
        <w:t xml:space="preserve">тный налог, но понятие, ставка </w:t>
      </w:r>
      <w:r w:rsidR="0029724E">
        <w:rPr>
          <w:rFonts w:asciiTheme="majorHAnsi" w:hAnsiTheme="majorHAnsi" w:cstheme="majorHAnsi"/>
          <w:sz w:val="24"/>
          <w:szCs w:val="24"/>
          <w:lang w:val="ru-RU"/>
        </w:rPr>
        <w:t>прива</w:t>
      </w:r>
      <w:r w:rsidRPr="00BD0B0B">
        <w:rPr>
          <w:rFonts w:asciiTheme="majorHAnsi" w:hAnsiTheme="majorHAnsi" w:cstheme="majorHAnsi"/>
          <w:sz w:val="24"/>
          <w:szCs w:val="24"/>
          <w:lang w:val="ro-RO"/>
        </w:rPr>
        <w:t xml:space="preserve">тного налога и другие правила содержатся только в </w:t>
      </w:r>
      <w:r w:rsidR="00646C44">
        <w:rPr>
          <w:rFonts w:asciiTheme="majorHAnsi" w:hAnsiTheme="majorHAnsi" w:cstheme="majorHAnsi"/>
          <w:sz w:val="24"/>
          <w:szCs w:val="24"/>
          <w:lang w:val="ru-RU"/>
        </w:rPr>
        <w:t>годовом законе о</w:t>
      </w:r>
      <w:r w:rsidR="00646C44">
        <w:rPr>
          <w:rFonts w:asciiTheme="majorHAnsi" w:hAnsiTheme="majorHAnsi" w:cstheme="majorHAnsi"/>
          <w:sz w:val="24"/>
          <w:szCs w:val="24"/>
          <w:lang w:val="ro-RO"/>
        </w:rPr>
        <w:t xml:space="preserve"> бюджете</w:t>
      </w:r>
      <w:r w:rsidR="003A12E6">
        <w:rPr>
          <w:rFonts w:asciiTheme="majorHAnsi" w:hAnsiTheme="majorHAnsi" w:cstheme="majorHAnsi"/>
          <w:sz w:val="24"/>
          <w:szCs w:val="24"/>
          <w:lang w:val="ro-RO"/>
        </w:rPr>
        <w:t>;</w:t>
      </w:r>
    </w:p>
    <w:p w:rsidR="00C3538A" w:rsidRPr="00F55BA6" w:rsidRDefault="00BD0B0B" w:rsidP="0029724E">
      <w:pPr>
        <w:tabs>
          <w:tab w:val="left" w:pos="142"/>
        </w:tabs>
        <w:spacing w:after="0"/>
        <w:contextualSpacing/>
        <w:rPr>
          <w:rFonts w:ascii="Tahoma" w:eastAsia="Times New Roman" w:hAnsi="Tahoma" w:cs="Tahoma"/>
          <w:i/>
          <w:iCs/>
          <w:sz w:val="18"/>
          <w:szCs w:val="18"/>
          <w:lang w:val="ro-RO"/>
        </w:rPr>
      </w:pPr>
      <w:r w:rsidRPr="00BD0B0B">
        <w:rPr>
          <w:rFonts w:asciiTheme="majorHAnsi" w:eastAsia="Times New Roman" w:hAnsiTheme="majorHAnsi" w:cstheme="majorHAnsi"/>
          <w:iCs/>
          <w:sz w:val="24"/>
          <w:szCs w:val="24"/>
          <w:lang w:val="ro-RO"/>
        </w:rPr>
        <w:t xml:space="preserve">- в 2020 году из </w:t>
      </w:r>
      <w:r w:rsidR="0029724E">
        <w:rPr>
          <w:rFonts w:asciiTheme="majorHAnsi" w:eastAsia="Times New Roman" w:hAnsiTheme="majorHAnsi" w:cstheme="majorHAnsi"/>
          <w:iCs/>
          <w:sz w:val="24"/>
          <w:szCs w:val="24"/>
          <w:lang w:val="ru-RU"/>
        </w:rPr>
        <w:t>ГБ</w:t>
      </w:r>
      <w:r w:rsidRPr="00BD0B0B">
        <w:rPr>
          <w:rFonts w:asciiTheme="majorHAnsi" w:eastAsia="Times New Roman" w:hAnsiTheme="majorHAnsi" w:cstheme="majorHAnsi"/>
          <w:iCs/>
          <w:sz w:val="24"/>
          <w:szCs w:val="24"/>
          <w:lang w:val="ro-RO"/>
        </w:rPr>
        <w:t xml:space="preserve"> были возвращены бюджетные средства в случае расторжения 7 договоров купли-продажи приватизированных помещений/земель</w:t>
      </w:r>
      <w:r w:rsidR="0029724E">
        <w:rPr>
          <w:rFonts w:asciiTheme="majorHAnsi" w:eastAsia="Times New Roman" w:hAnsiTheme="majorHAnsi" w:cstheme="majorHAnsi"/>
          <w:iCs/>
          <w:sz w:val="24"/>
          <w:szCs w:val="24"/>
          <w:lang w:val="ru-RU"/>
        </w:rPr>
        <w:t>ных участков</w:t>
      </w:r>
      <w:r w:rsidRPr="00BD0B0B">
        <w:rPr>
          <w:rFonts w:asciiTheme="majorHAnsi" w:eastAsia="Times New Roman" w:hAnsiTheme="majorHAnsi" w:cstheme="majorHAnsi"/>
          <w:iCs/>
          <w:sz w:val="24"/>
          <w:szCs w:val="24"/>
          <w:lang w:val="ro-RO"/>
        </w:rPr>
        <w:t xml:space="preserve"> в предыдущие периоды (2017-2019 гг.)</w:t>
      </w:r>
      <w:r w:rsidR="0029724E">
        <w:rPr>
          <w:rFonts w:asciiTheme="majorHAnsi" w:eastAsia="Times New Roman" w:hAnsiTheme="majorHAnsi" w:cstheme="majorHAnsi"/>
          <w:iCs/>
          <w:sz w:val="24"/>
          <w:szCs w:val="24"/>
          <w:lang w:val="ru-RU"/>
        </w:rPr>
        <w:t>,</w:t>
      </w:r>
      <w:r w:rsidRPr="00BD0B0B">
        <w:rPr>
          <w:rFonts w:asciiTheme="majorHAnsi" w:eastAsia="Times New Roman" w:hAnsiTheme="majorHAnsi" w:cstheme="majorHAnsi"/>
          <w:iCs/>
          <w:sz w:val="24"/>
          <w:szCs w:val="24"/>
          <w:lang w:val="ro-RO"/>
        </w:rPr>
        <w:t xml:space="preserve"> на общую сумму 28,6 млн. </w:t>
      </w:r>
      <w:r w:rsidR="0029724E">
        <w:rPr>
          <w:rFonts w:asciiTheme="majorHAnsi" w:eastAsia="Times New Roman" w:hAnsiTheme="majorHAnsi" w:cstheme="majorHAnsi"/>
          <w:iCs/>
          <w:sz w:val="24"/>
          <w:szCs w:val="24"/>
          <w:lang w:val="ru-RU"/>
        </w:rPr>
        <w:t>л</w:t>
      </w:r>
      <w:r w:rsidR="0025764C">
        <w:rPr>
          <w:rFonts w:asciiTheme="majorHAnsi" w:eastAsia="Times New Roman" w:hAnsiTheme="majorHAnsi" w:cstheme="majorHAnsi"/>
          <w:iCs/>
          <w:sz w:val="24"/>
          <w:szCs w:val="24"/>
          <w:lang w:val="ro-RO"/>
        </w:rPr>
        <w:t>еев</w:t>
      </w:r>
      <w:r w:rsidRPr="00BD0B0B">
        <w:rPr>
          <w:rFonts w:asciiTheme="majorHAnsi" w:eastAsia="Times New Roman" w:hAnsiTheme="majorHAnsi" w:cstheme="majorHAnsi"/>
          <w:iCs/>
          <w:sz w:val="24"/>
          <w:szCs w:val="24"/>
          <w:lang w:val="ro-RO"/>
        </w:rPr>
        <w:t xml:space="preserve">. </w:t>
      </w:r>
      <w:r w:rsidR="0029724E">
        <w:rPr>
          <w:rFonts w:asciiTheme="majorHAnsi" w:eastAsia="Times New Roman" w:hAnsiTheme="majorHAnsi" w:cstheme="majorHAnsi"/>
          <w:iCs/>
          <w:sz w:val="24"/>
          <w:szCs w:val="24"/>
          <w:lang w:val="ru-RU"/>
        </w:rPr>
        <w:t>АПС</w:t>
      </w:r>
      <w:r w:rsidRPr="00BD0B0B">
        <w:rPr>
          <w:rFonts w:asciiTheme="majorHAnsi" w:eastAsia="Times New Roman" w:hAnsiTheme="majorHAnsi" w:cstheme="majorHAnsi"/>
          <w:iCs/>
          <w:sz w:val="24"/>
          <w:szCs w:val="24"/>
          <w:lang w:val="ro-RO"/>
        </w:rPr>
        <w:t xml:space="preserve">, по </w:t>
      </w:r>
      <w:r w:rsidR="0029724E">
        <w:rPr>
          <w:rFonts w:asciiTheme="majorHAnsi" w:eastAsia="Times New Roman" w:hAnsiTheme="majorHAnsi" w:cstheme="majorHAnsi"/>
          <w:iCs/>
          <w:sz w:val="24"/>
          <w:szCs w:val="24"/>
          <w:lang w:val="ru-RU"/>
        </w:rPr>
        <w:t>запросу</w:t>
      </w:r>
      <w:r w:rsidRPr="00BD0B0B">
        <w:rPr>
          <w:rFonts w:asciiTheme="majorHAnsi" w:eastAsia="Times New Roman" w:hAnsiTheme="majorHAnsi" w:cstheme="majorHAnsi"/>
          <w:iCs/>
          <w:sz w:val="24"/>
          <w:szCs w:val="24"/>
          <w:lang w:val="ro-RO"/>
        </w:rPr>
        <w:t xml:space="preserve"> экономических агентов-правопреемников, выполнило процедуру р</w:t>
      </w:r>
      <w:r w:rsidR="004B4F7C">
        <w:rPr>
          <w:rFonts w:asciiTheme="majorHAnsi" w:eastAsia="Times New Roman" w:hAnsiTheme="majorHAnsi" w:cstheme="majorHAnsi"/>
          <w:iCs/>
          <w:sz w:val="24"/>
          <w:szCs w:val="24"/>
          <w:lang w:val="ru-RU"/>
        </w:rPr>
        <w:t>асторжения</w:t>
      </w:r>
      <w:r w:rsidRPr="00BD0B0B">
        <w:rPr>
          <w:rFonts w:asciiTheme="majorHAnsi" w:eastAsia="Times New Roman" w:hAnsiTheme="majorHAnsi" w:cstheme="majorHAnsi"/>
          <w:iCs/>
          <w:sz w:val="24"/>
          <w:szCs w:val="24"/>
          <w:lang w:val="ro-RO"/>
        </w:rPr>
        <w:t xml:space="preserve"> по взаимному согласию, 6 договоров купли-продажи нежилых помещений в </w:t>
      </w:r>
      <w:r w:rsidR="0029724E">
        <w:rPr>
          <w:rFonts w:asciiTheme="majorHAnsi" w:eastAsia="Times New Roman" w:hAnsiTheme="majorHAnsi" w:cstheme="majorHAnsi"/>
          <w:iCs/>
          <w:sz w:val="24"/>
          <w:szCs w:val="24"/>
          <w:lang w:val="ru-RU"/>
        </w:rPr>
        <w:t>м</w:t>
      </w:r>
      <w:r w:rsidRPr="00BD0B0B">
        <w:rPr>
          <w:rFonts w:asciiTheme="majorHAnsi" w:eastAsia="Times New Roman" w:hAnsiTheme="majorHAnsi" w:cstheme="majorHAnsi"/>
          <w:iCs/>
          <w:sz w:val="24"/>
          <w:szCs w:val="24"/>
          <w:lang w:val="ro-RO"/>
        </w:rPr>
        <w:t xml:space="preserve">ун. </w:t>
      </w:r>
      <w:r w:rsidR="0029724E">
        <w:rPr>
          <w:rFonts w:asciiTheme="majorHAnsi" w:eastAsia="Times New Roman" w:hAnsiTheme="majorHAnsi" w:cstheme="majorHAnsi"/>
          <w:iCs/>
          <w:sz w:val="24"/>
          <w:szCs w:val="24"/>
          <w:lang w:val="ru-RU"/>
        </w:rPr>
        <w:t>Кишинэу</w:t>
      </w:r>
      <w:r w:rsidRPr="00BD0B0B">
        <w:rPr>
          <w:rFonts w:asciiTheme="majorHAnsi" w:eastAsia="Times New Roman" w:hAnsiTheme="majorHAnsi" w:cstheme="majorHAnsi"/>
          <w:iCs/>
          <w:sz w:val="24"/>
          <w:szCs w:val="24"/>
          <w:lang w:val="ro-RO"/>
        </w:rPr>
        <w:t xml:space="preserve">, </w:t>
      </w:r>
      <w:r w:rsidR="0029724E">
        <w:rPr>
          <w:rFonts w:asciiTheme="majorHAnsi" w:eastAsia="Times New Roman" w:hAnsiTheme="majorHAnsi" w:cstheme="majorHAnsi"/>
          <w:iCs/>
          <w:sz w:val="24"/>
          <w:szCs w:val="24"/>
          <w:lang w:val="ru-RU"/>
        </w:rPr>
        <w:t>ул</w:t>
      </w:r>
      <w:r w:rsidRPr="00BD0B0B">
        <w:rPr>
          <w:rFonts w:asciiTheme="majorHAnsi" w:eastAsia="Times New Roman" w:hAnsiTheme="majorHAnsi" w:cstheme="majorHAnsi"/>
          <w:iCs/>
          <w:sz w:val="24"/>
          <w:szCs w:val="24"/>
          <w:lang w:val="ro-RO"/>
        </w:rPr>
        <w:t>. Александр</w:t>
      </w:r>
      <w:r w:rsidR="008766E6">
        <w:rPr>
          <w:rFonts w:asciiTheme="majorHAnsi" w:eastAsia="Times New Roman" w:hAnsiTheme="majorHAnsi" w:cstheme="majorHAnsi"/>
          <w:iCs/>
          <w:sz w:val="24"/>
          <w:szCs w:val="24"/>
          <w:lang w:val="ru-RU"/>
        </w:rPr>
        <w:t>а</w:t>
      </w:r>
      <w:r w:rsidRPr="00BD0B0B">
        <w:rPr>
          <w:rFonts w:asciiTheme="majorHAnsi" w:eastAsia="Times New Roman" w:hAnsiTheme="majorHAnsi" w:cstheme="majorHAnsi"/>
          <w:iCs/>
          <w:sz w:val="24"/>
          <w:szCs w:val="24"/>
          <w:lang w:val="ro-RO"/>
        </w:rPr>
        <w:t xml:space="preserve"> Пушкин</w:t>
      </w:r>
      <w:r w:rsidR="008766E6">
        <w:rPr>
          <w:rFonts w:asciiTheme="majorHAnsi" w:eastAsia="Times New Roman" w:hAnsiTheme="majorHAnsi" w:cstheme="majorHAnsi"/>
          <w:iCs/>
          <w:sz w:val="24"/>
          <w:szCs w:val="24"/>
          <w:lang w:val="ru-RU"/>
        </w:rPr>
        <w:t>а</w:t>
      </w:r>
      <w:r w:rsidR="0029724E">
        <w:rPr>
          <w:rFonts w:asciiTheme="majorHAnsi" w:eastAsia="Times New Roman" w:hAnsiTheme="majorHAnsi" w:cstheme="majorHAnsi"/>
          <w:iCs/>
          <w:sz w:val="24"/>
          <w:szCs w:val="24"/>
          <w:lang w:val="ru-RU"/>
        </w:rPr>
        <w:t xml:space="preserve">, </w:t>
      </w:r>
      <w:r w:rsidRPr="00BD0B0B">
        <w:rPr>
          <w:rFonts w:asciiTheme="majorHAnsi" w:eastAsia="Times New Roman" w:hAnsiTheme="majorHAnsi" w:cstheme="majorHAnsi"/>
          <w:iCs/>
          <w:sz w:val="24"/>
          <w:szCs w:val="24"/>
          <w:lang w:val="ro-RO"/>
        </w:rPr>
        <w:t>22 (Дом Печати-16,3 млн. ле</w:t>
      </w:r>
      <w:r w:rsidR="0029724E">
        <w:rPr>
          <w:rFonts w:asciiTheme="majorHAnsi" w:eastAsia="Times New Roman" w:hAnsiTheme="majorHAnsi" w:cstheme="majorHAnsi"/>
          <w:iCs/>
          <w:sz w:val="24"/>
          <w:szCs w:val="24"/>
          <w:lang w:val="ru-RU"/>
        </w:rPr>
        <w:t>ев</w:t>
      </w:r>
      <w:r w:rsidRPr="00BD0B0B">
        <w:rPr>
          <w:rFonts w:asciiTheme="majorHAnsi" w:eastAsia="Times New Roman" w:hAnsiTheme="majorHAnsi" w:cstheme="majorHAnsi"/>
          <w:iCs/>
          <w:sz w:val="24"/>
          <w:szCs w:val="24"/>
          <w:lang w:val="ro-RO"/>
        </w:rPr>
        <w:t xml:space="preserve">) и ул. </w:t>
      </w:r>
      <w:r w:rsidR="0029724E">
        <w:rPr>
          <w:rFonts w:asciiTheme="majorHAnsi" w:eastAsia="Times New Roman" w:hAnsiTheme="majorHAnsi" w:cstheme="majorHAnsi"/>
          <w:iCs/>
          <w:sz w:val="24"/>
          <w:szCs w:val="24"/>
          <w:lang w:val="ru-RU"/>
        </w:rPr>
        <w:t>А</w:t>
      </w:r>
      <w:r w:rsidRPr="00BD0B0B">
        <w:rPr>
          <w:rFonts w:asciiTheme="majorHAnsi" w:eastAsia="Times New Roman" w:hAnsiTheme="majorHAnsi" w:cstheme="majorHAnsi"/>
          <w:iCs/>
          <w:sz w:val="24"/>
          <w:szCs w:val="24"/>
          <w:lang w:val="ro-RO"/>
        </w:rPr>
        <w:t xml:space="preserve">л. </w:t>
      </w:r>
      <w:r w:rsidR="0029724E">
        <w:rPr>
          <w:rFonts w:asciiTheme="majorHAnsi" w:eastAsia="Times New Roman" w:hAnsiTheme="majorHAnsi" w:cstheme="majorHAnsi"/>
          <w:iCs/>
          <w:sz w:val="24"/>
          <w:szCs w:val="24"/>
          <w:lang w:val="ru-RU"/>
        </w:rPr>
        <w:t xml:space="preserve">Матеевич, </w:t>
      </w:r>
      <w:r w:rsidRPr="00BD0B0B">
        <w:rPr>
          <w:rFonts w:asciiTheme="majorHAnsi" w:eastAsia="Times New Roman" w:hAnsiTheme="majorHAnsi" w:cstheme="majorHAnsi"/>
          <w:iCs/>
          <w:sz w:val="24"/>
          <w:szCs w:val="24"/>
          <w:lang w:val="ro-RO"/>
        </w:rPr>
        <w:t>79 (</w:t>
      </w:r>
      <w:r w:rsidR="0029724E">
        <w:rPr>
          <w:rFonts w:asciiTheme="majorHAnsi" w:eastAsia="Times New Roman" w:hAnsiTheme="majorHAnsi" w:cstheme="majorHAnsi"/>
          <w:iCs/>
          <w:sz w:val="24"/>
          <w:szCs w:val="24"/>
          <w:lang w:val="ru-RU"/>
        </w:rPr>
        <w:t>С</w:t>
      </w:r>
      <w:r w:rsidRPr="00BD0B0B">
        <w:rPr>
          <w:rFonts w:asciiTheme="majorHAnsi" w:eastAsia="Times New Roman" w:hAnsiTheme="majorHAnsi" w:cstheme="majorHAnsi"/>
          <w:iCs/>
          <w:sz w:val="24"/>
          <w:szCs w:val="24"/>
          <w:lang w:val="ro-RO"/>
        </w:rPr>
        <w:t>толовая Государственной канцелярии</w:t>
      </w:r>
      <w:r w:rsidR="0029724E">
        <w:rPr>
          <w:rFonts w:asciiTheme="majorHAnsi" w:eastAsia="Times New Roman" w:hAnsiTheme="majorHAnsi" w:cstheme="majorHAnsi"/>
          <w:iCs/>
          <w:sz w:val="24"/>
          <w:szCs w:val="24"/>
          <w:lang w:val="ru-RU"/>
        </w:rPr>
        <w:t xml:space="preserve"> </w:t>
      </w:r>
      <w:r w:rsidRPr="00BD0B0B">
        <w:rPr>
          <w:rFonts w:asciiTheme="majorHAnsi" w:eastAsia="Times New Roman" w:hAnsiTheme="majorHAnsi" w:cstheme="majorHAnsi"/>
          <w:iCs/>
          <w:sz w:val="24"/>
          <w:szCs w:val="24"/>
          <w:lang w:val="ro-RO"/>
        </w:rPr>
        <w:t>-</w:t>
      </w:r>
      <w:r w:rsidR="0029724E">
        <w:rPr>
          <w:rFonts w:asciiTheme="majorHAnsi" w:eastAsia="Times New Roman" w:hAnsiTheme="majorHAnsi" w:cstheme="majorHAnsi"/>
          <w:iCs/>
          <w:sz w:val="24"/>
          <w:szCs w:val="24"/>
          <w:lang w:val="ru-RU"/>
        </w:rPr>
        <w:t xml:space="preserve"> </w:t>
      </w:r>
      <w:r w:rsidRPr="00BD0B0B">
        <w:rPr>
          <w:rFonts w:asciiTheme="majorHAnsi" w:eastAsia="Times New Roman" w:hAnsiTheme="majorHAnsi" w:cstheme="majorHAnsi"/>
          <w:iCs/>
          <w:sz w:val="24"/>
          <w:szCs w:val="24"/>
          <w:lang w:val="ro-RO"/>
        </w:rPr>
        <w:t xml:space="preserve">10,8 млн. </w:t>
      </w:r>
      <w:r w:rsidR="0029724E">
        <w:rPr>
          <w:rFonts w:asciiTheme="majorHAnsi" w:eastAsia="Times New Roman" w:hAnsiTheme="majorHAnsi" w:cstheme="majorHAnsi"/>
          <w:iCs/>
          <w:sz w:val="24"/>
          <w:szCs w:val="24"/>
          <w:lang w:val="ru-RU"/>
        </w:rPr>
        <w:t>леев)</w:t>
      </w:r>
      <w:r w:rsidR="004B4F7C">
        <w:rPr>
          <w:rFonts w:asciiTheme="majorHAnsi" w:eastAsia="Times New Roman" w:hAnsiTheme="majorHAnsi" w:cstheme="majorHAnsi"/>
          <w:iCs/>
          <w:sz w:val="24"/>
          <w:szCs w:val="24"/>
          <w:lang w:val="ru-RU"/>
        </w:rPr>
        <w:t xml:space="preserve">, </w:t>
      </w:r>
      <w:r w:rsidR="004B4F7C">
        <w:rPr>
          <w:rFonts w:asciiTheme="majorHAnsi" w:eastAsia="Times New Roman" w:hAnsiTheme="majorHAnsi" w:cstheme="majorHAnsi"/>
          <w:iCs/>
          <w:sz w:val="24"/>
          <w:szCs w:val="24"/>
          <w:lang w:val="ro-RO"/>
        </w:rPr>
        <w:t>на общую сумму 27,1 млн. леев</w:t>
      </w:r>
      <w:r w:rsidR="00C3538A" w:rsidRPr="00F55BA6">
        <w:rPr>
          <w:rFonts w:asciiTheme="majorHAnsi" w:eastAsia="Times New Roman" w:hAnsiTheme="majorHAnsi" w:cstheme="majorHAnsi"/>
          <w:iCs/>
          <w:sz w:val="24"/>
          <w:szCs w:val="24"/>
          <w:lang w:val="ro-RO"/>
        </w:rPr>
        <w:t xml:space="preserve">. </w:t>
      </w:r>
    </w:p>
    <w:p w:rsidR="00C3538A" w:rsidRPr="00F55BA6" w:rsidRDefault="004B4F7C" w:rsidP="00C3538A">
      <w:pPr>
        <w:tabs>
          <w:tab w:val="left" w:pos="0"/>
        </w:tabs>
        <w:spacing w:after="0" w:line="276" w:lineRule="auto"/>
        <w:contextualSpacing/>
        <w:rPr>
          <w:rFonts w:asciiTheme="majorHAnsi" w:eastAsia="Times New Roman" w:hAnsiTheme="majorHAnsi" w:cstheme="majorHAnsi"/>
          <w:iCs/>
          <w:sz w:val="24"/>
          <w:szCs w:val="24"/>
          <w:lang w:val="ro-RO"/>
        </w:rPr>
      </w:pPr>
      <w:r>
        <w:rPr>
          <w:rFonts w:asciiTheme="majorHAnsi" w:eastAsia="Times New Roman" w:hAnsiTheme="majorHAnsi" w:cstheme="majorHAnsi"/>
          <w:iCs/>
          <w:sz w:val="24"/>
          <w:szCs w:val="24"/>
          <w:lang w:val="ru-RU"/>
        </w:rPr>
        <w:t>Кроме того</w:t>
      </w:r>
      <w:r w:rsidR="00BD0B0B" w:rsidRPr="00BD0B0B">
        <w:rPr>
          <w:rFonts w:asciiTheme="majorHAnsi" w:eastAsia="Times New Roman" w:hAnsiTheme="majorHAnsi" w:cstheme="majorHAnsi"/>
          <w:iCs/>
          <w:sz w:val="24"/>
          <w:szCs w:val="24"/>
          <w:lang w:val="ro-RO"/>
        </w:rPr>
        <w:t xml:space="preserve">, по </w:t>
      </w:r>
      <w:r>
        <w:rPr>
          <w:rFonts w:asciiTheme="majorHAnsi" w:eastAsia="Times New Roman" w:hAnsiTheme="majorHAnsi" w:cstheme="majorHAnsi"/>
          <w:iCs/>
          <w:sz w:val="24"/>
          <w:szCs w:val="24"/>
          <w:lang w:val="ru-RU"/>
        </w:rPr>
        <w:t>запросу</w:t>
      </w:r>
      <w:r w:rsidR="00BD0B0B" w:rsidRPr="00BD0B0B">
        <w:rPr>
          <w:rFonts w:asciiTheme="majorHAnsi" w:eastAsia="Times New Roman" w:hAnsiTheme="majorHAnsi" w:cstheme="majorHAnsi"/>
          <w:iCs/>
          <w:sz w:val="24"/>
          <w:szCs w:val="24"/>
          <w:lang w:val="ro-RO"/>
        </w:rPr>
        <w:t xml:space="preserve"> экономическ</w:t>
      </w:r>
      <w:r>
        <w:rPr>
          <w:rFonts w:asciiTheme="majorHAnsi" w:eastAsia="Times New Roman" w:hAnsiTheme="majorHAnsi" w:cstheme="majorHAnsi"/>
          <w:iCs/>
          <w:sz w:val="24"/>
          <w:szCs w:val="24"/>
          <w:lang w:val="ru-RU"/>
        </w:rPr>
        <w:t>ого</w:t>
      </w:r>
      <w:r w:rsidR="00BD0B0B" w:rsidRPr="00BD0B0B">
        <w:rPr>
          <w:rFonts w:asciiTheme="majorHAnsi" w:eastAsia="Times New Roman" w:hAnsiTheme="majorHAnsi" w:cstheme="majorHAnsi"/>
          <w:iCs/>
          <w:sz w:val="24"/>
          <w:szCs w:val="24"/>
          <w:lang w:val="ro-RO"/>
        </w:rPr>
        <w:t xml:space="preserve"> агент</w:t>
      </w:r>
      <w:r>
        <w:rPr>
          <w:rFonts w:asciiTheme="majorHAnsi" w:eastAsia="Times New Roman" w:hAnsiTheme="majorHAnsi" w:cstheme="majorHAnsi"/>
          <w:iCs/>
          <w:sz w:val="24"/>
          <w:szCs w:val="24"/>
          <w:lang w:val="ru-RU"/>
        </w:rPr>
        <w:t>а</w:t>
      </w:r>
      <w:r w:rsidR="00BD0B0B" w:rsidRPr="00BD0B0B">
        <w:rPr>
          <w:rFonts w:asciiTheme="majorHAnsi" w:eastAsia="Times New Roman" w:hAnsiTheme="majorHAnsi" w:cstheme="majorHAnsi"/>
          <w:iCs/>
          <w:sz w:val="24"/>
          <w:szCs w:val="24"/>
          <w:lang w:val="ro-RO"/>
        </w:rPr>
        <w:t xml:space="preserve"> </w:t>
      </w:r>
      <w:r>
        <w:rPr>
          <w:rFonts w:asciiTheme="majorHAnsi" w:eastAsia="Times New Roman" w:hAnsiTheme="majorHAnsi" w:cstheme="majorHAnsi"/>
          <w:iCs/>
          <w:sz w:val="24"/>
          <w:szCs w:val="24"/>
          <w:lang w:val="ru-RU"/>
        </w:rPr>
        <w:t xml:space="preserve">- </w:t>
      </w:r>
      <w:r w:rsidRPr="00BD0B0B">
        <w:rPr>
          <w:rFonts w:asciiTheme="majorHAnsi" w:eastAsia="Times New Roman" w:hAnsiTheme="majorHAnsi" w:cstheme="majorHAnsi"/>
          <w:iCs/>
          <w:sz w:val="24"/>
          <w:szCs w:val="24"/>
          <w:lang w:val="ro-RO"/>
        </w:rPr>
        <w:t>правопреемника выполнило процедуру р</w:t>
      </w:r>
      <w:r>
        <w:rPr>
          <w:rFonts w:asciiTheme="majorHAnsi" w:eastAsia="Times New Roman" w:hAnsiTheme="majorHAnsi" w:cstheme="majorHAnsi"/>
          <w:iCs/>
          <w:sz w:val="24"/>
          <w:szCs w:val="24"/>
          <w:lang w:val="ru-RU"/>
        </w:rPr>
        <w:t>асторжения</w:t>
      </w:r>
      <w:r w:rsidRPr="00BD0B0B">
        <w:rPr>
          <w:rFonts w:asciiTheme="majorHAnsi" w:eastAsia="Times New Roman" w:hAnsiTheme="majorHAnsi" w:cstheme="majorHAnsi"/>
          <w:iCs/>
          <w:sz w:val="24"/>
          <w:szCs w:val="24"/>
          <w:lang w:val="ro-RO"/>
        </w:rPr>
        <w:t xml:space="preserve"> по взаимному согласию</w:t>
      </w:r>
      <w:r w:rsidR="00BD0B0B" w:rsidRPr="00BD0B0B">
        <w:rPr>
          <w:rFonts w:asciiTheme="majorHAnsi" w:eastAsia="Times New Roman" w:hAnsiTheme="majorHAnsi" w:cstheme="majorHAnsi"/>
          <w:iCs/>
          <w:sz w:val="24"/>
          <w:szCs w:val="24"/>
          <w:lang w:val="ro-RO"/>
        </w:rPr>
        <w:t xml:space="preserve"> </w:t>
      </w:r>
      <w:r>
        <w:rPr>
          <w:rFonts w:asciiTheme="majorHAnsi" w:eastAsia="Times New Roman" w:hAnsiTheme="majorHAnsi" w:cstheme="majorHAnsi"/>
          <w:iCs/>
          <w:sz w:val="24"/>
          <w:szCs w:val="24"/>
          <w:lang w:val="ru-RU"/>
        </w:rPr>
        <w:t xml:space="preserve">договора </w:t>
      </w:r>
      <w:r w:rsidR="00BD0B0B" w:rsidRPr="00BD0B0B">
        <w:rPr>
          <w:rFonts w:asciiTheme="majorHAnsi" w:eastAsia="Times New Roman" w:hAnsiTheme="majorHAnsi" w:cstheme="majorHAnsi"/>
          <w:iCs/>
          <w:sz w:val="24"/>
          <w:szCs w:val="24"/>
          <w:lang w:val="ro-RO"/>
        </w:rPr>
        <w:t xml:space="preserve">купли-продажи на общую сумму 1,5 млн. леев. за помещение на первом этаже, расположенное в </w:t>
      </w:r>
      <w:r>
        <w:rPr>
          <w:rFonts w:asciiTheme="majorHAnsi" w:eastAsia="Times New Roman" w:hAnsiTheme="majorHAnsi" w:cstheme="majorHAnsi"/>
          <w:iCs/>
          <w:sz w:val="24"/>
          <w:szCs w:val="24"/>
          <w:lang w:val="ru-RU"/>
        </w:rPr>
        <w:t>м</w:t>
      </w:r>
      <w:r w:rsidR="00BD0B0B" w:rsidRPr="00BD0B0B">
        <w:rPr>
          <w:rFonts w:asciiTheme="majorHAnsi" w:eastAsia="Times New Roman" w:hAnsiTheme="majorHAnsi" w:cstheme="majorHAnsi"/>
          <w:iCs/>
          <w:sz w:val="24"/>
          <w:szCs w:val="24"/>
          <w:lang w:val="ro-RO"/>
        </w:rPr>
        <w:t>ун. Кишин</w:t>
      </w:r>
      <w:r>
        <w:rPr>
          <w:rFonts w:asciiTheme="majorHAnsi" w:eastAsia="Times New Roman" w:hAnsiTheme="majorHAnsi" w:cstheme="majorHAnsi"/>
          <w:iCs/>
          <w:sz w:val="24"/>
          <w:szCs w:val="24"/>
          <w:lang w:val="ru-RU"/>
        </w:rPr>
        <w:t>эу</w:t>
      </w:r>
      <w:r w:rsidR="00BD0B0B" w:rsidRPr="00BD0B0B">
        <w:rPr>
          <w:rFonts w:asciiTheme="majorHAnsi" w:eastAsia="Times New Roman" w:hAnsiTheme="majorHAnsi" w:cstheme="majorHAnsi"/>
          <w:iCs/>
          <w:sz w:val="24"/>
          <w:szCs w:val="24"/>
          <w:lang w:val="ro-RO"/>
        </w:rPr>
        <w:t>, бул.</w:t>
      </w:r>
      <w:r>
        <w:rPr>
          <w:rFonts w:asciiTheme="majorHAnsi" w:eastAsia="Times New Roman" w:hAnsiTheme="majorHAnsi" w:cstheme="majorHAnsi"/>
          <w:iCs/>
          <w:sz w:val="24"/>
          <w:szCs w:val="24"/>
          <w:lang w:val="ru-RU"/>
        </w:rPr>
        <w:t xml:space="preserve"> </w:t>
      </w:r>
      <w:r w:rsidR="00BD0B0B" w:rsidRPr="00BD0B0B">
        <w:rPr>
          <w:rFonts w:asciiTheme="majorHAnsi" w:eastAsia="Times New Roman" w:hAnsiTheme="majorHAnsi" w:cstheme="majorHAnsi"/>
          <w:iCs/>
          <w:sz w:val="24"/>
          <w:szCs w:val="24"/>
          <w:lang w:val="ro-RO"/>
        </w:rPr>
        <w:t>Штефан чел Маре ши Сфынт</w:t>
      </w:r>
      <w:r>
        <w:rPr>
          <w:rFonts w:asciiTheme="majorHAnsi" w:eastAsia="Times New Roman" w:hAnsiTheme="majorHAnsi" w:cstheme="majorHAnsi"/>
          <w:iCs/>
          <w:sz w:val="24"/>
          <w:szCs w:val="24"/>
          <w:lang w:val="ru-RU"/>
        </w:rPr>
        <w:t xml:space="preserve">, </w:t>
      </w:r>
      <w:r w:rsidR="00BD0B0B" w:rsidRPr="00BD0B0B">
        <w:rPr>
          <w:rFonts w:asciiTheme="majorHAnsi" w:eastAsia="Times New Roman" w:hAnsiTheme="majorHAnsi" w:cstheme="majorHAnsi"/>
          <w:iCs/>
          <w:sz w:val="24"/>
          <w:szCs w:val="24"/>
          <w:lang w:val="ro-RO"/>
        </w:rPr>
        <w:t xml:space="preserve">73, лит. A (Генеральная прокуратура), с приведением сторон в исходное положение и возвратом помещений в собственность государства. В результате </w:t>
      </w:r>
      <w:r w:rsidRPr="00BD0B0B">
        <w:rPr>
          <w:rFonts w:asciiTheme="majorHAnsi" w:eastAsia="Times New Roman" w:hAnsiTheme="majorHAnsi" w:cstheme="majorHAnsi"/>
          <w:iCs/>
          <w:sz w:val="24"/>
          <w:szCs w:val="24"/>
          <w:lang w:val="ro-RO"/>
        </w:rPr>
        <w:t>аудит</w:t>
      </w:r>
      <w:r>
        <w:rPr>
          <w:rFonts w:asciiTheme="majorHAnsi" w:eastAsia="Times New Roman" w:hAnsiTheme="majorHAnsi" w:cstheme="majorHAnsi"/>
          <w:iCs/>
          <w:sz w:val="24"/>
          <w:szCs w:val="24"/>
          <w:lang w:val="ru-RU"/>
        </w:rPr>
        <w:t>орской</w:t>
      </w:r>
      <w:r w:rsidRPr="00BD0B0B">
        <w:rPr>
          <w:rFonts w:asciiTheme="majorHAnsi" w:eastAsia="Times New Roman" w:hAnsiTheme="majorHAnsi" w:cstheme="majorHAnsi"/>
          <w:iCs/>
          <w:sz w:val="24"/>
          <w:szCs w:val="24"/>
          <w:lang w:val="ro-RO"/>
        </w:rPr>
        <w:t xml:space="preserve"> </w:t>
      </w:r>
      <w:r w:rsidR="00BD0B0B" w:rsidRPr="00BD0B0B">
        <w:rPr>
          <w:rFonts w:asciiTheme="majorHAnsi" w:eastAsia="Times New Roman" w:hAnsiTheme="majorHAnsi" w:cstheme="majorHAnsi"/>
          <w:iCs/>
          <w:sz w:val="24"/>
          <w:szCs w:val="24"/>
          <w:lang w:val="ro-RO"/>
        </w:rPr>
        <w:t>провер</w:t>
      </w:r>
      <w:r>
        <w:rPr>
          <w:rFonts w:asciiTheme="majorHAnsi" w:eastAsia="Times New Roman" w:hAnsiTheme="majorHAnsi" w:cstheme="majorHAnsi"/>
          <w:iCs/>
          <w:sz w:val="24"/>
          <w:szCs w:val="24"/>
          <w:lang w:val="ru-RU"/>
        </w:rPr>
        <w:t>ки</w:t>
      </w:r>
      <w:r w:rsidR="00BD0B0B" w:rsidRPr="00BD0B0B">
        <w:rPr>
          <w:rFonts w:asciiTheme="majorHAnsi" w:eastAsia="Times New Roman" w:hAnsiTheme="majorHAnsi" w:cstheme="majorHAnsi"/>
          <w:iCs/>
          <w:sz w:val="24"/>
          <w:szCs w:val="24"/>
          <w:lang w:val="ro-RO"/>
        </w:rPr>
        <w:t xml:space="preserve"> было установлено, что Ген</w:t>
      </w:r>
      <w:r>
        <w:rPr>
          <w:rFonts w:asciiTheme="majorHAnsi" w:eastAsia="Times New Roman" w:hAnsiTheme="majorHAnsi" w:cstheme="majorHAnsi"/>
          <w:iCs/>
          <w:sz w:val="24"/>
          <w:szCs w:val="24"/>
          <w:lang w:val="ru-RU"/>
        </w:rPr>
        <w:t xml:space="preserve">еральная </w:t>
      </w:r>
      <w:r w:rsidR="00BD0B0B" w:rsidRPr="00BD0B0B">
        <w:rPr>
          <w:rFonts w:asciiTheme="majorHAnsi" w:eastAsia="Times New Roman" w:hAnsiTheme="majorHAnsi" w:cstheme="majorHAnsi"/>
          <w:iCs/>
          <w:sz w:val="24"/>
          <w:szCs w:val="24"/>
          <w:lang w:val="ro-RO"/>
        </w:rPr>
        <w:t>прокуратура не обеспечила увеличение стоимости здания площадью 190.90 кв. м. (</w:t>
      </w:r>
      <w:r>
        <w:rPr>
          <w:rFonts w:asciiTheme="majorHAnsi" w:eastAsia="Times New Roman" w:hAnsiTheme="majorHAnsi" w:cstheme="majorHAnsi"/>
          <w:iCs/>
          <w:sz w:val="24"/>
          <w:szCs w:val="24"/>
          <w:lang w:val="ru-RU"/>
        </w:rPr>
        <w:t>п</w:t>
      </w:r>
      <w:r w:rsidR="00BD0B0B" w:rsidRPr="00BD0B0B">
        <w:rPr>
          <w:rFonts w:asciiTheme="majorHAnsi" w:eastAsia="Times New Roman" w:hAnsiTheme="majorHAnsi" w:cstheme="majorHAnsi"/>
          <w:iCs/>
          <w:sz w:val="24"/>
          <w:szCs w:val="24"/>
          <w:lang w:val="ro-RO"/>
        </w:rPr>
        <w:t>ервый этаж</w:t>
      </w:r>
      <w:r>
        <w:rPr>
          <w:rFonts w:asciiTheme="majorHAnsi" w:eastAsia="Times New Roman" w:hAnsiTheme="majorHAnsi" w:cstheme="majorHAnsi"/>
          <w:iCs/>
          <w:sz w:val="24"/>
          <w:szCs w:val="24"/>
          <w:lang w:val="ru-RU"/>
        </w:rPr>
        <w:t>,</w:t>
      </w:r>
      <w:r w:rsidR="00BD0B0B" w:rsidRPr="00BD0B0B">
        <w:rPr>
          <w:rFonts w:asciiTheme="majorHAnsi" w:eastAsia="Times New Roman" w:hAnsiTheme="majorHAnsi" w:cstheme="majorHAnsi"/>
          <w:iCs/>
          <w:sz w:val="24"/>
          <w:szCs w:val="24"/>
          <w:lang w:val="ro-RO"/>
        </w:rPr>
        <w:t xml:space="preserve"> кадастровый </w:t>
      </w:r>
      <w:r w:rsidRPr="00BD0B0B">
        <w:rPr>
          <w:rFonts w:asciiTheme="majorHAnsi" w:eastAsia="Times New Roman" w:hAnsiTheme="majorHAnsi" w:cstheme="majorHAnsi"/>
          <w:iCs/>
          <w:sz w:val="24"/>
          <w:szCs w:val="24"/>
          <w:lang w:val="ro-RO"/>
        </w:rPr>
        <w:t>№</w:t>
      </w:r>
      <w:r w:rsidR="00BD0B0B" w:rsidRPr="00BD0B0B">
        <w:rPr>
          <w:rFonts w:asciiTheme="majorHAnsi" w:eastAsia="Times New Roman" w:hAnsiTheme="majorHAnsi" w:cstheme="majorHAnsi"/>
          <w:iCs/>
          <w:sz w:val="24"/>
          <w:szCs w:val="24"/>
          <w:lang w:val="ro-RO"/>
        </w:rPr>
        <w:t xml:space="preserve">010020500701033) </w:t>
      </w:r>
      <w:r>
        <w:rPr>
          <w:rFonts w:asciiTheme="majorHAnsi" w:eastAsia="Times New Roman" w:hAnsiTheme="majorHAnsi" w:cstheme="majorHAnsi"/>
          <w:iCs/>
          <w:sz w:val="24"/>
          <w:szCs w:val="24"/>
          <w:lang w:val="ru-RU"/>
        </w:rPr>
        <w:t>на</w:t>
      </w:r>
      <w:r w:rsidR="00BD0B0B" w:rsidRPr="00BD0B0B">
        <w:rPr>
          <w:rFonts w:asciiTheme="majorHAnsi" w:eastAsia="Times New Roman" w:hAnsiTheme="majorHAnsi" w:cstheme="majorHAnsi"/>
          <w:iCs/>
          <w:sz w:val="24"/>
          <w:szCs w:val="24"/>
          <w:lang w:val="ro-RO"/>
        </w:rPr>
        <w:t xml:space="preserve"> </w:t>
      </w:r>
      <w:r w:rsidRPr="00BD0B0B">
        <w:rPr>
          <w:rFonts w:asciiTheme="majorHAnsi" w:eastAsia="Times New Roman" w:hAnsiTheme="majorHAnsi" w:cstheme="majorHAnsi"/>
          <w:iCs/>
          <w:sz w:val="24"/>
          <w:szCs w:val="24"/>
          <w:lang w:val="ro-RO"/>
        </w:rPr>
        <w:t>выкупленн</w:t>
      </w:r>
      <w:r>
        <w:rPr>
          <w:rFonts w:asciiTheme="majorHAnsi" w:eastAsia="Times New Roman" w:hAnsiTheme="majorHAnsi" w:cstheme="majorHAnsi"/>
          <w:iCs/>
          <w:sz w:val="24"/>
          <w:szCs w:val="24"/>
          <w:lang w:val="ru-RU"/>
        </w:rPr>
        <w:t>ую</w:t>
      </w:r>
      <w:r w:rsidRPr="00BD0B0B">
        <w:rPr>
          <w:rFonts w:asciiTheme="majorHAnsi" w:eastAsia="Times New Roman" w:hAnsiTheme="majorHAnsi" w:cstheme="majorHAnsi"/>
          <w:iCs/>
          <w:sz w:val="24"/>
          <w:szCs w:val="24"/>
          <w:lang w:val="ro-RO"/>
        </w:rPr>
        <w:t xml:space="preserve"> </w:t>
      </w:r>
      <w:r w:rsidR="00BD0B0B" w:rsidRPr="00BD0B0B">
        <w:rPr>
          <w:rFonts w:asciiTheme="majorHAnsi" w:eastAsia="Times New Roman" w:hAnsiTheme="majorHAnsi" w:cstheme="majorHAnsi"/>
          <w:iCs/>
          <w:sz w:val="24"/>
          <w:szCs w:val="24"/>
          <w:lang w:val="ro-RO"/>
        </w:rPr>
        <w:t>сумм</w:t>
      </w:r>
      <w:r>
        <w:rPr>
          <w:rFonts w:asciiTheme="majorHAnsi" w:eastAsia="Times New Roman" w:hAnsiTheme="majorHAnsi" w:cstheme="majorHAnsi"/>
          <w:iCs/>
          <w:sz w:val="24"/>
          <w:szCs w:val="24"/>
          <w:lang w:val="ru-RU"/>
        </w:rPr>
        <w:t>у в общем размере</w:t>
      </w:r>
      <w:r w:rsidR="00BD0B0B" w:rsidRPr="00BD0B0B">
        <w:rPr>
          <w:rFonts w:asciiTheme="majorHAnsi" w:eastAsia="Times New Roman" w:hAnsiTheme="majorHAnsi" w:cstheme="majorHAnsi"/>
          <w:iCs/>
          <w:sz w:val="24"/>
          <w:szCs w:val="24"/>
          <w:lang w:val="ro-RO"/>
        </w:rPr>
        <w:t xml:space="preserve"> 1,5 млн. </w:t>
      </w:r>
      <w:r>
        <w:rPr>
          <w:rFonts w:asciiTheme="majorHAnsi" w:eastAsia="Times New Roman" w:hAnsiTheme="majorHAnsi" w:cstheme="majorHAnsi"/>
          <w:iCs/>
          <w:sz w:val="24"/>
          <w:szCs w:val="24"/>
          <w:lang w:val="ru-RU"/>
        </w:rPr>
        <w:t>л</w:t>
      </w:r>
      <w:r w:rsidR="0025764C">
        <w:rPr>
          <w:rFonts w:asciiTheme="majorHAnsi" w:eastAsia="Times New Roman" w:hAnsiTheme="majorHAnsi" w:cstheme="majorHAnsi"/>
          <w:iCs/>
          <w:sz w:val="24"/>
          <w:szCs w:val="24"/>
          <w:lang w:val="ro-RO"/>
        </w:rPr>
        <w:t>еев</w:t>
      </w:r>
      <w:r w:rsidR="00BD0B0B" w:rsidRPr="00BD0B0B">
        <w:rPr>
          <w:rFonts w:asciiTheme="majorHAnsi" w:eastAsia="Times New Roman" w:hAnsiTheme="majorHAnsi" w:cstheme="majorHAnsi"/>
          <w:iCs/>
          <w:sz w:val="24"/>
          <w:szCs w:val="24"/>
          <w:lang w:val="ro-RO"/>
        </w:rPr>
        <w:t xml:space="preserve">. По </w:t>
      </w:r>
      <w:r>
        <w:rPr>
          <w:rFonts w:asciiTheme="majorHAnsi" w:eastAsia="Times New Roman" w:hAnsiTheme="majorHAnsi" w:cstheme="majorHAnsi"/>
          <w:iCs/>
          <w:sz w:val="24"/>
          <w:szCs w:val="24"/>
          <w:lang w:val="ru-RU"/>
        </w:rPr>
        <w:t>запросу</w:t>
      </w:r>
      <w:r w:rsidR="00BD0B0B" w:rsidRPr="00BD0B0B">
        <w:rPr>
          <w:rFonts w:asciiTheme="majorHAnsi" w:eastAsia="Times New Roman" w:hAnsiTheme="majorHAnsi" w:cstheme="majorHAnsi"/>
          <w:iCs/>
          <w:sz w:val="24"/>
          <w:szCs w:val="24"/>
          <w:lang w:val="ro-RO"/>
        </w:rPr>
        <w:t xml:space="preserve"> аудиторской </w:t>
      </w:r>
      <w:r>
        <w:rPr>
          <w:rFonts w:asciiTheme="majorHAnsi" w:eastAsia="Times New Roman" w:hAnsiTheme="majorHAnsi" w:cstheme="majorHAnsi"/>
          <w:iCs/>
          <w:sz w:val="24"/>
          <w:szCs w:val="24"/>
          <w:lang w:val="ru-RU"/>
        </w:rPr>
        <w:t>групп</w:t>
      </w:r>
      <w:r w:rsidR="00BD0B0B" w:rsidRPr="00BD0B0B">
        <w:rPr>
          <w:rFonts w:asciiTheme="majorHAnsi" w:eastAsia="Times New Roman" w:hAnsiTheme="majorHAnsi" w:cstheme="majorHAnsi"/>
          <w:iCs/>
          <w:sz w:val="24"/>
          <w:szCs w:val="24"/>
          <w:lang w:val="ro-RO"/>
        </w:rPr>
        <w:t>ы, в марте 2021 года субъект взял на учет не</w:t>
      </w:r>
      <w:r>
        <w:rPr>
          <w:rFonts w:asciiTheme="majorHAnsi" w:eastAsia="Times New Roman" w:hAnsiTheme="majorHAnsi" w:cstheme="majorHAnsi"/>
          <w:iCs/>
          <w:sz w:val="24"/>
          <w:szCs w:val="24"/>
          <w:lang w:val="ru-RU"/>
        </w:rPr>
        <w:t>жило</w:t>
      </w:r>
      <w:r w:rsidR="00BD0B0B" w:rsidRPr="00BD0B0B">
        <w:rPr>
          <w:rFonts w:asciiTheme="majorHAnsi" w:eastAsia="Times New Roman" w:hAnsiTheme="majorHAnsi" w:cstheme="majorHAnsi"/>
          <w:iCs/>
          <w:sz w:val="24"/>
          <w:szCs w:val="24"/>
          <w:lang w:val="ro-RO"/>
        </w:rPr>
        <w:t xml:space="preserve">е помещение. Согласно </w:t>
      </w:r>
      <w:r>
        <w:rPr>
          <w:rFonts w:asciiTheme="majorHAnsi" w:eastAsia="Times New Roman" w:hAnsiTheme="majorHAnsi" w:cstheme="majorHAnsi"/>
          <w:iCs/>
          <w:sz w:val="24"/>
          <w:szCs w:val="24"/>
          <w:lang w:val="ru-RU"/>
        </w:rPr>
        <w:t>ПП №</w:t>
      </w:r>
      <w:r w:rsidR="00BD0B0B" w:rsidRPr="00BD0B0B">
        <w:rPr>
          <w:rFonts w:asciiTheme="majorHAnsi" w:eastAsia="Times New Roman" w:hAnsiTheme="majorHAnsi" w:cstheme="majorHAnsi"/>
          <w:iCs/>
          <w:sz w:val="24"/>
          <w:szCs w:val="24"/>
          <w:lang w:val="ro-RO"/>
        </w:rPr>
        <w:t>222 от 03.04.2019</w:t>
      </w:r>
      <w:r w:rsidR="004E49B5" w:rsidRPr="00F55BA6">
        <w:rPr>
          <w:rFonts w:asciiTheme="majorHAnsi" w:eastAsia="Times New Roman" w:hAnsiTheme="majorHAnsi" w:cstheme="majorHAnsi"/>
          <w:iCs/>
          <w:sz w:val="24"/>
          <w:szCs w:val="24"/>
          <w:vertAlign w:val="superscript"/>
          <w:lang w:val="ro-RO"/>
        </w:rPr>
        <w:footnoteReference w:id="78"/>
      </w:r>
      <w:r w:rsidR="00BD0B0B" w:rsidRPr="00BD0B0B">
        <w:rPr>
          <w:rFonts w:asciiTheme="majorHAnsi" w:eastAsia="Times New Roman" w:hAnsiTheme="majorHAnsi" w:cstheme="majorHAnsi"/>
          <w:iCs/>
          <w:sz w:val="24"/>
          <w:szCs w:val="24"/>
          <w:lang w:val="ro-RO"/>
        </w:rPr>
        <w:t xml:space="preserve">, были возвращены средства </w:t>
      </w:r>
      <w:r w:rsidR="004E49B5">
        <w:rPr>
          <w:rFonts w:asciiTheme="majorHAnsi" w:eastAsia="Times New Roman" w:hAnsiTheme="majorHAnsi" w:cstheme="majorHAnsi"/>
          <w:iCs/>
          <w:sz w:val="24"/>
          <w:szCs w:val="24"/>
          <w:lang w:val="ru-RU"/>
        </w:rPr>
        <w:t>из</w:t>
      </w:r>
      <w:r w:rsidR="00BD0B0B" w:rsidRPr="00BD0B0B">
        <w:rPr>
          <w:rFonts w:asciiTheme="majorHAnsi" w:eastAsia="Times New Roman" w:hAnsiTheme="majorHAnsi" w:cstheme="majorHAnsi"/>
          <w:iCs/>
          <w:sz w:val="24"/>
          <w:szCs w:val="24"/>
          <w:lang w:val="ro-RO"/>
        </w:rPr>
        <w:t xml:space="preserve"> </w:t>
      </w:r>
      <w:r w:rsidR="008F632D">
        <w:rPr>
          <w:rFonts w:asciiTheme="majorHAnsi" w:eastAsia="Times New Roman" w:hAnsiTheme="majorHAnsi" w:cstheme="majorHAnsi"/>
          <w:iCs/>
          <w:sz w:val="24"/>
          <w:szCs w:val="24"/>
          <w:lang w:val="ro-RO"/>
        </w:rPr>
        <w:t>ГБ</w:t>
      </w:r>
      <w:r w:rsidR="00BD0B0B" w:rsidRPr="00BD0B0B">
        <w:rPr>
          <w:rFonts w:asciiTheme="majorHAnsi" w:eastAsia="Times New Roman" w:hAnsiTheme="majorHAnsi" w:cstheme="majorHAnsi"/>
          <w:iCs/>
          <w:sz w:val="24"/>
          <w:szCs w:val="24"/>
          <w:lang w:val="ro-RO"/>
        </w:rPr>
        <w:t xml:space="preserve"> </w:t>
      </w:r>
      <w:r w:rsidR="004E49B5">
        <w:rPr>
          <w:rFonts w:asciiTheme="majorHAnsi" w:eastAsia="Times New Roman" w:hAnsiTheme="majorHAnsi" w:cstheme="majorHAnsi"/>
          <w:iCs/>
          <w:sz w:val="24"/>
          <w:szCs w:val="24"/>
          <w:lang w:val="ru-RU"/>
        </w:rPr>
        <w:t>в</w:t>
      </w:r>
      <w:r w:rsidR="00BD0B0B" w:rsidRPr="00BD0B0B">
        <w:rPr>
          <w:rFonts w:asciiTheme="majorHAnsi" w:eastAsia="Times New Roman" w:hAnsiTheme="majorHAnsi" w:cstheme="majorHAnsi"/>
          <w:iCs/>
          <w:sz w:val="24"/>
          <w:szCs w:val="24"/>
          <w:lang w:val="ro-RO"/>
        </w:rPr>
        <w:t xml:space="preserve"> сумм</w:t>
      </w:r>
      <w:r w:rsidR="004E49B5">
        <w:rPr>
          <w:rFonts w:asciiTheme="majorHAnsi" w:eastAsia="Times New Roman" w:hAnsiTheme="majorHAnsi" w:cstheme="majorHAnsi"/>
          <w:iCs/>
          <w:sz w:val="24"/>
          <w:szCs w:val="24"/>
          <w:lang w:val="ru-RU"/>
        </w:rPr>
        <w:t>е</w:t>
      </w:r>
      <w:r w:rsidR="00BD0B0B" w:rsidRPr="00BD0B0B">
        <w:rPr>
          <w:rFonts w:asciiTheme="majorHAnsi" w:eastAsia="Times New Roman" w:hAnsiTheme="majorHAnsi" w:cstheme="majorHAnsi"/>
          <w:iCs/>
          <w:sz w:val="24"/>
          <w:szCs w:val="24"/>
          <w:lang w:val="ro-RO"/>
        </w:rPr>
        <w:t xml:space="preserve"> 51,3 тыс. леев </w:t>
      </w:r>
      <w:r w:rsidR="004E49B5">
        <w:rPr>
          <w:rFonts w:asciiTheme="majorHAnsi" w:eastAsia="Times New Roman" w:hAnsiTheme="majorHAnsi" w:cstheme="majorHAnsi"/>
          <w:iCs/>
          <w:sz w:val="24"/>
          <w:szCs w:val="24"/>
          <w:lang w:val="ru-RU"/>
        </w:rPr>
        <w:t>з</w:t>
      </w:r>
      <w:r w:rsidR="00BD0B0B" w:rsidRPr="00BD0B0B">
        <w:rPr>
          <w:rFonts w:asciiTheme="majorHAnsi" w:eastAsia="Times New Roman" w:hAnsiTheme="majorHAnsi" w:cstheme="majorHAnsi"/>
          <w:iCs/>
          <w:sz w:val="24"/>
          <w:szCs w:val="24"/>
          <w:lang w:val="ro-RO"/>
        </w:rPr>
        <w:t>а 3 участка под строительство</w:t>
      </w:r>
      <w:r w:rsidR="004E49B5" w:rsidRPr="00F55BA6">
        <w:rPr>
          <w:rFonts w:asciiTheme="majorHAnsi" w:eastAsia="Times New Roman" w:hAnsiTheme="majorHAnsi" w:cstheme="majorHAnsi"/>
          <w:iCs/>
          <w:sz w:val="24"/>
          <w:szCs w:val="24"/>
          <w:vertAlign w:val="superscript"/>
          <w:lang w:val="ro-RO"/>
        </w:rPr>
        <w:footnoteReference w:id="79"/>
      </w:r>
      <w:r w:rsidR="004E49B5">
        <w:rPr>
          <w:rFonts w:asciiTheme="majorHAnsi" w:eastAsia="Times New Roman" w:hAnsiTheme="majorHAnsi" w:cstheme="majorHAnsi"/>
          <w:iCs/>
          <w:sz w:val="24"/>
          <w:szCs w:val="24"/>
          <w:lang w:val="ru-RU"/>
        </w:rPr>
        <w:t>,</w:t>
      </w:r>
      <w:r w:rsidR="00BD0B0B" w:rsidRPr="00BD0B0B">
        <w:rPr>
          <w:rFonts w:asciiTheme="majorHAnsi" w:eastAsia="Times New Roman" w:hAnsiTheme="majorHAnsi" w:cstheme="majorHAnsi"/>
          <w:iCs/>
          <w:sz w:val="24"/>
          <w:szCs w:val="24"/>
          <w:lang w:val="ro-RO"/>
        </w:rPr>
        <w:t xml:space="preserve"> </w:t>
      </w:r>
      <w:r w:rsidR="004E49B5">
        <w:rPr>
          <w:rFonts w:asciiTheme="majorHAnsi" w:eastAsia="Times New Roman" w:hAnsiTheme="majorHAnsi" w:cstheme="majorHAnsi"/>
          <w:iCs/>
          <w:sz w:val="24"/>
          <w:szCs w:val="24"/>
          <w:lang w:val="ru-RU"/>
        </w:rPr>
        <w:t>согласно</w:t>
      </w:r>
      <w:r w:rsidR="00BD0B0B" w:rsidRPr="00BD0B0B">
        <w:rPr>
          <w:rFonts w:asciiTheme="majorHAnsi" w:eastAsia="Times New Roman" w:hAnsiTheme="majorHAnsi" w:cstheme="majorHAnsi"/>
          <w:iCs/>
          <w:sz w:val="24"/>
          <w:szCs w:val="24"/>
          <w:lang w:val="ro-RO"/>
        </w:rPr>
        <w:t xml:space="preserve"> представлен</w:t>
      </w:r>
      <w:r w:rsidR="004E49B5">
        <w:rPr>
          <w:rFonts w:asciiTheme="majorHAnsi" w:eastAsia="Times New Roman" w:hAnsiTheme="majorHAnsi" w:cstheme="majorHAnsi"/>
          <w:iCs/>
          <w:sz w:val="24"/>
          <w:szCs w:val="24"/>
          <w:lang w:val="ru-RU"/>
        </w:rPr>
        <w:t>ой</w:t>
      </w:r>
      <w:r w:rsidR="00BD0B0B" w:rsidRPr="00BD0B0B">
        <w:rPr>
          <w:rFonts w:asciiTheme="majorHAnsi" w:eastAsia="Times New Roman" w:hAnsiTheme="majorHAnsi" w:cstheme="majorHAnsi"/>
          <w:iCs/>
          <w:sz w:val="24"/>
          <w:szCs w:val="24"/>
          <w:lang w:val="ro-RO"/>
        </w:rPr>
        <w:t xml:space="preserve"> </w:t>
      </w:r>
      <w:r w:rsidR="004E49B5">
        <w:rPr>
          <w:rFonts w:asciiTheme="majorHAnsi" w:eastAsia="Times New Roman" w:hAnsiTheme="majorHAnsi" w:cstheme="majorHAnsi"/>
          <w:iCs/>
          <w:sz w:val="24"/>
          <w:szCs w:val="24"/>
          <w:lang w:val="ru-RU"/>
        </w:rPr>
        <w:t>АПС ведомости</w:t>
      </w:r>
      <w:r w:rsidR="00BD0B0B" w:rsidRPr="00BD0B0B">
        <w:rPr>
          <w:rFonts w:asciiTheme="majorHAnsi" w:eastAsia="Times New Roman" w:hAnsiTheme="majorHAnsi" w:cstheme="majorHAnsi"/>
          <w:iCs/>
          <w:sz w:val="24"/>
          <w:szCs w:val="24"/>
          <w:lang w:val="ro-RO"/>
        </w:rPr>
        <w:t xml:space="preserve"> </w:t>
      </w:r>
      <w:r w:rsidR="00517B11">
        <w:rPr>
          <w:rFonts w:asciiTheme="majorHAnsi" w:eastAsia="Times New Roman" w:hAnsiTheme="majorHAnsi" w:cstheme="majorHAnsi"/>
          <w:iCs/>
          <w:sz w:val="24"/>
          <w:szCs w:val="24"/>
          <w:lang w:val="ro-RO"/>
        </w:rPr>
        <w:t>№</w:t>
      </w:r>
      <w:r w:rsidR="00BD0B0B" w:rsidRPr="00BD0B0B">
        <w:rPr>
          <w:rFonts w:asciiTheme="majorHAnsi" w:eastAsia="Times New Roman" w:hAnsiTheme="majorHAnsi" w:cstheme="majorHAnsi"/>
          <w:iCs/>
          <w:sz w:val="24"/>
          <w:szCs w:val="24"/>
          <w:lang w:val="ro-RO"/>
        </w:rPr>
        <w:t xml:space="preserve">1 от 29.06.2020, </w:t>
      </w:r>
      <w:r w:rsidR="004E49B5">
        <w:rPr>
          <w:rFonts w:asciiTheme="majorHAnsi" w:eastAsia="Times New Roman" w:hAnsiTheme="majorHAnsi" w:cstheme="majorHAnsi"/>
          <w:iCs/>
          <w:sz w:val="24"/>
          <w:szCs w:val="24"/>
          <w:lang w:val="ru-RU"/>
        </w:rPr>
        <w:t>о</w:t>
      </w:r>
      <w:r w:rsidR="00BD0B0B" w:rsidRPr="00BD0B0B">
        <w:rPr>
          <w:rFonts w:asciiTheme="majorHAnsi" w:eastAsia="Times New Roman" w:hAnsiTheme="majorHAnsi" w:cstheme="majorHAnsi"/>
          <w:iCs/>
          <w:sz w:val="24"/>
          <w:szCs w:val="24"/>
          <w:lang w:val="ro-RO"/>
        </w:rPr>
        <w:t>плаченны</w:t>
      </w:r>
      <w:r w:rsidR="004E49B5">
        <w:rPr>
          <w:rFonts w:asciiTheme="majorHAnsi" w:eastAsia="Times New Roman" w:hAnsiTheme="majorHAnsi" w:cstheme="majorHAnsi"/>
          <w:iCs/>
          <w:sz w:val="24"/>
          <w:szCs w:val="24"/>
          <w:lang w:val="ru-RU"/>
        </w:rPr>
        <w:t>е</w:t>
      </w:r>
      <w:r w:rsidR="00BD0B0B" w:rsidRPr="00BD0B0B">
        <w:rPr>
          <w:rFonts w:asciiTheme="majorHAnsi" w:eastAsia="Times New Roman" w:hAnsiTheme="majorHAnsi" w:cstheme="majorHAnsi"/>
          <w:iCs/>
          <w:sz w:val="24"/>
          <w:szCs w:val="24"/>
          <w:lang w:val="ro-RO"/>
        </w:rPr>
        <w:t xml:space="preserve"> при осуществлении обмена недвижимост</w:t>
      </w:r>
      <w:r w:rsidR="004E49B5">
        <w:rPr>
          <w:rFonts w:asciiTheme="majorHAnsi" w:eastAsia="Times New Roman" w:hAnsiTheme="majorHAnsi" w:cstheme="majorHAnsi"/>
          <w:iCs/>
          <w:sz w:val="24"/>
          <w:szCs w:val="24"/>
          <w:lang w:val="ro-RO"/>
        </w:rPr>
        <w:t>ью в соответствии с договором №</w:t>
      </w:r>
      <w:r w:rsidR="00BD0B0B" w:rsidRPr="00BD0B0B">
        <w:rPr>
          <w:rFonts w:asciiTheme="majorHAnsi" w:eastAsia="Times New Roman" w:hAnsiTheme="majorHAnsi" w:cstheme="majorHAnsi"/>
          <w:iCs/>
          <w:sz w:val="24"/>
          <w:szCs w:val="24"/>
          <w:lang w:val="ro-RO"/>
        </w:rPr>
        <w:t>1355 от 17.04.2019</w:t>
      </w:r>
      <w:r w:rsidR="00FF09F0">
        <w:rPr>
          <w:rFonts w:asciiTheme="majorHAnsi" w:eastAsia="Times New Roman" w:hAnsiTheme="majorHAnsi" w:cstheme="majorHAnsi"/>
          <w:iCs/>
          <w:sz w:val="24"/>
          <w:szCs w:val="24"/>
          <w:lang w:val="ro-RO"/>
        </w:rPr>
        <w:t>;</w:t>
      </w:r>
    </w:p>
    <w:p w:rsidR="00C3538A" w:rsidRPr="00F55BA6" w:rsidRDefault="00BD0B0B" w:rsidP="004E49B5">
      <w:pPr>
        <w:tabs>
          <w:tab w:val="left" w:pos="0"/>
          <w:tab w:val="left" w:pos="142"/>
          <w:tab w:val="left" w:pos="851"/>
        </w:tabs>
        <w:spacing w:after="0" w:line="276" w:lineRule="auto"/>
        <w:contextualSpacing/>
        <w:rPr>
          <w:rFonts w:asciiTheme="majorHAnsi" w:hAnsiTheme="majorHAnsi" w:cstheme="majorHAnsi"/>
          <w:sz w:val="24"/>
          <w:szCs w:val="24"/>
          <w:lang w:val="ro-RO"/>
        </w:rPr>
      </w:pPr>
      <w:r w:rsidRPr="00BD0B0B">
        <w:rPr>
          <w:rFonts w:asciiTheme="majorHAnsi" w:hAnsiTheme="majorHAnsi" w:cstheme="majorHAnsi"/>
          <w:sz w:val="24"/>
          <w:szCs w:val="24"/>
          <w:lang w:val="ro-RO"/>
        </w:rPr>
        <w:t xml:space="preserve">- внутренние </w:t>
      </w:r>
      <w:r w:rsidR="00CD0D79" w:rsidRPr="00CD0D79">
        <w:rPr>
          <w:rFonts w:asciiTheme="majorHAnsi" w:hAnsiTheme="majorHAnsi" w:cstheme="majorHAnsi"/>
          <w:sz w:val="24"/>
          <w:szCs w:val="24"/>
          <w:lang w:val="ro-RO"/>
        </w:rPr>
        <w:t>обязательства</w:t>
      </w:r>
      <w:r w:rsidRPr="00BD0B0B">
        <w:rPr>
          <w:rFonts w:asciiTheme="majorHAnsi" w:hAnsiTheme="majorHAnsi" w:cstheme="majorHAnsi"/>
          <w:sz w:val="24"/>
          <w:szCs w:val="24"/>
          <w:lang w:val="ro-RO"/>
        </w:rPr>
        <w:t xml:space="preserve"> увеличились в том числе </w:t>
      </w:r>
      <w:r w:rsidR="00CD0D79" w:rsidRPr="00CD0D79">
        <w:rPr>
          <w:rFonts w:asciiTheme="majorHAnsi" w:hAnsiTheme="majorHAnsi" w:cstheme="majorHAnsi"/>
          <w:sz w:val="24"/>
          <w:szCs w:val="24"/>
          <w:lang w:val="ro-RO"/>
        </w:rPr>
        <w:t>от</w:t>
      </w:r>
      <w:r w:rsidRPr="00BD0B0B">
        <w:rPr>
          <w:rFonts w:asciiTheme="majorHAnsi" w:hAnsiTheme="majorHAnsi" w:cstheme="majorHAnsi"/>
          <w:sz w:val="24"/>
          <w:szCs w:val="24"/>
          <w:lang w:val="ro-RO"/>
        </w:rPr>
        <w:t xml:space="preserve"> воз</w:t>
      </w:r>
      <w:r w:rsidR="00CD0D79" w:rsidRPr="00CD0D79">
        <w:rPr>
          <w:rFonts w:asciiTheme="majorHAnsi" w:hAnsiTheme="majorHAnsi" w:cstheme="majorHAnsi"/>
          <w:sz w:val="24"/>
          <w:szCs w:val="24"/>
          <w:lang w:val="ro-RO"/>
        </w:rPr>
        <w:t>вра</w:t>
      </w:r>
      <w:r w:rsidRPr="00BD0B0B">
        <w:rPr>
          <w:rFonts w:asciiTheme="majorHAnsi" w:hAnsiTheme="majorHAnsi" w:cstheme="majorHAnsi"/>
          <w:sz w:val="24"/>
          <w:szCs w:val="24"/>
          <w:lang w:val="ro-RO"/>
        </w:rPr>
        <w:t xml:space="preserve">щения </w:t>
      </w:r>
      <w:r w:rsidR="00CD0D79" w:rsidRPr="00CD0D79">
        <w:rPr>
          <w:rFonts w:asciiTheme="majorHAnsi" w:hAnsiTheme="majorHAnsi" w:cstheme="majorHAnsi"/>
          <w:sz w:val="24"/>
          <w:szCs w:val="24"/>
          <w:lang w:val="ro-RO"/>
        </w:rPr>
        <w:t xml:space="preserve">в </w:t>
      </w:r>
      <w:r w:rsidRPr="00BD0B0B">
        <w:rPr>
          <w:rFonts w:asciiTheme="majorHAnsi" w:hAnsiTheme="majorHAnsi" w:cstheme="majorHAnsi"/>
          <w:sz w:val="24"/>
          <w:szCs w:val="24"/>
          <w:lang w:val="ro-RO"/>
        </w:rPr>
        <w:t xml:space="preserve">бюджет </w:t>
      </w:r>
      <w:r w:rsidR="00CD0D79" w:rsidRPr="00BD0B0B">
        <w:rPr>
          <w:rFonts w:asciiTheme="majorHAnsi" w:hAnsiTheme="majorHAnsi" w:cstheme="majorHAnsi"/>
          <w:sz w:val="24"/>
          <w:szCs w:val="24"/>
          <w:lang w:val="ro-RO"/>
        </w:rPr>
        <w:t>бюджет</w:t>
      </w:r>
      <w:r w:rsidR="00CD0D79" w:rsidRPr="00CD0D79">
        <w:rPr>
          <w:rFonts w:asciiTheme="majorHAnsi" w:hAnsiTheme="majorHAnsi" w:cstheme="majorHAnsi"/>
          <w:sz w:val="24"/>
          <w:szCs w:val="24"/>
          <w:lang w:val="ro-RO"/>
        </w:rPr>
        <w:t>ных</w:t>
      </w:r>
      <w:r w:rsidR="00CD0D79" w:rsidRPr="00BD0B0B">
        <w:rPr>
          <w:rFonts w:asciiTheme="majorHAnsi" w:hAnsiTheme="majorHAnsi" w:cstheme="majorHAnsi"/>
          <w:sz w:val="24"/>
          <w:szCs w:val="24"/>
          <w:lang w:val="ro-RO"/>
        </w:rPr>
        <w:t xml:space="preserve"> </w:t>
      </w:r>
      <w:r w:rsidRPr="00BD0B0B">
        <w:rPr>
          <w:rFonts w:asciiTheme="majorHAnsi" w:hAnsiTheme="majorHAnsi" w:cstheme="majorHAnsi"/>
          <w:sz w:val="24"/>
          <w:szCs w:val="24"/>
          <w:lang w:val="ro-RO"/>
        </w:rPr>
        <w:t>средств предыдущих лет бюджетными органами/бюджетными учреждениями</w:t>
      </w:r>
      <w:r w:rsidR="00CD0D79" w:rsidRPr="00CD0D79">
        <w:rPr>
          <w:rFonts w:asciiTheme="majorHAnsi" w:hAnsiTheme="majorHAnsi" w:cstheme="majorHAnsi"/>
          <w:sz w:val="24"/>
          <w:szCs w:val="24"/>
          <w:lang w:val="ro-RO"/>
        </w:rPr>
        <w:t>, в</w:t>
      </w:r>
      <w:r w:rsidRPr="00BD0B0B">
        <w:rPr>
          <w:rFonts w:asciiTheme="majorHAnsi" w:hAnsiTheme="majorHAnsi" w:cstheme="majorHAnsi"/>
          <w:sz w:val="24"/>
          <w:szCs w:val="24"/>
          <w:lang w:val="ro-RO"/>
        </w:rPr>
        <w:t xml:space="preserve"> сумм</w:t>
      </w:r>
      <w:r w:rsidR="00CD0D79" w:rsidRPr="00CD0D79">
        <w:rPr>
          <w:rFonts w:asciiTheme="majorHAnsi" w:hAnsiTheme="majorHAnsi" w:cstheme="majorHAnsi"/>
          <w:sz w:val="24"/>
          <w:szCs w:val="24"/>
          <w:lang w:val="ro-RO"/>
        </w:rPr>
        <w:t>е</w:t>
      </w:r>
      <w:r w:rsidRPr="00BD0B0B">
        <w:rPr>
          <w:rFonts w:asciiTheme="majorHAnsi" w:hAnsiTheme="majorHAnsi" w:cstheme="majorHAnsi"/>
          <w:sz w:val="24"/>
          <w:szCs w:val="24"/>
          <w:lang w:val="ro-RO"/>
        </w:rPr>
        <w:t xml:space="preserve"> 205,8 млн. </w:t>
      </w:r>
      <w:r w:rsidR="00CD0D79" w:rsidRPr="00CD0D79">
        <w:rPr>
          <w:rFonts w:asciiTheme="majorHAnsi" w:hAnsiTheme="majorHAnsi" w:cstheme="majorHAnsi"/>
          <w:sz w:val="24"/>
          <w:szCs w:val="24"/>
          <w:lang w:val="ro-RO"/>
        </w:rPr>
        <w:t>леев</w:t>
      </w:r>
      <w:r w:rsidRPr="00BD0B0B">
        <w:rPr>
          <w:rFonts w:asciiTheme="majorHAnsi" w:hAnsiTheme="majorHAnsi" w:cstheme="majorHAnsi"/>
          <w:sz w:val="24"/>
          <w:szCs w:val="24"/>
          <w:lang w:val="ro-RO"/>
        </w:rPr>
        <w:t>, из которых 163,04 млн. ле</w:t>
      </w:r>
      <w:r w:rsidR="00CD0D79" w:rsidRPr="00CD0D79">
        <w:rPr>
          <w:rFonts w:asciiTheme="majorHAnsi" w:hAnsiTheme="majorHAnsi" w:cstheme="majorHAnsi"/>
          <w:sz w:val="24"/>
          <w:szCs w:val="24"/>
          <w:lang w:val="ro-RO"/>
        </w:rPr>
        <w:t>ев</w:t>
      </w:r>
      <w:r w:rsidR="0083597E">
        <w:rPr>
          <w:rFonts w:asciiTheme="majorHAnsi" w:hAnsiTheme="majorHAnsi" w:cstheme="majorHAnsi"/>
          <w:sz w:val="24"/>
          <w:szCs w:val="24"/>
          <w:lang w:val="ro-RO"/>
        </w:rPr>
        <w:t>, или 79,2%</w:t>
      </w:r>
      <w:r w:rsidRPr="00BD0B0B">
        <w:rPr>
          <w:rFonts w:asciiTheme="majorHAnsi" w:hAnsiTheme="majorHAnsi" w:cstheme="majorHAnsi"/>
          <w:sz w:val="24"/>
          <w:szCs w:val="24"/>
          <w:lang w:val="ro-RO"/>
        </w:rPr>
        <w:t xml:space="preserve"> воз</w:t>
      </w:r>
      <w:r w:rsidR="00CD0D79" w:rsidRPr="00CD0D79">
        <w:rPr>
          <w:rFonts w:asciiTheme="majorHAnsi" w:hAnsiTheme="majorHAnsi" w:cstheme="majorHAnsi"/>
          <w:sz w:val="24"/>
          <w:szCs w:val="24"/>
          <w:lang w:val="ro-RO"/>
        </w:rPr>
        <w:t>вращены</w:t>
      </w:r>
      <w:r w:rsidRPr="00BD0B0B">
        <w:rPr>
          <w:rFonts w:asciiTheme="majorHAnsi" w:hAnsiTheme="majorHAnsi" w:cstheme="majorHAnsi"/>
          <w:sz w:val="24"/>
          <w:szCs w:val="24"/>
          <w:lang w:val="ro-RO"/>
        </w:rPr>
        <w:t xml:space="preserve"> </w:t>
      </w:r>
      <w:r w:rsidR="00CD0D79" w:rsidRPr="00CD0D79">
        <w:rPr>
          <w:rFonts w:asciiTheme="majorHAnsi" w:hAnsiTheme="majorHAnsi" w:cstheme="majorHAnsi"/>
          <w:sz w:val="24"/>
          <w:szCs w:val="24"/>
          <w:lang w:val="ro-RO"/>
        </w:rPr>
        <w:t>НКСС</w:t>
      </w:r>
      <w:r w:rsidRPr="00BD0B0B">
        <w:rPr>
          <w:rFonts w:asciiTheme="majorHAnsi" w:hAnsiTheme="majorHAnsi" w:cstheme="majorHAnsi"/>
          <w:sz w:val="24"/>
          <w:szCs w:val="24"/>
          <w:lang w:val="ro-RO"/>
        </w:rPr>
        <w:t xml:space="preserve"> в соответствии с положениями </w:t>
      </w:r>
      <w:r w:rsidR="00CD0D79" w:rsidRPr="00CD0D79">
        <w:rPr>
          <w:rFonts w:asciiTheme="majorHAnsi" w:hAnsiTheme="majorHAnsi" w:cstheme="majorHAnsi"/>
          <w:sz w:val="24"/>
          <w:szCs w:val="24"/>
          <w:lang w:val="ro-RO"/>
        </w:rPr>
        <w:t>ст</w:t>
      </w:r>
      <w:r w:rsidRPr="00BD0B0B">
        <w:rPr>
          <w:rFonts w:asciiTheme="majorHAnsi" w:hAnsiTheme="majorHAnsi" w:cstheme="majorHAnsi"/>
          <w:sz w:val="24"/>
          <w:szCs w:val="24"/>
          <w:lang w:val="ro-RO"/>
        </w:rPr>
        <w:t>.70 (5) Закона</w:t>
      </w:r>
      <w:r w:rsidR="00CD0D79" w:rsidRPr="00CD0D79">
        <w:rPr>
          <w:rFonts w:asciiTheme="majorHAnsi" w:hAnsiTheme="majorHAnsi" w:cstheme="majorHAnsi"/>
          <w:sz w:val="24"/>
          <w:szCs w:val="24"/>
          <w:lang w:val="ro-RO"/>
        </w:rPr>
        <w:t xml:space="preserve"> </w:t>
      </w:r>
      <w:r w:rsidRPr="00BD0B0B">
        <w:rPr>
          <w:rFonts w:asciiTheme="majorHAnsi" w:hAnsiTheme="majorHAnsi" w:cstheme="majorHAnsi"/>
          <w:sz w:val="24"/>
          <w:szCs w:val="24"/>
          <w:lang w:val="ro-RO"/>
        </w:rPr>
        <w:t>№181 от 25.07.2014, 4,2 млн. леев, или 2,04%</w:t>
      </w:r>
      <w:r w:rsidR="00CD0D79">
        <w:rPr>
          <w:rFonts w:asciiTheme="majorHAnsi" w:hAnsiTheme="majorHAnsi" w:cstheme="majorHAnsi"/>
          <w:sz w:val="24"/>
          <w:szCs w:val="24"/>
          <w:lang w:val="ru-RU"/>
        </w:rPr>
        <w:t xml:space="preserve"> -</w:t>
      </w:r>
      <w:r w:rsidRPr="00BD0B0B">
        <w:rPr>
          <w:rFonts w:asciiTheme="majorHAnsi" w:hAnsiTheme="majorHAnsi" w:cstheme="majorHAnsi"/>
          <w:sz w:val="24"/>
          <w:szCs w:val="24"/>
          <w:lang w:val="ro-RO"/>
        </w:rPr>
        <w:t xml:space="preserve"> возврат </w:t>
      </w:r>
      <w:r w:rsidR="00CD0D79">
        <w:rPr>
          <w:rFonts w:asciiTheme="majorHAnsi" w:hAnsiTheme="majorHAnsi" w:cstheme="majorHAnsi"/>
          <w:sz w:val="24"/>
          <w:szCs w:val="24"/>
          <w:lang w:val="ru-RU"/>
        </w:rPr>
        <w:t>начисле</w:t>
      </w:r>
      <w:r w:rsidRPr="00BD0B0B">
        <w:rPr>
          <w:rFonts w:asciiTheme="majorHAnsi" w:hAnsiTheme="majorHAnsi" w:cstheme="majorHAnsi"/>
          <w:sz w:val="24"/>
          <w:szCs w:val="24"/>
          <w:lang w:val="ro-RO"/>
        </w:rPr>
        <w:t xml:space="preserve">нных </w:t>
      </w:r>
      <w:r w:rsidR="00CD0D79" w:rsidRPr="00BD0B0B">
        <w:rPr>
          <w:rFonts w:asciiTheme="majorHAnsi" w:hAnsiTheme="majorHAnsi" w:cstheme="majorHAnsi"/>
          <w:sz w:val="24"/>
          <w:szCs w:val="24"/>
          <w:lang w:val="ro-RO"/>
        </w:rPr>
        <w:t>сумм</w:t>
      </w:r>
      <w:r w:rsidRPr="00BD0B0B">
        <w:rPr>
          <w:rFonts w:asciiTheme="majorHAnsi" w:hAnsiTheme="majorHAnsi" w:cstheme="majorHAnsi"/>
          <w:sz w:val="24"/>
          <w:szCs w:val="24"/>
          <w:lang w:val="ro-RO"/>
        </w:rPr>
        <w:t xml:space="preserve"> НДС и акциз</w:t>
      </w:r>
      <w:r w:rsidR="00CD0D79">
        <w:rPr>
          <w:rFonts w:asciiTheme="majorHAnsi" w:hAnsiTheme="majorHAnsi" w:cstheme="majorHAnsi"/>
          <w:sz w:val="24"/>
          <w:szCs w:val="24"/>
          <w:lang w:val="ru-RU"/>
        </w:rPr>
        <w:t>ов</w:t>
      </w:r>
      <w:r w:rsidRPr="00BD0B0B">
        <w:rPr>
          <w:rFonts w:asciiTheme="majorHAnsi" w:hAnsiTheme="majorHAnsi" w:cstheme="majorHAnsi"/>
          <w:sz w:val="24"/>
          <w:szCs w:val="24"/>
          <w:lang w:val="ro-RO"/>
        </w:rPr>
        <w:t xml:space="preserve"> на товары, приобретенные посольствами</w:t>
      </w:r>
      <w:r w:rsidR="00CD0D79" w:rsidRPr="00F55BA6">
        <w:rPr>
          <w:rStyle w:val="FootnoteReference"/>
          <w:rFonts w:ascii="Calibri Light" w:eastAsia="Times New Roman" w:hAnsi="Calibri Light" w:cs="Calibri Light"/>
          <w:color w:val="212121"/>
          <w:sz w:val="24"/>
          <w:szCs w:val="24"/>
          <w:lang w:val="ro-RO"/>
        </w:rPr>
        <w:footnoteReference w:id="80"/>
      </w:r>
      <w:r w:rsidR="00CD0D79">
        <w:rPr>
          <w:rFonts w:asciiTheme="majorHAnsi" w:hAnsiTheme="majorHAnsi" w:cstheme="majorHAnsi"/>
          <w:sz w:val="24"/>
          <w:szCs w:val="24"/>
          <w:lang w:val="ru-RU"/>
        </w:rPr>
        <w:t>,</w:t>
      </w:r>
      <w:r w:rsidR="00CD0D79" w:rsidRPr="00F55BA6">
        <w:rPr>
          <w:rFonts w:asciiTheme="majorHAnsi" w:hAnsiTheme="majorHAnsi" w:cstheme="majorHAnsi"/>
          <w:sz w:val="24"/>
          <w:szCs w:val="24"/>
          <w:lang w:val="ro-RO"/>
        </w:rPr>
        <w:t xml:space="preserve"> </w:t>
      </w:r>
      <w:r w:rsidRPr="00BD0B0B">
        <w:rPr>
          <w:rFonts w:asciiTheme="majorHAnsi" w:hAnsiTheme="majorHAnsi" w:cstheme="majorHAnsi"/>
          <w:sz w:val="24"/>
          <w:szCs w:val="24"/>
          <w:lang w:val="ro-RO"/>
        </w:rPr>
        <w:t xml:space="preserve"> и др</w:t>
      </w:r>
      <w:r w:rsidR="00CD0D79">
        <w:rPr>
          <w:rFonts w:asciiTheme="majorHAnsi" w:hAnsiTheme="majorHAnsi" w:cstheme="majorHAnsi"/>
          <w:sz w:val="24"/>
          <w:szCs w:val="24"/>
          <w:lang w:val="ru-RU"/>
        </w:rPr>
        <w:t>.</w:t>
      </w:r>
      <w:r w:rsidR="00FF09F0">
        <w:rPr>
          <w:rFonts w:asciiTheme="majorHAnsi" w:hAnsiTheme="majorHAnsi" w:cstheme="majorHAnsi"/>
          <w:sz w:val="24"/>
          <w:szCs w:val="24"/>
          <w:lang w:val="ro-RO"/>
        </w:rPr>
        <w:t>;</w:t>
      </w:r>
      <w:r w:rsidR="00C3538A" w:rsidRPr="00F55BA6">
        <w:rPr>
          <w:rFonts w:ascii="Calibri" w:eastAsia="Times New Roman" w:hAnsi="Calibri" w:cs="Calibri"/>
          <w:color w:val="212121"/>
          <w:sz w:val="22"/>
          <w:lang w:val="ro-RO"/>
        </w:rPr>
        <w:t> </w:t>
      </w:r>
    </w:p>
    <w:p w:rsidR="00C3538A" w:rsidRPr="00F55BA6" w:rsidRDefault="00BD0B0B" w:rsidP="00431B0E">
      <w:pPr>
        <w:tabs>
          <w:tab w:val="left" w:pos="0"/>
          <w:tab w:val="left" w:pos="142"/>
          <w:tab w:val="left" w:pos="851"/>
        </w:tabs>
        <w:spacing w:after="0" w:line="276" w:lineRule="auto"/>
        <w:contextualSpacing/>
        <w:rPr>
          <w:rFonts w:asciiTheme="majorHAnsi" w:hAnsiTheme="majorHAnsi" w:cstheme="majorHAnsi"/>
          <w:sz w:val="24"/>
          <w:szCs w:val="24"/>
          <w:lang w:val="ro-RO"/>
        </w:rPr>
      </w:pPr>
      <w:r w:rsidRPr="00BD0B0B">
        <w:rPr>
          <w:rFonts w:asciiTheme="majorHAnsi" w:hAnsiTheme="majorHAnsi" w:cstheme="majorHAnsi"/>
          <w:sz w:val="24"/>
          <w:szCs w:val="24"/>
          <w:lang w:val="ro-RO"/>
        </w:rPr>
        <w:lastRenderedPageBreak/>
        <w:t xml:space="preserve">- </w:t>
      </w:r>
      <w:r w:rsidRPr="0083597E">
        <w:rPr>
          <w:rFonts w:asciiTheme="majorHAnsi" w:hAnsiTheme="majorHAnsi" w:cstheme="majorHAnsi"/>
          <w:sz w:val="24"/>
          <w:szCs w:val="24"/>
          <w:lang w:val="ro-RO"/>
        </w:rPr>
        <w:t>МФ предоставил</w:t>
      </w:r>
      <w:r w:rsidR="0083597E">
        <w:rPr>
          <w:rFonts w:asciiTheme="majorHAnsi" w:hAnsiTheme="majorHAnsi" w:cstheme="majorHAnsi"/>
          <w:sz w:val="24"/>
          <w:szCs w:val="24"/>
          <w:lang w:val="ru-RU"/>
        </w:rPr>
        <w:t>о</w:t>
      </w:r>
      <w:r w:rsidRPr="0083597E">
        <w:rPr>
          <w:rFonts w:asciiTheme="majorHAnsi" w:hAnsiTheme="majorHAnsi" w:cstheme="majorHAnsi"/>
          <w:sz w:val="24"/>
          <w:szCs w:val="24"/>
          <w:lang w:val="ro-RO"/>
        </w:rPr>
        <w:t xml:space="preserve"> кредиты бюджетам другого уровня на общую сумму 706,6 млн. </w:t>
      </w:r>
      <w:r w:rsidR="0083597E">
        <w:rPr>
          <w:rFonts w:asciiTheme="majorHAnsi" w:hAnsiTheme="majorHAnsi" w:cstheme="majorHAnsi"/>
          <w:sz w:val="24"/>
          <w:szCs w:val="24"/>
          <w:lang w:val="ru-RU"/>
        </w:rPr>
        <w:t>леев</w:t>
      </w:r>
      <w:r w:rsidRPr="0083597E">
        <w:rPr>
          <w:rFonts w:asciiTheme="majorHAnsi" w:hAnsiTheme="majorHAnsi" w:cstheme="majorHAnsi"/>
          <w:sz w:val="24"/>
          <w:szCs w:val="24"/>
          <w:lang w:val="ro-RO"/>
        </w:rPr>
        <w:t xml:space="preserve">, из которых </w:t>
      </w:r>
      <w:r w:rsidR="0083597E">
        <w:rPr>
          <w:rFonts w:asciiTheme="majorHAnsi" w:hAnsiTheme="majorHAnsi" w:cstheme="majorHAnsi"/>
          <w:sz w:val="24"/>
          <w:szCs w:val="24"/>
          <w:lang w:val="ru-RU"/>
        </w:rPr>
        <w:t xml:space="preserve">БГСС </w:t>
      </w:r>
      <w:r w:rsidRPr="0083597E">
        <w:rPr>
          <w:rFonts w:asciiTheme="majorHAnsi" w:hAnsiTheme="majorHAnsi" w:cstheme="majorHAnsi"/>
          <w:sz w:val="24"/>
          <w:szCs w:val="24"/>
          <w:lang w:val="ro-RO"/>
        </w:rPr>
        <w:t>-</w:t>
      </w:r>
      <w:r w:rsidR="0083597E">
        <w:rPr>
          <w:rFonts w:asciiTheme="majorHAnsi" w:hAnsiTheme="majorHAnsi" w:cstheme="majorHAnsi"/>
          <w:sz w:val="24"/>
          <w:szCs w:val="24"/>
          <w:lang w:val="ru-RU"/>
        </w:rPr>
        <w:t xml:space="preserve"> </w:t>
      </w:r>
      <w:r w:rsidRPr="0083597E">
        <w:rPr>
          <w:rFonts w:asciiTheme="majorHAnsi" w:hAnsiTheme="majorHAnsi" w:cstheme="majorHAnsi"/>
          <w:sz w:val="24"/>
          <w:szCs w:val="24"/>
          <w:lang w:val="ro-RO"/>
        </w:rPr>
        <w:t>600,0 млн. леев, местны</w:t>
      </w:r>
      <w:r w:rsidR="0083597E">
        <w:rPr>
          <w:rFonts w:asciiTheme="majorHAnsi" w:hAnsiTheme="majorHAnsi" w:cstheme="majorHAnsi"/>
          <w:sz w:val="24"/>
          <w:szCs w:val="24"/>
          <w:lang w:val="ru-RU"/>
        </w:rPr>
        <w:t>м</w:t>
      </w:r>
      <w:r w:rsidRPr="0083597E">
        <w:rPr>
          <w:rFonts w:asciiTheme="majorHAnsi" w:hAnsiTheme="majorHAnsi" w:cstheme="majorHAnsi"/>
          <w:sz w:val="24"/>
          <w:szCs w:val="24"/>
          <w:lang w:val="ro-RO"/>
        </w:rPr>
        <w:t xml:space="preserve"> бюджет</w:t>
      </w:r>
      <w:r w:rsidR="0083597E">
        <w:rPr>
          <w:rFonts w:asciiTheme="majorHAnsi" w:hAnsiTheme="majorHAnsi" w:cstheme="majorHAnsi"/>
          <w:sz w:val="24"/>
          <w:szCs w:val="24"/>
          <w:lang w:val="ru-RU"/>
        </w:rPr>
        <w:t>ам</w:t>
      </w:r>
      <w:r w:rsidRPr="0083597E">
        <w:rPr>
          <w:rFonts w:asciiTheme="majorHAnsi" w:hAnsiTheme="majorHAnsi" w:cstheme="majorHAnsi"/>
          <w:sz w:val="24"/>
          <w:szCs w:val="24"/>
          <w:lang w:val="ro-RO"/>
        </w:rPr>
        <w:t xml:space="preserve"> I уровня-0,13 млн. леев и местны</w:t>
      </w:r>
      <w:r w:rsidR="0083597E">
        <w:rPr>
          <w:rFonts w:asciiTheme="majorHAnsi" w:hAnsiTheme="majorHAnsi" w:cstheme="majorHAnsi"/>
          <w:sz w:val="24"/>
          <w:szCs w:val="24"/>
          <w:lang w:val="ru-RU"/>
        </w:rPr>
        <w:t>м</w:t>
      </w:r>
      <w:r w:rsidRPr="0083597E">
        <w:rPr>
          <w:rFonts w:asciiTheme="majorHAnsi" w:hAnsiTheme="majorHAnsi" w:cstheme="majorHAnsi"/>
          <w:sz w:val="24"/>
          <w:szCs w:val="24"/>
          <w:lang w:val="ro-RO"/>
        </w:rPr>
        <w:t xml:space="preserve"> бюджет</w:t>
      </w:r>
      <w:r w:rsidR="0083597E">
        <w:rPr>
          <w:rFonts w:asciiTheme="majorHAnsi" w:hAnsiTheme="majorHAnsi" w:cstheme="majorHAnsi"/>
          <w:sz w:val="24"/>
          <w:szCs w:val="24"/>
          <w:lang w:val="ru-RU"/>
        </w:rPr>
        <w:t>ам</w:t>
      </w:r>
      <w:r w:rsidRPr="0083597E">
        <w:rPr>
          <w:rFonts w:asciiTheme="majorHAnsi" w:hAnsiTheme="majorHAnsi" w:cstheme="majorHAnsi"/>
          <w:sz w:val="24"/>
          <w:szCs w:val="24"/>
          <w:lang w:val="ro-RO"/>
        </w:rPr>
        <w:t xml:space="preserve"> </w:t>
      </w:r>
      <w:r w:rsidR="0083597E">
        <w:rPr>
          <w:rFonts w:asciiTheme="majorHAnsi" w:hAnsiTheme="majorHAnsi" w:cstheme="majorHAnsi"/>
          <w:sz w:val="24"/>
          <w:szCs w:val="24"/>
          <w:lang w:val="ro-RO"/>
        </w:rPr>
        <w:t>II</w:t>
      </w:r>
      <w:r w:rsidRPr="0083597E">
        <w:rPr>
          <w:rFonts w:asciiTheme="majorHAnsi" w:hAnsiTheme="majorHAnsi" w:cstheme="majorHAnsi"/>
          <w:sz w:val="24"/>
          <w:szCs w:val="24"/>
          <w:lang w:val="ro-RO"/>
        </w:rPr>
        <w:t xml:space="preserve"> уровня</w:t>
      </w:r>
      <w:r w:rsidR="0083597E">
        <w:rPr>
          <w:rFonts w:asciiTheme="majorHAnsi" w:hAnsiTheme="majorHAnsi" w:cstheme="majorHAnsi"/>
          <w:sz w:val="24"/>
          <w:szCs w:val="24"/>
          <w:lang w:val="ru-RU"/>
        </w:rPr>
        <w:t xml:space="preserve"> </w:t>
      </w:r>
      <w:r w:rsidRPr="0083597E">
        <w:rPr>
          <w:rFonts w:asciiTheme="majorHAnsi" w:hAnsiTheme="majorHAnsi" w:cstheme="majorHAnsi"/>
          <w:sz w:val="24"/>
          <w:szCs w:val="24"/>
          <w:lang w:val="ro-RO"/>
        </w:rPr>
        <w:t>-</w:t>
      </w:r>
      <w:r w:rsidR="0083597E">
        <w:rPr>
          <w:rFonts w:asciiTheme="majorHAnsi" w:hAnsiTheme="majorHAnsi" w:cstheme="majorHAnsi"/>
          <w:sz w:val="24"/>
          <w:szCs w:val="24"/>
          <w:lang w:val="ru-RU"/>
        </w:rPr>
        <w:t xml:space="preserve"> </w:t>
      </w:r>
      <w:r w:rsidRPr="0083597E">
        <w:rPr>
          <w:rFonts w:asciiTheme="majorHAnsi" w:hAnsiTheme="majorHAnsi" w:cstheme="majorHAnsi"/>
          <w:sz w:val="24"/>
          <w:szCs w:val="24"/>
          <w:lang w:val="ro-RO"/>
        </w:rPr>
        <w:t xml:space="preserve">106,5 млн. </w:t>
      </w:r>
      <w:r w:rsidR="0083597E">
        <w:rPr>
          <w:rFonts w:asciiTheme="majorHAnsi" w:hAnsiTheme="majorHAnsi" w:cstheme="majorHAnsi"/>
          <w:sz w:val="24"/>
          <w:szCs w:val="24"/>
          <w:lang w:val="ru-RU"/>
        </w:rPr>
        <w:t>л</w:t>
      </w:r>
      <w:r w:rsidR="0025764C" w:rsidRPr="0083597E">
        <w:rPr>
          <w:rFonts w:asciiTheme="majorHAnsi" w:hAnsiTheme="majorHAnsi" w:cstheme="majorHAnsi"/>
          <w:sz w:val="24"/>
          <w:szCs w:val="24"/>
          <w:lang w:val="ro-RO"/>
        </w:rPr>
        <w:t>еев</w:t>
      </w:r>
      <w:r w:rsidRPr="0083597E">
        <w:rPr>
          <w:rFonts w:asciiTheme="majorHAnsi" w:hAnsiTheme="majorHAnsi" w:cstheme="majorHAnsi"/>
          <w:sz w:val="24"/>
          <w:szCs w:val="24"/>
          <w:lang w:val="ro-RO"/>
        </w:rPr>
        <w:t>. В течение 2020 года</w:t>
      </w:r>
      <w:r w:rsidRPr="00BD0B0B">
        <w:rPr>
          <w:rFonts w:asciiTheme="majorHAnsi" w:hAnsiTheme="majorHAnsi" w:cstheme="majorHAnsi"/>
          <w:sz w:val="24"/>
          <w:szCs w:val="24"/>
          <w:lang w:val="ro-RO"/>
        </w:rPr>
        <w:t xml:space="preserve"> </w:t>
      </w:r>
      <w:r w:rsidR="0083597E">
        <w:rPr>
          <w:rFonts w:asciiTheme="majorHAnsi" w:hAnsiTheme="majorHAnsi" w:cstheme="majorHAnsi"/>
          <w:sz w:val="24"/>
          <w:szCs w:val="24"/>
          <w:lang w:val="ru-RU"/>
        </w:rPr>
        <w:t>П</w:t>
      </w:r>
      <w:r w:rsidRPr="00BD0B0B">
        <w:rPr>
          <w:rFonts w:asciiTheme="majorHAnsi" w:hAnsiTheme="majorHAnsi" w:cstheme="majorHAnsi"/>
          <w:sz w:val="24"/>
          <w:szCs w:val="24"/>
          <w:lang w:val="ro-RO"/>
        </w:rPr>
        <w:t xml:space="preserve">римэрия </w:t>
      </w:r>
      <w:r w:rsidR="0083597E">
        <w:rPr>
          <w:rFonts w:asciiTheme="majorHAnsi" w:hAnsiTheme="majorHAnsi" w:cstheme="majorHAnsi"/>
          <w:sz w:val="24"/>
          <w:szCs w:val="24"/>
          <w:lang w:val="ru-RU"/>
        </w:rPr>
        <w:t>м</w:t>
      </w:r>
      <w:r w:rsidRPr="00BD0B0B">
        <w:rPr>
          <w:rFonts w:asciiTheme="majorHAnsi" w:hAnsiTheme="majorHAnsi" w:cstheme="majorHAnsi"/>
          <w:sz w:val="24"/>
          <w:szCs w:val="24"/>
          <w:lang w:val="ro-RO"/>
        </w:rPr>
        <w:t xml:space="preserve">ун. </w:t>
      </w:r>
      <w:r w:rsidR="0083597E">
        <w:rPr>
          <w:rFonts w:asciiTheme="majorHAnsi" w:hAnsiTheme="majorHAnsi" w:cstheme="majorHAnsi"/>
          <w:sz w:val="24"/>
          <w:szCs w:val="24"/>
          <w:lang w:val="ro-RO"/>
        </w:rPr>
        <w:t>Бэлць</w:t>
      </w:r>
      <w:r w:rsidRPr="00BD0B0B">
        <w:rPr>
          <w:rFonts w:asciiTheme="majorHAnsi" w:hAnsiTheme="majorHAnsi" w:cstheme="majorHAnsi"/>
          <w:sz w:val="24"/>
          <w:szCs w:val="24"/>
          <w:lang w:val="ro-RO"/>
        </w:rPr>
        <w:t xml:space="preserve"> не погасил</w:t>
      </w:r>
      <w:r w:rsidR="0083597E">
        <w:rPr>
          <w:rFonts w:asciiTheme="majorHAnsi" w:hAnsiTheme="majorHAnsi" w:cstheme="majorHAnsi"/>
          <w:sz w:val="24"/>
          <w:szCs w:val="24"/>
          <w:lang w:val="ru-RU"/>
        </w:rPr>
        <w:t>а</w:t>
      </w:r>
      <w:r w:rsidRPr="00BD0B0B">
        <w:rPr>
          <w:rFonts w:asciiTheme="majorHAnsi" w:hAnsiTheme="majorHAnsi" w:cstheme="majorHAnsi"/>
          <w:sz w:val="24"/>
          <w:szCs w:val="24"/>
          <w:lang w:val="ro-RO"/>
        </w:rPr>
        <w:t xml:space="preserve"> финансовый кредит в сумме 2,5 млн. леев, мотивируя </w:t>
      </w:r>
      <w:r w:rsidR="0083597E">
        <w:rPr>
          <w:rFonts w:asciiTheme="majorHAnsi" w:hAnsiTheme="majorHAnsi" w:cstheme="majorHAnsi"/>
          <w:sz w:val="24"/>
          <w:szCs w:val="24"/>
          <w:lang w:val="ru-RU"/>
        </w:rPr>
        <w:t xml:space="preserve">это </w:t>
      </w:r>
      <w:r w:rsidRPr="00BD0B0B">
        <w:rPr>
          <w:rFonts w:asciiTheme="majorHAnsi" w:hAnsiTheme="majorHAnsi" w:cstheme="majorHAnsi"/>
          <w:sz w:val="24"/>
          <w:szCs w:val="24"/>
          <w:lang w:val="ro-RO"/>
        </w:rPr>
        <w:t>нехватк</w:t>
      </w:r>
      <w:r w:rsidR="0083597E">
        <w:rPr>
          <w:rFonts w:asciiTheme="majorHAnsi" w:hAnsiTheme="majorHAnsi" w:cstheme="majorHAnsi"/>
          <w:sz w:val="24"/>
          <w:szCs w:val="24"/>
          <w:lang w:val="ru-RU"/>
        </w:rPr>
        <w:t>ой</w:t>
      </w:r>
      <w:r w:rsidRPr="00BD0B0B">
        <w:rPr>
          <w:rFonts w:asciiTheme="majorHAnsi" w:hAnsiTheme="majorHAnsi" w:cstheme="majorHAnsi"/>
          <w:sz w:val="24"/>
          <w:szCs w:val="24"/>
          <w:lang w:val="ro-RO"/>
        </w:rPr>
        <w:t xml:space="preserve"> денежных средств в бюджете учреждения. Таким образом, в результате предупреждения МФ и применения договорных положений</w:t>
      </w:r>
      <w:r w:rsidR="0083597E">
        <w:rPr>
          <w:rFonts w:asciiTheme="majorHAnsi" w:hAnsiTheme="majorHAnsi" w:cstheme="majorHAnsi"/>
          <w:sz w:val="24"/>
          <w:szCs w:val="24"/>
          <w:lang w:val="ru-RU"/>
        </w:rPr>
        <w:t>,</w:t>
      </w:r>
      <w:r w:rsidRPr="00BD0B0B">
        <w:rPr>
          <w:rFonts w:asciiTheme="majorHAnsi" w:hAnsiTheme="majorHAnsi" w:cstheme="majorHAnsi"/>
          <w:sz w:val="24"/>
          <w:szCs w:val="24"/>
          <w:lang w:val="ro-RO"/>
        </w:rPr>
        <w:t xml:space="preserve"> </w:t>
      </w:r>
      <w:r w:rsidR="0083597E">
        <w:rPr>
          <w:rFonts w:asciiTheme="majorHAnsi" w:hAnsiTheme="majorHAnsi" w:cstheme="majorHAnsi"/>
          <w:sz w:val="24"/>
          <w:szCs w:val="24"/>
          <w:lang w:val="ru-RU"/>
        </w:rPr>
        <w:t>П</w:t>
      </w:r>
      <w:r w:rsidRPr="00BD0B0B">
        <w:rPr>
          <w:rFonts w:asciiTheme="majorHAnsi" w:hAnsiTheme="majorHAnsi" w:cstheme="majorHAnsi"/>
          <w:sz w:val="24"/>
          <w:szCs w:val="24"/>
          <w:lang w:val="ro-RO"/>
        </w:rPr>
        <w:t xml:space="preserve">римэрия </w:t>
      </w:r>
      <w:r w:rsidR="0083597E">
        <w:rPr>
          <w:rFonts w:asciiTheme="majorHAnsi" w:hAnsiTheme="majorHAnsi" w:cstheme="majorHAnsi"/>
          <w:sz w:val="24"/>
          <w:szCs w:val="24"/>
          <w:lang w:val="ru-RU"/>
        </w:rPr>
        <w:t>м</w:t>
      </w:r>
      <w:r w:rsidRPr="00BD0B0B">
        <w:rPr>
          <w:rFonts w:asciiTheme="majorHAnsi" w:hAnsiTheme="majorHAnsi" w:cstheme="majorHAnsi"/>
          <w:sz w:val="24"/>
          <w:szCs w:val="24"/>
          <w:lang w:val="ro-RO"/>
        </w:rPr>
        <w:t xml:space="preserve">ун. </w:t>
      </w:r>
      <w:r w:rsidR="0083597E">
        <w:rPr>
          <w:rFonts w:asciiTheme="majorHAnsi" w:hAnsiTheme="majorHAnsi" w:cstheme="majorHAnsi"/>
          <w:sz w:val="24"/>
          <w:szCs w:val="24"/>
          <w:lang w:val="ro-RO"/>
        </w:rPr>
        <w:t>Бэлць</w:t>
      </w:r>
      <w:r w:rsidR="008E0F7F">
        <w:rPr>
          <w:rFonts w:asciiTheme="majorHAnsi" w:hAnsiTheme="majorHAnsi" w:cstheme="majorHAnsi"/>
          <w:sz w:val="24"/>
          <w:szCs w:val="24"/>
          <w:lang w:val="ro-RO"/>
        </w:rPr>
        <w:t xml:space="preserve"> погасил</w:t>
      </w:r>
      <w:r w:rsidR="0083597E">
        <w:rPr>
          <w:rFonts w:asciiTheme="majorHAnsi" w:hAnsiTheme="majorHAnsi" w:cstheme="majorHAnsi"/>
          <w:sz w:val="24"/>
          <w:szCs w:val="24"/>
          <w:lang w:val="ru-RU"/>
        </w:rPr>
        <w:t>а</w:t>
      </w:r>
      <w:r w:rsidRPr="00BD0B0B">
        <w:rPr>
          <w:rFonts w:asciiTheme="majorHAnsi" w:hAnsiTheme="majorHAnsi" w:cstheme="majorHAnsi"/>
          <w:sz w:val="24"/>
          <w:szCs w:val="24"/>
          <w:lang w:val="ro-RO"/>
        </w:rPr>
        <w:t xml:space="preserve"> кредит 15.01.2021;</w:t>
      </w:r>
      <w:r w:rsidRPr="006F53B7">
        <w:rPr>
          <w:rFonts w:asciiTheme="majorHAnsi" w:hAnsiTheme="majorHAnsi" w:cstheme="majorHAnsi"/>
          <w:sz w:val="24"/>
          <w:szCs w:val="24"/>
          <w:lang w:val="ru-RU"/>
        </w:rPr>
        <w:t xml:space="preserve"> </w:t>
      </w:r>
    </w:p>
    <w:p w:rsidR="00C3538A" w:rsidRPr="00F55BA6" w:rsidRDefault="00BD0B0B" w:rsidP="0083597E">
      <w:pPr>
        <w:tabs>
          <w:tab w:val="left" w:pos="0"/>
          <w:tab w:val="left" w:pos="142"/>
          <w:tab w:val="left" w:pos="851"/>
        </w:tabs>
        <w:spacing w:after="0" w:line="276" w:lineRule="auto"/>
        <w:contextualSpacing/>
        <w:rPr>
          <w:rFonts w:asciiTheme="majorHAnsi" w:eastAsia="Times New Roman" w:hAnsiTheme="majorHAnsi" w:cstheme="majorHAnsi"/>
          <w:sz w:val="24"/>
          <w:szCs w:val="24"/>
          <w:lang w:val="ro-RO"/>
        </w:rPr>
      </w:pPr>
      <w:r w:rsidRPr="00BD0B0B">
        <w:rPr>
          <w:rFonts w:asciiTheme="majorHAnsi" w:hAnsiTheme="majorHAnsi" w:cstheme="majorHAnsi"/>
          <w:sz w:val="24"/>
          <w:szCs w:val="24"/>
          <w:lang w:val="ro-RO"/>
        </w:rPr>
        <w:t xml:space="preserve">- государственное </w:t>
      </w:r>
      <w:r w:rsidR="0083597E">
        <w:rPr>
          <w:rFonts w:asciiTheme="majorHAnsi" w:hAnsiTheme="majorHAnsi" w:cstheme="majorHAnsi"/>
          <w:sz w:val="24"/>
          <w:szCs w:val="24"/>
          <w:lang w:val="ru-RU"/>
        </w:rPr>
        <w:t>ре</w:t>
      </w:r>
      <w:r w:rsidRPr="00BD0B0B">
        <w:rPr>
          <w:rFonts w:asciiTheme="majorHAnsi" w:hAnsiTheme="majorHAnsi" w:cstheme="majorHAnsi"/>
          <w:sz w:val="24"/>
          <w:szCs w:val="24"/>
          <w:lang w:val="ro-RO"/>
        </w:rPr>
        <w:t xml:space="preserve">кредитование осуществляется через МФ, </w:t>
      </w:r>
      <w:r w:rsidR="0083597E">
        <w:rPr>
          <w:rFonts w:asciiTheme="majorHAnsi" w:hAnsiTheme="majorHAnsi" w:cstheme="majorHAnsi"/>
          <w:sz w:val="24"/>
          <w:szCs w:val="24"/>
          <w:lang w:val="ru-RU"/>
        </w:rPr>
        <w:t>Офис</w:t>
      </w:r>
      <w:r w:rsidRPr="00BD0B0B">
        <w:rPr>
          <w:rFonts w:asciiTheme="majorHAnsi" w:hAnsiTheme="majorHAnsi" w:cstheme="majorHAnsi"/>
          <w:sz w:val="24"/>
          <w:szCs w:val="24"/>
          <w:lang w:val="ro-RO"/>
        </w:rPr>
        <w:t xml:space="preserve"> управлени</w:t>
      </w:r>
      <w:r w:rsidR="004948A4">
        <w:rPr>
          <w:rFonts w:asciiTheme="majorHAnsi" w:hAnsiTheme="majorHAnsi" w:cstheme="majorHAnsi"/>
          <w:sz w:val="24"/>
          <w:szCs w:val="24"/>
          <w:lang w:val="ru-RU"/>
        </w:rPr>
        <w:t>я п</w:t>
      </w:r>
      <w:r w:rsidRPr="00BD0B0B">
        <w:rPr>
          <w:rFonts w:asciiTheme="majorHAnsi" w:hAnsiTheme="majorHAnsi" w:cstheme="majorHAnsi"/>
          <w:sz w:val="24"/>
          <w:szCs w:val="24"/>
          <w:lang w:val="ro-RO"/>
        </w:rPr>
        <w:t xml:space="preserve">рограммами внешней помощи и </w:t>
      </w:r>
      <w:r w:rsidR="0083597E">
        <w:rPr>
          <w:rFonts w:asciiTheme="majorHAnsi" w:hAnsiTheme="majorHAnsi" w:cstheme="majorHAnsi"/>
          <w:sz w:val="24"/>
          <w:szCs w:val="24"/>
          <w:lang w:val="ru-RU"/>
        </w:rPr>
        <w:t>К</w:t>
      </w:r>
      <w:r w:rsidRPr="00BD0B0B">
        <w:rPr>
          <w:rFonts w:asciiTheme="majorHAnsi" w:hAnsiTheme="majorHAnsi" w:cstheme="majorHAnsi"/>
          <w:sz w:val="24"/>
          <w:szCs w:val="24"/>
          <w:lang w:val="ro-RO"/>
        </w:rPr>
        <w:t xml:space="preserve">онсолидированное подразделение по внедрению программ Международного фонда сельскохозяйственного развития. В течение 2020 года были </w:t>
      </w:r>
      <w:r w:rsidR="0083597E">
        <w:rPr>
          <w:rFonts w:asciiTheme="majorHAnsi" w:hAnsiTheme="majorHAnsi" w:cstheme="majorHAnsi"/>
          <w:sz w:val="24"/>
          <w:szCs w:val="24"/>
          <w:lang w:val="ru-RU"/>
        </w:rPr>
        <w:t>рекредитова</w:t>
      </w:r>
      <w:r w:rsidRPr="00BD0B0B">
        <w:rPr>
          <w:rFonts w:asciiTheme="majorHAnsi" w:hAnsiTheme="majorHAnsi" w:cstheme="majorHAnsi"/>
          <w:sz w:val="24"/>
          <w:szCs w:val="24"/>
          <w:lang w:val="ro-RO"/>
        </w:rPr>
        <w:t>ны кредиты нефинансовым учреждениям</w:t>
      </w:r>
      <w:r w:rsidR="0083597E" w:rsidRPr="00F55BA6">
        <w:rPr>
          <w:rStyle w:val="FootnoteReference"/>
          <w:rFonts w:asciiTheme="majorHAnsi" w:hAnsiTheme="majorHAnsi" w:cstheme="majorHAnsi"/>
          <w:sz w:val="24"/>
          <w:szCs w:val="24"/>
          <w:lang w:val="ro-RO"/>
        </w:rPr>
        <w:footnoteReference w:id="81"/>
      </w:r>
      <w:r w:rsidRPr="00BD0B0B">
        <w:rPr>
          <w:rFonts w:asciiTheme="majorHAnsi" w:hAnsiTheme="majorHAnsi" w:cstheme="majorHAnsi"/>
          <w:sz w:val="24"/>
          <w:szCs w:val="24"/>
          <w:lang w:val="ro-RO"/>
        </w:rPr>
        <w:t xml:space="preserve"> на сумму 459,3 млн. леев за счет проектов, реализуемых </w:t>
      </w:r>
      <w:r w:rsidR="0083597E">
        <w:rPr>
          <w:rFonts w:asciiTheme="majorHAnsi" w:hAnsiTheme="majorHAnsi" w:cstheme="majorHAnsi"/>
          <w:sz w:val="24"/>
          <w:szCs w:val="24"/>
          <w:lang w:val="ro-RO"/>
        </w:rPr>
        <w:t>МЭИ</w:t>
      </w:r>
      <w:r w:rsidRPr="00BD0B0B">
        <w:rPr>
          <w:rFonts w:asciiTheme="majorHAnsi" w:hAnsiTheme="majorHAnsi" w:cstheme="majorHAnsi"/>
          <w:sz w:val="24"/>
          <w:szCs w:val="24"/>
          <w:lang w:val="ro-RO"/>
        </w:rPr>
        <w:t xml:space="preserve">. </w:t>
      </w:r>
      <w:r w:rsidR="0083597E" w:rsidRPr="0083597E">
        <w:rPr>
          <w:rFonts w:asciiTheme="majorHAnsi" w:hAnsiTheme="majorHAnsi" w:cstheme="majorHAnsi"/>
          <w:sz w:val="24"/>
          <w:szCs w:val="24"/>
          <w:lang w:val="ro-RO"/>
        </w:rPr>
        <w:t>Кроме того,</w:t>
      </w:r>
      <w:r w:rsidRPr="00BD0B0B">
        <w:rPr>
          <w:rFonts w:asciiTheme="majorHAnsi" w:hAnsiTheme="majorHAnsi" w:cstheme="majorHAnsi"/>
          <w:sz w:val="24"/>
          <w:szCs w:val="24"/>
          <w:lang w:val="ro-RO"/>
        </w:rPr>
        <w:t xml:space="preserve"> были </w:t>
      </w:r>
      <w:r w:rsidR="0083597E" w:rsidRPr="004948A4">
        <w:rPr>
          <w:rFonts w:asciiTheme="majorHAnsi" w:hAnsiTheme="majorHAnsi" w:cstheme="majorHAnsi"/>
          <w:sz w:val="24"/>
          <w:szCs w:val="24"/>
          <w:lang w:val="ro-RO"/>
        </w:rPr>
        <w:t>рекредитован</w:t>
      </w:r>
      <w:r w:rsidRPr="00BD0B0B">
        <w:rPr>
          <w:rFonts w:asciiTheme="majorHAnsi" w:hAnsiTheme="majorHAnsi" w:cstheme="majorHAnsi"/>
          <w:sz w:val="24"/>
          <w:szCs w:val="24"/>
          <w:lang w:val="ro-RO"/>
        </w:rPr>
        <w:t>ы кредиты финансовым учреждениям</w:t>
      </w:r>
      <w:r w:rsidR="0083597E" w:rsidRPr="00F55BA6">
        <w:rPr>
          <w:rStyle w:val="FootnoteReference"/>
          <w:rFonts w:asciiTheme="majorHAnsi" w:hAnsiTheme="majorHAnsi" w:cstheme="majorHAnsi"/>
          <w:sz w:val="24"/>
          <w:szCs w:val="24"/>
          <w:lang w:val="ro-RO"/>
        </w:rPr>
        <w:footnoteReference w:id="82"/>
      </w:r>
      <w:r w:rsidRPr="00BD0B0B">
        <w:rPr>
          <w:rFonts w:asciiTheme="majorHAnsi" w:hAnsiTheme="majorHAnsi" w:cstheme="majorHAnsi"/>
          <w:sz w:val="24"/>
          <w:szCs w:val="24"/>
          <w:lang w:val="ro-RO"/>
        </w:rPr>
        <w:t xml:space="preserve"> на общую сумму 491,1 млн. леев за счет проектов, реализуемых МФ</w:t>
      </w:r>
      <w:r w:rsidR="004948A4" w:rsidRPr="004948A4">
        <w:rPr>
          <w:rFonts w:asciiTheme="majorHAnsi" w:hAnsiTheme="majorHAnsi" w:cstheme="majorHAnsi"/>
          <w:sz w:val="24"/>
          <w:szCs w:val="24"/>
          <w:lang w:val="ro-RO"/>
        </w:rPr>
        <w:t xml:space="preserve"> </w:t>
      </w:r>
      <w:r w:rsidRPr="00BD0B0B">
        <w:rPr>
          <w:rFonts w:asciiTheme="majorHAnsi" w:hAnsiTheme="majorHAnsi" w:cstheme="majorHAnsi"/>
          <w:sz w:val="24"/>
          <w:szCs w:val="24"/>
          <w:lang w:val="ro-RO"/>
        </w:rPr>
        <w:t>-</w:t>
      </w:r>
      <w:r w:rsidR="004948A4" w:rsidRPr="004948A4">
        <w:rPr>
          <w:rFonts w:asciiTheme="majorHAnsi" w:hAnsiTheme="majorHAnsi" w:cstheme="majorHAnsi"/>
          <w:sz w:val="24"/>
          <w:szCs w:val="24"/>
          <w:lang w:val="ro-RO"/>
        </w:rPr>
        <w:t xml:space="preserve"> </w:t>
      </w:r>
      <w:r w:rsidRPr="00BD0B0B">
        <w:rPr>
          <w:rFonts w:asciiTheme="majorHAnsi" w:hAnsiTheme="majorHAnsi" w:cstheme="majorHAnsi"/>
          <w:sz w:val="24"/>
          <w:szCs w:val="24"/>
          <w:lang w:val="ro-RO"/>
        </w:rPr>
        <w:t>4,2 млн. ле</w:t>
      </w:r>
      <w:r w:rsidR="004948A4" w:rsidRPr="004948A4">
        <w:rPr>
          <w:rFonts w:asciiTheme="majorHAnsi" w:hAnsiTheme="majorHAnsi" w:cstheme="majorHAnsi"/>
          <w:sz w:val="24"/>
          <w:szCs w:val="24"/>
          <w:lang w:val="ro-RO"/>
        </w:rPr>
        <w:t>ев</w:t>
      </w:r>
      <w:r w:rsidRPr="00BD0B0B">
        <w:rPr>
          <w:rFonts w:asciiTheme="majorHAnsi" w:hAnsiTheme="majorHAnsi" w:cstheme="majorHAnsi"/>
          <w:sz w:val="24"/>
          <w:szCs w:val="24"/>
          <w:lang w:val="ro-RO"/>
        </w:rPr>
        <w:t xml:space="preserve">, </w:t>
      </w:r>
      <w:r w:rsidR="0083597E">
        <w:rPr>
          <w:rFonts w:asciiTheme="majorHAnsi" w:hAnsiTheme="majorHAnsi" w:cstheme="majorHAnsi"/>
          <w:sz w:val="24"/>
          <w:szCs w:val="24"/>
          <w:lang w:val="ro-RO"/>
        </w:rPr>
        <w:t>МЭИ</w:t>
      </w:r>
      <w:r w:rsidR="004948A4" w:rsidRPr="004948A4">
        <w:rPr>
          <w:rFonts w:asciiTheme="majorHAnsi" w:hAnsiTheme="majorHAnsi" w:cstheme="majorHAnsi"/>
          <w:sz w:val="24"/>
          <w:szCs w:val="24"/>
          <w:lang w:val="ro-RO"/>
        </w:rPr>
        <w:t xml:space="preserve"> </w:t>
      </w:r>
      <w:r w:rsidRPr="00BD0B0B">
        <w:rPr>
          <w:rFonts w:asciiTheme="majorHAnsi" w:hAnsiTheme="majorHAnsi" w:cstheme="majorHAnsi"/>
          <w:sz w:val="24"/>
          <w:szCs w:val="24"/>
          <w:lang w:val="ro-RO"/>
        </w:rPr>
        <w:t>-</w:t>
      </w:r>
      <w:r w:rsidR="004948A4" w:rsidRPr="004948A4">
        <w:rPr>
          <w:rFonts w:asciiTheme="majorHAnsi" w:hAnsiTheme="majorHAnsi" w:cstheme="majorHAnsi"/>
          <w:sz w:val="24"/>
          <w:szCs w:val="24"/>
          <w:lang w:val="ro-RO"/>
        </w:rPr>
        <w:t xml:space="preserve"> </w:t>
      </w:r>
      <w:r w:rsidRPr="00BD0B0B">
        <w:rPr>
          <w:rFonts w:asciiTheme="majorHAnsi" w:hAnsiTheme="majorHAnsi" w:cstheme="majorHAnsi"/>
          <w:sz w:val="24"/>
          <w:szCs w:val="24"/>
          <w:lang w:val="ro-RO"/>
        </w:rPr>
        <w:t xml:space="preserve">85,1 млн. леев </w:t>
      </w:r>
      <w:r w:rsidR="004948A4" w:rsidRPr="004948A4">
        <w:rPr>
          <w:rFonts w:asciiTheme="majorHAnsi" w:hAnsiTheme="majorHAnsi" w:cstheme="majorHAnsi"/>
          <w:sz w:val="24"/>
          <w:szCs w:val="24"/>
          <w:lang w:val="ro-RO"/>
        </w:rPr>
        <w:t>и МСХРРОС</w:t>
      </w:r>
      <w:r w:rsidR="004948A4" w:rsidRPr="00F55BA6">
        <w:rPr>
          <w:rFonts w:asciiTheme="majorHAnsi" w:hAnsiTheme="majorHAnsi" w:cstheme="majorHAnsi"/>
          <w:sz w:val="24"/>
          <w:szCs w:val="24"/>
          <w:lang w:val="ro-RO"/>
        </w:rPr>
        <w:t xml:space="preserve"> – 401,8 </w:t>
      </w:r>
      <w:r w:rsidR="004948A4" w:rsidRPr="00BD0B0B">
        <w:rPr>
          <w:rFonts w:asciiTheme="majorHAnsi" w:hAnsiTheme="majorHAnsi" w:cstheme="majorHAnsi"/>
          <w:sz w:val="24"/>
          <w:szCs w:val="24"/>
          <w:lang w:val="ro-RO"/>
        </w:rPr>
        <w:t>млн. леев</w:t>
      </w:r>
      <w:r w:rsidR="00C3538A" w:rsidRPr="00F55BA6">
        <w:rPr>
          <w:rFonts w:asciiTheme="majorHAnsi" w:hAnsiTheme="majorHAnsi" w:cstheme="majorHAnsi"/>
          <w:sz w:val="24"/>
          <w:szCs w:val="24"/>
          <w:lang w:val="ro-RO"/>
        </w:rPr>
        <w:t xml:space="preserve">. </w:t>
      </w:r>
      <w:r w:rsidRPr="00BD0B0B">
        <w:rPr>
          <w:rFonts w:asciiTheme="majorHAnsi" w:hAnsiTheme="majorHAnsi" w:cstheme="majorHAnsi"/>
          <w:sz w:val="24"/>
          <w:szCs w:val="24"/>
          <w:lang w:val="ro-RO"/>
        </w:rPr>
        <w:t xml:space="preserve">Согласно </w:t>
      </w:r>
      <w:r w:rsidR="004948A4">
        <w:rPr>
          <w:rFonts w:asciiTheme="majorHAnsi" w:hAnsiTheme="majorHAnsi" w:cstheme="majorHAnsi"/>
          <w:sz w:val="24"/>
          <w:szCs w:val="24"/>
          <w:lang w:val="ro-RO"/>
        </w:rPr>
        <w:t>ПП №</w:t>
      </w:r>
      <w:r w:rsidRPr="00BD0B0B">
        <w:rPr>
          <w:rFonts w:asciiTheme="majorHAnsi" w:hAnsiTheme="majorHAnsi" w:cstheme="majorHAnsi"/>
          <w:sz w:val="24"/>
          <w:szCs w:val="24"/>
          <w:lang w:val="ro-RO"/>
        </w:rPr>
        <w:t>338 от 03.06.2020</w:t>
      </w:r>
      <w:r w:rsidR="004948A4" w:rsidRPr="00F55BA6">
        <w:rPr>
          <w:rFonts w:asciiTheme="majorHAnsi" w:eastAsia="Times New Roman" w:hAnsiTheme="majorHAnsi" w:cstheme="majorHAnsi"/>
          <w:sz w:val="24"/>
          <w:szCs w:val="24"/>
          <w:vertAlign w:val="superscript"/>
          <w:lang w:val="ro-RO"/>
        </w:rPr>
        <w:footnoteReference w:id="83"/>
      </w:r>
      <w:r w:rsidRPr="00BD0B0B">
        <w:rPr>
          <w:rFonts w:asciiTheme="majorHAnsi" w:hAnsiTheme="majorHAnsi" w:cstheme="majorHAnsi"/>
          <w:sz w:val="24"/>
          <w:szCs w:val="24"/>
          <w:lang w:val="ro-RO"/>
        </w:rPr>
        <w:t xml:space="preserve">, было </w:t>
      </w:r>
      <w:r w:rsidR="004948A4">
        <w:rPr>
          <w:rFonts w:asciiTheme="majorHAnsi" w:hAnsiTheme="majorHAnsi" w:cstheme="majorHAnsi"/>
          <w:sz w:val="24"/>
          <w:szCs w:val="24"/>
          <w:lang w:val="ru-RU"/>
        </w:rPr>
        <w:t>переименовано</w:t>
      </w:r>
      <w:r w:rsidRPr="00BD0B0B">
        <w:rPr>
          <w:rFonts w:asciiTheme="majorHAnsi" w:hAnsiTheme="majorHAnsi" w:cstheme="majorHAnsi"/>
          <w:sz w:val="24"/>
          <w:szCs w:val="24"/>
          <w:lang w:val="ro-RO"/>
        </w:rPr>
        <w:t xml:space="preserve"> </w:t>
      </w:r>
      <w:r w:rsidR="004948A4">
        <w:rPr>
          <w:rFonts w:asciiTheme="majorHAnsi" w:hAnsiTheme="majorHAnsi" w:cstheme="majorHAnsi"/>
          <w:sz w:val="24"/>
          <w:szCs w:val="24"/>
          <w:lang w:val="ru-RU"/>
        </w:rPr>
        <w:t>ПУ</w:t>
      </w:r>
      <w:r w:rsidRPr="00BD0B0B">
        <w:rPr>
          <w:rFonts w:asciiTheme="majorHAnsi" w:hAnsiTheme="majorHAnsi" w:cstheme="majorHAnsi"/>
          <w:sz w:val="24"/>
          <w:szCs w:val="24"/>
          <w:lang w:val="ro-RO"/>
        </w:rPr>
        <w:t xml:space="preserve"> </w:t>
      </w:r>
      <w:r w:rsidR="004948A4" w:rsidRPr="00973E5B">
        <w:rPr>
          <w:rFonts w:asciiTheme="majorHAnsi" w:hAnsiTheme="majorHAnsi" w:cstheme="majorHAnsi"/>
          <w:color w:val="000000"/>
          <w:sz w:val="24"/>
          <w:szCs w:val="24"/>
          <w:lang w:val="ro-RO" w:eastAsia="ro-RO" w:bidi="ro-RO"/>
        </w:rPr>
        <w:t>„</w:t>
      </w:r>
      <w:r w:rsidR="004948A4" w:rsidRPr="004948A4">
        <w:rPr>
          <w:rFonts w:asciiTheme="majorHAnsi" w:hAnsiTheme="majorHAnsi" w:cstheme="majorHAnsi"/>
          <w:color w:val="000000"/>
          <w:sz w:val="24"/>
          <w:szCs w:val="24"/>
          <w:lang w:val="ru-RU" w:eastAsia="ro-RO" w:bidi="ro-RO"/>
        </w:rPr>
        <w:t>Директорат</w:t>
      </w:r>
      <w:r w:rsidR="004948A4" w:rsidRPr="004948A4">
        <w:rPr>
          <w:rFonts w:asciiTheme="majorHAnsi" w:hAnsiTheme="majorHAnsi" w:cstheme="majorHAnsi"/>
          <w:color w:val="000000"/>
          <w:sz w:val="24"/>
          <w:szCs w:val="24"/>
          <w:lang w:eastAsia="ro-RO" w:bidi="ro-RO"/>
        </w:rPr>
        <w:t> </w:t>
      </w:r>
      <w:r w:rsidR="004948A4" w:rsidRPr="004948A4">
        <w:rPr>
          <w:rFonts w:asciiTheme="majorHAnsi" w:hAnsiTheme="majorHAnsi" w:cstheme="majorHAnsi"/>
          <w:color w:val="000000"/>
          <w:sz w:val="24"/>
          <w:szCs w:val="24"/>
          <w:lang w:val="ru-RU" w:eastAsia="ro-RO" w:bidi="ro-RO"/>
        </w:rPr>
        <w:t xml:space="preserve"> линии кредитования</w:t>
      </w:r>
      <w:r w:rsidR="004948A4" w:rsidRPr="00BD0B0B">
        <w:rPr>
          <w:rFonts w:asciiTheme="majorHAnsi" w:hAnsiTheme="majorHAnsi" w:cstheme="majorHAnsi"/>
          <w:sz w:val="24"/>
          <w:szCs w:val="24"/>
          <w:lang w:val="ro-RO"/>
        </w:rPr>
        <w:t>”</w:t>
      </w:r>
      <w:r w:rsidRPr="00BD0B0B">
        <w:rPr>
          <w:rFonts w:asciiTheme="majorHAnsi" w:hAnsiTheme="majorHAnsi" w:cstheme="majorHAnsi"/>
          <w:sz w:val="24"/>
          <w:szCs w:val="24"/>
          <w:lang w:val="ro-RO"/>
        </w:rPr>
        <w:t xml:space="preserve"> </w:t>
      </w:r>
      <w:r w:rsidR="004948A4">
        <w:rPr>
          <w:rFonts w:asciiTheme="majorHAnsi" w:hAnsiTheme="majorHAnsi" w:cstheme="majorHAnsi"/>
          <w:sz w:val="24"/>
          <w:szCs w:val="24"/>
          <w:lang w:val="ru-RU"/>
        </w:rPr>
        <w:t>в П</w:t>
      </w:r>
      <w:r w:rsidRPr="00BD0B0B">
        <w:rPr>
          <w:rFonts w:asciiTheme="majorHAnsi" w:hAnsiTheme="majorHAnsi" w:cstheme="majorHAnsi"/>
          <w:sz w:val="24"/>
          <w:szCs w:val="24"/>
          <w:lang w:val="ro-RO"/>
        </w:rPr>
        <w:t>ублично</w:t>
      </w:r>
      <w:r w:rsidR="004948A4">
        <w:rPr>
          <w:rFonts w:asciiTheme="majorHAnsi" w:hAnsiTheme="majorHAnsi" w:cstheme="majorHAnsi"/>
          <w:sz w:val="24"/>
          <w:szCs w:val="24"/>
          <w:lang w:val="ru-RU"/>
        </w:rPr>
        <w:t>е</w:t>
      </w:r>
      <w:r w:rsidRPr="00BD0B0B">
        <w:rPr>
          <w:rFonts w:asciiTheme="majorHAnsi" w:hAnsiTheme="majorHAnsi" w:cstheme="majorHAnsi"/>
          <w:sz w:val="24"/>
          <w:szCs w:val="24"/>
          <w:lang w:val="ro-RO"/>
        </w:rPr>
        <w:t xml:space="preserve"> учреждени</w:t>
      </w:r>
      <w:r w:rsidR="004948A4">
        <w:rPr>
          <w:rFonts w:asciiTheme="majorHAnsi" w:hAnsiTheme="majorHAnsi" w:cstheme="majorHAnsi"/>
          <w:sz w:val="24"/>
          <w:szCs w:val="24"/>
          <w:lang w:val="ru-RU"/>
        </w:rPr>
        <w:t xml:space="preserve">е </w:t>
      </w:r>
      <w:r w:rsidR="004948A4" w:rsidRPr="00973E5B">
        <w:rPr>
          <w:rFonts w:asciiTheme="majorHAnsi" w:hAnsiTheme="majorHAnsi" w:cstheme="majorHAnsi"/>
          <w:color w:val="000000"/>
          <w:sz w:val="24"/>
          <w:szCs w:val="24"/>
          <w:lang w:val="ro-RO" w:eastAsia="ro-RO" w:bidi="ro-RO"/>
        </w:rPr>
        <w:t>„</w:t>
      </w:r>
      <w:r w:rsidR="004948A4">
        <w:rPr>
          <w:rFonts w:asciiTheme="majorHAnsi" w:hAnsiTheme="majorHAnsi" w:cstheme="majorHAnsi"/>
          <w:sz w:val="24"/>
          <w:szCs w:val="24"/>
          <w:lang w:val="ru-RU"/>
        </w:rPr>
        <w:t>Офис</w:t>
      </w:r>
      <w:r w:rsidRPr="00BD0B0B">
        <w:rPr>
          <w:rFonts w:asciiTheme="majorHAnsi" w:hAnsiTheme="majorHAnsi" w:cstheme="majorHAnsi"/>
          <w:sz w:val="24"/>
          <w:szCs w:val="24"/>
          <w:lang w:val="ro-RO"/>
        </w:rPr>
        <w:t xml:space="preserve"> управлени</w:t>
      </w:r>
      <w:r w:rsidR="004948A4">
        <w:rPr>
          <w:rFonts w:asciiTheme="majorHAnsi" w:hAnsiTheme="majorHAnsi" w:cstheme="majorHAnsi"/>
          <w:sz w:val="24"/>
          <w:szCs w:val="24"/>
          <w:lang w:val="ru-RU"/>
        </w:rPr>
        <w:t>я</w:t>
      </w:r>
      <w:r w:rsidRPr="00BD0B0B">
        <w:rPr>
          <w:rFonts w:asciiTheme="majorHAnsi" w:hAnsiTheme="majorHAnsi" w:cstheme="majorHAnsi"/>
          <w:sz w:val="24"/>
          <w:szCs w:val="24"/>
          <w:lang w:val="ro-RO"/>
        </w:rPr>
        <w:t xml:space="preserve"> </w:t>
      </w:r>
      <w:r w:rsidR="004948A4">
        <w:rPr>
          <w:rFonts w:asciiTheme="majorHAnsi" w:hAnsiTheme="majorHAnsi" w:cstheme="majorHAnsi"/>
          <w:sz w:val="24"/>
          <w:szCs w:val="24"/>
          <w:lang w:val="ru-RU"/>
        </w:rPr>
        <w:t>п</w:t>
      </w:r>
      <w:r w:rsidRPr="00BD0B0B">
        <w:rPr>
          <w:rFonts w:asciiTheme="majorHAnsi" w:hAnsiTheme="majorHAnsi" w:cstheme="majorHAnsi"/>
          <w:sz w:val="24"/>
          <w:szCs w:val="24"/>
          <w:lang w:val="ro-RO"/>
        </w:rPr>
        <w:t>рограммами внешней помощи</w:t>
      </w:r>
      <w:r w:rsidR="004948A4" w:rsidRPr="00BD0B0B">
        <w:rPr>
          <w:rFonts w:asciiTheme="majorHAnsi" w:hAnsiTheme="majorHAnsi" w:cstheme="majorHAnsi"/>
          <w:sz w:val="24"/>
          <w:szCs w:val="24"/>
          <w:lang w:val="ro-RO"/>
        </w:rPr>
        <w:t>”</w:t>
      </w:r>
      <w:r w:rsidRPr="00BD0B0B">
        <w:rPr>
          <w:rFonts w:asciiTheme="majorHAnsi" w:hAnsiTheme="majorHAnsi" w:cstheme="majorHAnsi"/>
          <w:sz w:val="24"/>
          <w:szCs w:val="24"/>
          <w:lang w:val="ro-RO"/>
        </w:rPr>
        <w:t xml:space="preserve">. Финансирование деятельности </w:t>
      </w:r>
      <w:r w:rsidR="004948A4">
        <w:rPr>
          <w:rFonts w:asciiTheme="majorHAnsi" w:hAnsiTheme="majorHAnsi" w:cstheme="majorHAnsi"/>
          <w:sz w:val="24"/>
          <w:szCs w:val="24"/>
          <w:lang w:val="ru-RU"/>
        </w:rPr>
        <w:t xml:space="preserve">офиса </w:t>
      </w:r>
      <w:r w:rsidRPr="00BD0B0B">
        <w:rPr>
          <w:rFonts w:asciiTheme="majorHAnsi" w:hAnsiTheme="majorHAnsi" w:cstheme="majorHAnsi"/>
          <w:sz w:val="24"/>
          <w:szCs w:val="24"/>
          <w:lang w:val="ro-RO"/>
        </w:rPr>
        <w:t xml:space="preserve">осуществляется в том числе из финансовых средств </w:t>
      </w:r>
      <w:r w:rsidR="008F632D">
        <w:rPr>
          <w:rFonts w:asciiTheme="majorHAnsi" w:hAnsiTheme="majorHAnsi" w:cstheme="majorHAnsi"/>
          <w:sz w:val="24"/>
          <w:szCs w:val="24"/>
          <w:lang w:val="ro-RO"/>
        </w:rPr>
        <w:t>ГБ</w:t>
      </w:r>
      <w:r w:rsidRPr="00BD0B0B">
        <w:rPr>
          <w:rFonts w:asciiTheme="majorHAnsi" w:hAnsiTheme="majorHAnsi" w:cstheme="majorHAnsi"/>
          <w:sz w:val="24"/>
          <w:szCs w:val="24"/>
          <w:lang w:val="ro-RO"/>
        </w:rPr>
        <w:t xml:space="preserve">, </w:t>
      </w:r>
      <w:r w:rsidR="004948A4">
        <w:rPr>
          <w:rFonts w:asciiTheme="majorHAnsi" w:hAnsiTheme="majorHAnsi" w:cstheme="majorHAnsi"/>
          <w:sz w:val="24"/>
          <w:szCs w:val="24"/>
          <w:lang w:val="ru-RU"/>
        </w:rPr>
        <w:t xml:space="preserve">однако </w:t>
      </w:r>
      <w:r w:rsidRPr="00BD0B0B">
        <w:rPr>
          <w:rFonts w:asciiTheme="majorHAnsi" w:hAnsiTheme="majorHAnsi" w:cstheme="majorHAnsi"/>
          <w:sz w:val="24"/>
          <w:szCs w:val="24"/>
          <w:lang w:val="ro-RO"/>
        </w:rPr>
        <w:t xml:space="preserve">в 2020 году не были </w:t>
      </w:r>
      <w:r w:rsidR="0066158B">
        <w:rPr>
          <w:rFonts w:asciiTheme="majorHAnsi" w:hAnsiTheme="majorHAnsi" w:cstheme="majorHAnsi"/>
          <w:sz w:val="24"/>
          <w:szCs w:val="24"/>
          <w:lang w:val="ro-RO"/>
        </w:rPr>
        <w:t>исполнены</w:t>
      </w:r>
      <w:r w:rsidRPr="00BD0B0B">
        <w:rPr>
          <w:rFonts w:asciiTheme="majorHAnsi" w:hAnsiTheme="majorHAnsi" w:cstheme="majorHAnsi"/>
          <w:sz w:val="24"/>
          <w:szCs w:val="24"/>
          <w:lang w:val="ro-RO"/>
        </w:rPr>
        <w:t xml:space="preserve"> </w:t>
      </w:r>
      <w:r w:rsidR="004948A4">
        <w:rPr>
          <w:rFonts w:asciiTheme="majorHAnsi" w:hAnsiTheme="majorHAnsi" w:cstheme="majorHAnsi"/>
          <w:sz w:val="24"/>
          <w:szCs w:val="24"/>
          <w:lang w:val="ru-RU"/>
        </w:rPr>
        <w:t>ассигнования</w:t>
      </w:r>
      <w:r w:rsidRPr="00BD0B0B">
        <w:rPr>
          <w:rFonts w:asciiTheme="majorHAnsi" w:hAnsiTheme="majorHAnsi" w:cstheme="majorHAnsi"/>
          <w:sz w:val="24"/>
          <w:szCs w:val="24"/>
          <w:lang w:val="ro-RO"/>
        </w:rPr>
        <w:t>. В</w:t>
      </w:r>
      <w:r w:rsidR="004948A4" w:rsidRPr="004948A4">
        <w:rPr>
          <w:rFonts w:asciiTheme="majorHAnsi" w:hAnsiTheme="majorHAnsi" w:cstheme="majorHAnsi"/>
          <w:sz w:val="24"/>
          <w:szCs w:val="24"/>
          <w:lang w:val="ro-RO"/>
        </w:rPr>
        <w:t>месте с тем</w:t>
      </w:r>
      <w:r w:rsidR="006D5B43" w:rsidRPr="006D5B43">
        <w:rPr>
          <w:rFonts w:asciiTheme="majorHAnsi" w:hAnsiTheme="majorHAnsi" w:cstheme="majorHAnsi"/>
          <w:sz w:val="24"/>
          <w:szCs w:val="24"/>
          <w:lang w:val="ro-RO"/>
        </w:rPr>
        <w:t>,</w:t>
      </w:r>
      <w:r w:rsidRPr="00BD0B0B">
        <w:rPr>
          <w:rFonts w:asciiTheme="majorHAnsi" w:hAnsiTheme="majorHAnsi" w:cstheme="majorHAnsi"/>
          <w:sz w:val="24"/>
          <w:szCs w:val="24"/>
          <w:lang w:val="ro-RO"/>
        </w:rPr>
        <w:t xml:space="preserve"> финансовые средства, не</w:t>
      </w:r>
      <w:r w:rsidR="006D5B43">
        <w:rPr>
          <w:rFonts w:asciiTheme="majorHAnsi" w:hAnsiTheme="majorHAnsi" w:cstheme="majorHAnsi"/>
          <w:sz w:val="24"/>
          <w:szCs w:val="24"/>
          <w:lang w:val="ru-RU"/>
        </w:rPr>
        <w:t xml:space="preserve"> </w:t>
      </w:r>
      <w:r w:rsidRPr="00BD0B0B">
        <w:rPr>
          <w:rFonts w:asciiTheme="majorHAnsi" w:hAnsiTheme="majorHAnsi" w:cstheme="majorHAnsi"/>
          <w:sz w:val="24"/>
          <w:szCs w:val="24"/>
          <w:lang w:val="ro-RO"/>
        </w:rPr>
        <w:t xml:space="preserve">использованные </w:t>
      </w:r>
      <w:r w:rsidR="006D5B43">
        <w:rPr>
          <w:rFonts w:asciiTheme="majorHAnsi" w:hAnsiTheme="majorHAnsi" w:cstheme="majorHAnsi"/>
          <w:sz w:val="24"/>
          <w:szCs w:val="24"/>
          <w:lang w:val="ru-RU"/>
        </w:rPr>
        <w:t>О</w:t>
      </w:r>
      <w:r w:rsidRPr="00BD0B0B">
        <w:rPr>
          <w:rFonts w:asciiTheme="majorHAnsi" w:hAnsiTheme="majorHAnsi" w:cstheme="majorHAnsi"/>
          <w:sz w:val="24"/>
          <w:szCs w:val="24"/>
          <w:lang w:val="ro-RO"/>
        </w:rPr>
        <w:t>фисом в течение текущего года (остаток на счете), пере</w:t>
      </w:r>
      <w:r w:rsidR="006D5B43">
        <w:rPr>
          <w:rFonts w:asciiTheme="majorHAnsi" w:hAnsiTheme="majorHAnsi" w:cstheme="majorHAnsi"/>
          <w:sz w:val="24"/>
          <w:szCs w:val="24"/>
          <w:lang w:val="ru-RU"/>
        </w:rPr>
        <w:t>водя</w:t>
      </w:r>
      <w:r w:rsidRPr="00BD0B0B">
        <w:rPr>
          <w:rFonts w:asciiTheme="majorHAnsi" w:hAnsiTheme="majorHAnsi" w:cstheme="majorHAnsi"/>
          <w:sz w:val="24"/>
          <w:szCs w:val="24"/>
          <w:lang w:val="ro-RO"/>
        </w:rPr>
        <w:t xml:space="preserve">тся </w:t>
      </w:r>
      <w:r w:rsidR="006D5B43">
        <w:rPr>
          <w:rFonts w:asciiTheme="majorHAnsi" w:hAnsiTheme="majorHAnsi" w:cstheme="majorHAnsi"/>
          <w:sz w:val="24"/>
          <w:szCs w:val="24"/>
          <w:lang w:val="ru-RU"/>
        </w:rPr>
        <w:t>для</w:t>
      </w:r>
      <w:r w:rsidRPr="00BD0B0B">
        <w:rPr>
          <w:rFonts w:asciiTheme="majorHAnsi" w:hAnsiTheme="majorHAnsi" w:cstheme="majorHAnsi"/>
          <w:sz w:val="24"/>
          <w:szCs w:val="24"/>
          <w:lang w:val="ro-RO"/>
        </w:rPr>
        <w:t xml:space="preserve"> использовани</w:t>
      </w:r>
      <w:r w:rsidR="006D5B43">
        <w:rPr>
          <w:rFonts w:asciiTheme="majorHAnsi" w:hAnsiTheme="majorHAnsi" w:cstheme="majorHAnsi"/>
          <w:sz w:val="24"/>
          <w:szCs w:val="24"/>
          <w:lang w:val="ru-RU"/>
        </w:rPr>
        <w:t>я</w:t>
      </w:r>
      <w:r w:rsidRPr="00BD0B0B">
        <w:rPr>
          <w:rFonts w:asciiTheme="majorHAnsi" w:hAnsiTheme="majorHAnsi" w:cstheme="majorHAnsi"/>
          <w:sz w:val="24"/>
          <w:szCs w:val="24"/>
          <w:lang w:val="ro-RO"/>
        </w:rPr>
        <w:t xml:space="preserve"> в следующем году, если Совет не решит перечислить часть доходов в </w:t>
      </w:r>
      <w:r w:rsidR="008F632D">
        <w:rPr>
          <w:rFonts w:asciiTheme="majorHAnsi" w:hAnsiTheme="majorHAnsi" w:cstheme="majorHAnsi"/>
          <w:sz w:val="24"/>
          <w:szCs w:val="24"/>
          <w:lang w:val="ro-RO"/>
        </w:rPr>
        <w:t>ГБ</w:t>
      </w:r>
      <w:r w:rsidR="00C3538A" w:rsidRPr="00F55BA6">
        <w:rPr>
          <w:rFonts w:asciiTheme="majorHAnsi" w:eastAsia="Times New Roman" w:hAnsiTheme="majorHAnsi" w:cstheme="majorHAnsi"/>
          <w:sz w:val="24"/>
          <w:szCs w:val="24"/>
          <w:lang w:val="ro-RO"/>
        </w:rPr>
        <w:t xml:space="preserve">. </w:t>
      </w:r>
      <w:r w:rsidRPr="00BD0B0B">
        <w:rPr>
          <w:rFonts w:asciiTheme="majorHAnsi" w:eastAsia="Times New Roman" w:hAnsiTheme="majorHAnsi" w:cstheme="majorHAnsi"/>
          <w:sz w:val="24"/>
          <w:szCs w:val="24"/>
          <w:lang w:val="ro-RO"/>
        </w:rPr>
        <w:t>Аудит</w:t>
      </w:r>
      <w:r w:rsidR="006D5B43" w:rsidRPr="006D5B43">
        <w:rPr>
          <w:rFonts w:asciiTheme="majorHAnsi" w:eastAsia="Times New Roman" w:hAnsiTheme="majorHAnsi" w:cstheme="majorHAnsi"/>
          <w:sz w:val="24"/>
          <w:szCs w:val="24"/>
          <w:lang w:val="ro-RO"/>
        </w:rPr>
        <w:t>ом установлено,</w:t>
      </w:r>
      <w:r w:rsidRPr="00BD0B0B">
        <w:rPr>
          <w:rFonts w:asciiTheme="majorHAnsi" w:eastAsia="Times New Roman" w:hAnsiTheme="majorHAnsi" w:cstheme="majorHAnsi"/>
          <w:sz w:val="24"/>
          <w:szCs w:val="24"/>
          <w:lang w:val="ro-RO"/>
        </w:rPr>
        <w:t xml:space="preserve"> что это положение создает не</w:t>
      </w:r>
      <w:r w:rsidR="006D5B43" w:rsidRPr="006D5B43">
        <w:rPr>
          <w:rFonts w:asciiTheme="majorHAnsi" w:eastAsia="Times New Roman" w:hAnsiTheme="majorHAnsi" w:cstheme="majorHAnsi"/>
          <w:sz w:val="24"/>
          <w:szCs w:val="24"/>
          <w:lang w:val="ro-RO"/>
        </w:rPr>
        <w:t>яс</w:t>
      </w:r>
      <w:r w:rsidRPr="00BD0B0B">
        <w:rPr>
          <w:rFonts w:asciiTheme="majorHAnsi" w:eastAsia="Times New Roman" w:hAnsiTheme="majorHAnsi" w:cstheme="majorHAnsi"/>
          <w:sz w:val="24"/>
          <w:szCs w:val="24"/>
          <w:lang w:val="ro-RO"/>
        </w:rPr>
        <w:t xml:space="preserve">ность, </w:t>
      </w:r>
      <w:r w:rsidR="006D5B43" w:rsidRPr="006D5B43">
        <w:rPr>
          <w:rFonts w:asciiTheme="majorHAnsi" w:eastAsia="Times New Roman" w:hAnsiTheme="majorHAnsi" w:cstheme="majorHAnsi"/>
          <w:sz w:val="24"/>
          <w:szCs w:val="24"/>
          <w:lang w:val="ro-RO"/>
        </w:rPr>
        <w:t xml:space="preserve">поскольку </w:t>
      </w:r>
      <w:r w:rsidRPr="00BD0B0B">
        <w:rPr>
          <w:rFonts w:asciiTheme="majorHAnsi" w:eastAsia="Times New Roman" w:hAnsiTheme="majorHAnsi" w:cstheme="majorHAnsi"/>
          <w:sz w:val="24"/>
          <w:szCs w:val="24"/>
          <w:lang w:val="ro-RO"/>
        </w:rPr>
        <w:t xml:space="preserve">не </w:t>
      </w:r>
      <w:r w:rsidR="006D5B43" w:rsidRPr="006D5B43">
        <w:rPr>
          <w:rFonts w:asciiTheme="majorHAnsi" w:eastAsia="Times New Roman" w:hAnsiTheme="majorHAnsi" w:cstheme="majorHAnsi"/>
          <w:sz w:val="24"/>
          <w:szCs w:val="24"/>
          <w:lang w:val="ro-RO"/>
        </w:rPr>
        <w:t>определено</w:t>
      </w:r>
      <w:r w:rsidRPr="00BD0B0B">
        <w:rPr>
          <w:rFonts w:asciiTheme="majorHAnsi" w:eastAsia="Times New Roman" w:hAnsiTheme="majorHAnsi" w:cstheme="majorHAnsi"/>
          <w:sz w:val="24"/>
          <w:szCs w:val="24"/>
          <w:lang w:val="ro-RO"/>
        </w:rPr>
        <w:t xml:space="preserve">, </w:t>
      </w:r>
      <w:r w:rsidR="006D5B43" w:rsidRPr="006D5B43">
        <w:rPr>
          <w:rFonts w:asciiTheme="majorHAnsi" w:eastAsia="Times New Roman" w:hAnsiTheme="majorHAnsi" w:cstheme="majorHAnsi"/>
          <w:sz w:val="24"/>
          <w:szCs w:val="24"/>
          <w:lang w:val="ro-RO"/>
        </w:rPr>
        <w:t>какая</w:t>
      </w:r>
      <w:r w:rsidRPr="00BD0B0B">
        <w:rPr>
          <w:rFonts w:asciiTheme="majorHAnsi" w:eastAsia="Times New Roman" w:hAnsiTheme="majorHAnsi" w:cstheme="majorHAnsi"/>
          <w:sz w:val="24"/>
          <w:szCs w:val="24"/>
          <w:lang w:val="ro-RO"/>
        </w:rPr>
        <w:t xml:space="preserve"> част</w:t>
      </w:r>
      <w:r w:rsidR="006D5B43" w:rsidRPr="006D5B43">
        <w:rPr>
          <w:rFonts w:asciiTheme="majorHAnsi" w:eastAsia="Times New Roman" w:hAnsiTheme="majorHAnsi" w:cstheme="majorHAnsi"/>
          <w:sz w:val="24"/>
          <w:szCs w:val="24"/>
          <w:lang w:val="ro-RO"/>
        </w:rPr>
        <w:t>ь</w:t>
      </w:r>
      <w:r w:rsidRPr="00BD0B0B">
        <w:rPr>
          <w:rFonts w:asciiTheme="majorHAnsi" w:eastAsia="Times New Roman" w:hAnsiTheme="majorHAnsi" w:cstheme="majorHAnsi"/>
          <w:sz w:val="24"/>
          <w:szCs w:val="24"/>
          <w:lang w:val="ro-RO"/>
        </w:rPr>
        <w:t xml:space="preserve"> доходов должн</w:t>
      </w:r>
      <w:r w:rsidR="006D5B43" w:rsidRPr="006D5B43">
        <w:rPr>
          <w:rFonts w:asciiTheme="majorHAnsi" w:eastAsia="Times New Roman" w:hAnsiTheme="majorHAnsi" w:cstheme="majorHAnsi"/>
          <w:sz w:val="24"/>
          <w:szCs w:val="24"/>
          <w:lang w:val="ro-RO"/>
        </w:rPr>
        <w:t>а</w:t>
      </w:r>
      <w:r w:rsidRPr="00BD0B0B">
        <w:rPr>
          <w:rFonts w:asciiTheme="majorHAnsi" w:eastAsia="Times New Roman" w:hAnsiTheme="majorHAnsi" w:cstheme="majorHAnsi"/>
          <w:sz w:val="24"/>
          <w:szCs w:val="24"/>
          <w:lang w:val="ro-RO"/>
        </w:rPr>
        <w:t xml:space="preserve"> быть пере</w:t>
      </w:r>
      <w:r w:rsidR="006D5B43" w:rsidRPr="006D5B43">
        <w:rPr>
          <w:rFonts w:asciiTheme="majorHAnsi" w:eastAsia="Times New Roman" w:hAnsiTheme="majorHAnsi" w:cstheme="majorHAnsi"/>
          <w:sz w:val="24"/>
          <w:szCs w:val="24"/>
          <w:lang w:val="ro-RO"/>
        </w:rPr>
        <w:t>числе</w:t>
      </w:r>
      <w:r w:rsidRPr="00BD0B0B">
        <w:rPr>
          <w:rFonts w:asciiTheme="majorHAnsi" w:eastAsia="Times New Roman" w:hAnsiTheme="majorHAnsi" w:cstheme="majorHAnsi"/>
          <w:sz w:val="24"/>
          <w:szCs w:val="24"/>
          <w:lang w:val="ro-RO"/>
        </w:rPr>
        <w:t>н</w:t>
      </w:r>
      <w:r w:rsidR="006D5B43" w:rsidRPr="006D5B43">
        <w:rPr>
          <w:rFonts w:asciiTheme="majorHAnsi" w:eastAsia="Times New Roman" w:hAnsiTheme="majorHAnsi" w:cstheme="majorHAnsi"/>
          <w:sz w:val="24"/>
          <w:szCs w:val="24"/>
          <w:lang w:val="ro-RO"/>
        </w:rPr>
        <w:t>а</w:t>
      </w:r>
      <w:r w:rsidRPr="00BD0B0B">
        <w:rPr>
          <w:rFonts w:asciiTheme="majorHAnsi" w:eastAsia="Times New Roman" w:hAnsiTheme="majorHAnsi" w:cstheme="majorHAnsi"/>
          <w:sz w:val="24"/>
          <w:szCs w:val="24"/>
          <w:lang w:val="ro-RO"/>
        </w:rPr>
        <w:t xml:space="preserve"> </w:t>
      </w:r>
      <w:r w:rsidR="006D5B43" w:rsidRPr="006D5B43">
        <w:rPr>
          <w:rFonts w:asciiTheme="majorHAnsi" w:eastAsia="Times New Roman" w:hAnsiTheme="majorHAnsi" w:cstheme="majorHAnsi"/>
          <w:sz w:val="24"/>
          <w:szCs w:val="24"/>
          <w:lang w:val="ro-RO"/>
        </w:rPr>
        <w:t>в</w:t>
      </w:r>
      <w:r w:rsidRPr="00BD0B0B">
        <w:rPr>
          <w:rFonts w:asciiTheme="majorHAnsi" w:eastAsia="Times New Roman" w:hAnsiTheme="majorHAnsi" w:cstheme="majorHAnsi"/>
          <w:sz w:val="24"/>
          <w:szCs w:val="24"/>
          <w:lang w:val="ro-RO"/>
        </w:rPr>
        <w:t xml:space="preserve"> </w:t>
      </w:r>
      <w:r w:rsidR="008F632D">
        <w:rPr>
          <w:rFonts w:asciiTheme="majorHAnsi" w:eastAsia="Times New Roman" w:hAnsiTheme="majorHAnsi" w:cstheme="majorHAnsi"/>
          <w:sz w:val="24"/>
          <w:szCs w:val="24"/>
          <w:lang w:val="ro-RO"/>
        </w:rPr>
        <w:t>ГБ</w:t>
      </w:r>
      <w:r w:rsidRPr="00BD0B0B">
        <w:rPr>
          <w:rFonts w:asciiTheme="majorHAnsi" w:eastAsia="Times New Roman" w:hAnsiTheme="majorHAnsi" w:cstheme="majorHAnsi"/>
          <w:sz w:val="24"/>
          <w:szCs w:val="24"/>
          <w:lang w:val="ro-RO"/>
        </w:rPr>
        <w:t xml:space="preserve">, </w:t>
      </w:r>
      <w:r w:rsidR="006D5B43" w:rsidRPr="006D5B43">
        <w:rPr>
          <w:rFonts w:asciiTheme="majorHAnsi" w:eastAsia="Times New Roman" w:hAnsiTheme="majorHAnsi" w:cstheme="majorHAnsi"/>
          <w:sz w:val="24"/>
          <w:szCs w:val="24"/>
          <w:lang w:val="ro-RO"/>
        </w:rPr>
        <w:t>учитывая</w:t>
      </w:r>
      <w:r w:rsidRPr="00BD0B0B">
        <w:rPr>
          <w:rFonts w:asciiTheme="majorHAnsi" w:eastAsia="Times New Roman" w:hAnsiTheme="majorHAnsi" w:cstheme="majorHAnsi"/>
          <w:sz w:val="24"/>
          <w:szCs w:val="24"/>
          <w:lang w:val="ro-RO"/>
        </w:rPr>
        <w:t xml:space="preserve"> что </w:t>
      </w:r>
      <w:r w:rsidR="006D5B43" w:rsidRPr="006D5B43">
        <w:rPr>
          <w:rFonts w:asciiTheme="majorHAnsi" w:eastAsia="Times New Roman" w:hAnsiTheme="majorHAnsi" w:cstheme="majorHAnsi"/>
          <w:sz w:val="24"/>
          <w:szCs w:val="24"/>
          <w:lang w:val="ro-RO"/>
        </w:rPr>
        <w:t>ст</w:t>
      </w:r>
      <w:r w:rsidRPr="00BD0B0B">
        <w:rPr>
          <w:rFonts w:asciiTheme="majorHAnsi" w:eastAsia="Times New Roman" w:hAnsiTheme="majorHAnsi" w:cstheme="majorHAnsi"/>
          <w:sz w:val="24"/>
          <w:szCs w:val="24"/>
          <w:lang w:val="ro-RO"/>
        </w:rPr>
        <w:t xml:space="preserve">.44 Закона </w:t>
      </w:r>
      <w:r w:rsidR="006D5B43" w:rsidRPr="006D5B43">
        <w:rPr>
          <w:rFonts w:asciiTheme="majorHAnsi" w:eastAsia="Times New Roman" w:hAnsiTheme="majorHAnsi" w:cstheme="majorHAnsi"/>
          <w:sz w:val="24"/>
          <w:szCs w:val="24"/>
          <w:lang w:val="ro-RO"/>
        </w:rPr>
        <w:t>о</w:t>
      </w:r>
      <w:r w:rsidRPr="00BD0B0B">
        <w:rPr>
          <w:rFonts w:asciiTheme="majorHAnsi" w:eastAsia="Times New Roman" w:hAnsiTheme="majorHAnsi" w:cstheme="majorHAnsi"/>
          <w:sz w:val="24"/>
          <w:szCs w:val="24"/>
          <w:lang w:val="ro-RO"/>
        </w:rPr>
        <w:t xml:space="preserve"> публичных финансах и бюдже</w:t>
      </w:r>
      <w:r w:rsidR="006D5B43">
        <w:rPr>
          <w:rFonts w:asciiTheme="majorHAnsi" w:eastAsia="Times New Roman" w:hAnsiTheme="majorHAnsi" w:cstheme="majorHAnsi"/>
          <w:sz w:val="24"/>
          <w:szCs w:val="24"/>
          <w:lang w:val="ro-RO"/>
        </w:rPr>
        <w:t>тно-налоговой ответственности №</w:t>
      </w:r>
      <w:r w:rsidRPr="00BD0B0B">
        <w:rPr>
          <w:rFonts w:asciiTheme="majorHAnsi" w:eastAsia="Times New Roman" w:hAnsiTheme="majorHAnsi" w:cstheme="majorHAnsi"/>
          <w:sz w:val="24"/>
          <w:szCs w:val="24"/>
          <w:lang w:val="ro-RO"/>
        </w:rPr>
        <w:t xml:space="preserve">181/2014 предусматривает, что </w:t>
      </w:r>
      <w:r w:rsidR="006D5B43">
        <w:rPr>
          <w:rFonts w:asciiTheme="majorHAnsi" w:eastAsia="Times New Roman" w:hAnsiTheme="majorHAnsi" w:cstheme="majorHAnsi"/>
          <w:iCs/>
          <w:sz w:val="24"/>
          <w:szCs w:val="24"/>
          <w:lang w:val="ro-RO" w:bidi="ro-RO"/>
        </w:rPr>
        <w:t>„</w:t>
      </w:r>
      <w:r w:rsidRPr="00BD0B0B">
        <w:rPr>
          <w:rFonts w:asciiTheme="majorHAnsi" w:eastAsia="Times New Roman" w:hAnsiTheme="majorHAnsi" w:cstheme="majorHAnsi"/>
          <w:sz w:val="24"/>
          <w:szCs w:val="24"/>
          <w:lang w:val="ro-RO"/>
        </w:rPr>
        <w:t>неиспользованные денежные средства до даты окончания бюджетного года доступны для использования в тех же целях в следующем бюджетном году”</w:t>
      </w:r>
      <w:r w:rsidR="00C3538A" w:rsidRPr="00F55BA6">
        <w:rPr>
          <w:rFonts w:asciiTheme="majorHAnsi" w:eastAsia="Times New Roman" w:hAnsiTheme="majorHAnsi" w:cstheme="majorHAnsi"/>
          <w:iCs/>
          <w:sz w:val="24"/>
          <w:szCs w:val="24"/>
          <w:lang w:val="ro-RO" w:bidi="ro-RO"/>
        </w:rPr>
        <w:t>.</w:t>
      </w:r>
    </w:p>
    <w:p w:rsidR="00C3538A" w:rsidRPr="00F55BA6" w:rsidRDefault="00BD0B0B" w:rsidP="00C3538A">
      <w:pPr>
        <w:tabs>
          <w:tab w:val="left" w:pos="0"/>
          <w:tab w:val="left" w:pos="142"/>
          <w:tab w:val="left" w:pos="851"/>
        </w:tabs>
        <w:spacing w:after="0" w:line="276" w:lineRule="auto"/>
        <w:contextualSpacing/>
        <w:rPr>
          <w:rFonts w:asciiTheme="majorHAnsi" w:hAnsiTheme="majorHAnsi" w:cstheme="majorHAnsi"/>
          <w:sz w:val="24"/>
          <w:szCs w:val="24"/>
          <w:lang w:val="ro-RO"/>
        </w:rPr>
      </w:pPr>
      <w:r w:rsidRPr="00BD0B0B">
        <w:rPr>
          <w:rFonts w:asciiTheme="majorHAnsi" w:hAnsiTheme="majorHAnsi" w:cstheme="majorHAnsi"/>
          <w:sz w:val="24"/>
          <w:szCs w:val="24"/>
          <w:lang w:val="ro-RO"/>
        </w:rPr>
        <w:t xml:space="preserve">В течение 2020 года </w:t>
      </w:r>
      <w:r w:rsidR="006D5B43">
        <w:rPr>
          <w:rFonts w:asciiTheme="majorHAnsi" w:hAnsiTheme="majorHAnsi" w:cstheme="majorHAnsi"/>
          <w:sz w:val="24"/>
          <w:szCs w:val="24"/>
          <w:lang w:val="ru-RU"/>
        </w:rPr>
        <w:t>ПУ</w:t>
      </w:r>
      <w:r w:rsidRPr="00BD0B0B">
        <w:rPr>
          <w:rFonts w:asciiTheme="majorHAnsi" w:hAnsiTheme="majorHAnsi" w:cstheme="majorHAnsi"/>
          <w:sz w:val="24"/>
          <w:szCs w:val="24"/>
          <w:lang w:val="ro-RO"/>
        </w:rPr>
        <w:t xml:space="preserve"> </w:t>
      </w:r>
      <w:r w:rsidR="006D5B43">
        <w:rPr>
          <w:rFonts w:asciiTheme="majorHAnsi" w:eastAsia="Times New Roman" w:hAnsiTheme="majorHAnsi" w:cstheme="majorHAnsi"/>
          <w:iCs/>
          <w:sz w:val="24"/>
          <w:szCs w:val="24"/>
          <w:lang w:val="ro-RO" w:bidi="ro-RO"/>
        </w:rPr>
        <w:t>„</w:t>
      </w:r>
      <w:r w:rsidR="006D5B43">
        <w:rPr>
          <w:rFonts w:asciiTheme="majorHAnsi" w:hAnsiTheme="majorHAnsi" w:cstheme="majorHAnsi"/>
          <w:sz w:val="24"/>
          <w:szCs w:val="24"/>
          <w:lang w:val="ru-RU"/>
        </w:rPr>
        <w:t>Офис</w:t>
      </w:r>
      <w:r w:rsidRPr="00BD0B0B">
        <w:rPr>
          <w:rFonts w:asciiTheme="majorHAnsi" w:hAnsiTheme="majorHAnsi" w:cstheme="majorHAnsi"/>
          <w:sz w:val="24"/>
          <w:szCs w:val="24"/>
          <w:lang w:val="ro-RO"/>
        </w:rPr>
        <w:t xml:space="preserve"> управлени</w:t>
      </w:r>
      <w:r w:rsidR="006D5B43">
        <w:rPr>
          <w:rFonts w:asciiTheme="majorHAnsi" w:hAnsiTheme="majorHAnsi" w:cstheme="majorHAnsi"/>
          <w:sz w:val="24"/>
          <w:szCs w:val="24"/>
          <w:lang w:val="ru-RU"/>
        </w:rPr>
        <w:t>я</w:t>
      </w:r>
      <w:r w:rsidRPr="00BD0B0B">
        <w:rPr>
          <w:rFonts w:asciiTheme="majorHAnsi" w:hAnsiTheme="majorHAnsi" w:cstheme="majorHAnsi"/>
          <w:sz w:val="24"/>
          <w:szCs w:val="24"/>
          <w:lang w:val="ro-RO"/>
        </w:rPr>
        <w:t xml:space="preserve"> программами внешней помощи</w:t>
      </w:r>
      <w:r w:rsidR="006D5B43" w:rsidRPr="00BD0B0B">
        <w:rPr>
          <w:rFonts w:asciiTheme="majorHAnsi" w:eastAsia="Times New Roman" w:hAnsiTheme="majorHAnsi" w:cstheme="majorHAnsi"/>
          <w:sz w:val="24"/>
          <w:szCs w:val="24"/>
          <w:lang w:val="ro-RO"/>
        </w:rPr>
        <w:t>”</w:t>
      </w:r>
      <w:r w:rsidRPr="00BD0B0B">
        <w:rPr>
          <w:rFonts w:asciiTheme="majorHAnsi" w:hAnsiTheme="majorHAnsi" w:cstheme="majorHAnsi"/>
          <w:sz w:val="24"/>
          <w:szCs w:val="24"/>
          <w:lang w:val="ro-RO"/>
        </w:rPr>
        <w:t xml:space="preserve"> перечислило остатки финансовых средств с банковских счетов, открытых </w:t>
      </w:r>
      <w:r w:rsidR="006D5B43">
        <w:rPr>
          <w:rFonts w:asciiTheme="majorHAnsi" w:hAnsiTheme="majorHAnsi" w:cstheme="majorHAnsi"/>
          <w:sz w:val="24"/>
          <w:szCs w:val="24"/>
          <w:lang w:val="ru-RU"/>
        </w:rPr>
        <w:t xml:space="preserve">у </w:t>
      </w:r>
      <w:r w:rsidRPr="00BD0B0B">
        <w:rPr>
          <w:rFonts w:asciiTheme="majorHAnsi" w:hAnsiTheme="majorHAnsi" w:cstheme="majorHAnsi"/>
          <w:sz w:val="24"/>
          <w:szCs w:val="24"/>
          <w:lang w:val="ro-RO"/>
        </w:rPr>
        <w:t>поставщик</w:t>
      </w:r>
      <w:r w:rsidR="006D5B43">
        <w:rPr>
          <w:rFonts w:asciiTheme="majorHAnsi" w:hAnsiTheme="majorHAnsi" w:cstheme="majorHAnsi"/>
          <w:sz w:val="24"/>
          <w:szCs w:val="24"/>
          <w:lang w:val="ru-RU"/>
        </w:rPr>
        <w:t>ов</w:t>
      </w:r>
      <w:r w:rsidRPr="00BD0B0B">
        <w:rPr>
          <w:rFonts w:asciiTheme="majorHAnsi" w:hAnsiTheme="majorHAnsi" w:cstheme="majorHAnsi"/>
          <w:sz w:val="24"/>
          <w:szCs w:val="24"/>
          <w:lang w:val="ro-RO"/>
        </w:rPr>
        <w:t xml:space="preserve"> платежных услуг, на счета, открытые в </w:t>
      </w:r>
      <w:r w:rsidR="006D5B43">
        <w:rPr>
          <w:rFonts w:asciiTheme="majorHAnsi" w:hAnsiTheme="majorHAnsi" w:cstheme="majorHAnsi"/>
          <w:sz w:val="24"/>
          <w:szCs w:val="24"/>
          <w:lang w:val="ru-RU"/>
        </w:rPr>
        <w:t>ЕКС</w:t>
      </w:r>
      <w:r w:rsidRPr="00BD0B0B">
        <w:rPr>
          <w:rFonts w:asciiTheme="majorHAnsi" w:hAnsiTheme="majorHAnsi" w:cstheme="majorHAnsi"/>
          <w:sz w:val="24"/>
          <w:szCs w:val="24"/>
          <w:lang w:val="ro-RO"/>
        </w:rPr>
        <w:t xml:space="preserve"> МФ, на общую сумму 2 024,6 млн. </w:t>
      </w:r>
      <w:r w:rsidR="006D5B43">
        <w:rPr>
          <w:rFonts w:asciiTheme="majorHAnsi" w:hAnsiTheme="majorHAnsi" w:cstheme="majorHAnsi"/>
          <w:sz w:val="24"/>
          <w:szCs w:val="24"/>
          <w:lang w:val="ru-RU"/>
        </w:rPr>
        <w:t>л</w:t>
      </w:r>
      <w:r w:rsidR="0025764C">
        <w:rPr>
          <w:rFonts w:asciiTheme="majorHAnsi" w:hAnsiTheme="majorHAnsi" w:cstheme="majorHAnsi"/>
          <w:sz w:val="24"/>
          <w:szCs w:val="24"/>
          <w:lang w:val="ro-RO"/>
        </w:rPr>
        <w:t>еев</w:t>
      </w:r>
      <w:r w:rsidRPr="00BD0B0B">
        <w:rPr>
          <w:rFonts w:asciiTheme="majorHAnsi" w:hAnsiTheme="majorHAnsi" w:cstheme="majorHAnsi"/>
          <w:sz w:val="24"/>
          <w:szCs w:val="24"/>
          <w:lang w:val="ro-RO"/>
        </w:rPr>
        <w:t xml:space="preserve">. </w:t>
      </w:r>
      <w:r w:rsidR="006D5B43">
        <w:rPr>
          <w:rFonts w:asciiTheme="majorHAnsi" w:hAnsiTheme="majorHAnsi" w:cstheme="majorHAnsi"/>
          <w:sz w:val="24"/>
          <w:szCs w:val="24"/>
          <w:lang w:val="ru-RU"/>
        </w:rPr>
        <w:t>Одновременно</w:t>
      </w:r>
      <w:r w:rsidRPr="00BD0B0B">
        <w:rPr>
          <w:rFonts w:asciiTheme="majorHAnsi" w:hAnsiTheme="majorHAnsi" w:cstheme="majorHAnsi"/>
          <w:sz w:val="24"/>
          <w:szCs w:val="24"/>
          <w:lang w:val="ro-RO"/>
        </w:rPr>
        <w:t xml:space="preserve"> отмечается, что </w:t>
      </w:r>
      <w:r w:rsidR="006D5B43" w:rsidRPr="006D5B43">
        <w:rPr>
          <w:rFonts w:asciiTheme="majorHAnsi" w:hAnsiTheme="majorHAnsi" w:cstheme="majorHAnsi"/>
          <w:sz w:val="24"/>
          <w:szCs w:val="24"/>
          <w:lang w:val="ro-RO"/>
        </w:rPr>
        <w:t>ПУ</w:t>
      </w:r>
      <w:r w:rsidRPr="00BD0B0B">
        <w:rPr>
          <w:rFonts w:asciiTheme="majorHAnsi" w:hAnsiTheme="majorHAnsi" w:cstheme="majorHAnsi"/>
          <w:sz w:val="24"/>
          <w:szCs w:val="24"/>
          <w:lang w:val="ro-RO"/>
        </w:rPr>
        <w:t xml:space="preserve"> </w:t>
      </w:r>
      <w:r w:rsidR="006D5B43">
        <w:rPr>
          <w:rFonts w:asciiTheme="majorHAnsi" w:hAnsiTheme="majorHAnsi" w:cstheme="majorHAnsi"/>
          <w:sz w:val="24"/>
          <w:szCs w:val="24"/>
          <w:lang w:val="ru-RU"/>
        </w:rPr>
        <w:t>име</w:t>
      </w:r>
      <w:r w:rsidRPr="00BD0B0B">
        <w:rPr>
          <w:rFonts w:asciiTheme="majorHAnsi" w:hAnsiTheme="majorHAnsi" w:cstheme="majorHAnsi"/>
          <w:sz w:val="24"/>
          <w:szCs w:val="24"/>
          <w:lang w:val="ro-RO"/>
        </w:rPr>
        <w:t xml:space="preserve">ет другие </w:t>
      </w:r>
      <w:r w:rsidR="008E6894">
        <w:rPr>
          <w:rFonts w:asciiTheme="majorHAnsi" w:hAnsiTheme="majorHAnsi" w:cstheme="majorHAnsi"/>
          <w:sz w:val="24"/>
          <w:szCs w:val="24"/>
          <w:lang w:val="ru-RU"/>
        </w:rPr>
        <w:t xml:space="preserve">срочные </w:t>
      </w:r>
      <w:r w:rsidRPr="00BD0B0B">
        <w:rPr>
          <w:rFonts w:asciiTheme="majorHAnsi" w:hAnsiTheme="majorHAnsi" w:cstheme="majorHAnsi"/>
          <w:sz w:val="24"/>
          <w:szCs w:val="24"/>
          <w:lang w:val="ro-RO"/>
        </w:rPr>
        <w:t>банковские депозиты</w:t>
      </w:r>
      <w:r w:rsidR="008E6894">
        <w:rPr>
          <w:rFonts w:asciiTheme="majorHAnsi" w:hAnsiTheme="majorHAnsi" w:cstheme="majorHAnsi"/>
          <w:sz w:val="24"/>
          <w:szCs w:val="24"/>
          <w:lang w:val="ru-RU"/>
        </w:rPr>
        <w:t>, существующие</w:t>
      </w:r>
      <w:r w:rsidRPr="00BD0B0B">
        <w:rPr>
          <w:rFonts w:asciiTheme="majorHAnsi" w:hAnsiTheme="majorHAnsi" w:cstheme="majorHAnsi"/>
          <w:sz w:val="24"/>
          <w:szCs w:val="24"/>
          <w:lang w:val="ro-RO"/>
        </w:rPr>
        <w:t xml:space="preserve"> до полного исполнения договорных обязательств по депозитам на общую сумму 73,7 млн. леев, которые также должны быть пере</w:t>
      </w:r>
      <w:r w:rsidR="008E6894">
        <w:rPr>
          <w:rFonts w:asciiTheme="majorHAnsi" w:hAnsiTheme="majorHAnsi" w:cstheme="majorHAnsi"/>
          <w:sz w:val="24"/>
          <w:szCs w:val="24"/>
          <w:lang w:val="ru-RU"/>
        </w:rPr>
        <w:t>числ</w:t>
      </w:r>
      <w:r w:rsidRPr="00BD0B0B">
        <w:rPr>
          <w:rFonts w:asciiTheme="majorHAnsi" w:hAnsiTheme="majorHAnsi" w:cstheme="majorHAnsi"/>
          <w:sz w:val="24"/>
          <w:szCs w:val="24"/>
          <w:lang w:val="ro-RO"/>
        </w:rPr>
        <w:t xml:space="preserve">ены </w:t>
      </w:r>
      <w:r w:rsidR="008E6894">
        <w:rPr>
          <w:rFonts w:asciiTheme="majorHAnsi" w:hAnsiTheme="majorHAnsi" w:cstheme="majorHAnsi"/>
          <w:sz w:val="24"/>
          <w:szCs w:val="24"/>
          <w:lang w:val="ru-RU"/>
        </w:rPr>
        <w:t>на ЕКС</w:t>
      </w:r>
      <w:r w:rsidR="009131CF">
        <w:rPr>
          <w:rFonts w:asciiTheme="majorHAnsi" w:hAnsiTheme="majorHAnsi" w:cstheme="majorHAnsi"/>
          <w:sz w:val="24"/>
          <w:szCs w:val="24"/>
          <w:lang w:val="ro-RO"/>
        </w:rPr>
        <w:t>;</w:t>
      </w:r>
    </w:p>
    <w:p w:rsidR="00F40DB3" w:rsidRPr="00F55BA6" w:rsidRDefault="00BD0B0B" w:rsidP="008E6894">
      <w:pPr>
        <w:tabs>
          <w:tab w:val="left" w:pos="0"/>
          <w:tab w:val="left" w:pos="142"/>
          <w:tab w:val="left" w:pos="851"/>
        </w:tabs>
        <w:spacing w:after="0" w:line="276" w:lineRule="auto"/>
        <w:contextualSpacing/>
        <w:rPr>
          <w:rFonts w:asciiTheme="majorHAnsi" w:hAnsiTheme="majorHAnsi" w:cstheme="majorHAnsi"/>
          <w:i/>
          <w:sz w:val="24"/>
          <w:szCs w:val="24"/>
          <w:lang w:val="ro-RO"/>
        </w:rPr>
      </w:pPr>
      <w:r w:rsidRPr="00BD0B0B">
        <w:rPr>
          <w:rFonts w:asciiTheme="majorHAnsi" w:eastAsia="Times New Roman" w:hAnsiTheme="majorHAnsi" w:cstheme="majorHAnsi"/>
          <w:iCs/>
          <w:sz w:val="24"/>
          <w:szCs w:val="24"/>
          <w:lang w:val="ro-RO"/>
        </w:rPr>
        <w:lastRenderedPageBreak/>
        <w:t xml:space="preserve">- остатки денежных средств, по состоянию на 31.12.2020, составили 4 132,9 млн. </w:t>
      </w:r>
      <w:r w:rsidR="008E6894">
        <w:rPr>
          <w:rFonts w:asciiTheme="majorHAnsi" w:eastAsia="Times New Roman" w:hAnsiTheme="majorHAnsi" w:cstheme="majorHAnsi"/>
          <w:iCs/>
          <w:sz w:val="24"/>
          <w:szCs w:val="24"/>
          <w:lang w:val="ru-RU"/>
        </w:rPr>
        <w:t>л</w:t>
      </w:r>
      <w:r w:rsidR="008E6894">
        <w:rPr>
          <w:rFonts w:asciiTheme="majorHAnsi" w:eastAsia="Times New Roman" w:hAnsiTheme="majorHAnsi" w:cstheme="majorHAnsi"/>
          <w:iCs/>
          <w:sz w:val="24"/>
          <w:szCs w:val="24"/>
          <w:lang w:val="ro-RO"/>
        </w:rPr>
        <w:t>еев</w:t>
      </w:r>
      <w:r w:rsidRPr="00BD0B0B">
        <w:rPr>
          <w:rFonts w:asciiTheme="majorHAnsi" w:eastAsia="Times New Roman" w:hAnsiTheme="majorHAnsi" w:cstheme="majorHAnsi"/>
          <w:iCs/>
          <w:sz w:val="24"/>
          <w:szCs w:val="24"/>
          <w:lang w:val="ro-RO"/>
        </w:rPr>
        <w:t xml:space="preserve">, из которых остатки </w:t>
      </w:r>
      <w:r w:rsidR="00433778">
        <w:rPr>
          <w:rFonts w:asciiTheme="majorHAnsi" w:eastAsia="Times New Roman" w:hAnsiTheme="majorHAnsi" w:cstheme="majorHAnsi"/>
          <w:iCs/>
          <w:sz w:val="24"/>
          <w:szCs w:val="24"/>
          <w:lang w:val="ru-RU"/>
        </w:rPr>
        <w:t>по</w:t>
      </w:r>
      <w:r w:rsidRPr="00BD0B0B">
        <w:rPr>
          <w:rFonts w:asciiTheme="majorHAnsi" w:eastAsia="Times New Roman" w:hAnsiTheme="majorHAnsi" w:cstheme="majorHAnsi"/>
          <w:iCs/>
          <w:sz w:val="24"/>
          <w:szCs w:val="24"/>
          <w:lang w:val="ro-RO"/>
        </w:rPr>
        <w:t xml:space="preserve"> </w:t>
      </w:r>
      <w:r w:rsidR="00433778">
        <w:rPr>
          <w:rFonts w:asciiTheme="majorHAnsi" w:eastAsia="Times New Roman" w:hAnsiTheme="majorHAnsi" w:cstheme="majorHAnsi"/>
          <w:iCs/>
          <w:sz w:val="24"/>
          <w:szCs w:val="24"/>
          <w:lang w:val="ru-RU"/>
        </w:rPr>
        <w:t>основному компоненту</w:t>
      </w:r>
      <w:r w:rsidR="008E6894">
        <w:rPr>
          <w:rFonts w:asciiTheme="majorHAnsi" w:eastAsia="Times New Roman" w:hAnsiTheme="majorHAnsi" w:cstheme="majorHAnsi"/>
          <w:iCs/>
          <w:sz w:val="24"/>
          <w:szCs w:val="24"/>
          <w:lang w:val="ru-RU"/>
        </w:rPr>
        <w:t xml:space="preserve"> </w:t>
      </w:r>
      <w:r w:rsidRPr="00BD0B0B">
        <w:rPr>
          <w:rFonts w:asciiTheme="majorHAnsi" w:eastAsia="Times New Roman" w:hAnsiTheme="majorHAnsi" w:cstheme="majorHAnsi"/>
          <w:iCs/>
          <w:sz w:val="24"/>
          <w:szCs w:val="24"/>
          <w:lang w:val="ro-RO"/>
        </w:rPr>
        <w:t>-</w:t>
      </w:r>
      <w:r w:rsidR="008E6894">
        <w:rPr>
          <w:rFonts w:asciiTheme="majorHAnsi" w:eastAsia="Times New Roman" w:hAnsiTheme="majorHAnsi" w:cstheme="majorHAnsi"/>
          <w:iCs/>
          <w:sz w:val="24"/>
          <w:szCs w:val="24"/>
          <w:lang w:val="ru-RU"/>
        </w:rPr>
        <w:t xml:space="preserve"> </w:t>
      </w:r>
      <w:r w:rsidRPr="00BD0B0B">
        <w:rPr>
          <w:rFonts w:asciiTheme="majorHAnsi" w:eastAsia="Times New Roman" w:hAnsiTheme="majorHAnsi" w:cstheme="majorHAnsi"/>
          <w:iCs/>
          <w:sz w:val="24"/>
          <w:szCs w:val="24"/>
          <w:lang w:val="ro-RO"/>
        </w:rPr>
        <w:t xml:space="preserve">2 557,4 млн. леев, </w:t>
      </w:r>
      <w:r w:rsidR="00433778">
        <w:rPr>
          <w:rFonts w:asciiTheme="majorHAnsi" w:eastAsia="Times New Roman" w:hAnsiTheme="majorHAnsi" w:cstheme="majorHAnsi"/>
          <w:iCs/>
          <w:sz w:val="24"/>
          <w:szCs w:val="24"/>
          <w:lang w:val="ru-RU"/>
        </w:rPr>
        <w:t>и</w:t>
      </w:r>
      <w:r w:rsidRPr="00BD0B0B">
        <w:rPr>
          <w:rFonts w:asciiTheme="majorHAnsi" w:eastAsia="Times New Roman" w:hAnsiTheme="majorHAnsi" w:cstheme="majorHAnsi"/>
          <w:iCs/>
          <w:sz w:val="24"/>
          <w:szCs w:val="24"/>
          <w:lang w:val="ro-RO"/>
        </w:rPr>
        <w:t xml:space="preserve"> остатки </w:t>
      </w:r>
      <w:r w:rsidR="00433778">
        <w:rPr>
          <w:rFonts w:asciiTheme="majorHAnsi" w:eastAsia="Times New Roman" w:hAnsiTheme="majorHAnsi" w:cstheme="majorHAnsi"/>
          <w:iCs/>
          <w:sz w:val="24"/>
          <w:szCs w:val="24"/>
          <w:lang w:val="ru-RU"/>
        </w:rPr>
        <w:t xml:space="preserve">по </w:t>
      </w:r>
      <w:r w:rsidRPr="00BD0B0B">
        <w:rPr>
          <w:rFonts w:asciiTheme="majorHAnsi" w:eastAsia="Times New Roman" w:hAnsiTheme="majorHAnsi" w:cstheme="majorHAnsi"/>
          <w:iCs/>
          <w:sz w:val="24"/>
          <w:szCs w:val="24"/>
          <w:lang w:val="ro-RO"/>
        </w:rPr>
        <w:t>проект</w:t>
      </w:r>
      <w:r w:rsidR="00433778">
        <w:rPr>
          <w:rFonts w:asciiTheme="majorHAnsi" w:eastAsia="Times New Roman" w:hAnsiTheme="majorHAnsi" w:cstheme="majorHAnsi"/>
          <w:iCs/>
          <w:sz w:val="24"/>
          <w:szCs w:val="24"/>
          <w:lang w:val="ru-RU"/>
        </w:rPr>
        <w:t>ам</w:t>
      </w:r>
      <w:r w:rsidRPr="00BD0B0B">
        <w:rPr>
          <w:rFonts w:asciiTheme="majorHAnsi" w:eastAsia="Times New Roman" w:hAnsiTheme="majorHAnsi" w:cstheme="majorHAnsi"/>
          <w:iCs/>
          <w:sz w:val="24"/>
          <w:szCs w:val="24"/>
          <w:lang w:val="ro-RO"/>
        </w:rPr>
        <w:t>, финансируемы</w:t>
      </w:r>
      <w:r w:rsidR="00433778">
        <w:rPr>
          <w:rFonts w:asciiTheme="majorHAnsi" w:eastAsia="Times New Roman" w:hAnsiTheme="majorHAnsi" w:cstheme="majorHAnsi"/>
          <w:iCs/>
          <w:sz w:val="24"/>
          <w:szCs w:val="24"/>
          <w:lang w:val="ru-RU"/>
        </w:rPr>
        <w:t>м</w:t>
      </w:r>
      <w:r w:rsidRPr="00BD0B0B">
        <w:rPr>
          <w:rFonts w:asciiTheme="majorHAnsi" w:eastAsia="Times New Roman" w:hAnsiTheme="majorHAnsi" w:cstheme="majorHAnsi"/>
          <w:iCs/>
          <w:sz w:val="24"/>
          <w:szCs w:val="24"/>
          <w:lang w:val="ro-RO"/>
        </w:rPr>
        <w:t xml:space="preserve"> из внешних источников – 1 575,5 млн. </w:t>
      </w:r>
      <w:r w:rsidR="008E6894">
        <w:rPr>
          <w:rFonts w:asciiTheme="majorHAnsi" w:eastAsia="Times New Roman" w:hAnsiTheme="majorHAnsi" w:cstheme="majorHAnsi"/>
          <w:iCs/>
          <w:sz w:val="24"/>
          <w:szCs w:val="24"/>
          <w:lang w:val="ro-RO"/>
        </w:rPr>
        <w:t>леев</w:t>
      </w:r>
      <w:r w:rsidRPr="00BD0B0B">
        <w:rPr>
          <w:rFonts w:asciiTheme="majorHAnsi" w:eastAsia="Times New Roman" w:hAnsiTheme="majorHAnsi" w:cstheme="majorHAnsi"/>
          <w:iCs/>
          <w:sz w:val="24"/>
          <w:szCs w:val="24"/>
          <w:lang w:val="ro-RO"/>
        </w:rPr>
        <w:t xml:space="preserve">, увеличившись на 1 216,2 млн. </w:t>
      </w:r>
      <w:r w:rsidR="008E6894">
        <w:rPr>
          <w:rFonts w:asciiTheme="majorHAnsi" w:eastAsia="Times New Roman" w:hAnsiTheme="majorHAnsi" w:cstheme="majorHAnsi"/>
          <w:iCs/>
          <w:sz w:val="24"/>
          <w:szCs w:val="24"/>
          <w:lang w:val="ro-RO"/>
        </w:rPr>
        <w:t>леев</w:t>
      </w:r>
      <w:r w:rsidRPr="00BD0B0B">
        <w:rPr>
          <w:rFonts w:asciiTheme="majorHAnsi" w:eastAsia="Times New Roman" w:hAnsiTheme="majorHAnsi" w:cstheme="majorHAnsi"/>
          <w:iCs/>
          <w:sz w:val="24"/>
          <w:szCs w:val="24"/>
          <w:lang w:val="ro-RO"/>
        </w:rPr>
        <w:t xml:space="preserve"> (41,7%) по сравнению с ситуацией </w:t>
      </w:r>
      <w:r w:rsidR="00433778">
        <w:rPr>
          <w:rFonts w:asciiTheme="majorHAnsi" w:eastAsia="Times New Roman" w:hAnsiTheme="majorHAnsi" w:cstheme="majorHAnsi"/>
          <w:iCs/>
          <w:sz w:val="24"/>
          <w:szCs w:val="24"/>
          <w:lang w:val="ru-RU"/>
        </w:rPr>
        <w:t>на</w:t>
      </w:r>
      <w:r w:rsidRPr="00BD0B0B">
        <w:rPr>
          <w:rFonts w:asciiTheme="majorHAnsi" w:eastAsia="Times New Roman" w:hAnsiTheme="majorHAnsi" w:cstheme="majorHAnsi"/>
          <w:iCs/>
          <w:sz w:val="24"/>
          <w:szCs w:val="24"/>
          <w:lang w:val="ro-RO"/>
        </w:rPr>
        <w:t xml:space="preserve"> 31.12.2019. Остатки денежных средств </w:t>
      </w:r>
      <w:r w:rsidR="008F632D">
        <w:rPr>
          <w:rFonts w:asciiTheme="majorHAnsi" w:eastAsia="Times New Roman" w:hAnsiTheme="majorHAnsi" w:cstheme="majorHAnsi"/>
          <w:iCs/>
          <w:sz w:val="24"/>
          <w:szCs w:val="24"/>
          <w:lang w:val="ro-RO"/>
        </w:rPr>
        <w:t>ГБ</w:t>
      </w:r>
      <w:r w:rsidRPr="00BD0B0B">
        <w:rPr>
          <w:rFonts w:asciiTheme="majorHAnsi" w:eastAsia="Times New Roman" w:hAnsiTheme="majorHAnsi" w:cstheme="majorHAnsi"/>
          <w:iCs/>
          <w:sz w:val="24"/>
          <w:szCs w:val="24"/>
          <w:lang w:val="ro-RO"/>
        </w:rPr>
        <w:t xml:space="preserve"> зарегистрированы </w:t>
      </w:r>
      <w:r w:rsidR="00433778">
        <w:rPr>
          <w:rFonts w:asciiTheme="majorHAnsi" w:eastAsia="Times New Roman" w:hAnsiTheme="majorHAnsi" w:cstheme="majorHAnsi"/>
          <w:iCs/>
          <w:sz w:val="24"/>
          <w:szCs w:val="24"/>
          <w:lang w:val="ru-RU"/>
        </w:rPr>
        <w:t>на</w:t>
      </w:r>
      <w:r w:rsidRPr="00BD0B0B">
        <w:rPr>
          <w:rFonts w:asciiTheme="majorHAnsi" w:eastAsia="Times New Roman" w:hAnsiTheme="majorHAnsi" w:cstheme="majorHAnsi"/>
          <w:iCs/>
          <w:sz w:val="24"/>
          <w:szCs w:val="24"/>
          <w:lang w:val="ro-RO"/>
        </w:rPr>
        <w:t xml:space="preserve">: </w:t>
      </w:r>
      <w:r w:rsidRPr="00433778">
        <w:rPr>
          <w:rFonts w:asciiTheme="majorHAnsi" w:eastAsia="Times New Roman" w:hAnsiTheme="majorHAnsi" w:cstheme="majorHAnsi"/>
          <w:i/>
          <w:iCs/>
          <w:sz w:val="24"/>
          <w:szCs w:val="24"/>
          <w:lang w:val="ro-RO"/>
        </w:rPr>
        <w:t>I)</w:t>
      </w:r>
      <w:r w:rsidRPr="00BD0B0B">
        <w:rPr>
          <w:rFonts w:asciiTheme="majorHAnsi" w:eastAsia="Times New Roman" w:hAnsiTheme="majorHAnsi" w:cstheme="majorHAnsi"/>
          <w:iCs/>
          <w:sz w:val="24"/>
          <w:szCs w:val="24"/>
          <w:lang w:val="ro-RO"/>
        </w:rPr>
        <w:t xml:space="preserve"> текущих счетах в казначейской системе в национальной валюте </w:t>
      </w:r>
      <w:r w:rsidR="00433778">
        <w:rPr>
          <w:rFonts w:asciiTheme="majorHAnsi" w:eastAsia="Times New Roman" w:hAnsiTheme="majorHAnsi" w:cstheme="majorHAnsi"/>
          <w:iCs/>
          <w:sz w:val="24"/>
          <w:szCs w:val="24"/>
          <w:lang w:val="ru-RU"/>
        </w:rPr>
        <w:t>в</w:t>
      </w:r>
      <w:r w:rsidRPr="00BD0B0B">
        <w:rPr>
          <w:rFonts w:asciiTheme="majorHAnsi" w:eastAsia="Times New Roman" w:hAnsiTheme="majorHAnsi" w:cstheme="majorHAnsi"/>
          <w:iCs/>
          <w:sz w:val="24"/>
          <w:szCs w:val="24"/>
          <w:lang w:val="ro-RO"/>
        </w:rPr>
        <w:t xml:space="preserve"> сумм</w:t>
      </w:r>
      <w:r w:rsidR="00433778">
        <w:rPr>
          <w:rFonts w:asciiTheme="majorHAnsi" w:eastAsia="Times New Roman" w:hAnsiTheme="majorHAnsi" w:cstheme="majorHAnsi"/>
          <w:iCs/>
          <w:sz w:val="24"/>
          <w:szCs w:val="24"/>
          <w:lang w:val="ru-RU"/>
        </w:rPr>
        <w:t>е</w:t>
      </w:r>
      <w:r w:rsidRPr="00BD0B0B">
        <w:rPr>
          <w:rFonts w:asciiTheme="majorHAnsi" w:eastAsia="Times New Roman" w:hAnsiTheme="majorHAnsi" w:cstheme="majorHAnsi"/>
          <w:iCs/>
          <w:sz w:val="24"/>
          <w:szCs w:val="24"/>
          <w:lang w:val="ro-RO"/>
        </w:rPr>
        <w:t xml:space="preserve"> 343,5 млн. </w:t>
      </w:r>
      <w:r w:rsidR="00433778">
        <w:rPr>
          <w:rFonts w:asciiTheme="majorHAnsi" w:eastAsia="Times New Roman" w:hAnsiTheme="majorHAnsi" w:cstheme="majorHAnsi"/>
          <w:iCs/>
          <w:sz w:val="24"/>
          <w:szCs w:val="24"/>
          <w:lang w:val="ru-RU"/>
        </w:rPr>
        <w:t xml:space="preserve">леев; </w:t>
      </w:r>
      <w:r w:rsidRPr="00433778">
        <w:rPr>
          <w:rFonts w:asciiTheme="majorHAnsi" w:eastAsia="Times New Roman" w:hAnsiTheme="majorHAnsi" w:cstheme="majorHAnsi"/>
          <w:i/>
          <w:iCs/>
          <w:sz w:val="24"/>
          <w:szCs w:val="24"/>
          <w:lang w:val="ro-RO"/>
        </w:rPr>
        <w:t>II)</w:t>
      </w:r>
      <w:r w:rsidRPr="00BD0B0B">
        <w:rPr>
          <w:rFonts w:asciiTheme="majorHAnsi" w:eastAsia="Times New Roman" w:hAnsiTheme="majorHAnsi" w:cstheme="majorHAnsi"/>
          <w:iCs/>
          <w:sz w:val="24"/>
          <w:szCs w:val="24"/>
          <w:lang w:val="ro-RO"/>
        </w:rPr>
        <w:t xml:space="preserve"> счета</w:t>
      </w:r>
      <w:r w:rsidR="00433778">
        <w:rPr>
          <w:rFonts w:asciiTheme="majorHAnsi" w:eastAsia="Times New Roman" w:hAnsiTheme="majorHAnsi" w:cstheme="majorHAnsi"/>
          <w:iCs/>
          <w:sz w:val="24"/>
          <w:szCs w:val="24"/>
          <w:lang w:val="ru-RU"/>
        </w:rPr>
        <w:t>х</w:t>
      </w:r>
      <w:r w:rsidRPr="00BD0B0B">
        <w:rPr>
          <w:rFonts w:asciiTheme="majorHAnsi" w:eastAsia="Times New Roman" w:hAnsiTheme="majorHAnsi" w:cstheme="majorHAnsi"/>
          <w:iCs/>
          <w:sz w:val="24"/>
          <w:szCs w:val="24"/>
          <w:lang w:val="ro-RO"/>
        </w:rPr>
        <w:t xml:space="preserve"> НБМ в иностранной валюте</w:t>
      </w:r>
      <w:r w:rsidR="00433778">
        <w:rPr>
          <w:rFonts w:asciiTheme="majorHAnsi" w:eastAsia="Times New Roman" w:hAnsiTheme="majorHAnsi" w:cstheme="majorHAnsi"/>
          <w:iCs/>
          <w:sz w:val="24"/>
          <w:szCs w:val="24"/>
          <w:lang w:val="ru-RU"/>
        </w:rPr>
        <w:t>, в</w:t>
      </w:r>
      <w:r w:rsidRPr="00BD0B0B">
        <w:rPr>
          <w:rFonts w:asciiTheme="majorHAnsi" w:eastAsia="Times New Roman" w:hAnsiTheme="majorHAnsi" w:cstheme="majorHAnsi"/>
          <w:iCs/>
          <w:sz w:val="24"/>
          <w:szCs w:val="24"/>
          <w:lang w:val="ro-RO"/>
        </w:rPr>
        <w:t xml:space="preserve"> сумм</w:t>
      </w:r>
      <w:r w:rsidR="00433778">
        <w:rPr>
          <w:rFonts w:asciiTheme="majorHAnsi" w:eastAsia="Times New Roman" w:hAnsiTheme="majorHAnsi" w:cstheme="majorHAnsi"/>
          <w:iCs/>
          <w:sz w:val="24"/>
          <w:szCs w:val="24"/>
          <w:lang w:val="ru-RU"/>
        </w:rPr>
        <w:t>е</w:t>
      </w:r>
      <w:r w:rsidRPr="00BD0B0B">
        <w:rPr>
          <w:rFonts w:asciiTheme="majorHAnsi" w:eastAsia="Times New Roman" w:hAnsiTheme="majorHAnsi" w:cstheme="majorHAnsi"/>
          <w:iCs/>
          <w:sz w:val="24"/>
          <w:szCs w:val="24"/>
          <w:lang w:val="ro-RO"/>
        </w:rPr>
        <w:t xml:space="preserve"> 3 644,5 млн. </w:t>
      </w:r>
      <w:r w:rsidR="008E6894">
        <w:rPr>
          <w:rFonts w:asciiTheme="majorHAnsi" w:eastAsia="Times New Roman" w:hAnsiTheme="majorHAnsi" w:cstheme="majorHAnsi"/>
          <w:iCs/>
          <w:sz w:val="24"/>
          <w:szCs w:val="24"/>
          <w:lang w:val="ro-RO"/>
        </w:rPr>
        <w:t>леев</w:t>
      </w:r>
      <w:r w:rsidRPr="00BD0B0B">
        <w:rPr>
          <w:rFonts w:asciiTheme="majorHAnsi" w:eastAsia="Times New Roman" w:hAnsiTheme="majorHAnsi" w:cstheme="majorHAnsi"/>
          <w:iCs/>
          <w:sz w:val="24"/>
          <w:szCs w:val="24"/>
          <w:lang w:val="ro-RO"/>
        </w:rPr>
        <w:t xml:space="preserve">; </w:t>
      </w:r>
      <w:r w:rsidRPr="00433778">
        <w:rPr>
          <w:rFonts w:asciiTheme="majorHAnsi" w:eastAsia="Times New Roman" w:hAnsiTheme="majorHAnsi" w:cstheme="majorHAnsi"/>
          <w:i/>
          <w:iCs/>
          <w:sz w:val="24"/>
          <w:szCs w:val="24"/>
          <w:lang w:val="ro-RO"/>
        </w:rPr>
        <w:t>iii)</w:t>
      </w:r>
      <w:r w:rsidRPr="00BD0B0B">
        <w:rPr>
          <w:rFonts w:asciiTheme="majorHAnsi" w:eastAsia="Times New Roman" w:hAnsiTheme="majorHAnsi" w:cstheme="majorHAnsi"/>
          <w:iCs/>
          <w:sz w:val="24"/>
          <w:szCs w:val="24"/>
          <w:lang w:val="ro-RO"/>
        </w:rPr>
        <w:t xml:space="preserve"> текущи</w:t>
      </w:r>
      <w:r w:rsidR="00433778">
        <w:rPr>
          <w:rFonts w:asciiTheme="majorHAnsi" w:eastAsia="Times New Roman" w:hAnsiTheme="majorHAnsi" w:cstheme="majorHAnsi"/>
          <w:iCs/>
          <w:sz w:val="24"/>
          <w:szCs w:val="24"/>
          <w:lang w:val="ru-RU"/>
        </w:rPr>
        <w:t>х</w:t>
      </w:r>
      <w:r w:rsidRPr="00BD0B0B">
        <w:rPr>
          <w:rFonts w:asciiTheme="majorHAnsi" w:eastAsia="Times New Roman" w:hAnsiTheme="majorHAnsi" w:cstheme="majorHAnsi"/>
          <w:iCs/>
          <w:sz w:val="24"/>
          <w:szCs w:val="24"/>
          <w:lang w:val="ro-RO"/>
        </w:rPr>
        <w:t xml:space="preserve"> счета</w:t>
      </w:r>
      <w:r w:rsidR="00433778">
        <w:rPr>
          <w:rFonts w:asciiTheme="majorHAnsi" w:eastAsia="Times New Roman" w:hAnsiTheme="majorHAnsi" w:cstheme="majorHAnsi"/>
          <w:iCs/>
          <w:sz w:val="24"/>
          <w:szCs w:val="24"/>
          <w:lang w:val="ru-RU"/>
        </w:rPr>
        <w:t>х</w:t>
      </w:r>
      <w:r w:rsidRPr="00BD0B0B">
        <w:rPr>
          <w:rFonts w:asciiTheme="majorHAnsi" w:eastAsia="Times New Roman" w:hAnsiTheme="majorHAnsi" w:cstheme="majorHAnsi"/>
          <w:iCs/>
          <w:sz w:val="24"/>
          <w:szCs w:val="24"/>
          <w:lang w:val="ro-RO"/>
        </w:rPr>
        <w:t xml:space="preserve"> </w:t>
      </w:r>
      <w:r w:rsidR="00433778">
        <w:rPr>
          <w:rFonts w:asciiTheme="majorHAnsi" w:eastAsia="Times New Roman" w:hAnsiTheme="majorHAnsi" w:cstheme="majorHAnsi"/>
          <w:iCs/>
          <w:sz w:val="24"/>
          <w:szCs w:val="24"/>
          <w:lang w:val="ru-RU"/>
        </w:rPr>
        <w:t>вне</w:t>
      </w:r>
      <w:r w:rsidRPr="00BD0B0B">
        <w:rPr>
          <w:rFonts w:asciiTheme="majorHAnsi" w:eastAsia="Times New Roman" w:hAnsiTheme="majorHAnsi" w:cstheme="majorHAnsi"/>
          <w:iCs/>
          <w:sz w:val="24"/>
          <w:szCs w:val="24"/>
          <w:lang w:val="ro-RO"/>
        </w:rPr>
        <w:t xml:space="preserve"> казначейской системы в национальной валюте</w:t>
      </w:r>
      <w:r w:rsidR="00433778">
        <w:rPr>
          <w:rFonts w:asciiTheme="majorHAnsi" w:eastAsia="Times New Roman" w:hAnsiTheme="majorHAnsi" w:cstheme="majorHAnsi"/>
          <w:iCs/>
          <w:sz w:val="24"/>
          <w:szCs w:val="24"/>
          <w:lang w:val="ru-RU"/>
        </w:rPr>
        <w:t xml:space="preserve"> </w:t>
      </w:r>
      <w:r w:rsidRPr="00BD0B0B">
        <w:rPr>
          <w:rFonts w:asciiTheme="majorHAnsi" w:eastAsia="Times New Roman" w:hAnsiTheme="majorHAnsi" w:cstheme="majorHAnsi"/>
          <w:iCs/>
          <w:sz w:val="24"/>
          <w:szCs w:val="24"/>
          <w:lang w:val="ro-RO"/>
        </w:rPr>
        <w:t>-</w:t>
      </w:r>
      <w:r w:rsidR="00433778">
        <w:rPr>
          <w:rFonts w:asciiTheme="majorHAnsi" w:eastAsia="Times New Roman" w:hAnsiTheme="majorHAnsi" w:cstheme="majorHAnsi"/>
          <w:iCs/>
          <w:sz w:val="24"/>
          <w:szCs w:val="24"/>
          <w:lang w:val="ru-RU"/>
        </w:rPr>
        <w:t xml:space="preserve"> </w:t>
      </w:r>
      <w:r w:rsidRPr="00BD0B0B">
        <w:rPr>
          <w:rFonts w:asciiTheme="majorHAnsi" w:eastAsia="Times New Roman" w:hAnsiTheme="majorHAnsi" w:cstheme="majorHAnsi"/>
          <w:iCs/>
          <w:sz w:val="24"/>
          <w:szCs w:val="24"/>
          <w:lang w:val="ro-RO"/>
        </w:rPr>
        <w:t xml:space="preserve">144,9 млн. </w:t>
      </w:r>
      <w:r w:rsidR="00433778">
        <w:rPr>
          <w:rFonts w:asciiTheme="majorHAnsi" w:eastAsia="Times New Roman" w:hAnsiTheme="majorHAnsi" w:cstheme="majorHAnsi"/>
          <w:iCs/>
          <w:sz w:val="24"/>
          <w:szCs w:val="24"/>
          <w:lang w:val="ru-RU"/>
        </w:rPr>
        <w:t>л</w:t>
      </w:r>
      <w:r w:rsidR="0025764C">
        <w:rPr>
          <w:rFonts w:asciiTheme="majorHAnsi" w:eastAsia="Times New Roman" w:hAnsiTheme="majorHAnsi" w:cstheme="majorHAnsi"/>
          <w:iCs/>
          <w:sz w:val="24"/>
          <w:szCs w:val="24"/>
          <w:lang w:val="ro-RO"/>
        </w:rPr>
        <w:t>еев</w:t>
      </w:r>
      <w:r w:rsidRPr="00BD0B0B">
        <w:rPr>
          <w:rFonts w:asciiTheme="majorHAnsi" w:eastAsia="Times New Roman" w:hAnsiTheme="majorHAnsi" w:cstheme="majorHAnsi"/>
          <w:iCs/>
          <w:sz w:val="24"/>
          <w:szCs w:val="24"/>
          <w:lang w:val="ro-RO"/>
        </w:rPr>
        <w:t>.</w:t>
      </w:r>
      <w:r w:rsidRPr="00433778">
        <w:rPr>
          <w:rFonts w:asciiTheme="majorHAnsi" w:eastAsia="Times New Roman" w:hAnsiTheme="majorHAnsi" w:cstheme="majorHAnsi"/>
          <w:iCs/>
          <w:sz w:val="24"/>
          <w:szCs w:val="24"/>
          <w:lang w:val="ru-RU"/>
        </w:rPr>
        <w:t xml:space="preserve"> </w:t>
      </w:r>
      <w:r w:rsidR="00A93937" w:rsidRPr="00A93937">
        <w:rPr>
          <w:rFonts w:asciiTheme="majorHAnsi" w:eastAsia="Times New Roman" w:hAnsiTheme="majorHAnsi" w:cstheme="majorHAnsi"/>
          <w:iCs/>
          <w:sz w:val="24"/>
          <w:szCs w:val="24"/>
          <w:lang w:val="ro-RO"/>
        </w:rPr>
        <w:t xml:space="preserve">Финансирование дефицита </w:t>
      </w:r>
      <w:r w:rsidR="00433778" w:rsidRPr="00A93937">
        <w:rPr>
          <w:rFonts w:asciiTheme="majorHAnsi" w:eastAsia="Times New Roman" w:hAnsiTheme="majorHAnsi" w:cstheme="majorHAnsi"/>
          <w:iCs/>
          <w:sz w:val="24"/>
          <w:szCs w:val="24"/>
          <w:lang w:val="ro-RO"/>
        </w:rPr>
        <w:t>осуществл</w:t>
      </w:r>
      <w:r w:rsidR="00433778">
        <w:rPr>
          <w:rFonts w:asciiTheme="majorHAnsi" w:eastAsia="Times New Roman" w:hAnsiTheme="majorHAnsi" w:cstheme="majorHAnsi"/>
          <w:iCs/>
          <w:sz w:val="24"/>
          <w:szCs w:val="24"/>
          <w:lang w:val="ru-RU"/>
        </w:rPr>
        <w:t xml:space="preserve">ялось также </w:t>
      </w:r>
      <w:r w:rsidR="00A93937" w:rsidRPr="00A93937">
        <w:rPr>
          <w:rFonts w:asciiTheme="majorHAnsi" w:eastAsia="Times New Roman" w:hAnsiTheme="majorHAnsi" w:cstheme="majorHAnsi"/>
          <w:iCs/>
          <w:sz w:val="24"/>
          <w:szCs w:val="24"/>
          <w:lang w:val="ro-RO"/>
        </w:rPr>
        <w:t>и из денежных средств от остатков на счетах бюджетов</w:t>
      </w:r>
      <w:r w:rsidR="00433778">
        <w:rPr>
          <w:rFonts w:asciiTheme="majorHAnsi" w:eastAsia="Times New Roman" w:hAnsiTheme="majorHAnsi" w:cstheme="majorHAnsi"/>
          <w:iCs/>
          <w:sz w:val="24"/>
          <w:szCs w:val="24"/>
          <w:lang w:val="ru-RU"/>
        </w:rPr>
        <w:t xml:space="preserve"> -</w:t>
      </w:r>
      <w:r w:rsidR="00A93937" w:rsidRPr="00A93937">
        <w:rPr>
          <w:rFonts w:asciiTheme="majorHAnsi" w:eastAsia="Times New Roman" w:hAnsiTheme="majorHAnsi" w:cstheme="majorHAnsi"/>
          <w:iCs/>
          <w:sz w:val="24"/>
          <w:szCs w:val="24"/>
          <w:lang w:val="ro-RO"/>
        </w:rPr>
        <w:t xml:space="preserve"> </w:t>
      </w:r>
      <w:r w:rsidR="00433778">
        <w:rPr>
          <w:rFonts w:asciiTheme="majorHAnsi" w:eastAsia="Times New Roman" w:hAnsiTheme="majorHAnsi" w:cstheme="majorHAnsi"/>
          <w:iCs/>
          <w:sz w:val="24"/>
          <w:szCs w:val="24"/>
          <w:lang w:val="ru-RU"/>
        </w:rPr>
        <w:t>компонентов</w:t>
      </w:r>
      <w:r w:rsidR="00A93937" w:rsidRPr="00A93937">
        <w:rPr>
          <w:rFonts w:asciiTheme="majorHAnsi" w:eastAsia="Times New Roman" w:hAnsiTheme="majorHAnsi" w:cstheme="majorHAnsi"/>
          <w:iCs/>
          <w:sz w:val="24"/>
          <w:szCs w:val="24"/>
          <w:lang w:val="ro-RO"/>
        </w:rPr>
        <w:t xml:space="preserve"> НПБ. На основании договорных положений, для размещения депозитов с целью формирования резерва ликвидности или </w:t>
      </w:r>
      <w:r w:rsidR="00433778">
        <w:rPr>
          <w:rFonts w:asciiTheme="majorHAnsi" w:eastAsia="Times New Roman" w:hAnsiTheme="majorHAnsi" w:cstheme="majorHAnsi"/>
          <w:iCs/>
          <w:sz w:val="24"/>
          <w:szCs w:val="24"/>
          <w:lang w:val="ru-RU"/>
        </w:rPr>
        <w:t>в</w:t>
      </w:r>
      <w:r w:rsidR="00A93937" w:rsidRPr="00A93937">
        <w:rPr>
          <w:rFonts w:asciiTheme="majorHAnsi" w:eastAsia="Times New Roman" w:hAnsiTheme="majorHAnsi" w:cstheme="majorHAnsi"/>
          <w:iCs/>
          <w:sz w:val="24"/>
          <w:szCs w:val="24"/>
          <w:lang w:val="ro-RO"/>
        </w:rPr>
        <w:t xml:space="preserve"> цел</w:t>
      </w:r>
      <w:r w:rsidR="00433778">
        <w:rPr>
          <w:rFonts w:asciiTheme="majorHAnsi" w:eastAsia="Times New Roman" w:hAnsiTheme="majorHAnsi" w:cstheme="majorHAnsi"/>
          <w:iCs/>
          <w:sz w:val="24"/>
          <w:szCs w:val="24"/>
          <w:lang w:val="ru-RU"/>
        </w:rPr>
        <w:t>ях</w:t>
      </w:r>
      <w:r w:rsidR="00A93937" w:rsidRPr="00A93937">
        <w:rPr>
          <w:rFonts w:asciiTheme="majorHAnsi" w:eastAsia="Times New Roman" w:hAnsiTheme="majorHAnsi" w:cstheme="majorHAnsi"/>
          <w:iCs/>
          <w:sz w:val="24"/>
          <w:szCs w:val="24"/>
          <w:lang w:val="ro-RO"/>
        </w:rPr>
        <w:t xml:space="preserve"> </w:t>
      </w:r>
      <w:r w:rsidR="00433778">
        <w:rPr>
          <w:rFonts w:asciiTheme="majorHAnsi" w:eastAsia="Times New Roman" w:hAnsiTheme="majorHAnsi" w:cstheme="majorHAnsi"/>
          <w:iCs/>
          <w:sz w:val="24"/>
          <w:szCs w:val="24"/>
          <w:lang w:val="ru-RU"/>
        </w:rPr>
        <w:t>содействия</w:t>
      </w:r>
      <w:r w:rsidR="00A93937" w:rsidRPr="00A93937">
        <w:rPr>
          <w:rFonts w:asciiTheme="majorHAnsi" w:eastAsia="Times New Roman" w:hAnsiTheme="majorHAnsi" w:cstheme="majorHAnsi"/>
          <w:iCs/>
          <w:sz w:val="24"/>
          <w:szCs w:val="24"/>
          <w:lang w:val="ro-RO"/>
        </w:rPr>
        <w:t xml:space="preserve"> реализаци</w:t>
      </w:r>
      <w:r w:rsidR="00433778">
        <w:rPr>
          <w:rFonts w:asciiTheme="majorHAnsi" w:eastAsia="Times New Roman" w:hAnsiTheme="majorHAnsi" w:cstheme="majorHAnsi"/>
          <w:iCs/>
          <w:sz w:val="24"/>
          <w:szCs w:val="24"/>
          <w:lang w:val="ru-RU"/>
        </w:rPr>
        <w:t>и</w:t>
      </w:r>
      <w:r w:rsidR="00A93937" w:rsidRPr="00A93937">
        <w:rPr>
          <w:rFonts w:asciiTheme="majorHAnsi" w:eastAsia="Times New Roman" w:hAnsiTheme="majorHAnsi" w:cstheme="majorHAnsi"/>
          <w:iCs/>
          <w:sz w:val="24"/>
          <w:szCs w:val="24"/>
          <w:lang w:val="ro-RO"/>
        </w:rPr>
        <w:t xml:space="preserve"> денежно-кредитной политики, МФ может потребовать досрочного возврата депозитов, размещенных с целью формирования резервов ликвидности, только в случае покрытия потребностей в финансировании приоритетных расходов, определенных в ст.67 (2) Закона</w:t>
      </w:r>
      <w:r w:rsidR="00433778">
        <w:rPr>
          <w:rFonts w:asciiTheme="majorHAnsi" w:eastAsia="Times New Roman" w:hAnsiTheme="majorHAnsi" w:cstheme="majorHAnsi"/>
          <w:iCs/>
          <w:sz w:val="24"/>
          <w:szCs w:val="24"/>
          <w:lang w:val="ru-RU"/>
        </w:rPr>
        <w:t xml:space="preserve"> </w:t>
      </w:r>
      <w:r w:rsidR="00A93937" w:rsidRPr="00A93937">
        <w:rPr>
          <w:rFonts w:asciiTheme="majorHAnsi" w:eastAsia="Times New Roman" w:hAnsiTheme="majorHAnsi" w:cstheme="majorHAnsi"/>
          <w:iCs/>
          <w:sz w:val="24"/>
          <w:szCs w:val="24"/>
          <w:lang w:val="ro-RO"/>
        </w:rPr>
        <w:t>№181 от 25.07.2014</w:t>
      </w:r>
      <w:r w:rsidR="00433778">
        <w:rPr>
          <w:rFonts w:asciiTheme="majorHAnsi" w:eastAsia="Times New Roman" w:hAnsiTheme="majorHAnsi" w:cstheme="majorHAnsi"/>
          <w:iCs/>
          <w:sz w:val="24"/>
          <w:szCs w:val="24"/>
          <w:lang w:val="ru-RU"/>
        </w:rPr>
        <w:t>,</w:t>
      </w:r>
      <w:r w:rsidR="00A93937" w:rsidRPr="00A93937">
        <w:rPr>
          <w:rFonts w:asciiTheme="majorHAnsi" w:eastAsia="Times New Roman" w:hAnsiTheme="majorHAnsi" w:cstheme="majorHAnsi"/>
          <w:iCs/>
          <w:sz w:val="24"/>
          <w:szCs w:val="24"/>
          <w:lang w:val="ro-RO"/>
        </w:rPr>
        <w:t xml:space="preserve"> и </w:t>
      </w:r>
      <w:r w:rsidR="00433778">
        <w:rPr>
          <w:rFonts w:asciiTheme="majorHAnsi" w:eastAsia="Times New Roman" w:hAnsiTheme="majorHAnsi" w:cstheme="majorHAnsi"/>
          <w:iCs/>
          <w:sz w:val="24"/>
          <w:szCs w:val="24"/>
          <w:lang w:val="ru-RU"/>
        </w:rPr>
        <w:t xml:space="preserve">после </w:t>
      </w:r>
      <w:r w:rsidR="00A93937" w:rsidRPr="00A93937">
        <w:rPr>
          <w:rFonts w:asciiTheme="majorHAnsi" w:eastAsia="Times New Roman" w:hAnsiTheme="majorHAnsi" w:cstheme="majorHAnsi"/>
          <w:iCs/>
          <w:sz w:val="24"/>
          <w:szCs w:val="24"/>
          <w:lang w:val="ro-RO"/>
        </w:rPr>
        <w:t>предварительных консультаци</w:t>
      </w:r>
      <w:r w:rsidR="00433778">
        <w:rPr>
          <w:rFonts w:asciiTheme="majorHAnsi" w:eastAsia="Times New Roman" w:hAnsiTheme="majorHAnsi" w:cstheme="majorHAnsi"/>
          <w:iCs/>
          <w:sz w:val="24"/>
          <w:szCs w:val="24"/>
          <w:lang w:val="ru-RU"/>
        </w:rPr>
        <w:t>й</w:t>
      </w:r>
      <w:r w:rsidR="00A93937" w:rsidRPr="00A93937">
        <w:rPr>
          <w:rFonts w:asciiTheme="majorHAnsi" w:eastAsia="Times New Roman" w:hAnsiTheme="majorHAnsi" w:cstheme="majorHAnsi"/>
          <w:iCs/>
          <w:sz w:val="24"/>
          <w:szCs w:val="24"/>
          <w:lang w:val="ro-RO"/>
        </w:rPr>
        <w:t xml:space="preserve"> с НБМ </w:t>
      </w:r>
      <w:r w:rsidR="00433778">
        <w:rPr>
          <w:rFonts w:asciiTheme="majorHAnsi" w:eastAsia="Times New Roman" w:hAnsiTheme="majorHAnsi" w:cstheme="majorHAnsi"/>
          <w:iCs/>
          <w:sz w:val="24"/>
          <w:szCs w:val="24"/>
          <w:lang w:val="ru-RU"/>
        </w:rPr>
        <w:t xml:space="preserve">в целях </w:t>
      </w:r>
      <w:r w:rsidR="00A93937" w:rsidRPr="00A93937">
        <w:rPr>
          <w:rFonts w:asciiTheme="majorHAnsi" w:eastAsia="Times New Roman" w:hAnsiTheme="majorHAnsi" w:cstheme="majorHAnsi"/>
          <w:iCs/>
          <w:sz w:val="24"/>
          <w:szCs w:val="24"/>
          <w:lang w:val="ro-RO"/>
        </w:rPr>
        <w:t>эффективно</w:t>
      </w:r>
      <w:r w:rsidR="00433778">
        <w:rPr>
          <w:rFonts w:asciiTheme="majorHAnsi" w:eastAsia="Times New Roman" w:hAnsiTheme="majorHAnsi" w:cstheme="majorHAnsi"/>
          <w:iCs/>
          <w:sz w:val="24"/>
          <w:szCs w:val="24"/>
          <w:lang w:val="ru-RU"/>
        </w:rPr>
        <w:t>ого</w:t>
      </w:r>
      <w:r w:rsidR="00A93937" w:rsidRPr="00A93937">
        <w:rPr>
          <w:rFonts w:asciiTheme="majorHAnsi" w:eastAsia="Times New Roman" w:hAnsiTheme="majorHAnsi" w:cstheme="majorHAnsi"/>
          <w:iCs/>
          <w:sz w:val="24"/>
          <w:szCs w:val="24"/>
          <w:lang w:val="ro-RO"/>
        </w:rPr>
        <w:t xml:space="preserve"> управлени</w:t>
      </w:r>
      <w:r w:rsidR="00433778">
        <w:rPr>
          <w:rFonts w:asciiTheme="majorHAnsi" w:eastAsia="Times New Roman" w:hAnsiTheme="majorHAnsi" w:cstheme="majorHAnsi"/>
          <w:iCs/>
          <w:sz w:val="24"/>
          <w:szCs w:val="24"/>
          <w:lang w:val="ru-RU"/>
        </w:rPr>
        <w:t>я</w:t>
      </w:r>
      <w:r w:rsidR="00A93937" w:rsidRPr="00A93937">
        <w:rPr>
          <w:rFonts w:asciiTheme="majorHAnsi" w:eastAsia="Times New Roman" w:hAnsiTheme="majorHAnsi" w:cstheme="majorHAnsi"/>
          <w:iCs/>
          <w:sz w:val="24"/>
          <w:szCs w:val="24"/>
          <w:lang w:val="ro-RO"/>
        </w:rPr>
        <w:t xml:space="preserve"> ликвидностью.</w:t>
      </w:r>
      <w:r w:rsidR="00A93937">
        <w:rPr>
          <w:rFonts w:asciiTheme="majorHAnsi" w:eastAsia="Times New Roman" w:hAnsiTheme="majorHAnsi" w:cstheme="majorHAnsi"/>
          <w:iCs/>
          <w:sz w:val="24"/>
          <w:szCs w:val="24"/>
          <w:lang w:val="ru-RU"/>
        </w:rPr>
        <w:t xml:space="preserve"> </w:t>
      </w:r>
      <w:r w:rsidR="00A93937" w:rsidRPr="00A93937">
        <w:rPr>
          <w:rFonts w:asciiTheme="majorHAnsi" w:hAnsiTheme="majorHAnsi" w:cstheme="majorHAnsi"/>
          <w:sz w:val="24"/>
          <w:szCs w:val="24"/>
          <w:lang w:val="ro-RO"/>
        </w:rPr>
        <w:t xml:space="preserve">Так, МФ </w:t>
      </w:r>
      <w:r w:rsidR="007A6C99" w:rsidRPr="00A93937">
        <w:rPr>
          <w:rFonts w:asciiTheme="majorHAnsi" w:hAnsiTheme="majorHAnsi" w:cstheme="majorHAnsi"/>
          <w:sz w:val="24"/>
          <w:szCs w:val="24"/>
          <w:lang w:val="ro-RO"/>
        </w:rPr>
        <w:t>отозвал</w:t>
      </w:r>
      <w:r w:rsidR="007A6C99">
        <w:rPr>
          <w:rFonts w:asciiTheme="majorHAnsi" w:hAnsiTheme="majorHAnsi" w:cstheme="majorHAnsi"/>
          <w:sz w:val="24"/>
          <w:szCs w:val="24"/>
          <w:lang w:val="ru-RU"/>
        </w:rPr>
        <w:t>о</w:t>
      </w:r>
      <w:r w:rsidR="007A6C99" w:rsidRPr="00A93937">
        <w:rPr>
          <w:rFonts w:asciiTheme="majorHAnsi" w:hAnsiTheme="majorHAnsi" w:cstheme="majorHAnsi"/>
          <w:sz w:val="24"/>
          <w:szCs w:val="24"/>
          <w:lang w:val="ro-RO"/>
        </w:rPr>
        <w:t xml:space="preserve"> </w:t>
      </w:r>
      <w:r w:rsidR="00A93937" w:rsidRPr="00A93937">
        <w:rPr>
          <w:rFonts w:asciiTheme="majorHAnsi" w:hAnsiTheme="majorHAnsi" w:cstheme="majorHAnsi"/>
          <w:sz w:val="24"/>
          <w:szCs w:val="24"/>
          <w:lang w:val="ro-RO"/>
        </w:rPr>
        <w:t xml:space="preserve">досрочно средства, хранящиеся в НБМ для создания резерва ликвидности в размере 253,5 млн. леев, которые </w:t>
      </w:r>
      <w:r w:rsidR="007A6C99">
        <w:rPr>
          <w:rFonts w:asciiTheme="majorHAnsi" w:hAnsiTheme="majorHAnsi" w:cstheme="majorHAnsi"/>
          <w:sz w:val="24"/>
          <w:szCs w:val="24"/>
          <w:lang w:val="ru-RU"/>
        </w:rPr>
        <w:t xml:space="preserve">были </w:t>
      </w:r>
      <w:r w:rsidR="00A93937" w:rsidRPr="00A93937">
        <w:rPr>
          <w:rFonts w:asciiTheme="majorHAnsi" w:hAnsiTheme="majorHAnsi" w:cstheme="majorHAnsi"/>
          <w:sz w:val="24"/>
          <w:szCs w:val="24"/>
          <w:lang w:val="ro-RO"/>
        </w:rPr>
        <w:t>использ</w:t>
      </w:r>
      <w:r w:rsidR="007A6C99">
        <w:rPr>
          <w:rFonts w:asciiTheme="majorHAnsi" w:hAnsiTheme="majorHAnsi" w:cstheme="majorHAnsi"/>
          <w:sz w:val="24"/>
          <w:szCs w:val="24"/>
          <w:lang w:val="ru-RU"/>
        </w:rPr>
        <w:t>ованы</w:t>
      </w:r>
      <w:r w:rsidR="00A93937" w:rsidRPr="00A93937">
        <w:rPr>
          <w:rFonts w:asciiTheme="majorHAnsi" w:hAnsiTheme="majorHAnsi" w:cstheme="majorHAnsi"/>
          <w:sz w:val="24"/>
          <w:szCs w:val="24"/>
          <w:lang w:val="ro-RO"/>
        </w:rPr>
        <w:t xml:space="preserve"> для выкупа ГЦБ, выпущенных </w:t>
      </w:r>
      <w:r w:rsidR="007A6C99">
        <w:rPr>
          <w:rFonts w:asciiTheme="majorHAnsi" w:hAnsiTheme="majorHAnsi" w:cstheme="majorHAnsi"/>
          <w:sz w:val="24"/>
          <w:szCs w:val="24"/>
          <w:lang w:val="ru-RU"/>
        </w:rPr>
        <w:t>с целью</w:t>
      </w:r>
      <w:r w:rsidR="00A93937" w:rsidRPr="00A93937">
        <w:rPr>
          <w:rFonts w:asciiTheme="majorHAnsi" w:hAnsiTheme="majorHAnsi" w:cstheme="majorHAnsi"/>
          <w:sz w:val="24"/>
          <w:szCs w:val="24"/>
          <w:lang w:val="ro-RO"/>
        </w:rPr>
        <w:t xml:space="preserve"> создания резерв</w:t>
      </w:r>
      <w:r w:rsidR="007A6C99">
        <w:rPr>
          <w:rFonts w:asciiTheme="majorHAnsi" w:hAnsiTheme="majorHAnsi" w:cstheme="majorHAnsi"/>
          <w:sz w:val="24"/>
          <w:szCs w:val="24"/>
          <w:lang w:val="ro-RO"/>
        </w:rPr>
        <w:t>а ликвидности (со знаком минус)</w:t>
      </w:r>
      <w:r w:rsidR="00C3538A" w:rsidRPr="00F55BA6">
        <w:rPr>
          <w:rFonts w:asciiTheme="majorHAnsi" w:hAnsiTheme="majorHAnsi" w:cstheme="majorHAnsi"/>
          <w:sz w:val="24"/>
          <w:szCs w:val="24"/>
          <w:lang w:val="ro-RO"/>
        </w:rPr>
        <w:t>.</w:t>
      </w:r>
    </w:p>
    <w:p w:rsidR="00F53D96" w:rsidRPr="00F55BA6" w:rsidRDefault="00F53D96" w:rsidP="00F53D96">
      <w:pPr>
        <w:tabs>
          <w:tab w:val="left" w:pos="0"/>
          <w:tab w:val="left" w:pos="142"/>
          <w:tab w:val="left" w:pos="851"/>
        </w:tabs>
        <w:spacing w:after="0" w:line="276" w:lineRule="auto"/>
        <w:contextualSpacing/>
        <w:rPr>
          <w:rFonts w:asciiTheme="majorHAnsi" w:hAnsiTheme="majorHAnsi" w:cstheme="majorHAnsi"/>
          <w:i/>
          <w:sz w:val="24"/>
          <w:szCs w:val="24"/>
          <w:lang w:val="ro-RO"/>
        </w:rPr>
      </w:pPr>
    </w:p>
    <w:p w:rsidR="00445D66" w:rsidRPr="00F55BA6" w:rsidRDefault="00DF3986" w:rsidP="00DF3986">
      <w:pPr>
        <w:numPr>
          <w:ilvl w:val="0"/>
          <w:numId w:val="1"/>
        </w:numPr>
        <w:tabs>
          <w:tab w:val="left" w:pos="0"/>
          <w:tab w:val="left" w:pos="426"/>
        </w:tabs>
        <w:spacing w:after="0" w:line="276" w:lineRule="auto"/>
        <w:contextualSpacing/>
        <w:jc w:val="left"/>
        <w:outlineLvl w:val="0"/>
        <w:rPr>
          <w:rFonts w:asciiTheme="majorHAnsi" w:eastAsia="Times New Roman" w:hAnsiTheme="majorHAnsi" w:cs="Times New Roman"/>
          <w:b/>
          <w:bCs/>
          <w:szCs w:val="28"/>
          <w:lang w:val="ro-RO"/>
        </w:rPr>
      </w:pPr>
      <w:r w:rsidRPr="00DF3986">
        <w:rPr>
          <w:rFonts w:asciiTheme="majorHAnsi" w:eastAsia="Times New Roman" w:hAnsiTheme="majorHAnsi" w:cs="Times New Roman"/>
          <w:b/>
          <w:bCs/>
          <w:szCs w:val="28"/>
          <w:lang w:val="ro-RO"/>
        </w:rPr>
        <w:t xml:space="preserve">ПРЕДСТАВЛЕНИЕ ГОСУДАРСТВЕННОГО БЮДЖЕТА </w:t>
      </w:r>
      <w:r w:rsidR="00445D66" w:rsidRPr="00F55BA6">
        <w:rPr>
          <w:rFonts w:asciiTheme="majorHAnsi" w:eastAsia="Times New Roman" w:hAnsiTheme="majorHAnsi" w:cs="Times New Roman"/>
          <w:b/>
          <w:bCs/>
          <w:szCs w:val="28"/>
          <w:lang w:val="ro-RO"/>
        </w:rPr>
        <w:t xml:space="preserve"> </w:t>
      </w:r>
    </w:p>
    <w:p w:rsidR="004946B2" w:rsidRDefault="005E62D4" w:rsidP="007131DC">
      <w:pPr>
        <w:spacing w:after="0" w:line="276" w:lineRule="auto"/>
        <w:rPr>
          <w:rFonts w:asciiTheme="majorHAnsi" w:hAnsiTheme="majorHAnsi" w:cstheme="majorHAnsi"/>
          <w:sz w:val="24"/>
          <w:szCs w:val="24"/>
          <w:lang w:val="ro-RO"/>
        </w:rPr>
      </w:pPr>
      <w:r>
        <w:rPr>
          <w:rFonts w:asciiTheme="majorHAnsi" w:eastAsia="Times New Roman" w:hAnsiTheme="majorHAnsi" w:cstheme="majorHAnsi"/>
          <w:sz w:val="24"/>
          <w:szCs w:val="24"/>
          <w:lang w:val="ru-RU"/>
        </w:rPr>
        <w:t>З</w:t>
      </w:r>
      <w:r w:rsidR="00DF3986" w:rsidRPr="00DF3986">
        <w:rPr>
          <w:rFonts w:asciiTheme="majorHAnsi" w:eastAsia="Times New Roman" w:hAnsiTheme="majorHAnsi" w:cstheme="majorHAnsi"/>
          <w:sz w:val="24"/>
          <w:szCs w:val="24"/>
          <w:lang w:val="ro-RO"/>
        </w:rPr>
        <w:t xml:space="preserve">аконом </w:t>
      </w:r>
      <w:r>
        <w:rPr>
          <w:rFonts w:asciiTheme="majorHAnsi" w:eastAsia="Times New Roman" w:hAnsiTheme="majorHAnsi" w:cstheme="majorHAnsi"/>
          <w:sz w:val="24"/>
          <w:szCs w:val="24"/>
          <w:lang w:val="ru-RU"/>
        </w:rPr>
        <w:t>о</w:t>
      </w:r>
      <w:r w:rsidR="00DF3986" w:rsidRPr="00DF3986">
        <w:rPr>
          <w:rFonts w:asciiTheme="majorHAnsi" w:eastAsia="Times New Roman" w:hAnsiTheme="majorHAnsi" w:cstheme="majorHAnsi"/>
          <w:sz w:val="24"/>
          <w:szCs w:val="24"/>
          <w:lang w:val="ro-RO"/>
        </w:rPr>
        <w:t xml:space="preserve"> государственном бюджете на 2020 год</w:t>
      </w:r>
      <w:r w:rsidRPr="00F55BA6">
        <w:rPr>
          <w:rFonts w:asciiTheme="majorHAnsi" w:eastAsia="Times New Roman" w:hAnsiTheme="majorHAnsi" w:cstheme="majorHAnsi"/>
          <w:sz w:val="24"/>
          <w:szCs w:val="24"/>
          <w:vertAlign w:val="superscript"/>
          <w:lang w:val="ro-RO"/>
        </w:rPr>
        <w:footnoteReference w:id="84"/>
      </w:r>
      <w:r>
        <w:rPr>
          <w:rFonts w:asciiTheme="majorHAnsi" w:eastAsia="Times New Roman" w:hAnsiTheme="majorHAnsi" w:cstheme="majorHAnsi"/>
          <w:sz w:val="24"/>
          <w:szCs w:val="24"/>
          <w:lang w:val="ru-RU"/>
        </w:rPr>
        <w:t>,</w:t>
      </w:r>
      <w:r w:rsidR="00DF3986" w:rsidRPr="00DF3986">
        <w:rPr>
          <w:rFonts w:asciiTheme="majorHAnsi" w:eastAsia="Times New Roman" w:hAnsiTheme="majorHAnsi" w:cstheme="majorHAnsi"/>
          <w:sz w:val="24"/>
          <w:szCs w:val="24"/>
          <w:lang w:val="ro-RO"/>
        </w:rPr>
        <w:t xml:space="preserve"> параметры государственного бюджета были утверждены: по доходам</w:t>
      </w:r>
      <w:r>
        <w:rPr>
          <w:rFonts w:asciiTheme="majorHAnsi" w:eastAsia="Times New Roman" w:hAnsiTheme="majorHAnsi" w:cstheme="majorHAnsi"/>
          <w:sz w:val="24"/>
          <w:szCs w:val="24"/>
          <w:lang w:val="ru-RU"/>
        </w:rPr>
        <w:t xml:space="preserve"> </w:t>
      </w:r>
      <w:r>
        <w:rPr>
          <w:rFonts w:asciiTheme="majorHAnsi" w:eastAsia="Times New Roman" w:hAnsiTheme="majorHAnsi" w:cstheme="majorHAnsi"/>
          <w:sz w:val="24"/>
          <w:szCs w:val="24"/>
          <w:lang w:val="ro-RO"/>
        </w:rPr>
        <w:t>–</w:t>
      </w:r>
      <w:r>
        <w:rPr>
          <w:rFonts w:asciiTheme="majorHAnsi" w:eastAsia="Times New Roman" w:hAnsiTheme="majorHAnsi" w:cstheme="majorHAnsi"/>
          <w:sz w:val="24"/>
          <w:szCs w:val="24"/>
          <w:lang w:val="ru-RU"/>
        </w:rPr>
        <w:t xml:space="preserve"> в сумме</w:t>
      </w:r>
      <w:r w:rsidR="00DF3986" w:rsidRPr="00DF3986">
        <w:rPr>
          <w:rFonts w:asciiTheme="majorHAnsi" w:eastAsia="Times New Roman" w:hAnsiTheme="majorHAnsi" w:cstheme="majorHAnsi"/>
          <w:sz w:val="24"/>
          <w:szCs w:val="24"/>
          <w:lang w:val="ro-RO"/>
        </w:rPr>
        <w:t xml:space="preserve"> 44 136,6 млн. леев, по расходам и нефинансовым активам</w:t>
      </w:r>
      <w:r>
        <w:rPr>
          <w:rFonts w:asciiTheme="majorHAnsi" w:eastAsia="Times New Roman" w:hAnsiTheme="majorHAnsi" w:cstheme="majorHAnsi"/>
          <w:sz w:val="24"/>
          <w:szCs w:val="24"/>
          <w:lang w:val="ru-RU"/>
        </w:rPr>
        <w:t xml:space="preserve"> </w:t>
      </w:r>
      <w:r>
        <w:rPr>
          <w:rFonts w:asciiTheme="majorHAnsi" w:eastAsia="Times New Roman" w:hAnsiTheme="majorHAnsi" w:cstheme="majorHAnsi"/>
          <w:sz w:val="24"/>
          <w:szCs w:val="24"/>
          <w:lang w:val="ro-RO"/>
        </w:rPr>
        <w:t>–</w:t>
      </w:r>
      <w:r>
        <w:rPr>
          <w:rFonts w:asciiTheme="majorHAnsi" w:eastAsia="Times New Roman" w:hAnsiTheme="majorHAnsi" w:cstheme="majorHAnsi"/>
          <w:sz w:val="24"/>
          <w:szCs w:val="24"/>
          <w:lang w:val="ru-RU"/>
        </w:rPr>
        <w:t xml:space="preserve"> в сумме </w:t>
      </w:r>
      <w:r w:rsidR="00DF3986" w:rsidRPr="00DF3986">
        <w:rPr>
          <w:rFonts w:asciiTheme="majorHAnsi" w:eastAsia="Times New Roman" w:hAnsiTheme="majorHAnsi" w:cstheme="majorHAnsi"/>
          <w:sz w:val="24"/>
          <w:szCs w:val="24"/>
          <w:lang w:val="ro-RO"/>
        </w:rPr>
        <w:t>51 551,9 млн. леев</w:t>
      </w:r>
      <w:r>
        <w:rPr>
          <w:rFonts w:asciiTheme="majorHAnsi" w:eastAsia="Times New Roman" w:hAnsiTheme="majorHAnsi" w:cstheme="majorHAnsi"/>
          <w:sz w:val="24"/>
          <w:szCs w:val="24"/>
          <w:lang w:val="ru-RU"/>
        </w:rPr>
        <w:t>,</w:t>
      </w:r>
      <w:r w:rsidR="00DF3986" w:rsidRPr="00DF3986">
        <w:rPr>
          <w:rFonts w:asciiTheme="majorHAnsi" w:eastAsia="Times New Roman" w:hAnsiTheme="majorHAnsi" w:cstheme="majorHAnsi"/>
          <w:sz w:val="24"/>
          <w:szCs w:val="24"/>
          <w:lang w:val="ro-RO"/>
        </w:rPr>
        <w:t xml:space="preserve"> с пре</w:t>
      </w:r>
      <w:r w:rsidR="008C1D6D">
        <w:rPr>
          <w:rFonts w:asciiTheme="majorHAnsi" w:eastAsia="Times New Roman" w:hAnsiTheme="majorHAnsi" w:cstheme="majorHAnsi"/>
          <w:sz w:val="24"/>
          <w:szCs w:val="24"/>
          <w:lang w:val="ru-RU"/>
        </w:rPr>
        <w:t>вышением</w:t>
      </w:r>
      <w:r w:rsidR="00DF3986" w:rsidRPr="00DF3986">
        <w:rPr>
          <w:rFonts w:asciiTheme="majorHAnsi" w:eastAsia="Times New Roman" w:hAnsiTheme="majorHAnsi" w:cstheme="majorHAnsi"/>
          <w:sz w:val="24"/>
          <w:szCs w:val="24"/>
          <w:lang w:val="ro-RO"/>
        </w:rPr>
        <w:t xml:space="preserve"> расходов на</w:t>
      </w:r>
      <w:r>
        <w:rPr>
          <w:rFonts w:asciiTheme="majorHAnsi" w:eastAsia="Times New Roman" w:hAnsiTheme="majorHAnsi" w:cstheme="majorHAnsi"/>
          <w:sz w:val="24"/>
          <w:szCs w:val="24"/>
          <w:lang w:val="ru-RU"/>
        </w:rPr>
        <w:t>д</w:t>
      </w:r>
      <w:r w:rsidR="00DF3986" w:rsidRPr="00DF3986">
        <w:rPr>
          <w:rFonts w:asciiTheme="majorHAnsi" w:eastAsia="Times New Roman" w:hAnsiTheme="majorHAnsi" w:cstheme="majorHAnsi"/>
          <w:sz w:val="24"/>
          <w:szCs w:val="24"/>
          <w:lang w:val="ro-RO"/>
        </w:rPr>
        <w:t xml:space="preserve"> доход</w:t>
      </w:r>
      <w:r>
        <w:rPr>
          <w:rFonts w:asciiTheme="majorHAnsi" w:eastAsia="Times New Roman" w:hAnsiTheme="majorHAnsi" w:cstheme="majorHAnsi"/>
          <w:sz w:val="24"/>
          <w:szCs w:val="24"/>
          <w:lang w:val="ru-RU"/>
        </w:rPr>
        <w:t>ами</w:t>
      </w:r>
      <w:r w:rsidR="00DF3986" w:rsidRPr="00DF3986">
        <w:rPr>
          <w:rFonts w:asciiTheme="majorHAnsi" w:eastAsia="Times New Roman" w:hAnsiTheme="majorHAnsi" w:cstheme="majorHAnsi"/>
          <w:sz w:val="24"/>
          <w:szCs w:val="24"/>
          <w:lang w:val="ro-RO"/>
        </w:rPr>
        <w:t xml:space="preserve"> в размере 7 415,3 млн. леев. В результате </w:t>
      </w:r>
      <w:r>
        <w:rPr>
          <w:rFonts w:asciiTheme="majorHAnsi" w:eastAsia="Times New Roman" w:hAnsiTheme="majorHAnsi" w:cstheme="majorHAnsi"/>
          <w:sz w:val="24"/>
          <w:szCs w:val="24"/>
          <w:lang w:val="ru-RU"/>
        </w:rPr>
        <w:t>внесения изменений в</w:t>
      </w:r>
      <w:r w:rsidR="00DF3986" w:rsidRPr="00DF3986">
        <w:rPr>
          <w:rFonts w:asciiTheme="majorHAnsi" w:eastAsia="Times New Roman" w:hAnsiTheme="majorHAnsi" w:cstheme="majorHAnsi"/>
          <w:sz w:val="24"/>
          <w:szCs w:val="24"/>
          <w:lang w:val="ro-RO"/>
        </w:rPr>
        <w:t xml:space="preserve"> годово</w:t>
      </w:r>
      <w:r>
        <w:rPr>
          <w:rFonts w:asciiTheme="majorHAnsi" w:eastAsia="Times New Roman" w:hAnsiTheme="majorHAnsi" w:cstheme="majorHAnsi"/>
          <w:sz w:val="24"/>
          <w:szCs w:val="24"/>
          <w:lang w:val="ru-RU"/>
        </w:rPr>
        <w:t>й</w:t>
      </w:r>
      <w:r w:rsidR="00DF3986" w:rsidRPr="00DF3986">
        <w:rPr>
          <w:rFonts w:asciiTheme="majorHAnsi" w:eastAsia="Times New Roman" w:hAnsiTheme="majorHAnsi" w:cstheme="majorHAnsi"/>
          <w:sz w:val="24"/>
          <w:szCs w:val="24"/>
          <w:lang w:val="ro-RO"/>
        </w:rPr>
        <w:t xml:space="preserve"> бюджетн</w:t>
      </w:r>
      <w:r>
        <w:rPr>
          <w:rFonts w:asciiTheme="majorHAnsi" w:eastAsia="Times New Roman" w:hAnsiTheme="majorHAnsi" w:cstheme="majorHAnsi"/>
          <w:sz w:val="24"/>
          <w:szCs w:val="24"/>
          <w:lang w:val="ru-RU"/>
        </w:rPr>
        <w:t>ый</w:t>
      </w:r>
      <w:r w:rsidR="00DF3986" w:rsidRPr="00DF3986">
        <w:rPr>
          <w:rFonts w:asciiTheme="majorHAnsi" w:eastAsia="Times New Roman" w:hAnsiTheme="majorHAnsi" w:cstheme="majorHAnsi"/>
          <w:sz w:val="24"/>
          <w:szCs w:val="24"/>
          <w:lang w:val="ro-RO"/>
        </w:rPr>
        <w:t xml:space="preserve"> закон</w:t>
      </w:r>
      <w:r>
        <w:rPr>
          <w:rFonts w:asciiTheme="majorHAnsi" w:eastAsia="Times New Roman" w:hAnsiTheme="majorHAnsi" w:cstheme="majorHAnsi"/>
          <w:sz w:val="24"/>
          <w:szCs w:val="24"/>
          <w:lang w:val="ru-RU"/>
        </w:rPr>
        <w:t>,</w:t>
      </w:r>
      <w:r w:rsidR="00DF3986" w:rsidRPr="00DF3986">
        <w:rPr>
          <w:rFonts w:asciiTheme="majorHAnsi" w:eastAsia="Times New Roman" w:hAnsiTheme="majorHAnsi" w:cstheme="majorHAnsi"/>
          <w:sz w:val="24"/>
          <w:szCs w:val="24"/>
          <w:lang w:val="ro-RO"/>
        </w:rPr>
        <w:t xml:space="preserve"> доходы сократились на 15,5%, или на 6 855,4 млн. </w:t>
      </w:r>
      <w:r w:rsidR="008E6894">
        <w:rPr>
          <w:rFonts w:asciiTheme="majorHAnsi" w:eastAsia="Times New Roman" w:hAnsiTheme="majorHAnsi" w:cstheme="majorHAnsi"/>
          <w:sz w:val="24"/>
          <w:szCs w:val="24"/>
          <w:lang w:val="ro-RO"/>
        </w:rPr>
        <w:t>леев</w:t>
      </w:r>
      <w:r w:rsidR="00DF3986" w:rsidRPr="00DF3986">
        <w:rPr>
          <w:rFonts w:asciiTheme="majorHAnsi" w:eastAsia="Times New Roman" w:hAnsiTheme="majorHAnsi" w:cstheme="majorHAnsi"/>
          <w:sz w:val="24"/>
          <w:szCs w:val="24"/>
          <w:lang w:val="ro-RO"/>
        </w:rPr>
        <w:t xml:space="preserve">, </w:t>
      </w:r>
      <w:r>
        <w:rPr>
          <w:rFonts w:asciiTheme="majorHAnsi" w:eastAsia="Times New Roman" w:hAnsiTheme="majorHAnsi" w:cstheme="majorHAnsi"/>
          <w:sz w:val="24"/>
          <w:szCs w:val="24"/>
          <w:lang w:val="ru-RU"/>
        </w:rPr>
        <w:t xml:space="preserve">и </w:t>
      </w:r>
      <w:r w:rsidR="00DF3986" w:rsidRPr="00DF3986">
        <w:rPr>
          <w:rFonts w:asciiTheme="majorHAnsi" w:eastAsia="Times New Roman" w:hAnsiTheme="majorHAnsi" w:cstheme="majorHAnsi"/>
          <w:sz w:val="24"/>
          <w:szCs w:val="24"/>
          <w:lang w:val="ro-RO"/>
        </w:rPr>
        <w:t>состав</w:t>
      </w:r>
      <w:r>
        <w:rPr>
          <w:rFonts w:asciiTheme="majorHAnsi" w:eastAsia="Times New Roman" w:hAnsiTheme="majorHAnsi" w:cstheme="majorHAnsi"/>
          <w:sz w:val="24"/>
          <w:szCs w:val="24"/>
          <w:lang w:val="ru-RU"/>
        </w:rPr>
        <w:t>или</w:t>
      </w:r>
      <w:r w:rsidR="00DF3986" w:rsidRPr="00DF3986">
        <w:rPr>
          <w:rFonts w:asciiTheme="majorHAnsi" w:eastAsia="Times New Roman" w:hAnsiTheme="majorHAnsi" w:cstheme="majorHAnsi"/>
          <w:sz w:val="24"/>
          <w:szCs w:val="24"/>
          <w:lang w:val="ro-RO"/>
        </w:rPr>
        <w:t xml:space="preserve"> 37 281,2 млн. леев, а расходы выросли на 3,4% , или на (-1 728,7 млн.</w:t>
      </w:r>
      <w:r>
        <w:rPr>
          <w:rFonts w:asciiTheme="majorHAnsi" w:eastAsia="Times New Roman" w:hAnsiTheme="majorHAnsi" w:cstheme="majorHAnsi"/>
          <w:sz w:val="24"/>
          <w:szCs w:val="24"/>
          <w:lang w:val="ru-RU"/>
        </w:rPr>
        <w:t xml:space="preserve"> леев</w:t>
      </w:r>
      <w:r w:rsidR="00DF3986" w:rsidRPr="00DF3986">
        <w:rPr>
          <w:rFonts w:asciiTheme="majorHAnsi" w:eastAsia="Times New Roman" w:hAnsiTheme="majorHAnsi" w:cstheme="majorHAnsi"/>
          <w:sz w:val="24"/>
          <w:szCs w:val="24"/>
          <w:lang w:val="ro-RO"/>
        </w:rPr>
        <w:t>)</w:t>
      </w:r>
      <w:r>
        <w:rPr>
          <w:rFonts w:asciiTheme="majorHAnsi" w:eastAsia="Times New Roman" w:hAnsiTheme="majorHAnsi" w:cstheme="majorHAnsi"/>
          <w:sz w:val="24"/>
          <w:szCs w:val="24"/>
          <w:lang w:val="ru-RU"/>
        </w:rPr>
        <w:t xml:space="preserve">, и составили </w:t>
      </w:r>
      <w:r w:rsidRPr="00F55BA6">
        <w:rPr>
          <w:rFonts w:asciiTheme="majorHAnsi" w:eastAsia="Times New Roman" w:hAnsiTheme="majorHAnsi" w:cstheme="majorHAnsi"/>
          <w:sz w:val="24"/>
          <w:szCs w:val="24"/>
          <w:lang w:val="ro-RO"/>
        </w:rPr>
        <w:t>53 280,6</w:t>
      </w:r>
      <w:r>
        <w:rPr>
          <w:rFonts w:asciiTheme="majorHAnsi" w:eastAsia="Times New Roman" w:hAnsiTheme="majorHAnsi" w:cstheme="majorHAnsi"/>
          <w:sz w:val="24"/>
          <w:szCs w:val="24"/>
          <w:lang w:val="ro-RO"/>
        </w:rPr>
        <w:t xml:space="preserve"> млн</w:t>
      </w:r>
      <w:r w:rsidR="00DF3986" w:rsidRPr="00DF3986">
        <w:rPr>
          <w:rFonts w:asciiTheme="majorHAnsi" w:eastAsia="Times New Roman" w:hAnsiTheme="majorHAnsi" w:cstheme="majorHAnsi"/>
          <w:sz w:val="24"/>
          <w:szCs w:val="24"/>
          <w:lang w:val="ro-RO"/>
        </w:rPr>
        <w:t>.</w:t>
      </w:r>
      <w:r>
        <w:rPr>
          <w:rFonts w:asciiTheme="majorHAnsi" w:eastAsia="Times New Roman" w:hAnsiTheme="majorHAnsi" w:cstheme="majorHAnsi"/>
          <w:sz w:val="24"/>
          <w:szCs w:val="24"/>
          <w:lang w:val="ru-RU"/>
        </w:rPr>
        <w:t xml:space="preserve"> </w:t>
      </w:r>
      <w:r w:rsidR="008E6894">
        <w:rPr>
          <w:rFonts w:asciiTheme="majorHAnsi" w:eastAsia="Times New Roman" w:hAnsiTheme="majorHAnsi" w:cstheme="majorHAnsi"/>
          <w:sz w:val="24"/>
          <w:szCs w:val="24"/>
          <w:lang w:val="ro-RO"/>
        </w:rPr>
        <w:t>леев</w:t>
      </w:r>
      <w:r>
        <w:rPr>
          <w:rFonts w:asciiTheme="majorHAnsi" w:eastAsia="Times New Roman" w:hAnsiTheme="majorHAnsi" w:cstheme="majorHAnsi"/>
          <w:sz w:val="24"/>
          <w:szCs w:val="24"/>
          <w:lang w:val="ru-RU"/>
        </w:rPr>
        <w:t>,</w:t>
      </w:r>
      <w:r w:rsidR="00DF3986" w:rsidRPr="00DF3986">
        <w:rPr>
          <w:rFonts w:asciiTheme="majorHAnsi" w:eastAsia="Times New Roman" w:hAnsiTheme="majorHAnsi" w:cstheme="majorHAnsi"/>
          <w:sz w:val="24"/>
          <w:szCs w:val="24"/>
          <w:lang w:val="ro-RO"/>
        </w:rPr>
        <w:t xml:space="preserve"> и дефицит на 115,8%, или на (-8 584,1 млн. </w:t>
      </w:r>
      <w:r w:rsidR="008E6894">
        <w:rPr>
          <w:rFonts w:asciiTheme="majorHAnsi" w:eastAsia="Times New Roman" w:hAnsiTheme="majorHAnsi" w:cstheme="majorHAnsi"/>
          <w:sz w:val="24"/>
          <w:szCs w:val="24"/>
          <w:lang w:val="ro-RO"/>
        </w:rPr>
        <w:t>леев</w:t>
      </w:r>
      <w:r w:rsidR="00DF3986" w:rsidRPr="00DF3986">
        <w:rPr>
          <w:rFonts w:asciiTheme="majorHAnsi" w:eastAsia="Times New Roman" w:hAnsiTheme="majorHAnsi" w:cstheme="majorHAnsi"/>
          <w:sz w:val="24"/>
          <w:szCs w:val="24"/>
          <w:lang w:val="ro-RO"/>
        </w:rPr>
        <w:t xml:space="preserve">). </w:t>
      </w:r>
      <w:r w:rsidR="00272175">
        <w:rPr>
          <w:rFonts w:asciiTheme="majorHAnsi" w:eastAsia="Times New Roman" w:hAnsiTheme="majorHAnsi" w:cstheme="majorHAnsi"/>
          <w:sz w:val="24"/>
          <w:szCs w:val="24"/>
          <w:lang w:val="ru-RU"/>
        </w:rPr>
        <w:t xml:space="preserve">Проведенный </w:t>
      </w:r>
      <w:r w:rsidR="00272175" w:rsidRPr="00DF3986">
        <w:rPr>
          <w:rFonts w:asciiTheme="majorHAnsi" w:eastAsia="Times New Roman" w:hAnsiTheme="majorHAnsi" w:cstheme="majorHAnsi"/>
          <w:sz w:val="24"/>
          <w:szCs w:val="24"/>
          <w:lang w:val="ro-RO"/>
        </w:rPr>
        <w:t>аудит</w:t>
      </w:r>
      <w:r w:rsidR="00272175">
        <w:rPr>
          <w:rFonts w:asciiTheme="majorHAnsi" w:eastAsia="Times New Roman" w:hAnsiTheme="majorHAnsi" w:cstheme="majorHAnsi"/>
          <w:sz w:val="24"/>
          <w:szCs w:val="24"/>
          <w:lang w:val="ru-RU"/>
        </w:rPr>
        <w:t>ом</w:t>
      </w:r>
      <w:r w:rsidR="00272175" w:rsidRPr="00DF3986">
        <w:rPr>
          <w:rFonts w:asciiTheme="majorHAnsi" w:eastAsia="Times New Roman" w:hAnsiTheme="majorHAnsi" w:cstheme="majorHAnsi"/>
          <w:sz w:val="24"/>
          <w:szCs w:val="24"/>
          <w:lang w:val="ro-RO"/>
        </w:rPr>
        <w:t xml:space="preserve"> </w:t>
      </w:r>
      <w:r w:rsidR="00272175">
        <w:rPr>
          <w:rFonts w:asciiTheme="majorHAnsi" w:eastAsia="Times New Roman" w:hAnsiTheme="majorHAnsi" w:cstheme="majorHAnsi"/>
          <w:sz w:val="24"/>
          <w:szCs w:val="24"/>
          <w:lang w:val="ru-RU"/>
        </w:rPr>
        <w:t>а</w:t>
      </w:r>
      <w:r w:rsidR="00DF3986" w:rsidRPr="00DF3986">
        <w:rPr>
          <w:rFonts w:asciiTheme="majorHAnsi" w:eastAsia="Times New Roman" w:hAnsiTheme="majorHAnsi" w:cstheme="majorHAnsi"/>
          <w:sz w:val="24"/>
          <w:szCs w:val="24"/>
          <w:lang w:val="ro-RO"/>
        </w:rPr>
        <w:t xml:space="preserve">нализ </w:t>
      </w:r>
      <w:r w:rsidR="00272175">
        <w:rPr>
          <w:rFonts w:asciiTheme="majorHAnsi" w:eastAsia="Times New Roman" w:hAnsiTheme="majorHAnsi" w:cstheme="majorHAnsi"/>
          <w:sz w:val="24"/>
          <w:szCs w:val="24"/>
          <w:lang w:val="ru-RU"/>
        </w:rPr>
        <w:t>показал</w:t>
      </w:r>
      <w:r>
        <w:rPr>
          <w:rFonts w:asciiTheme="majorHAnsi" w:eastAsia="Times New Roman" w:hAnsiTheme="majorHAnsi" w:cstheme="majorHAnsi"/>
          <w:sz w:val="24"/>
          <w:szCs w:val="24"/>
          <w:lang w:val="ro-RO"/>
        </w:rPr>
        <w:t xml:space="preserve">, что </w:t>
      </w:r>
      <w:r w:rsidR="00272175">
        <w:rPr>
          <w:rFonts w:asciiTheme="majorHAnsi" w:eastAsia="Times New Roman" w:hAnsiTheme="majorHAnsi" w:cstheme="majorHAnsi"/>
          <w:sz w:val="24"/>
          <w:szCs w:val="24"/>
          <w:lang w:val="ru-RU"/>
        </w:rPr>
        <w:t>на основан</w:t>
      </w:r>
      <w:r>
        <w:rPr>
          <w:rFonts w:asciiTheme="majorHAnsi" w:eastAsia="Times New Roman" w:hAnsiTheme="majorHAnsi" w:cstheme="majorHAnsi"/>
          <w:sz w:val="24"/>
          <w:szCs w:val="24"/>
          <w:lang w:val="ro-RO"/>
        </w:rPr>
        <w:t>ии ст</w:t>
      </w:r>
      <w:r w:rsidR="00DF3986" w:rsidRPr="00DF3986">
        <w:rPr>
          <w:rFonts w:asciiTheme="majorHAnsi" w:eastAsia="Times New Roman" w:hAnsiTheme="majorHAnsi" w:cstheme="majorHAnsi"/>
          <w:sz w:val="24"/>
          <w:szCs w:val="24"/>
          <w:lang w:val="ro-RO"/>
        </w:rPr>
        <w:t xml:space="preserve">.18 </w:t>
      </w:r>
      <w:proofErr w:type="gramStart"/>
      <w:r w:rsidR="00DF3986" w:rsidRPr="00DF3986">
        <w:rPr>
          <w:rFonts w:asciiTheme="majorHAnsi" w:eastAsia="Times New Roman" w:hAnsiTheme="majorHAnsi" w:cstheme="majorHAnsi"/>
          <w:sz w:val="24"/>
          <w:szCs w:val="24"/>
          <w:lang w:val="ro-RO"/>
        </w:rPr>
        <w:t>годового</w:t>
      </w:r>
      <w:r w:rsidR="0069433C">
        <w:rPr>
          <w:rFonts w:asciiTheme="majorHAnsi" w:eastAsia="Times New Roman" w:hAnsiTheme="majorHAnsi" w:cstheme="majorHAnsi"/>
          <w:sz w:val="24"/>
          <w:szCs w:val="24"/>
          <w:lang w:val="ru-RU"/>
        </w:rPr>
        <w:t xml:space="preserve">  закона</w:t>
      </w:r>
      <w:proofErr w:type="gramEnd"/>
      <w:r w:rsidR="0069433C">
        <w:rPr>
          <w:rFonts w:asciiTheme="majorHAnsi" w:eastAsia="Times New Roman" w:hAnsiTheme="majorHAnsi" w:cstheme="majorHAnsi"/>
          <w:sz w:val="24"/>
          <w:szCs w:val="24"/>
          <w:lang w:val="ru-RU"/>
        </w:rPr>
        <w:t xml:space="preserve"> о </w:t>
      </w:r>
      <w:r w:rsidR="0069433C">
        <w:rPr>
          <w:rFonts w:asciiTheme="majorHAnsi" w:eastAsia="Times New Roman" w:hAnsiTheme="majorHAnsi" w:cstheme="majorHAnsi"/>
          <w:sz w:val="24"/>
          <w:szCs w:val="24"/>
          <w:lang w:val="ro-RO"/>
        </w:rPr>
        <w:t xml:space="preserve"> бюджете </w:t>
      </w:r>
      <w:r w:rsidR="00DF3986" w:rsidRPr="00DF3986">
        <w:rPr>
          <w:rFonts w:asciiTheme="majorHAnsi" w:eastAsia="Times New Roman" w:hAnsiTheme="majorHAnsi" w:cstheme="majorHAnsi"/>
          <w:sz w:val="24"/>
          <w:szCs w:val="24"/>
          <w:lang w:val="ro-RO"/>
        </w:rPr>
        <w:t xml:space="preserve"> и </w:t>
      </w:r>
      <w:r w:rsidR="00272175">
        <w:rPr>
          <w:rFonts w:asciiTheme="majorHAnsi" w:eastAsia="Times New Roman" w:hAnsiTheme="majorHAnsi" w:cstheme="majorHAnsi"/>
          <w:sz w:val="24"/>
          <w:szCs w:val="24"/>
          <w:lang w:val="ru-RU"/>
        </w:rPr>
        <w:t>с учетом</w:t>
      </w:r>
      <w:r w:rsidR="00DF3986" w:rsidRPr="00DF3986">
        <w:rPr>
          <w:rFonts w:asciiTheme="majorHAnsi" w:eastAsia="Times New Roman" w:hAnsiTheme="majorHAnsi" w:cstheme="majorHAnsi"/>
          <w:sz w:val="24"/>
          <w:szCs w:val="24"/>
          <w:lang w:val="ro-RO"/>
        </w:rPr>
        <w:t xml:space="preserve"> предложений, представленных бюджетными исполнителями, утвержденные </w:t>
      </w:r>
      <w:r>
        <w:rPr>
          <w:rFonts w:asciiTheme="majorHAnsi" w:eastAsia="Times New Roman" w:hAnsiTheme="majorHAnsi" w:cstheme="majorHAnsi"/>
          <w:sz w:val="24"/>
          <w:szCs w:val="24"/>
          <w:lang w:val="ru-RU"/>
        </w:rPr>
        <w:t>П</w:t>
      </w:r>
      <w:r w:rsidR="00DF3986" w:rsidRPr="00DF3986">
        <w:rPr>
          <w:rFonts w:asciiTheme="majorHAnsi" w:eastAsia="Times New Roman" w:hAnsiTheme="majorHAnsi" w:cstheme="majorHAnsi"/>
          <w:sz w:val="24"/>
          <w:szCs w:val="24"/>
          <w:lang w:val="ro-RO"/>
        </w:rPr>
        <w:t xml:space="preserve">арламентом показатели были изменены МФ </w:t>
      </w:r>
      <w:r w:rsidR="00272175">
        <w:rPr>
          <w:rFonts w:asciiTheme="majorHAnsi" w:eastAsia="Times New Roman" w:hAnsiTheme="majorHAnsi" w:cstheme="majorHAnsi"/>
          <w:sz w:val="24"/>
          <w:szCs w:val="24"/>
          <w:lang w:val="ru-RU"/>
        </w:rPr>
        <w:t>в сторону</w:t>
      </w:r>
      <w:r w:rsidR="00DF3986" w:rsidRPr="00DF3986">
        <w:rPr>
          <w:rFonts w:asciiTheme="majorHAnsi" w:eastAsia="Times New Roman" w:hAnsiTheme="majorHAnsi" w:cstheme="majorHAnsi"/>
          <w:sz w:val="24"/>
          <w:szCs w:val="24"/>
          <w:lang w:val="ro-RO"/>
        </w:rPr>
        <w:t xml:space="preserve"> увеличения на 79,7 млн. </w:t>
      </w:r>
      <w:r w:rsidR="00272175">
        <w:rPr>
          <w:rFonts w:asciiTheme="majorHAnsi" w:eastAsia="Times New Roman" w:hAnsiTheme="majorHAnsi" w:cstheme="majorHAnsi"/>
          <w:sz w:val="24"/>
          <w:szCs w:val="24"/>
          <w:lang w:val="ru-RU"/>
        </w:rPr>
        <w:t>л</w:t>
      </w:r>
      <w:r w:rsidR="0025764C">
        <w:rPr>
          <w:rFonts w:asciiTheme="majorHAnsi" w:eastAsia="Times New Roman" w:hAnsiTheme="majorHAnsi" w:cstheme="majorHAnsi"/>
          <w:sz w:val="24"/>
          <w:szCs w:val="24"/>
          <w:lang w:val="ro-RO"/>
        </w:rPr>
        <w:t>еев</w:t>
      </w:r>
      <w:r w:rsidR="00DF3986" w:rsidRPr="00DF3986">
        <w:rPr>
          <w:rFonts w:asciiTheme="majorHAnsi" w:eastAsia="Times New Roman" w:hAnsiTheme="majorHAnsi" w:cstheme="majorHAnsi"/>
          <w:sz w:val="24"/>
          <w:szCs w:val="24"/>
          <w:lang w:val="ro-RO"/>
        </w:rPr>
        <w:t xml:space="preserve">. </w:t>
      </w:r>
      <w:r w:rsidR="00272175">
        <w:rPr>
          <w:rFonts w:asciiTheme="majorHAnsi" w:eastAsia="Times New Roman" w:hAnsiTheme="majorHAnsi" w:cstheme="majorHAnsi"/>
          <w:sz w:val="24"/>
          <w:szCs w:val="24"/>
          <w:lang w:val="ru-RU"/>
        </w:rPr>
        <w:t>В</w:t>
      </w:r>
      <w:r w:rsidR="00B64479">
        <w:rPr>
          <w:rFonts w:asciiTheme="majorHAnsi" w:eastAsia="Times New Roman" w:hAnsiTheme="majorHAnsi" w:cstheme="majorHAnsi"/>
          <w:sz w:val="24"/>
          <w:szCs w:val="24"/>
          <w:lang w:val="ru-RU"/>
        </w:rPr>
        <w:t>лиян</w:t>
      </w:r>
      <w:r w:rsidR="00272175">
        <w:rPr>
          <w:rFonts w:asciiTheme="majorHAnsi" w:eastAsia="Times New Roman" w:hAnsiTheme="majorHAnsi" w:cstheme="majorHAnsi"/>
          <w:sz w:val="24"/>
          <w:szCs w:val="24"/>
          <w:lang w:val="ru-RU"/>
        </w:rPr>
        <w:t>ие</w:t>
      </w:r>
      <w:r w:rsidR="00DF3986" w:rsidRPr="00DF3986">
        <w:rPr>
          <w:rFonts w:asciiTheme="majorHAnsi" w:eastAsia="Times New Roman" w:hAnsiTheme="majorHAnsi" w:cstheme="majorHAnsi"/>
          <w:sz w:val="24"/>
          <w:szCs w:val="24"/>
          <w:lang w:val="ro-RO"/>
        </w:rPr>
        <w:t xml:space="preserve"> пандемии и последствия засухи привели к срочному и </w:t>
      </w:r>
      <w:r w:rsidR="00272175">
        <w:rPr>
          <w:rFonts w:asciiTheme="majorHAnsi" w:eastAsia="Times New Roman" w:hAnsiTheme="majorHAnsi" w:cstheme="majorHAnsi"/>
          <w:sz w:val="24"/>
          <w:szCs w:val="24"/>
          <w:lang w:val="ru-RU"/>
        </w:rPr>
        <w:t>существен</w:t>
      </w:r>
      <w:r w:rsidR="00DF3986" w:rsidRPr="00DF3986">
        <w:rPr>
          <w:rFonts w:asciiTheme="majorHAnsi" w:eastAsia="Times New Roman" w:hAnsiTheme="majorHAnsi" w:cstheme="majorHAnsi"/>
          <w:sz w:val="24"/>
          <w:szCs w:val="24"/>
          <w:lang w:val="ro-RO"/>
        </w:rPr>
        <w:t>ному пересмотру основных бюджетных показателей.</w:t>
      </w:r>
      <w:r w:rsidR="007131DC" w:rsidRPr="00F55BA6">
        <w:rPr>
          <w:rFonts w:asciiTheme="majorHAnsi" w:hAnsiTheme="majorHAnsi" w:cstheme="majorHAnsi"/>
          <w:sz w:val="24"/>
          <w:szCs w:val="24"/>
          <w:lang w:val="ro-RO"/>
        </w:rPr>
        <w:t xml:space="preserve"> </w:t>
      </w:r>
    </w:p>
    <w:p w:rsidR="007131DC" w:rsidRPr="00F55BA6" w:rsidRDefault="00DF3986" w:rsidP="007131DC">
      <w:pPr>
        <w:spacing w:after="0" w:line="276" w:lineRule="auto"/>
        <w:rPr>
          <w:rFonts w:asciiTheme="majorHAnsi" w:eastAsia="Times New Roman" w:hAnsiTheme="majorHAnsi" w:cstheme="majorHAnsi"/>
          <w:sz w:val="24"/>
          <w:szCs w:val="24"/>
          <w:lang w:val="ro-RO"/>
        </w:rPr>
      </w:pPr>
      <w:r w:rsidRPr="00DF3986">
        <w:rPr>
          <w:rFonts w:asciiTheme="majorHAnsi" w:hAnsiTheme="majorHAnsi" w:cstheme="majorHAnsi"/>
          <w:sz w:val="24"/>
          <w:szCs w:val="24"/>
          <w:lang w:val="ro-RO"/>
        </w:rPr>
        <w:t xml:space="preserve">Так, основными факторами, определяющими изменения в </w:t>
      </w:r>
      <w:r w:rsidR="008F632D">
        <w:rPr>
          <w:rFonts w:asciiTheme="majorHAnsi" w:hAnsiTheme="majorHAnsi" w:cstheme="majorHAnsi"/>
          <w:sz w:val="24"/>
          <w:szCs w:val="24"/>
          <w:lang w:val="ro-RO"/>
        </w:rPr>
        <w:t>ГБ</w:t>
      </w:r>
      <w:r w:rsidRPr="00DF3986">
        <w:rPr>
          <w:rFonts w:asciiTheme="majorHAnsi" w:hAnsiTheme="majorHAnsi" w:cstheme="majorHAnsi"/>
          <w:sz w:val="24"/>
          <w:szCs w:val="24"/>
          <w:lang w:val="ro-RO"/>
        </w:rPr>
        <w:t xml:space="preserve"> на 2020 год, являются: </w:t>
      </w:r>
      <w:r w:rsidRPr="00B64479">
        <w:rPr>
          <w:rFonts w:asciiTheme="majorHAnsi" w:hAnsiTheme="majorHAnsi" w:cstheme="majorHAnsi"/>
          <w:i/>
          <w:sz w:val="24"/>
          <w:szCs w:val="24"/>
          <w:lang w:val="ro-RO"/>
        </w:rPr>
        <w:t>(i)</w:t>
      </w:r>
      <w:r w:rsidRPr="00DF3986">
        <w:rPr>
          <w:rFonts w:asciiTheme="majorHAnsi" w:hAnsiTheme="majorHAnsi" w:cstheme="majorHAnsi"/>
          <w:sz w:val="24"/>
          <w:szCs w:val="24"/>
          <w:lang w:val="ro-RO"/>
        </w:rPr>
        <w:t xml:space="preserve"> влияние пандемии COVID-19 на национальную экономику; </w:t>
      </w:r>
      <w:r w:rsidRPr="00B64479">
        <w:rPr>
          <w:rFonts w:asciiTheme="majorHAnsi" w:hAnsiTheme="majorHAnsi" w:cstheme="majorHAnsi"/>
          <w:i/>
          <w:sz w:val="24"/>
          <w:szCs w:val="24"/>
          <w:lang w:val="ro-RO"/>
        </w:rPr>
        <w:t>(ii)</w:t>
      </w:r>
      <w:r w:rsidRPr="00DF3986">
        <w:rPr>
          <w:rFonts w:asciiTheme="majorHAnsi" w:hAnsiTheme="majorHAnsi" w:cstheme="majorHAnsi"/>
          <w:sz w:val="24"/>
          <w:szCs w:val="24"/>
          <w:lang w:val="ro-RO"/>
        </w:rPr>
        <w:t xml:space="preserve"> корректировка сумм </w:t>
      </w:r>
      <w:r w:rsidR="00B64479">
        <w:rPr>
          <w:rFonts w:asciiTheme="majorHAnsi" w:hAnsiTheme="majorHAnsi" w:cstheme="majorHAnsi"/>
          <w:sz w:val="24"/>
          <w:szCs w:val="24"/>
          <w:lang w:val="ru-RU"/>
        </w:rPr>
        <w:t>поступлений от</w:t>
      </w:r>
      <w:r w:rsidRPr="00DF3986">
        <w:rPr>
          <w:rFonts w:asciiTheme="majorHAnsi" w:hAnsiTheme="majorHAnsi" w:cstheme="majorHAnsi"/>
          <w:sz w:val="24"/>
          <w:szCs w:val="24"/>
          <w:lang w:val="ro-RO"/>
        </w:rPr>
        <w:t xml:space="preserve"> грантов и </w:t>
      </w:r>
      <w:r w:rsidR="00B64479">
        <w:rPr>
          <w:rFonts w:asciiTheme="majorHAnsi" w:hAnsiTheme="majorHAnsi" w:cstheme="majorHAnsi"/>
          <w:sz w:val="24"/>
          <w:szCs w:val="24"/>
          <w:lang w:val="ru-RU"/>
        </w:rPr>
        <w:t>займ</w:t>
      </w:r>
      <w:r w:rsidRPr="00DF3986">
        <w:rPr>
          <w:rFonts w:asciiTheme="majorHAnsi" w:hAnsiTheme="majorHAnsi" w:cstheme="majorHAnsi"/>
          <w:sz w:val="24"/>
          <w:szCs w:val="24"/>
          <w:lang w:val="ro-RO"/>
        </w:rPr>
        <w:t xml:space="preserve">ов для бюджетной поддержки и проектов, финансируемых из внешних источников; </w:t>
      </w:r>
      <w:r w:rsidRPr="00B64479">
        <w:rPr>
          <w:rFonts w:asciiTheme="majorHAnsi" w:hAnsiTheme="majorHAnsi" w:cstheme="majorHAnsi"/>
          <w:i/>
          <w:sz w:val="24"/>
          <w:szCs w:val="24"/>
          <w:lang w:val="ro-RO"/>
        </w:rPr>
        <w:t>(iii)</w:t>
      </w:r>
      <w:r w:rsidRPr="00DF3986">
        <w:rPr>
          <w:rFonts w:asciiTheme="majorHAnsi" w:hAnsiTheme="majorHAnsi" w:cstheme="majorHAnsi"/>
          <w:sz w:val="24"/>
          <w:szCs w:val="24"/>
          <w:lang w:val="ro-RO"/>
        </w:rPr>
        <w:t xml:space="preserve"> пересмотр и приоритизация программ расходов, без ущерба для приоритетных расходов, с включением новых программ; </w:t>
      </w:r>
      <w:r w:rsidRPr="00B64479">
        <w:rPr>
          <w:rFonts w:asciiTheme="majorHAnsi" w:hAnsiTheme="majorHAnsi" w:cstheme="majorHAnsi"/>
          <w:i/>
          <w:sz w:val="24"/>
          <w:szCs w:val="24"/>
          <w:lang w:val="ro-RO"/>
        </w:rPr>
        <w:t>(iv)</w:t>
      </w:r>
      <w:r w:rsidRPr="00DF3986">
        <w:rPr>
          <w:rFonts w:asciiTheme="majorHAnsi" w:hAnsiTheme="majorHAnsi" w:cstheme="majorHAnsi"/>
          <w:sz w:val="24"/>
          <w:szCs w:val="24"/>
          <w:lang w:val="ro-RO"/>
        </w:rPr>
        <w:t xml:space="preserve"> компенсация </w:t>
      </w:r>
      <w:r w:rsidR="00B64479" w:rsidRPr="00DF3986">
        <w:rPr>
          <w:rFonts w:asciiTheme="majorHAnsi" w:hAnsiTheme="majorHAnsi" w:cstheme="majorHAnsi"/>
          <w:sz w:val="24"/>
          <w:szCs w:val="24"/>
          <w:lang w:val="ro-RO"/>
        </w:rPr>
        <w:t xml:space="preserve">упущенных </w:t>
      </w:r>
      <w:r w:rsidRPr="00DF3986">
        <w:rPr>
          <w:rFonts w:asciiTheme="majorHAnsi" w:hAnsiTheme="majorHAnsi" w:cstheme="majorHAnsi"/>
          <w:sz w:val="24"/>
          <w:szCs w:val="24"/>
          <w:lang w:val="ro-RO"/>
        </w:rPr>
        <w:t xml:space="preserve">доходов местным бюджетам (192,1 млн. </w:t>
      </w:r>
      <w:r w:rsidR="008E6894">
        <w:rPr>
          <w:rFonts w:asciiTheme="majorHAnsi" w:hAnsiTheme="majorHAnsi" w:cstheme="majorHAnsi"/>
          <w:sz w:val="24"/>
          <w:szCs w:val="24"/>
          <w:lang w:val="ro-RO"/>
        </w:rPr>
        <w:t>леев</w:t>
      </w:r>
      <w:r w:rsidRPr="00DF3986">
        <w:rPr>
          <w:rFonts w:asciiTheme="majorHAnsi" w:hAnsiTheme="majorHAnsi" w:cstheme="majorHAnsi"/>
          <w:sz w:val="24"/>
          <w:szCs w:val="24"/>
          <w:lang w:val="ro-RO"/>
        </w:rPr>
        <w:t>)</w:t>
      </w:r>
      <w:r w:rsidR="00B64479">
        <w:rPr>
          <w:rFonts w:asciiTheme="majorHAnsi" w:hAnsiTheme="majorHAnsi" w:cstheme="majorHAnsi"/>
          <w:sz w:val="24"/>
          <w:szCs w:val="24"/>
          <w:lang w:val="ru-RU"/>
        </w:rPr>
        <w:t xml:space="preserve">, БГСС </w:t>
      </w:r>
      <w:r w:rsidR="00B64479" w:rsidRPr="00F55BA6">
        <w:rPr>
          <w:rFonts w:ascii="Calibri Light" w:hAnsi="Calibri Light" w:cs="Calibri Light"/>
          <w:sz w:val="24"/>
          <w:szCs w:val="24"/>
          <w:lang w:val="ro-RO"/>
        </w:rPr>
        <w:t xml:space="preserve">(682,3 </w:t>
      </w:r>
      <w:r w:rsidR="00B64479" w:rsidRPr="00DF3986">
        <w:rPr>
          <w:rFonts w:asciiTheme="majorHAnsi" w:hAnsiTheme="majorHAnsi" w:cstheme="majorHAnsi"/>
          <w:sz w:val="24"/>
          <w:szCs w:val="24"/>
          <w:lang w:val="ro-RO"/>
        </w:rPr>
        <w:t xml:space="preserve">млн. </w:t>
      </w:r>
      <w:r w:rsidR="00B64479">
        <w:rPr>
          <w:rFonts w:asciiTheme="majorHAnsi" w:hAnsiTheme="majorHAnsi" w:cstheme="majorHAnsi"/>
          <w:sz w:val="24"/>
          <w:szCs w:val="24"/>
          <w:lang w:val="ro-RO"/>
        </w:rPr>
        <w:t>леев</w:t>
      </w:r>
      <w:r w:rsidR="00B64479" w:rsidRPr="00F55BA6">
        <w:rPr>
          <w:rFonts w:ascii="Calibri Light" w:hAnsi="Calibri Light" w:cs="Calibri Light"/>
          <w:sz w:val="24"/>
          <w:szCs w:val="24"/>
          <w:lang w:val="ro-RO"/>
        </w:rPr>
        <w:t xml:space="preserve">) </w:t>
      </w:r>
      <w:r w:rsidRPr="00DF3986">
        <w:rPr>
          <w:rFonts w:asciiTheme="majorHAnsi" w:hAnsiTheme="majorHAnsi" w:cstheme="majorHAnsi"/>
          <w:sz w:val="24"/>
          <w:szCs w:val="24"/>
          <w:lang w:val="ro-RO"/>
        </w:rPr>
        <w:t xml:space="preserve"> и Ф</w:t>
      </w:r>
      <w:r w:rsidR="00B64479">
        <w:rPr>
          <w:rFonts w:asciiTheme="majorHAnsi" w:hAnsiTheme="majorHAnsi" w:cstheme="majorHAnsi"/>
          <w:sz w:val="24"/>
          <w:szCs w:val="24"/>
          <w:lang w:val="ru-RU"/>
        </w:rPr>
        <w:t>ОМС</w:t>
      </w:r>
      <w:r w:rsidRPr="00DF3986">
        <w:rPr>
          <w:rFonts w:asciiTheme="majorHAnsi" w:hAnsiTheme="majorHAnsi" w:cstheme="majorHAnsi"/>
          <w:sz w:val="24"/>
          <w:szCs w:val="24"/>
          <w:lang w:val="ro-RO"/>
        </w:rPr>
        <w:t xml:space="preserve"> (410,6 млн. </w:t>
      </w:r>
      <w:r w:rsidR="008E6894">
        <w:rPr>
          <w:rFonts w:asciiTheme="majorHAnsi" w:hAnsiTheme="majorHAnsi" w:cstheme="majorHAnsi"/>
          <w:sz w:val="24"/>
          <w:szCs w:val="24"/>
          <w:lang w:val="ro-RO"/>
        </w:rPr>
        <w:t>леев</w:t>
      </w:r>
      <w:r w:rsidRPr="00DF3986">
        <w:rPr>
          <w:rFonts w:asciiTheme="majorHAnsi" w:hAnsiTheme="majorHAnsi" w:cstheme="majorHAnsi"/>
          <w:sz w:val="24"/>
          <w:szCs w:val="24"/>
          <w:lang w:val="ro-RO"/>
        </w:rPr>
        <w:t>)</w:t>
      </w:r>
      <w:r w:rsidR="00B64479">
        <w:rPr>
          <w:rFonts w:asciiTheme="majorHAnsi" w:hAnsiTheme="majorHAnsi" w:cstheme="majorHAnsi"/>
          <w:sz w:val="24"/>
          <w:szCs w:val="24"/>
          <w:lang w:val="ru-RU"/>
        </w:rPr>
        <w:t>,</w:t>
      </w:r>
      <w:r w:rsidRPr="00DF3986">
        <w:rPr>
          <w:rFonts w:asciiTheme="majorHAnsi" w:hAnsiTheme="majorHAnsi" w:cstheme="majorHAnsi"/>
          <w:sz w:val="24"/>
          <w:szCs w:val="24"/>
          <w:lang w:val="ro-RO"/>
        </w:rPr>
        <w:t xml:space="preserve"> с сохранением уровня расходов F</w:t>
      </w:r>
      <w:r w:rsidR="00B64479">
        <w:rPr>
          <w:rFonts w:asciiTheme="majorHAnsi" w:hAnsiTheme="majorHAnsi" w:cstheme="majorHAnsi"/>
          <w:sz w:val="24"/>
          <w:szCs w:val="24"/>
          <w:lang w:val="ru-RU"/>
        </w:rPr>
        <w:t>ОМС</w:t>
      </w:r>
      <w:r w:rsidRPr="00DF3986">
        <w:rPr>
          <w:rFonts w:asciiTheme="majorHAnsi" w:hAnsiTheme="majorHAnsi" w:cstheme="majorHAnsi"/>
          <w:sz w:val="24"/>
          <w:szCs w:val="24"/>
          <w:lang w:val="ro-RO"/>
        </w:rPr>
        <w:t>, несмотря на упу</w:t>
      </w:r>
      <w:r w:rsidR="00B64479">
        <w:rPr>
          <w:rFonts w:asciiTheme="majorHAnsi" w:hAnsiTheme="majorHAnsi" w:cstheme="majorHAnsi"/>
          <w:sz w:val="24"/>
          <w:szCs w:val="24"/>
          <w:lang w:val="ru-RU"/>
        </w:rPr>
        <w:t>щенные ими</w:t>
      </w:r>
      <w:r w:rsidRPr="00DF3986">
        <w:rPr>
          <w:rFonts w:asciiTheme="majorHAnsi" w:hAnsiTheme="majorHAnsi" w:cstheme="majorHAnsi"/>
          <w:sz w:val="24"/>
          <w:szCs w:val="24"/>
          <w:lang w:val="ro-RO"/>
        </w:rPr>
        <w:t xml:space="preserve"> доходы. </w:t>
      </w:r>
      <w:r w:rsidRPr="00513928">
        <w:rPr>
          <w:rFonts w:asciiTheme="majorHAnsi" w:hAnsiTheme="majorHAnsi" w:cstheme="majorHAnsi"/>
          <w:i/>
          <w:sz w:val="24"/>
          <w:szCs w:val="24"/>
          <w:lang w:val="ro-RO"/>
        </w:rPr>
        <w:t xml:space="preserve">Синтез внесенных </w:t>
      </w:r>
      <w:r w:rsidR="00B64479" w:rsidRPr="00513928">
        <w:rPr>
          <w:rFonts w:asciiTheme="majorHAnsi" w:hAnsiTheme="majorHAnsi" w:cstheme="majorHAnsi"/>
          <w:i/>
          <w:sz w:val="24"/>
          <w:szCs w:val="24"/>
          <w:lang w:val="ro-RO"/>
        </w:rPr>
        <w:t>изменений</w:t>
      </w:r>
      <w:r w:rsidR="00B64479" w:rsidRPr="00513928">
        <w:rPr>
          <w:rFonts w:asciiTheme="majorHAnsi" w:hAnsiTheme="majorHAnsi" w:cstheme="majorHAnsi"/>
          <w:i/>
          <w:sz w:val="24"/>
          <w:szCs w:val="24"/>
          <w:lang w:val="ru-RU"/>
        </w:rPr>
        <w:t xml:space="preserve"> </w:t>
      </w:r>
      <w:r w:rsidRPr="00513928">
        <w:rPr>
          <w:rFonts w:asciiTheme="majorHAnsi" w:hAnsiTheme="majorHAnsi" w:cstheme="majorHAnsi"/>
          <w:i/>
          <w:sz w:val="24"/>
          <w:szCs w:val="24"/>
          <w:lang w:val="ro-RO"/>
        </w:rPr>
        <w:t xml:space="preserve">в </w:t>
      </w:r>
      <w:r w:rsidRPr="00513928">
        <w:rPr>
          <w:rFonts w:asciiTheme="majorHAnsi" w:hAnsiTheme="majorHAnsi" w:cstheme="majorHAnsi"/>
          <w:i/>
          <w:sz w:val="24"/>
          <w:szCs w:val="24"/>
          <w:lang w:val="ro-RO"/>
        </w:rPr>
        <w:lastRenderedPageBreak/>
        <w:t xml:space="preserve">основные показатели </w:t>
      </w:r>
      <w:r w:rsidR="00513928" w:rsidRPr="00513928">
        <w:rPr>
          <w:rFonts w:asciiTheme="majorHAnsi" w:hAnsiTheme="majorHAnsi" w:cstheme="majorHAnsi"/>
          <w:i/>
          <w:sz w:val="24"/>
          <w:szCs w:val="24"/>
          <w:lang w:val="ru-RU"/>
        </w:rPr>
        <w:t>ГБ</w:t>
      </w:r>
      <w:r w:rsidRPr="00513928">
        <w:rPr>
          <w:rFonts w:asciiTheme="majorHAnsi" w:hAnsiTheme="majorHAnsi" w:cstheme="majorHAnsi"/>
          <w:i/>
          <w:sz w:val="24"/>
          <w:szCs w:val="24"/>
          <w:lang w:val="ro-RO"/>
        </w:rPr>
        <w:t xml:space="preserve"> за 2020 год представлен в Приложении №9 </w:t>
      </w:r>
      <w:r w:rsidR="00997756" w:rsidRPr="00513928">
        <w:rPr>
          <w:rFonts w:asciiTheme="majorHAnsi" w:hAnsiTheme="majorHAnsi" w:cstheme="majorHAnsi"/>
          <w:i/>
          <w:sz w:val="24"/>
          <w:szCs w:val="24"/>
          <w:lang w:val="ro-RO"/>
        </w:rPr>
        <w:t>к настоящему Отчету аудита</w:t>
      </w:r>
      <w:r w:rsidRPr="00513928">
        <w:rPr>
          <w:rFonts w:asciiTheme="majorHAnsi" w:hAnsiTheme="majorHAnsi" w:cstheme="majorHAnsi"/>
          <w:i/>
          <w:sz w:val="24"/>
          <w:szCs w:val="24"/>
          <w:lang w:val="ro-RO"/>
        </w:rPr>
        <w:t>.</w:t>
      </w:r>
      <w:r>
        <w:rPr>
          <w:rFonts w:asciiTheme="majorHAnsi" w:hAnsiTheme="majorHAnsi" w:cstheme="majorHAnsi"/>
          <w:sz w:val="24"/>
          <w:szCs w:val="24"/>
          <w:lang w:val="ru-RU"/>
        </w:rPr>
        <w:t xml:space="preserve"> </w:t>
      </w:r>
    </w:p>
    <w:p w:rsidR="00B2117B" w:rsidRPr="00F55BA6" w:rsidRDefault="00DF3986" w:rsidP="009C3E90">
      <w:pPr>
        <w:spacing w:after="0" w:line="276" w:lineRule="auto"/>
        <w:rPr>
          <w:rFonts w:asciiTheme="majorHAnsi" w:eastAsia="Times New Roman" w:hAnsiTheme="majorHAnsi" w:cstheme="majorHAnsi"/>
          <w:sz w:val="24"/>
          <w:szCs w:val="24"/>
          <w:lang w:val="ro-RO"/>
        </w:rPr>
      </w:pPr>
      <w:r w:rsidRPr="00DF3986">
        <w:rPr>
          <w:rFonts w:asciiTheme="majorHAnsi" w:eastAsia="Times New Roman" w:hAnsiTheme="majorHAnsi" w:cstheme="majorHAnsi"/>
          <w:sz w:val="24"/>
          <w:szCs w:val="24"/>
          <w:lang w:val="ro-RO"/>
        </w:rPr>
        <w:t>Анализируя данные об исполнении гос</w:t>
      </w:r>
      <w:r w:rsidR="00513928">
        <w:rPr>
          <w:rFonts w:asciiTheme="majorHAnsi" w:eastAsia="Times New Roman" w:hAnsiTheme="majorHAnsi" w:cstheme="majorHAnsi"/>
          <w:sz w:val="24"/>
          <w:szCs w:val="24"/>
          <w:lang w:val="ru-RU"/>
        </w:rPr>
        <w:t xml:space="preserve">ударственного </w:t>
      </w:r>
      <w:r w:rsidRPr="00DF3986">
        <w:rPr>
          <w:rFonts w:asciiTheme="majorHAnsi" w:eastAsia="Times New Roman" w:hAnsiTheme="majorHAnsi" w:cstheme="majorHAnsi"/>
          <w:sz w:val="24"/>
          <w:szCs w:val="24"/>
          <w:lang w:val="ro-RO"/>
        </w:rPr>
        <w:t>бюджета на 2020 год, по сравнению с у</w:t>
      </w:r>
      <w:r w:rsidR="00513928">
        <w:rPr>
          <w:rFonts w:asciiTheme="majorHAnsi" w:eastAsia="Times New Roman" w:hAnsiTheme="majorHAnsi" w:cstheme="majorHAnsi"/>
          <w:sz w:val="24"/>
          <w:szCs w:val="24"/>
          <w:lang w:val="ru-RU"/>
        </w:rPr>
        <w:t>точне</w:t>
      </w:r>
      <w:r w:rsidRPr="00DF3986">
        <w:rPr>
          <w:rFonts w:asciiTheme="majorHAnsi" w:eastAsia="Times New Roman" w:hAnsiTheme="majorHAnsi" w:cstheme="majorHAnsi"/>
          <w:sz w:val="24"/>
          <w:szCs w:val="24"/>
          <w:lang w:val="ro-RO"/>
        </w:rPr>
        <w:t xml:space="preserve">нными показателями, </w:t>
      </w:r>
      <w:r w:rsidR="00513928">
        <w:rPr>
          <w:rFonts w:asciiTheme="majorHAnsi" w:eastAsia="Times New Roman" w:hAnsiTheme="majorHAnsi" w:cstheme="majorHAnsi"/>
          <w:sz w:val="24"/>
          <w:szCs w:val="24"/>
          <w:lang w:val="ru-RU"/>
        </w:rPr>
        <w:t>с учетом</w:t>
      </w:r>
      <w:r w:rsidRPr="00DF3986">
        <w:rPr>
          <w:rFonts w:asciiTheme="majorHAnsi" w:eastAsia="Times New Roman" w:hAnsiTheme="majorHAnsi" w:cstheme="majorHAnsi"/>
          <w:sz w:val="24"/>
          <w:szCs w:val="24"/>
          <w:lang w:val="ro-RO"/>
        </w:rPr>
        <w:t xml:space="preserve"> обязанностей МФ постоянно поддерживать соответствующий бюджетный баланс, аудит </w:t>
      </w:r>
      <w:r w:rsidR="00513928">
        <w:rPr>
          <w:rFonts w:asciiTheme="majorHAnsi" w:eastAsia="Times New Roman" w:hAnsiTheme="majorHAnsi" w:cstheme="majorHAnsi"/>
          <w:sz w:val="24"/>
          <w:szCs w:val="24"/>
          <w:lang w:val="ru-RU"/>
        </w:rPr>
        <w:t>отмеч</w:t>
      </w:r>
      <w:r w:rsidRPr="00DF3986">
        <w:rPr>
          <w:rFonts w:asciiTheme="majorHAnsi" w:eastAsia="Times New Roman" w:hAnsiTheme="majorHAnsi" w:cstheme="majorHAnsi"/>
          <w:sz w:val="24"/>
          <w:szCs w:val="24"/>
          <w:lang w:val="ro-RO"/>
        </w:rPr>
        <w:t xml:space="preserve">ает, что </w:t>
      </w:r>
      <w:r w:rsidR="00513928">
        <w:rPr>
          <w:rFonts w:asciiTheme="majorHAnsi" w:eastAsia="Times New Roman" w:hAnsiTheme="majorHAnsi" w:cstheme="majorHAnsi"/>
          <w:sz w:val="24"/>
          <w:szCs w:val="24"/>
          <w:lang w:val="ru-RU"/>
        </w:rPr>
        <w:t xml:space="preserve">реализованные </w:t>
      </w:r>
      <w:r w:rsidRPr="00DF3986">
        <w:rPr>
          <w:rFonts w:asciiTheme="majorHAnsi" w:eastAsia="Times New Roman" w:hAnsiTheme="majorHAnsi" w:cstheme="majorHAnsi"/>
          <w:sz w:val="24"/>
          <w:szCs w:val="24"/>
          <w:lang w:val="ro-RO"/>
        </w:rPr>
        <w:t xml:space="preserve">поступления в сумме 38 500,5 млн. леев </w:t>
      </w:r>
      <w:r w:rsidR="00513928">
        <w:rPr>
          <w:rFonts w:asciiTheme="majorHAnsi" w:eastAsia="Times New Roman" w:hAnsiTheme="majorHAnsi" w:cstheme="majorHAnsi"/>
          <w:sz w:val="24"/>
          <w:szCs w:val="24"/>
          <w:lang w:val="ru-RU"/>
        </w:rPr>
        <w:t xml:space="preserve">были </w:t>
      </w:r>
      <w:r w:rsidRPr="00DF3986">
        <w:rPr>
          <w:rFonts w:asciiTheme="majorHAnsi" w:eastAsia="Times New Roman" w:hAnsiTheme="majorHAnsi" w:cstheme="majorHAnsi"/>
          <w:sz w:val="24"/>
          <w:szCs w:val="24"/>
          <w:lang w:val="ro-RO"/>
        </w:rPr>
        <w:t>перевыполнен</w:t>
      </w:r>
      <w:r w:rsidR="00513928">
        <w:rPr>
          <w:rFonts w:asciiTheme="majorHAnsi" w:eastAsia="Times New Roman" w:hAnsiTheme="majorHAnsi" w:cstheme="majorHAnsi"/>
          <w:sz w:val="24"/>
          <w:szCs w:val="24"/>
          <w:lang w:val="ru-RU"/>
        </w:rPr>
        <w:t xml:space="preserve">ы </w:t>
      </w:r>
      <w:r w:rsidRPr="00DF3986">
        <w:rPr>
          <w:rFonts w:asciiTheme="majorHAnsi" w:eastAsia="Times New Roman" w:hAnsiTheme="majorHAnsi" w:cstheme="majorHAnsi"/>
          <w:sz w:val="24"/>
          <w:szCs w:val="24"/>
          <w:lang w:val="ro-RO"/>
        </w:rPr>
        <w:t xml:space="preserve">на 1 219,3 млн. </w:t>
      </w:r>
      <w:r w:rsidR="008E6894">
        <w:rPr>
          <w:rFonts w:asciiTheme="majorHAnsi" w:eastAsia="Times New Roman" w:hAnsiTheme="majorHAnsi" w:cstheme="majorHAnsi"/>
          <w:sz w:val="24"/>
          <w:szCs w:val="24"/>
          <w:lang w:val="ro-RO"/>
        </w:rPr>
        <w:t>леев</w:t>
      </w:r>
      <w:r w:rsidRPr="00DF3986">
        <w:rPr>
          <w:rFonts w:asciiTheme="majorHAnsi" w:eastAsia="Times New Roman" w:hAnsiTheme="majorHAnsi" w:cstheme="majorHAnsi"/>
          <w:sz w:val="24"/>
          <w:szCs w:val="24"/>
          <w:lang w:val="ro-RO"/>
        </w:rPr>
        <w:t xml:space="preserve"> (3,3%), а </w:t>
      </w:r>
      <w:r w:rsidR="00513928">
        <w:rPr>
          <w:rFonts w:asciiTheme="majorHAnsi" w:eastAsia="Times New Roman" w:hAnsiTheme="majorHAnsi" w:cstheme="majorHAnsi"/>
          <w:sz w:val="24"/>
          <w:szCs w:val="24"/>
          <w:lang w:val="ru-RU"/>
        </w:rPr>
        <w:t xml:space="preserve">кассовые </w:t>
      </w:r>
      <w:r w:rsidRPr="00DF3986">
        <w:rPr>
          <w:rFonts w:asciiTheme="majorHAnsi" w:eastAsia="Times New Roman" w:hAnsiTheme="majorHAnsi" w:cstheme="majorHAnsi"/>
          <w:sz w:val="24"/>
          <w:szCs w:val="24"/>
          <w:lang w:val="ro-RO"/>
        </w:rPr>
        <w:t xml:space="preserve">расходы в сумме 49 635,4 млн. леев были исполнены ниже уровня </w:t>
      </w:r>
      <w:r w:rsidR="00513928" w:rsidRPr="00DF3986">
        <w:rPr>
          <w:rFonts w:asciiTheme="majorHAnsi" w:eastAsia="Times New Roman" w:hAnsiTheme="majorHAnsi" w:cstheme="majorHAnsi"/>
          <w:sz w:val="24"/>
          <w:szCs w:val="24"/>
          <w:lang w:val="ro-RO"/>
        </w:rPr>
        <w:t xml:space="preserve">уточненных </w:t>
      </w:r>
      <w:r w:rsidRPr="00DF3986">
        <w:rPr>
          <w:rFonts w:asciiTheme="majorHAnsi" w:eastAsia="Times New Roman" w:hAnsiTheme="majorHAnsi" w:cstheme="majorHAnsi"/>
          <w:sz w:val="24"/>
          <w:szCs w:val="24"/>
          <w:lang w:val="ro-RO"/>
        </w:rPr>
        <w:t xml:space="preserve">бюджетных расходов, на (-3 645,2) млн. </w:t>
      </w:r>
      <w:r w:rsidR="00513928">
        <w:rPr>
          <w:rFonts w:asciiTheme="majorHAnsi" w:eastAsia="Times New Roman" w:hAnsiTheme="majorHAnsi" w:cstheme="majorHAnsi"/>
          <w:sz w:val="24"/>
          <w:szCs w:val="24"/>
          <w:lang w:val="ru-RU"/>
        </w:rPr>
        <w:t>лее</w:t>
      </w:r>
      <w:r w:rsidRPr="00DF3986">
        <w:rPr>
          <w:rFonts w:asciiTheme="majorHAnsi" w:eastAsia="Times New Roman" w:hAnsiTheme="majorHAnsi" w:cstheme="majorHAnsi"/>
          <w:sz w:val="24"/>
          <w:szCs w:val="24"/>
          <w:lang w:val="ro-RO"/>
        </w:rPr>
        <w:t xml:space="preserve">в (6,8%). </w:t>
      </w:r>
      <w:r w:rsidRPr="00513928">
        <w:rPr>
          <w:rFonts w:asciiTheme="majorHAnsi" w:eastAsia="Times New Roman" w:hAnsiTheme="majorHAnsi" w:cstheme="majorHAnsi"/>
          <w:i/>
          <w:sz w:val="24"/>
          <w:szCs w:val="24"/>
          <w:lang w:val="ro-RO"/>
        </w:rPr>
        <w:t xml:space="preserve">Анализ общего исполнения </w:t>
      </w:r>
      <w:r w:rsidR="00513928" w:rsidRPr="00513928">
        <w:rPr>
          <w:rFonts w:asciiTheme="majorHAnsi" w:eastAsia="Times New Roman" w:hAnsiTheme="majorHAnsi" w:cstheme="majorHAnsi"/>
          <w:i/>
          <w:sz w:val="24"/>
          <w:szCs w:val="24"/>
          <w:lang w:val="ro-RO"/>
        </w:rPr>
        <w:t>гос</w:t>
      </w:r>
      <w:r w:rsidR="00513928" w:rsidRPr="00513928">
        <w:rPr>
          <w:rFonts w:asciiTheme="majorHAnsi" w:eastAsia="Times New Roman" w:hAnsiTheme="majorHAnsi" w:cstheme="majorHAnsi"/>
          <w:i/>
          <w:sz w:val="24"/>
          <w:szCs w:val="24"/>
          <w:lang w:val="ru-RU"/>
        </w:rPr>
        <w:t xml:space="preserve">ударственного </w:t>
      </w:r>
      <w:r w:rsidR="00513928" w:rsidRPr="00513928">
        <w:rPr>
          <w:rFonts w:asciiTheme="majorHAnsi" w:eastAsia="Times New Roman" w:hAnsiTheme="majorHAnsi" w:cstheme="majorHAnsi"/>
          <w:i/>
          <w:sz w:val="24"/>
          <w:szCs w:val="24"/>
          <w:lang w:val="ro-RO"/>
        </w:rPr>
        <w:t>бюджета</w:t>
      </w:r>
      <w:r w:rsidRPr="00513928">
        <w:rPr>
          <w:rFonts w:asciiTheme="majorHAnsi" w:eastAsia="Times New Roman" w:hAnsiTheme="majorHAnsi" w:cstheme="majorHAnsi"/>
          <w:i/>
          <w:sz w:val="24"/>
          <w:szCs w:val="24"/>
          <w:lang w:val="ro-RO"/>
        </w:rPr>
        <w:t xml:space="preserve"> </w:t>
      </w:r>
      <w:r w:rsidR="00513928" w:rsidRPr="00513928">
        <w:rPr>
          <w:rFonts w:asciiTheme="majorHAnsi" w:eastAsia="Times New Roman" w:hAnsiTheme="majorHAnsi" w:cstheme="majorHAnsi"/>
          <w:i/>
          <w:sz w:val="24"/>
          <w:szCs w:val="24"/>
          <w:lang w:val="ru-RU"/>
        </w:rPr>
        <w:t>з</w:t>
      </w:r>
      <w:r w:rsidRPr="00513928">
        <w:rPr>
          <w:rFonts w:asciiTheme="majorHAnsi" w:eastAsia="Times New Roman" w:hAnsiTheme="majorHAnsi" w:cstheme="majorHAnsi"/>
          <w:i/>
          <w:sz w:val="24"/>
          <w:szCs w:val="24"/>
          <w:lang w:val="ro-RO"/>
        </w:rPr>
        <w:t>а 2020 год представлен в Таблице №2</w:t>
      </w:r>
      <w:r w:rsidRPr="00DF3986">
        <w:rPr>
          <w:rFonts w:asciiTheme="majorHAnsi" w:eastAsia="Times New Roman" w:hAnsiTheme="majorHAnsi" w:cstheme="majorHAnsi"/>
          <w:sz w:val="24"/>
          <w:szCs w:val="24"/>
          <w:lang w:val="ro-RO"/>
        </w:rPr>
        <w:t>.</w:t>
      </w:r>
    </w:p>
    <w:p w:rsidR="00B2117B" w:rsidRPr="00F55BA6" w:rsidRDefault="004C67D5" w:rsidP="00B2117B">
      <w:pPr>
        <w:spacing w:after="0" w:line="240" w:lineRule="auto"/>
        <w:jc w:val="right"/>
        <w:rPr>
          <w:rFonts w:asciiTheme="majorHAnsi" w:eastAsia="Times New Roman" w:hAnsiTheme="majorHAnsi" w:cstheme="majorHAnsi"/>
          <w:i/>
          <w:sz w:val="24"/>
          <w:szCs w:val="24"/>
          <w:lang w:val="ro-RO"/>
        </w:rPr>
      </w:pPr>
      <w:r>
        <w:rPr>
          <w:rFonts w:asciiTheme="majorHAnsi" w:eastAsia="Times New Roman" w:hAnsiTheme="majorHAnsi" w:cstheme="majorHAnsi"/>
          <w:i/>
          <w:sz w:val="24"/>
          <w:szCs w:val="24"/>
          <w:lang w:val="ro-RO"/>
        </w:rPr>
        <w:t>Таблица №</w:t>
      </w:r>
      <w:r w:rsidR="007257D8" w:rsidRPr="00F55BA6">
        <w:rPr>
          <w:rFonts w:asciiTheme="majorHAnsi" w:eastAsia="Times New Roman" w:hAnsiTheme="majorHAnsi" w:cstheme="majorHAnsi"/>
          <w:i/>
          <w:sz w:val="24"/>
          <w:szCs w:val="24"/>
          <w:lang w:val="ro-RO"/>
        </w:rPr>
        <w:t>2</w:t>
      </w:r>
    </w:p>
    <w:p w:rsidR="00B2117B" w:rsidRPr="00513928" w:rsidRDefault="00513928" w:rsidP="00B2117B">
      <w:pPr>
        <w:spacing w:after="0" w:line="240" w:lineRule="auto"/>
        <w:jc w:val="center"/>
        <w:rPr>
          <w:rFonts w:asciiTheme="majorHAnsi" w:eastAsia="Times New Roman" w:hAnsiTheme="majorHAnsi" w:cstheme="majorHAnsi"/>
          <w:sz w:val="24"/>
          <w:szCs w:val="24"/>
          <w:lang w:val="ru-RU"/>
        </w:rPr>
      </w:pPr>
      <w:r w:rsidRPr="00513928">
        <w:rPr>
          <w:rFonts w:asciiTheme="majorHAnsi" w:eastAsia="Times New Roman" w:hAnsiTheme="majorHAnsi" w:cstheme="majorHAnsi"/>
          <w:b/>
          <w:bCs/>
          <w:sz w:val="24"/>
          <w:szCs w:val="24"/>
          <w:lang w:val="ro-RO"/>
        </w:rPr>
        <w:t>Исполнение государственного бюджета</w:t>
      </w:r>
      <w:r w:rsidRPr="00513928">
        <w:rPr>
          <w:rFonts w:asciiTheme="majorHAnsi" w:eastAsia="Times New Roman" w:hAnsiTheme="majorHAnsi" w:cstheme="majorHAnsi"/>
          <w:b/>
          <w:bCs/>
          <w:i/>
          <w:sz w:val="24"/>
          <w:szCs w:val="24"/>
          <w:lang w:val="ro-RO"/>
        </w:rPr>
        <w:t xml:space="preserve"> </w:t>
      </w:r>
      <w:r>
        <w:rPr>
          <w:rFonts w:asciiTheme="majorHAnsi" w:eastAsia="Times New Roman" w:hAnsiTheme="majorHAnsi" w:cstheme="majorHAnsi"/>
          <w:b/>
          <w:bCs/>
          <w:sz w:val="24"/>
          <w:szCs w:val="24"/>
          <w:lang w:val="ru-RU"/>
        </w:rPr>
        <w:t>по отношению к утвержденным и уточненным суммам, за</w:t>
      </w:r>
      <w:r w:rsidR="00B2117B" w:rsidRPr="00F55BA6">
        <w:rPr>
          <w:rFonts w:asciiTheme="majorHAnsi" w:eastAsia="Times New Roman" w:hAnsiTheme="majorHAnsi" w:cstheme="majorHAnsi"/>
          <w:b/>
          <w:bCs/>
          <w:sz w:val="24"/>
          <w:szCs w:val="24"/>
          <w:lang w:val="ro-RO"/>
        </w:rPr>
        <w:t xml:space="preserve"> 2020</w:t>
      </w:r>
      <w:r>
        <w:rPr>
          <w:rFonts w:asciiTheme="majorHAnsi" w:eastAsia="Times New Roman" w:hAnsiTheme="majorHAnsi" w:cstheme="majorHAnsi"/>
          <w:b/>
          <w:bCs/>
          <w:sz w:val="24"/>
          <w:szCs w:val="24"/>
          <w:lang w:val="ru-RU"/>
        </w:rPr>
        <w:t xml:space="preserve"> год</w:t>
      </w:r>
    </w:p>
    <w:tbl>
      <w:tblPr>
        <w:tblStyle w:val="GridTable1Light1"/>
        <w:tblW w:w="5230" w:type="pct"/>
        <w:tblLook w:val="04A0" w:firstRow="1" w:lastRow="0" w:firstColumn="1" w:lastColumn="0" w:noHBand="0" w:noVBand="1"/>
      </w:tblPr>
      <w:tblGrid>
        <w:gridCol w:w="1466"/>
        <w:gridCol w:w="1474"/>
        <w:gridCol w:w="1281"/>
        <w:gridCol w:w="1237"/>
        <w:gridCol w:w="923"/>
        <w:gridCol w:w="821"/>
        <w:gridCol w:w="1200"/>
        <w:gridCol w:w="821"/>
        <w:gridCol w:w="1200"/>
      </w:tblGrid>
      <w:tr w:rsidR="00B14C09" w:rsidRPr="00E4517B" w:rsidTr="001D6EB0">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5000" w:type="pct"/>
            <w:gridSpan w:val="9"/>
          </w:tcPr>
          <w:p w:rsidR="00B2117B" w:rsidRPr="00F55BA6" w:rsidRDefault="00B2117B" w:rsidP="00B2117B">
            <w:pPr>
              <w:jc w:val="right"/>
              <w:rPr>
                <w:rFonts w:asciiTheme="majorHAnsi" w:eastAsia="Times New Roman" w:hAnsiTheme="majorHAnsi" w:cstheme="majorHAnsi"/>
                <w:sz w:val="24"/>
                <w:szCs w:val="24"/>
                <w:lang w:val="ro-RO"/>
              </w:rPr>
            </w:pPr>
            <w:r w:rsidRPr="00F55BA6">
              <w:rPr>
                <w:rFonts w:asciiTheme="majorHAnsi" w:eastAsia="Times New Roman" w:hAnsiTheme="majorHAnsi" w:cstheme="majorHAnsi"/>
                <w:iCs/>
                <w:sz w:val="24"/>
                <w:szCs w:val="24"/>
                <w:lang w:val="ro-RO"/>
              </w:rPr>
              <w:t xml:space="preserve"> (</w:t>
            </w:r>
            <w:r w:rsidR="00513928" w:rsidRPr="00DF3986">
              <w:rPr>
                <w:rFonts w:asciiTheme="majorHAnsi" w:eastAsia="Times New Roman" w:hAnsiTheme="majorHAnsi" w:cstheme="majorHAnsi"/>
                <w:sz w:val="24"/>
                <w:szCs w:val="24"/>
                <w:lang w:val="ro-RO"/>
              </w:rPr>
              <w:t xml:space="preserve">млн. </w:t>
            </w:r>
            <w:r w:rsidR="00513928">
              <w:rPr>
                <w:rFonts w:asciiTheme="majorHAnsi" w:eastAsia="Times New Roman" w:hAnsiTheme="majorHAnsi" w:cstheme="majorHAnsi"/>
                <w:sz w:val="24"/>
                <w:szCs w:val="24"/>
                <w:lang w:val="ru-RU"/>
              </w:rPr>
              <w:t>лее</w:t>
            </w:r>
            <w:r w:rsidR="00513928" w:rsidRPr="00DF3986">
              <w:rPr>
                <w:rFonts w:asciiTheme="majorHAnsi" w:eastAsia="Times New Roman" w:hAnsiTheme="majorHAnsi" w:cstheme="majorHAnsi"/>
                <w:sz w:val="24"/>
                <w:szCs w:val="24"/>
                <w:lang w:val="ro-RO"/>
              </w:rPr>
              <w:t>в</w:t>
            </w:r>
            <w:r w:rsidRPr="00F55BA6">
              <w:rPr>
                <w:rFonts w:asciiTheme="majorHAnsi" w:eastAsia="Times New Roman" w:hAnsiTheme="majorHAnsi" w:cstheme="majorHAnsi"/>
                <w:iCs/>
                <w:sz w:val="24"/>
                <w:szCs w:val="24"/>
                <w:lang w:val="ro-RO"/>
              </w:rPr>
              <w:t xml:space="preserve">) </w:t>
            </w:r>
          </w:p>
        </w:tc>
      </w:tr>
      <w:tr w:rsidR="001D6EB0" w:rsidRPr="00E4517B" w:rsidTr="001D6EB0">
        <w:trPr>
          <w:trHeight w:val="409"/>
        </w:trPr>
        <w:tc>
          <w:tcPr>
            <w:cnfStyle w:val="001000000000" w:firstRow="0" w:lastRow="0" w:firstColumn="1" w:lastColumn="0" w:oddVBand="0" w:evenVBand="0" w:oddHBand="0" w:evenHBand="0" w:firstRowFirstColumn="0" w:firstRowLastColumn="0" w:lastRowFirstColumn="0" w:lastRowLastColumn="0"/>
            <w:tcW w:w="688" w:type="pct"/>
            <w:vMerge w:val="restart"/>
            <w:vAlign w:val="center"/>
            <w:hideMark/>
          </w:tcPr>
          <w:p w:rsidR="00B2117B" w:rsidRPr="00F55BA6" w:rsidRDefault="00513928" w:rsidP="00513928">
            <w:pPr>
              <w:jc w:val="center"/>
              <w:rPr>
                <w:rFonts w:asciiTheme="majorHAnsi" w:eastAsia="Times New Roman" w:hAnsiTheme="majorHAnsi" w:cstheme="majorHAnsi"/>
                <w:sz w:val="20"/>
                <w:szCs w:val="20"/>
                <w:lang w:val="ro-RO"/>
              </w:rPr>
            </w:pPr>
            <w:r>
              <w:rPr>
                <w:rFonts w:asciiTheme="majorHAnsi" w:eastAsia="Times New Roman" w:hAnsiTheme="majorHAnsi" w:cstheme="majorHAnsi"/>
                <w:sz w:val="20"/>
                <w:szCs w:val="20"/>
                <w:lang w:val="ru-RU"/>
              </w:rPr>
              <w:t>Синтетические показатели</w:t>
            </w:r>
          </w:p>
        </w:tc>
        <w:tc>
          <w:tcPr>
            <w:tcW w:w="691" w:type="pct"/>
            <w:vMerge w:val="restart"/>
            <w:vAlign w:val="center"/>
            <w:hideMark/>
          </w:tcPr>
          <w:p w:rsidR="00B2117B" w:rsidRPr="00F55BA6" w:rsidRDefault="00513928" w:rsidP="0051392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r>
              <w:rPr>
                <w:rFonts w:asciiTheme="majorHAnsi" w:eastAsia="Times New Roman" w:hAnsiTheme="majorHAnsi" w:cstheme="majorHAnsi"/>
                <w:b/>
                <w:bCs/>
                <w:sz w:val="20"/>
                <w:szCs w:val="20"/>
                <w:lang w:val="ru-RU"/>
              </w:rPr>
              <w:t>Утвержденные бюджетные показатели</w:t>
            </w:r>
            <w:r w:rsidR="00B2117B" w:rsidRPr="00F55BA6">
              <w:rPr>
                <w:rFonts w:asciiTheme="majorHAnsi" w:eastAsia="Times New Roman" w:hAnsiTheme="majorHAnsi" w:cstheme="majorHAnsi"/>
                <w:b/>
                <w:bCs/>
                <w:sz w:val="20"/>
                <w:szCs w:val="20"/>
                <w:vertAlign w:val="superscript"/>
                <w:lang w:val="ro-RO"/>
              </w:rPr>
              <w:t>*</w:t>
            </w:r>
            <w:r w:rsidR="00B2117B" w:rsidRPr="00F55BA6">
              <w:rPr>
                <w:rFonts w:asciiTheme="majorHAnsi" w:eastAsia="Times New Roman" w:hAnsiTheme="majorHAnsi" w:cstheme="majorHAnsi"/>
                <w:b/>
                <w:bCs/>
                <w:sz w:val="20"/>
                <w:szCs w:val="20"/>
                <w:lang w:val="ro-RO"/>
              </w:rPr>
              <w:t xml:space="preserve"> </w:t>
            </w:r>
          </w:p>
        </w:tc>
        <w:tc>
          <w:tcPr>
            <w:tcW w:w="601" w:type="pct"/>
            <w:vMerge w:val="restart"/>
            <w:vAlign w:val="center"/>
          </w:tcPr>
          <w:p w:rsidR="00B2117B" w:rsidRPr="00F55BA6" w:rsidRDefault="00513928" w:rsidP="0051392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r>
              <w:rPr>
                <w:rFonts w:asciiTheme="majorHAnsi" w:eastAsia="Times New Roman" w:hAnsiTheme="majorHAnsi" w:cstheme="majorHAnsi"/>
                <w:b/>
                <w:bCs/>
                <w:sz w:val="20"/>
                <w:szCs w:val="20"/>
                <w:lang w:val="ru-RU"/>
              </w:rPr>
              <w:t>Показатели, измененные Законом</w:t>
            </w:r>
          </w:p>
        </w:tc>
        <w:tc>
          <w:tcPr>
            <w:tcW w:w="580" w:type="pct"/>
            <w:vMerge w:val="restart"/>
            <w:vAlign w:val="center"/>
            <w:hideMark/>
          </w:tcPr>
          <w:p w:rsidR="00B2117B" w:rsidRPr="00F55BA6" w:rsidRDefault="00513928" w:rsidP="0051392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r w:rsidRPr="00513928">
              <w:rPr>
                <w:rFonts w:asciiTheme="majorHAnsi" w:eastAsia="Times New Roman" w:hAnsiTheme="majorHAnsi" w:cstheme="majorHAnsi"/>
                <w:b/>
                <w:bCs/>
                <w:sz w:val="20"/>
                <w:szCs w:val="20"/>
                <w:lang w:val="ro-RO"/>
              </w:rPr>
              <w:t>Уточненные бюджетные показатели</w:t>
            </w:r>
            <w:r w:rsidRPr="00F55BA6">
              <w:rPr>
                <w:rFonts w:asciiTheme="majorHAnsi" w:eastAsia="Times New Roman" w:hAnsiTheme="majorHAnsi" w:cstheme="majorHAnsi"/>
                <w:b/>
                <w:bCs/>
                <w:sz w:val="20"/>
                <w:szCs w:val="20"/>
                <w:lang w:val="ro-RO"/>
              </w:rPr>
              <w:t xml:space="preserve"> </w:t>
            </w:r>
          </w:p>
        </w:tc>
        <w:tc>
          <w:tcPr>
            <w:tcW w:w="540" w:type="pct"/>
            <w:vMerge w:val="restart"/>
            <w:vAlign w:val="center"/>
            <w:hideMark/>
          </w:tcPr>
          <w:p w:rsidR="00B22E2F" w:rsidRDefault="00513928"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u-RU"/>
              </w:rPr>
            </w:pPr>
            <w:r>
              <w:rPr>
                <w:rFonts w:asciiTheme="majorHAnsi" w:eastAsia="Times New Roman" w:hAnsiTheme="majorHAnsi" w:cstheme="majorHAnsi"/>
                <w:b/>
                <w:bCs/>
                <w:sz w:val="20"/>
                <w:szCs w:val="20"/>
                <w:lang w:val="ru-RU"/>
              </w:rPr>
              <w:t>Испол</w:t>
            </w:r>
          </w:p>
          <w:p w:rsidR="00B2117B" w:rsidRPr="00513928" w:rsidRDefault="00513928"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u-RU"/>
              </w:rPr>
            </w:pPr>
            <w:r>
              <w:rPr>
                <w:rFonts w:asciiTheme="majorHAnsi" w:eastAsia="Times New Roman" w:hAnsiTheme="majorHAnsi" w:cstheme="majorHAnsi"/>
                <w:b/>
                <w:bCs/>
                <w:sz w:val="20"/>
                <w:szCs w:val="20"/>
                <w:lang w:val="ru-RU"/>
              </w:rPr>
              <w:t>нено</w:t>
            </w:r>
          </w:p>
        </w:tc>
        <w:tc>
          <w:tcPr>
            <w:tcW w:w="948" w:type="pct"/>
            <w:gridSpan w:val="2"/>
            <w:vAlign w:val="center"/>
            <w:hideMark/>
          </w:tcPr>
          <w:p w:rsidR="00AB3E31" w:rsidRDefault="00513928" w:rsidP="0051392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u-RU"/>
              </w:rPr>
            </w:pPr>
            <w:r>
              <w:rPr>
                <w:rFonts w:asciiTheme="majorHAnsi" w:eastAsia="Times New Roman" w:hAnsiTheme="majorHAnsi" w:cstheme="majorHAnsi"/>
                <w:b/>
                <w:bCs/>
                <w:sz w:val="20"/>
                <w:szCs w:val="20"/>
                <w:lang w:val="ru-RU"/>
              </w:rPr>
              <w:t>Исполнено</w:t>
            </w:r>
          </w:p>
          <w:p w:rsidR="00B22E2F" w:rsidRDefault="00513928" w:rsidP="0051392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u-RU"/>
              </w:rPr>
            </w:pPr>
            <w:r>
              <w:rPr>
                <w:rFonts w:asciiTheme="majorHAnsi" w:eastAsia="Times New Roman" w:hAnsiTheme="majorHAnsi" w:cstheme="majorHAnsi"/>
                <w:b/>
                <w:bCs/>
                <w:sz w:val="20"/>
                <w:szCs w:val="20"/>
                <w:lang w:val="ru-RU"/>
              </w:rPr>
              <w:t xml:space="preserve"> </w:t>
            </w:r>
            <w:r w:rsidR="00B22E2F">
              <w:rPr>
                <w:rFonts w:asciiTheme="majorHAnsi" w:eastAsia="Times New Roman" w:hAnsiTheme="majorHAnsi" w:cstheme="majorHAnsi"/>
                <w:b/>
                <w:bCs/>
                <w:sz w:val="20"/>
                <w:szCs w:val="20"/>
                <w:lang w:val="ru-RU"/>
              </w:rPr>
              <w:t>п</w:t>
            </w:r>
            <w:r>
              <w:rPr>
                <w:rFonts w:asciiTheme="majorHAnsi" w:eastAsia="Times New Roman" w:hAnsiTheme="majorHAnsi" w:cstheme="majorHAnsi"/>
                <w:b/>
                <w:bCs/>
                <w:sz w:val="20"/>
                <w:szCs w:val="20"/>
                <w:lang w:val="ru-RU"/>
              </w:rPr>
              <w:t>ротив</w:t>
            </w:r>
          </w:p>
          <w:p w:rsidR="00B2117B" w:rsidRPr="00F55BA6" w:rsidRDefault="00513928" w:rsidP="00513928">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r>
              <w:rPr>
                <w:rFonts w:asciiTheme="majorHAnsi" w:eastAsia="Times New Roman" w:hAnsiTheme="majorHAnsi" w:cstheme="majorHAnsi"/>
                <w:b/>
                <w:bCs/>
                <w:sz w:val="20"/>
                <w:szCs w:val="20"/>
                <w:lang w:val="ru-RU"/>
              </w:rPr>
              <w:t xml:space="preserve"> утверждено</w:t>
            </w:r>
          </w:p>
        </w:tc>
        <w:tc>
          <w:tcPr>
            <w:tcW w:w="948" w:type="pct"/>
            <w:gridSpan w:val="2"/>
            <w:vAlign w:val="center"/>
            <w:hideMark/>
          </w:tcPr>
          <w:p w:rsidR="00AB3E31" w:rsidRDefault="00B14C09" w:rsidP="00B14C0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u-RU"/>
              </w:rPr>
            </w:pPr>
            <w:r>
              <w:rPr>
                <w:rFonts w:asciiTheme="majorHAnsi" w:eastAsia="Times New Roman" w:hAnsiTheme="majorHAnsi" w:cstheme="majorHAnsi"/>
                <w:b/>
                <w:bCs/>
                <w:sz w:val="20"/>
                <w:szCs w:val="20"/>
                <w:lang w:val="ru-RU"/>
              </w:rPr>
              <w:t>Исполнено</w:t>
            </w:r>
          </w:p>
          <w:p w:rsidR="00B22E2F" w:rsidRDefault="00B14C09" w:rsidP="00B14C0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u-RU"/>
              </w:rPr>
            </w:pPr>
            <w:r>
              <w:rPr>
                <w:rFonts w:asciiTheme="majorHAnsi" w:eastAsia="Times New Roman" w:hAnsiTheme="majorHAnsi" w:cstheme="majorHAnsi"/>
                <w:b/>
                <w:bCs/>
                <w:sz w:val="20"/>
                <w:szCs w:val="20"/>
                <w:lang w:val="ru-RU"/>
              </w:rPr>
              <w:t xml:space="preserve"> против </w:t>
            </w:r>
          </w:p>
          <w:p w:rsidR="00B2117B" w:rsidRPr="00F55BA6" w:rsidRDefault="00B14C09" w:rsidP="00B14C09">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r>
              <w:rPr>
                <w:rFonts w:asciiTheme="majorHAnsi" w:eastAsia="Times New Roman" w:hAnsiTheme="majorHAnsi" w:cstheme="majorHAnsi"/>
                <w:b/>
                <w:bCs/>
                <w:sz w:val="20"/>
                <w:szCs w:val="20"/>
                <w:lang w:val="ru-RU"/>
              </w:rPr>
              <w:t>уточнено</w:t>
            </w:r>
          </w:p>
        </w:tc>
      </w:tr>
      <w:tr w:rsidR="001D6EB0" w:rsidRPr="00E4517B" w:rsidTr="001D6EB0">
        <w:trPr>
          <w:trHeight w:val="634"/>
        </w:trPr>
        <w:tc>
          <w:tcPr>
            <w:cnfStyle w:val="001000000000" w:firstRow="0" w:lastRow="0" w:firstColumn="1" w:lastColumn="0" w:oddVBand="0" w:evenVBand="0" w:oddHBand="0" w:evenHBand="0" w:firstRowFirstColumn="0" w:firstRowLastColumn="0" w:lastRowFirstColumn="0" w:lastRowLastColumn="0"/>
            <w:tcW w:w="688" w:type="pct"/>
            <w:vMerge/>
            <w:vAlign w:val="center"/>
            <w:hideMark/>
          </w:tcPr>
          <w:p w:rsidR="00B2117B" w:rsidRPr="00F55BA6" w:rsidRDefault="00B2117B" w:rsidP="00B2117B">
            <w:pPr>
              <w:jc w:val="left"/>
              <w:rPr>
                <w:rFonts w:asciiTheme="majorHAnsi" w:eastAsia="Times New Roman" w:hAnsiTheme="majorHAnsi" w:cstheme="majorHAnsi"/>
                <w:sz w:val="20"/>
                <w:szCs w:val="20"/>
                <w:lang w:val="ro-RO"/>
              </w:rPr>
            </w:pPr>
          </w:p>
        </w:tc>
        <w:tc>
          <w:tcPr>
            <w:tcW w:w="691" w:type="pct"/>
            <w:vMerge/>
            <w:vAlign w:val="center"/>
            <w:hideMark/>
          </w:tcPr>
          <w:p w:rsidR="00B2117B" w:rsidRPr="00F55BA6" w:rsidRDefault="00B2117B" w:rsidP="00B2117B">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p>
        </w:tc>
        <w:tc>
          <w:tcPr>
            <w:tcW w:w="601" w:type="pct"/>
            <w:vMerge/>
            <w:vAlign w:val="center"/>
          </w:tcPr>
          <w:p w:rsidR="00B2117B" w:rsidRPr="00F55BA6" w:rsidRDefault="00B2117B" w:rsidP="00B2117B">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p>
        </w:tc>
        <w:tc>
          <w:tcPr>
            <w:tcW w:w="580" w:type="pct"/>
            <w:vMerge/>
            <w:vAlign w:val="center"/>
            <w:hideMark/>
          </w:tcPr>
          <w:p w:rsidR="00B2117B" w:rsidRPr="00F55BA6" w:rsidRDefault="00B2117B" w:rsidP="00B2117B">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p>
        </w:tc>
        <w:tc>
          <w:tcPr>
            <w:tcW w:w="540" w:type="pct"/>
            <w:vMerge/>
            <w:vAlign w:val="center"/>
            <w:hideMark/>
          </w:tcPr>
          <w:p w:rsidR="00B2117B" w:rsidRPr="00F55BA6" w:rsidRDefault="00B2117B" w:rsidP="00B2117B">
            <w:pPr>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lang w:val="ro-RO"/>
              </w:rPr>
            </w:pPr>
          </w:p>
        </w:tc>
        <w:tc>
          <w:tcPr>
            <w:tcW w:w="385" w:type="pct"/>
            <w:vAlign w:val="center"/>
            <w:hideMark/>
          </w:tcPr>
          <w:p w:rsidR="00B2117B" w:rsidRPr="00F55BA6" w:rsidRDefault="00B14C09"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RO"/>
              </w:rPr>
            </w:pPr>
            <w:r>
              <w:rPr>
                <w:rFonts w:asciiTheme="majorHAnsi" w:eastAsia="Times New Roman" w:hAnsiTheme="majorHAnsi" w:cstheme="majorHAnsi"/>
                <w:bCs/>
                <w:i/>
                <w:sz w:val="20"/>
                <w:szCs w:val="20"/>
                <w:lang w:val="ru-RU"/>
              </w:rPr>
              <w:t>сумма</w:t>
            </w:r>
            <w:r w:rsidR="00B2117B" w:rsidRPr="00F55BA6">
              <w:rPr>
                <w:rFonts w:asciiTheme="majorHAnsi" w:eastAsia="Times New Roman" w:hAnsiTheme="majorHAnsi" w:cstheme="majorHAnsi"/>
                <w:bCs/>
                <w:i/>
                <w:sz w:val="20"/>
                <w:szCs w:val="20"/>
                <w:lang w:val="ro-RO"/>
              </w:rPr>
              <w:br/>
              <w:t>(+/-)</w:t>
            </w:r>
          </w:p>
        </w:tc>
        <w:tc>
          <w:tcPr>
            <w:tcW w:w="563" w:type="pct"/>
            <w:vAlign w:val="center"/>
            <w:hideMark/>
          </w:tcPr>
          <w:p w:rsidR="00B2117B" w:rsidRPr="00F55BA6" w:rsidRDefault="00B14C09"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RO"/>
              </w:rPr>
            </w:pPr>
            <w:r>
              <w:rPr>
                <w:rFonts w:asciiTheme="majorHAnsi" w:eastAsia="Times New Roman" w:hAnsiTheme="majorHAnsi" w:cstheme="majorHAnsi"/>
                <w:bCs/>
                <w:i/>
                <w:sz w:val="20"/>
                <w:szCs w:val="20"/>
                <w:lang w:val="ru-RU"/>
              </w:rPr>
              <w:t>уровень исполнения</w:t>
            </w:r>
            <w:r w:rsidR="00B2117B" w:rsidRPr="00F55BA6">
              <w:rPr>
                <w:rFonts w:asciiTheme="majorHAnsi" w:eastAsia="Times New Roman" w:hAnsiTheme="majorHAnsi" w:cstheme="majorHAnsi"/>
                <w:bCs/>
                <w:i/>
                <w:sz w:val="20"/>
                <w:szCs w:val="20"/>
                <w:lang w:val="ro-RO"/>
              </w:rPr>
              <w:br/>
              <w:t>(%)</w:t>
            </w:r>
          </w:p>
        </w:tc>
        <w:tc>
          <w:tcPr>
            <w:tcW w:w="385" w:type="pct"/>
            <w:vAlign w:val="center"/>
            <w:hideMark/>
          </w:tcPr>
          <w:p w:rsidR="00B2117B" w:rsidRPr="00F55BA6" w:rsidRDefault="00B14C09"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RO"/>
              </w:rPr>
            </w:pPr>
            <w:r>
              <w:rPr>
                <w:rFonts w:asciiTheme="majorHAnsi" w:eastAsia="Times New Roman" w:hAnsiTheme="majorHAnsi" w:cstheme="majorHAnsi"/>
                <w:bCs/>
                <w:i/>
                <w:sz w:val="20"/>
                <w:szCs w:val="20"/>
                <w:lang w:val="ru-RU"/>
              </w:rPr>
              <w:t>сумма</w:t>
            </w:r>
            <w:r w:rsidR="00B2117B" w:rsidRPr="00F55BA6">
              <w:rPr>
                <w:rFonts w:asciiTheme="majorHAnsi" w:eastAsia="Times New Roman" w:hAnsiTheme="majorHAnsi" w:cstheme="majorHAnsi"/>
                <w:bCs/>
                <w:i/>
                <w:sz w:val="20"/>
                <w:szCs w:val="20"/>
                <w:lang w:val="ro-RO"/>
              </w:rPr>
              <w:br/>
              <w:t>(+/-)</w:t>
            </w:r>
          </w:p>
        </w:tc>
        <w:tc>
          <w:tcPr>
            <w:tcW w:w="563" w:type="pct"/>
            <w:vAlign w:val="center"/>
            <w:hideMark/>
          </w:tcPr>
          <w:p w:rsidR="00B2117B" w:rsidRPr="00F55BA6" w:rsidRDefault="00B14C09"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20"/>
                <w:szCs w:val="20"/>
                <w:lang w:val="ro-RO"/>
              </w:rPr>
            </w:pPr>
            <w:r>
              <w:rPr>
                <w:rFonts w:asciiTheme="majorHAnsi" w:eastAsia="Times New Roman" w:hAnsiTheme="majorHAnsi" w:cstheme="majorHAnsi"/>
                <w:bCs/>
                <w:i/>
                <w:sz w:val="20"/>
                <w:szCs w:val="20"/>
                <w:lang w:val="ru-RU"/>
              </w:rPr>
              <w:t>уровень исполнения</w:t>
            </w:r>
            <w:r w:rsidR="00B2117B" w:rsidRPr="00F55BA6">
              <w:rPr>
                <w:rFonts w:asciiTheme="majorHAnsi" w:eastAsia="Times New Roman" w:hAnsiTheme="majorHAnsi" w:cstheme="majorHAnsi"/>
                <w:bCs/>
                <w:i/>
                <w:sz w:val="20"/>
                <w:szCs w:val="20"/>
                <w:lang w:val="ro-RO"/>
              </w:rPr>
              <w:br/>
              <w:t>(%)</w:t>
            </w:r>
          </w:p>
        </w:tc>
      </w:tr>
      <w:tr w:rsidR="001D6EB0" w:rsidRPr="00E4517B" w:rsidTr="001D6EB0">
        <w:trPr>
          <w:trHeight w:val="165"/>
        </w:trPr>
        <w:tc>
          <w:tcPr>
            <w:cnfStyle w:val="001000000000" w:firstRow="0" w:lastRow="0" w:firstColumn="1" w:lastColumn="0" w:oddVBand="0" w:evenVBand="0" w:oddHBand="0" w:evenHBand="0" w:firstRowFirstColumn="0" w:firstRowLastColumn="0" w:lastRowFirstColumn="0" w:lastRowLastColumn="0"/>
            <w:tcW w:w="688" w:type="pct"/>
            <w:hideMark/>
          </w:tcPr>
          <w:p w:rsidR="00B2117B" w:rsidRPr="00F55BA6" w:rsidRDefault="00B2117B" w:rsidP="00B2117B">
            <w:pPr>
              <w:jc w:val="center"/>
              <w:rPr>
                <w:rFonts w:asciiTheme="majorHAnsi" w:eastAsia="Times New Roman" w:hAnsiTheme="majorHAnsi" w:cstheme="majorHAnsi"/>
                <w:i/>
                <w:sz w:val="16"/>
                <w:szCs w:val="16"/>
                <w:lang w:val="ro-RO"/>
              </w:rPr>
            </w:pPr>
            <w:r w:rsidRPr="00F55BA6">
              <w:rPr>
                <w:rFonts w:asciiTheme="majorHAnsi" w:eastAsia="Times New Roman" w:hAnsiTheme="majorHAnsi" w:cstheme="majorHAnsi"/>
                <w:i/>
                <w:sz w:val="16"/>
                <w:szCs w:val="16"/>
                <w:lang w:val="ro-RO"/>
              </w:rPr>
              <w:t>1</w:t>
            </w:r>
          </w:p>
        </w:tc>
        <w:tc>
          <w:tcPr>
            <w:tcW w:w="691" w:type="pct"/>
            <w:hideMark/>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RO"/>
              </w:rPr>
            </w:pPr>
            <w:r w:rsidRPr="00F55BA6">
              <w:rPr>
                <w:rFonts w:asciiTheme="majorHAnsi" w:eastAsia="Times New Roman" w:hAnsiTheme="majorHAnsi" w:cstheme="majorHAnsi"/>
                <w:bCs/>
                <w:i/>
                <w:sz w:val="16"/>
                <w:szCs w:val="16"/>
                <w:lang w:val="ro-RO"/>
              </w:rPr>
              <w:t>2</w:t>
            </w:r>
          </w:p>
        </w:tc>
        <w:tc>
          <w:tcPr>
            <w:tcW w:w="601" w:type="pct"/>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RO"/>
              </w:rPr>
            </w:pPr>
            <w:r w:rsidRPr="00F55BA6">
              <w:rPr>
                <w:rFonts w:asciiTheme="majorHAnsi" w:eastAsia="Times New Roman" w:hAnsiTheme="majorHAnsi" w:cstheme="majorHAnsi"/>
                <w:bCs/>
                <w:i/>
                <w:sz w:val="16"/>
                <w:szCs w:val="16"/>
                <w:lang w:val="ro-RO"/>
              </w:rPr>
              <w:t>3</w:t>
            </w:r>
          </w:p>
        </w:tc>
        <w:tc>
          <w:tcPr>
            <w:tcW w:w="580" w:type="pct"/>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RO"/>
              </w:rPr>
            </w:pPr>
            <w:r w:rsidRPr="00F55BA6">
              <w:rPr>
                <w:rFonts w:asciiTheme="majorHAnsi" w:eastAsia="Times New Roman" w:hAnsiTheme="majorHAnsi" w:cstheme="majorHAnsi"/>
                <w:bCs/>
                <w:i/>
                <w:sz w:val="16"/>
                <w:szCs w:val="16"/>
                <w:lang w:val="ro-RO"/>
              </w:rPr>
              <w:t>4</w:t>
            </w:r>
          </w:p>
        </w:tc>
        <w:tc>
          <w:tcPr>
            <w:tcW w:w="540" w:type="pct"/>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RO"/>
              </w:rPr>
            </w:pPr>
            <w:r w:rsidRPr="00F55BA6">
              <w:rPr>
                <w:rFonts w:asciiTheme="majorHAnsi" w:eastAsia="Times New Roman" w:hAnsiTheme="majorHAnsi" w:cstheme="majorHAnsi"/>
                <w:bCs/>
                <w:i/>
                <w:sz w:val="16"/>
                <w:szCs w:val="16"/>
                <w:lang w:val="ro-RO"/>
              </w:rPr>
              <w:t>5</w:t>
            </w:r>
          </w:p>
        </w:tc>
        <w:tc>
          <w:tcPr>
            <w:tcW w:w="385" w:type="pct"/>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RO"/>
              </w:rPr>
            </w:pPr>
            <w:r w:rsidRPr="00F55BA6">
              <w:rPr>
                <w:rFonts w:asciiTheme="majorHAnsi" w:eastAsia="Times New Roman" w:hAnsiTheme="majorHAnsi" w:cstheme="majorHAnsi"/>
                <w:bCs/>
                <w:i/>
                <w:sz w:val="16"/>
                <w:szCs w:val="16"/>
                <w:lang w:val="ro-RO"/>
              </w:rPr>
              <w:t>6=5-2</w:t>
            </w:r>
          </w:p>
        </w:tc>
        <w:tc>
          <w:tcPr>
            <w:tcW w:w="563" w:type="pct"/>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RO"/>
              </w:rPr>
            </w:pPr>
            <w:r w:rsidRPr="00F55BA6">
              <w:rPr>
                <w:rFonts w:asciiTheme="majorHAnsi" w:eastAsia="Times New Roman" w:hAnsiTheme="majorHAnsi" w:cstheme="majorHAnsi"/>
                <w:bCs/>
                <w:i/>
                <w:sz w:val="16"/>
                <w:szCs w:val="16"/>
                <w:lang w:val="ro-RO"/>
              </w:rPr>
              <w:t>7=5/2*100</w:t>
            </w:r>
          </w:p>
        </w:tc>
        <w:tc>
          <w:tcPr>
            <w:tcW w:w="385" w:type="pct"/>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RO"/>
              </w:rPr>
            </w:pPr>
            <w:r w:rsidRPr="00F55BA6">
              <w:rPr>
                <w:rFonts w:asciiTheme="majorHAnsi" w:eastAsia="Times New Roman" w:hAnsiTheme="majorHAnsi" w:cstheme="majorHAnsi"/>
                <w:bCs/>
                <w:i/>
                <w:sz w:val="16"/>
                <w:szCs w:val="16"/>
                <w:lang w:val="ro-RO"/>
              </w:rPr>
              <w:t>8=5-4</w:t>
            </w:r>
          </w:p>
        </w:tc>
        <w:tc>
          <w:tcPr>
            <w:tcW w:w="563" w:type="pct"/>
          </w:tcPr>
          <w:p w:rsidR="00B2117B" w:rsidRPr="00F55BA6" w:rsidRDefault="00B2117B" w:rsidP="00B2117B">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i/>
                <w:sz w:val="16"/>
                <w:szCs w:val="16"/>
                <w:lang w:val="ro-RO"/>
              </w:rPr>
            </w:pPr>
            <w:r w:rsidRPr="00F55BA6">
              <w:rPr>
                <w:rFonts w:asciiTheme="majorHAnsi" w:eastAsia="Times New Roman" w:hAnsiTheme="majorHAnsi" w:cstheme="majorHAnsi"/>
                <w:bCs/>
                <w:i/>
                <w:sz w:val="16"/>
                <w:szCs w:val="16"/>
                <w:lang w:val="ro-RO"/>
              </w:rPr>
              <w:t>9=5/4*100</w:t>
            </w:r>
          </w:p>
        </w:tc>
      </w:tr>
      <w:tr w:rsidR="001D6EB0" w:rsidRPr="00E4517B" w:rsidTr="001D6EB0">
        <w:trPr>
          <w:trHeight w:val="409"/>
        </w:trPr>
        <w:tc>
          <w:tcPr>
            <w:cnfStyle w:val="001000000000" w:firstRow="0" w:lastRow="0" w:firstColumn="1" w:lastColumn="0" w:oddVBand="0" w:evenVBand="0" w:oddHBand="0" w:evenHBand="0" w:firstRowFirstColumn="0" w:firstRowLastColumn="0" w:lastRowFirstColumn="0" w:lastRowLastColumn="0"/>
            <w:tcW w:w="688" w:type="pct"/>
            <w:hideMark/>
          </w:tcPr>
          <w:p w:rsidR="00B2117B" w:rsidRPr="00F55BA6" w:rsidRDefault="00B14C09" w:rsidP="00B14C09">
            <w:pPr>
              <w:jc w:val="left"/>
              <w:rPr>
                <w:rFonts w:asciiTheme="majorHAnsi" w:eastAsia="Times New Roman" w:hAnsiTheme="majorHAnsi" w:cstheme="majorHAnsi"/>
                <w:sz w:val="20"/>
                <w:szCs w:val="20"/>
                <w:lang w:val="ro-RO"/>
              </w:rPr>
            </w:pPr>
            <w:r>
              <w:rPr>
                <w:rFonts w:asciiTheme="majorHAnsi" w:eastAsia="Times New Roman" w:hAnsiTheme="majorHAnsi" w:cstheme="majorHAnsi"/>
                <w:iCs/>
                <w:sz w:val="20"/>
                <w:szCs w:val="20"/>
                <w:lang w:val="ru-RU"/>
              </w:rPr>
              <w:t>Доходы</w:t>
            </w:r>
          </w:p>
        </w:tc>
        <w:tc>
          <w:tcPr>
            <w:tcW w:w="691"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44.136,6</w:t>
            </w:r>
          </w:p>
        </w:tc>
        <w:tc>
          <w:tcPr>
            <w:tcW w:w="601"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37.201,5</w:t>
            </w:r>
          </w:p>
        </w:tc>
        <w:tc>
          <w:tcPr>
            <w:tcW w:w="580"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37.281,2</w:t>
            </w:r>
          </w:p>
        </w:tc>
        <w:tc>
          <w:tcPr>
            <w:tcW w:w="540"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38.500,5</w:t>
            </w:r>
          </w:p>
        </w:tc>
        <w:tc>
          <w:tcPr>
            <w:tcW w:w="385" w:type="pct"/>
            <w:tcBorders>
              <w:top w:val="nil"/>
              <w:left w:val="nil"/>
              <w:bottom w:val="single" w:sz="8" w:space="0" w:color="999999"/>
              <w:right w:val="single" w:sz="8" w:space="0" w:color="999999"/>
            </w:tcBorders>
            <w:shd w:val="clear" w:color="auto" w:fill="auto"/>
            <w:vAlign w:val="center"/>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-5.636,1</w:t>
            </w:r>
          </w:p>
        </w:tc>
        <w:tc>
          <w:tcPr>
            <w:tcW w:w="563" w:type="pct"/>
            <w:tcBorders>
              <w:top w:val="nil"/>
              <w:left w:val="nil"/>
              <w:bottom w:val="single" w:sz="8" w:space="0" w:color="999999"/>
              <w:right w:val="single" w:sz="8" w:space="0" w:color="999999"/>
            </w:tcBorders>
            <w:shd w:val="clear" w:color="auto" w:fill="auto"/>
            <w:vAlign w:val="center"/>
          </w:tcPr>
          <w:p w:rsidR="00B2117B" w:rsidRPr="00E4517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87,2</w:t>
            </w:r>
          </w:p>
        </w:tc>
        <w:tc>
          <w:tcPr>
            <w:tcW w:w="385" w:type="pct"/>
            <w:tcBorders>
              <w:top w:val="nil"/>
              <w:left w:val="nil"/>
              <w:bottom w:val="single" w:sz="8" w:space="0" w:color="999999"/>
              <w:right w:val="single" w:sz="8" w:space="0" w:color="999999"/>
            </w:tcBorders>
            <w:shd w:val="clear" w:color="auto" w:fill="auto"/>
            <w:vAlign w:val="center"/>
          </w:tcPr>
          <w:p w:rsidR="00B2117B" w:rsidRPr="00E4517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1.219,3</w:t>
            </w:r>
          </w:p>
        </w:tc>
        <w:tc>
          <w:tcPr>
            <w:tcW w:w="563" w:type="pct"/>
            <w:tcBorders>
              <w:top w:val="nil"/>
              <w:left w:val="nil"/>
              <w:bottom w:val="single" w:sz="8" w:space="0" w:color="999999"/>
              <w:right w:val="single" w:sz="8" w:space="0" w:color="999999"/>
            </w:tcBorders>
            <w:shd w:val="clear" w:color="auto" w:fill="auto"/>
            <w:vAlign w:val="center"/>
          </w:tcPr>
          <w:p w:rsidR="00B2117B" w:rsidRPr="00E4517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103,3</w:t>
            </w:r>
          </w:p>
        </w:tc>
      </w:tr>
      <w:tr w:rsidR="001D6EB0" w:rsidRPr="00E4517B" w:rsidTr="001D6EB0">
        <w:trPr>
          <w:trHeight w:val="409"/>
        </w:trPr>
        <w:tc>
          <w:tcPr>
            <w:cnfStyle w:val="001000000000" w:firstRow="0" w:lastRow="0" w:firstColumn="1" w:lastColumn="0" w:oddVBand="0" w:evenVBand="0" w:oddHBand="0" w:evenHBand="0" w:firstRowFirstColumn="0" w:firstRowLastColumn="0" w:lastRowFirstColumn="0" w:lastRowLastColumn="0"/>
            <w:tcW w:w="688" w:type="pct"/>
            <w:hideMark/>
          </w:tcPr>
          <w:p w:rsidR="00B2117B" w:rsidRPr="00F55BA6" w:rsidRDefault="00B14C09" w:rsidP="00B14C09">
            <w:pPr>
              <w:jc w:val="left"/>
              <w:rPr>
                <w:rFonts w:asciiTheme="majorHAnsi" w:eastAsia="Times New Roman" w:hAnsiTheme="majorHAnsi" w:cstheme="majorHAnsi"/>
                <w:sz w:val="20"/>
                <w:szCs w:val="20"/>
                <w:lang w:val="ro-RO"/>
              </w:rPr>
            </w:pPr>
            <w:r>
              <w:rPr>
                <w:rFonts w:asciiTheme="majorHAnsi" w:eastAsia="Times New Roman" w:hAnsiTheme="majorHAnsi" w:cstheme="majorHAnsi"/>
                <w:iCs/>
                <w:sz w:val="20"/>
                <w:szCs w:val="20"/>
                <w:lang w:val="ru-RU"/>
              </w:rPr>
              <w:t>Расходы</w:t>
            </w:r>
          </w:p>
        </w:tc>
        <w:tc>
          <w:tcPr>
            <w:tcW w:w="691"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51.551,9</w:t>
            </w:r>
          </w:p>
        </w:tc>
        <w:tc>
          <w:tcPr>
            <w:tcW w:w="601"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53.200,9</w:t>
            </w:r>
          </w:p>
        </w:tc>
        <w:tc>
          <w:tcPr>
            <w:tcW w:w="580"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53.280,6</w:t>
            </w:r>
          </w:p>
        </w:tc>
        <w:tc>
          <w:tcPr>
            <w:tcW w:w="540"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49.635,4</w:t>
            </w:r>
          </w:p>
        </w:tc>
        <w:tc>
          <w:tcPr>
            <w:tcW w:w="385" w:type="pct"/>
            <w:tcBorders>
              <w:top w:val="nil"/>
              <w:left w:val="nil"/>
              <w:bottom w:val="single" w:sz="8" w:space="0" w:color="999999"/>
              <w:right w:val="single" w:sz="8" w:space="0" w:color="999999"/>
            </w:tcBorders>
            <w:shd w:val="clear" w:color="auto" w:fill="auto"/>
            <w:vAlign w:val="center"/>
          </w:tcPr>
          <w:p w:rsidR="00B2117B" w:rsidRPr="00E4517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-1.916,5</w:t>
            </w:r>
          </w:p>
        </w:tc>
        <w:tc>
          <w:tcPr>
            <w:tcW w:w="563" w:type="pct"/>
            <w:tcBorders>
              <w:top w:val="nil"/>
              <w:left w:val="nil"/>
              <w:bottom w:val="single" w:sz="8" w:space="0" w:color="999999"/>
              <w:right w:val="single" w:sz="8" w:space="0" w:color="999999"/>
            </w:tcBorders>
            <w:shd w:val="clear" w:color="auto" w:fill="auto"/>
            <w:vAlign w:val="center"/>
          </w:tcPr>
          <w:p w:rsidR="00B2117B" w:rsidRPr="00973E5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973E5B">
              <w:rPr>
                <w:rFonts w:ascii="Calibri Light" w:hAnsi="Calibri Light" w:cs="Calibri Light"/>
                <w:color w:val="000000"/>
                <w:sz w:val="20"/>
                <w:szCs w:val="20"/>
                <w:lang w:val="ro-RO"/>
              </w:rPr>
              <w:t>96,3</w:t>
            </w:r>
          </w:p>
        </w:tc>
        <w:tc>
          <w:tcPr>
            <w:tcW w:w="385" w:type="pct"/>
            <w:tcBorders>
              <w:top w:val="nil"/>
              <w:left w:val="nil"/>
              <w:bottom w:val="single" w:sz="8" w:space="0" w:color="999999"/>
              <w:right w:val="single" w:sz="8" w:space="0" w:color="999999"/>
            </w:tcBorders>
            <w:shd w:val="clear" w:color="auto" w:fill="auto"/>
            <w:vAlign w:val="center"/>
          </w:tcPr>
          <w:p w:rsidR="00B2117B" w:rsidRPr="00E4517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-3.645,2</w:t>
            </w:r>
          </w:p>
        </w:tc>
        <w:tc>
          <w:tcPr>
            <w:tcW w:w="563" w:type="pct"/>
            <w:tcBorders>
              <w:top w:val="nil"/>
              <w:left w:val="nil"/>
              <w:bottom w:val="single" w:sz="8" w:space="0" w:color="999999"/>
              <w:right w:val="single" w:sz="8" w:space="0" w:color="999999"/>
            </w:tcBorders>
            <w:shd w:val="clear" w:color="auto" w:fill="auto"/>
            <w:vAlign w:val="center"/>
          </w:tcPr>
          <w:p w:rsidR="00B2117B" w:rsidRPr="00E4517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93,2</w:t>
            </w:r>
          </w:p>
        </w:tc>
      </w:tr>
      <w:tr w:rsidR="001D6EB0" w:rsidRPr="00E4517B" w:rsidTr="001D6EB0">
        <w:trPr>
          <w:trHeight w:val="409"/>
        </w:trPr>
        <w:tc>
          <w:tcPr>
            <w:cnfStyle w:val="001000000000" w:firstRow="0" w:lastRow="0" w:firstColumn="1" w:lastColumn="0" w:oddVBand="0" w:evenVBand="0" w:oddHBand="0" w:evenHBand="0" w:firstRowFirstColumn="0" w:firstRowLastColumn="0" w:lastRowFirstColumn="0" w:lastRowLastColumn="0"/>
            <w:tcW w:w="688" w:type="pct"/>
            <w:hideMark/>
          </w:tcPr>
          <w:p w:rsidR="00B2117B" w:rsidRPr="00F55BA6" w:rsidRDefault="00B14C09" w:rsidP="00B14C09">
            <w:pPr>
              <w:jc w:val="left"/>
              <w:rPr>
                <w:rFonts w:asciiTheme="majorHAnsi" w:eastAsia="Times New Roman" w:hAnsiTheme="majorHAnsi" w:cstheme="majorHAnsi"/>
                <w:sz w:val="20"/>
                <w:szCs w:val="20"/>
                <w:lang w:val="ro-RO"/>
              </w:rPr>
            </w:pPr>
            <w:r>
              <w:rPr>
                <w:rFonts w:asciiTheme="majorHAnsi" w:eastAsia="Times New Roman" w:hAnsiTheme="majorHAnsi" w:cstheme="majorHAnsi"/>
                <w:iCs/>
                <w:sz w:val="20"/>
                <w:szCs w:val="20"/>
                <w:lang w:val="ru-RU"/>
              </w:rPr>
              <w:t>Дефицит</w:t>
            </w:r>
          </w:p>
        </w:tc>
        <w:tc>
          <w:tcPr>
            <w:tcW w:w="691"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-7.415,3</w:t>
            </w:r>
          </w:p>
        </w:tc>
        <w:tc>
          <w:tcPr>
            <w:tcW w:w="601"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-15.999,4</w:t>
            </w:r>
          </w:p>
        </w:tc>
        <w:tc>
          <w:tcPr>
            <w:tcW w:w="580"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-15.999,4</w:t>
            </w:r>
          </w:p>
        </w:tc>
        <w:tc>
          <w:tcPr>
            <w:tcW w:w="540" w:type="pct"/>
          </w:tcPr>
          <w:p w:rsidR="00B2117B" w:rsidRPr="00F55BA6"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lang w:val="ro-RO"/>
              </w:rPr>
            </w:pPr>
            <w:r w:rsidRPr="00F55BA6">
              <w:rPr>
                <w:rFonts w:asciiTheme="majorHAnsi" w:eastAsia="Times New Roman" w:hAnsiTheme="majorHAnsi" w:cstheme="majorHAnsi"/>
                <w:sz w:val="20"/>
                <w:szCs w:val="20"/>
                <w:lang w:val="ro-RO"/>
              </w:rPr>
              <w:t>-11.134,9</w:t>
            </w:r>
          </w:p>
        </w:tc>
        <w:tc>
          <w:tcPr>
            <w:tcW w:w="385" w:type="pct"/>
            <w:tcBorders>
              <w:top w:val="nil"/>
              <w:left w:val="nil"/>
              <w:bottom w:val="single" w:sz="8" w:space="0" w:color="999999"/>
              <w:right w:val="single" w:sz="8" w:space="0" w:color="999999"/>
            </w:tcBorders>
            <w:shd w:val="clear" w:color="auto" w:fill="auto"/>
            <w:vAlign w:val="center"/>
          </w:tcPr>
          <w:p w:rsidR="00B2117B" w:rsidRPr="00E4517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E4517B">
              <w:rPr>
                <w:rFonts w:ascii="Calibri Light" w:hAnsi="Calibri Light" w:cs="Calibri Light"/>
                <w:color w:val="000000"/>
                <w:sz w:val="20"/>
                <w:szCs w:val="20"/>
                <w:lang w:val="ro-RO"/>
              </w:rPr>
              <w:t>-3.719,6</w:t>
            </w:r>
          </w:p>
        </w:tc>
        <w:tc>
          <w:tcPr>
            <w:tcW w:w="563" w:type="pct"/>
            <w:tcBorders>
              <w:top w:val="nil"/>
              <w:left w:val="nil"/>
              <w:bottom w:val="single" w:sz="8" w:space="0" w:color="999999"/>
              <w:right w:val="single" w:sz="8" w:space="0" w:color="999999"/>
            </w:tcBorders>
            <w:shd w:val="clear" w:color="auto" w:fill="auto"/>
            <w:vAlign w:val="center"/>
          </w:tcPr>
          <w:p w:rsidR="00B2117B" w:rsidRPr="00973E5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973E5B">
              <w:rPr>
                <w:rFonts w:ascii="Calibri Light" w:hAnsi="Calibri Light" w:cs="Calibri Light"/>
                <w:color w:val="000000"/>
                <w:sz w:val="20"/>
                <w:szCs w:val="20"/>
                <w:lang w:val="ro-RO"/>
              </w:rPr>
              <w:t>150,2</w:t>
            </w:r>
          </w:p>
        </w:tc>
        <w:tc>
          <w:tcPr>
            <w:tcW w:w="385" w:type="pct"/>
            <w:tcBorders>
              <w:top w:val="nil"/>
              <w:left w:val="nil"/>
              <w:bottom w:val="single" w:sz="8" w:space="0" w:color="999999"/>
              <w:right w:val="single" w:sz="8" w:space="0" w:color="999999"/>
            </w:tcBorders>
            <w:shd w:val="clear" w:color="auto" w:fill="auto"/>
            <w:vAlign w:val="center"/>
          </w:tcPr>
          <w:p w:rsidR="00B2117B" w:rsidRPr="00E4517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4.864,5</w:t>
            </w:r>
          </w:p>
        </w:tc>
        <w:tc>
          <w:tcPr>
            <w:tcW w:w="563" w:type="pct"/>
            <w:tcBorders>
              <w:top w:val="nil"/>
              <w:left w:val="nil"/>
              <w:bottom w:val="single" w:sz="8" w:space="0" w:color="999999"/>
              <w:right w:val="single" w:sz="8" w:space="0" w:color="999999"/>
            </w:tcBorders>
            <w:shd w:val="clear" w:color="auto" w:fill="auto"/>
            <w:vAlign w:val="center"/>
          </w:tcPr>
          <w:p w:rsidR="00B2117B" w:rsidRPr="00E4517B" w:rsidRDefault="00B2117B" w:rsidP="00B2117B">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o-RO"/>
              </w:rPr>
            </w:pPr>
            <w:r w:rsidRPr="00F55BA6">
              <w:rPr>
                <w:rFonts w:ascii="Calibri Light" w:hAnsi="Calibri Light" w:cs="Calibri Light"/>
                <w:color w:val="000000"/>
                <w:sz w:val="20"/>
                <w:szCs w:val="20"/>
                <w:lang w:val="ro-RO"/>
              </w:rPr>
              <w:t>69,6</w:t>
            </w:r>
          </w:p>
        </w:tc>
      </w:tr>
      <w:tr w:rsidR="00B14C09" w:rsidRPr="007071A4" w:rsidTr="001D6EB0">
        <w:trPr>
          <w:trHeight w:val="409"/>
        </w:trPr>
        <w:tc>
          <w:tcPr>
            <w:cnfStyle w:val="001000000000" w:firstRow="0" w:lastRow="0" w:firstColumn="1" w:lastColumn="0" w:oddVBand="0" w:evenVBand="0" w:oddHBand="0" w:evenHBand="0" w:firstRowFirstColumn="0" w:firstRowLastColumn="0" w:lastRowFirstColumn="0" w:lastRowLastColumn="0"/>
            <w:tcW w:w="5000" w:type="pct"/>
            <w:gridSpan w:val="9"/>
          </w:tcPr>
          <w:p w:rsidR="00B14C09" w:rsidRDefault="00B2117B" w:rsidP="00B2117B">
            <w:pPr>
              <w:rPr>
                <w:rFonts w:asciiTheme="majorHAnsi" w:eastAsia="Times New Roman" w:hAnsiTheme="majorHAnsi" w:cstheme="majorHAnsi"/>
                <w:i/>
                <w:iCs/>
                <w:sz w:val="20"/>
                <w:szCs w:val="20"/>
                <w:lang w:val="ro-RO"/>
              </w:rPr>
            </w:pPr>
            <w:r w:rsidRPr="00F55BA6">
              <w:rPr>
                <w:rFonts w:asciiTheme="majorHAnsi" w:eastAsia="Times New Roman" w:hAnsiTheme="majorHAnsi" w:cstheme="majorHAnsi"/>
                <w:sz w:val="20"/>
                <w:szCs w:val="20"/>
                <w:lang w:val="ro-RO"/>
              </w:rPr>
              <w:t> </w:t>
            </w:r>
            <w:r w:rsidR="00B14C09">
              <w:rPr>
                <w:rFonts w:asciiTheme="majorHAnsi" w:eastAsia="Times New Roman" w:hAnsiTheme="majorHAnsi" w:cstheme="majorHAnsi"/>
                <w:i/>
                <w:iCs/>
                <w:sz w:val="20"/>
                <w:szCs w:val="20"/>
                <w:lang w:val="ru-RU"/>
              </w:rPr>
              <w:t>Источник</w:t>
            </w:r>
            <w:r w:rsidRPr="00F55BA6">
              <w:rPr>
                <w:rFonts w:asciiTheme="majorHAnsi" w:eastAsia="Times New Roman" w:hAnsiTheme="majorHAnsi" w:cstheme="majorHAnsi"/>
                <w:i/>
                <w:iCs/>
                <w:sz w:val="20"/>
                <w:szCs w:val="20"/>
                <w:lang w:val="ro-RO"/>
              </w:rPr>
              <w:t xml:space="preserve">: </w:t>
            </w:r>
            <w:r w:rsidR="00B14C09" w:rsidRPr="00B14C09">
              <w:rPr>
                <w:rFonts w:asciiTheme="majorHAnsi" w:eastAsia="Times New Roman" w:hAnsiTheme="majorHAnsi" w:cstheme="majorHAnsi"/>
                <w:i/>
                <w:iCs/>
                <w:sz w:val="20"/>
                <w:szCs w:val="20"/>
                <w:lang w:val="ro-RO"/>
              </w:rPr>
              <w:t>Данные, обобщенные аудиторской группой из Отчета об исполнении государственного бюджета</w:t>
            </w:r>
          </w:p>
          <w:p w:rsidR="00B2117B" w:rsidRPr="00F55BA6" w:rsidRDefault="00B14C09" w:rsidP="00B2117B">
            <w:pPr>
              <w:rPr>
                <w:rFonts w:asciiTheme="majorHAnsi" w:eastAsia="Times New Roman" w:hAnsiTheme="majorHAnsi" w:cstheme="majorHAnsi"/>
                <w:i/>
                <w:iCs/>
                <w:sz w:val="20"/>
                <w:szCs w:val="20"/>
                <w:lang w:val="ro-RO"/>
              </w:rPr>
            </w:pPr>
            <w:r w:rsidRPr="00B14C09">
              <w:rPr>
                <w:rFonts w:asciiTheme="majorHAnsi" w:eastAsia="Times New Roman" w:hAnsiTheme="majorHAnsi" w:cstheme="majorHAnsi"/>
                <w:i/>
                <w:iCs/>
                <w:sz w:val="20"/>
                <w:szCs w:val="20"/>
                <w:lang w:val="ro-RO"/>
              </w:rPr>
              <w:t xml:space="preserve"> за 2020 год.</w:t>
            </w:r>
          </w:p>
          <w:p w:rsidR="00B2117B" w:rsidRPr="00F55BA6" w:rsidRDefault="00B2117B" w:rsidP="00B14C09">
            <w:pPr>
              <w:rPr>
                <w:rFonts w:asciiTheme="majorHAnsi" w:eastAsia="Times New Roman" w:hAnsiTheme="majorHAnsi" w:cstheme="majorHAnsi"/>
                <w:i/>
                <w:iCs/>
                <w:sz w:val="24"/>
                <w:szCs w:val="24"/>
                <w:lang w:val="ro-RO"/>
              </w:rPr>
            </w:pPr>
            <w:r w:rsidRPr="00F55BA6">
              <w:rPr>
                <w:rFonts w:asciiTheme="majorHAnsi" w:eastAsia="Times New Roman" w:hAnsiTheme="majorHAnsi" w:cstheme="majorHAnsi"/>
                <w:i/>
                <w:iCs/>
                <w:sz w:val="20"/>
                <w:szCs w:val="20"/>
                <w:lang w:val="ro-RO"/>
              </w:rPr>
              <w:t>*</w:t>
            </w:r>
            <w:r w:rsidRPr="00E4517B">
              <w:rPr>
                <w:rFonts w:asciiTheme="minorHAnsi" w:hAnsiTheme="minorHAnsi"/>
                <w:sz w:val="20"/>
                <w:szCs w:val="20"/>
                <w:lang w:val="ro-RO"/>
              </w:rPr>
              <w:t xml:space="preserve"> </w:t>
            </w:r>
            <w:r w:rsidR="00B14C09" w:rsidRPr="00B14C09">
              <w:rPr>
                <w:rFonts w:asciiTheme="majorHAnsi" w:hAnsiTheme="majorHAnsi" w:cstheme="majorHAnsi"/>
                <w:i/>
                <w:sz w:val="20"/>
                <w:szCs w:val="20"/>
                <w:lang w:val="ro-RO"/>
              </w:rPr>
              <w:t>Бюджетные по</w:t>
            </w:r>
            <w:r w:rsidR="00B14C09">
              <w:rPr>
                <w:rFonts w:asciiTheme="majorHAnsi" w:hAnsiTheme="majorHAnsi" w:cstheme="majorHAnsi"/>
                <w:i/>
                <w:sz w:val="20"/>
                <w:szCs w:val="20"/>
                <w:lang w:val="ru-RU"/>
              </w:rPr>
              <w:t>казатели</w:t>
            </w:r>
            <w:r w:rsidR="00B14C09" w:rsidRPr="00B14C09">
              <w:rPr>
                <w:rFonts w:asciiTheme="majorHAnsi" w:hAnsiTheme="majorHAnsi" w:cstheme="majorHAnsi"/>
                <w:i/>
                <w:sz w:val="20"/>
                <w:szCs w:val="20"/>
                <w:lang w:val="ro-RO"/>
              </w:rPr>
              <w:t>, утвержденные Законом о государственном бюджете на 2020 год</w:t>
            </w:r>
            <w:r w:rsidRPr="00F55BA6">
              <w:rPr>
                <w:rFonts w:asciiTheme="majorHAnsi" w:eastAsia="Times New Roman" w:hAnsiTheme="majorHAnsi" w:cstheme="majorHAnsi"/>
                <w:i/>
                <w:iCs/>
                <w:sz w:val="20"/>
                <w:szCs w:val="20"/>
                <w:lang w:val="ro-RO"/>
              </w:rPr>
              <w:t>.</w:t>
            </w:r>
          </w:p>
        </w:tc>
      </w:tr>
    </w:tbl>
    <w:p w:rsidR="00887C49" w:rsidRPr="00F55BA6" w:rsidRDefault="00887C49" w:rsidP="00425BDE">
      <w:pPr>
        <w:spacing w:after="0" w:line="276" w:lineRule="auto"/>
        <w:rPr>
          <w:rFonts w:asciiTheme="majorHAnsi" w:eastAsia="Times New Roman" w:hAnsiTheme="majorHAnsi" w:cstheme="majorHAnsi"/>
          <w:sz w:val="24"/>
          <w:szCs w:val="24"/>
          <w:lang w:val="ro-RO"/>
        </w:rPr>
      </w:pPr>
    </w:p>
    <w:p w:rsidR="006E2E6A" w:rsidRPr="00F55BA6" w:rsidRDefault="00EA7373" w:rsidP="006E2E6A">
      <w:pPr>
        <w:spacing w:after="0" w:line="276" w:lineRule="auto"/>
        <w:rPr>
          <w:rFonts w:asciiTheme="majorHAnsi" w:hAnsiTheme="majorHAnsi" w:cstheme="majorHAnsi"/>
          <w:b/>
          <w:sz w:val="24"/>
          <w:szCs w:val="24"/>
          <w:lang w:val="ro-RO"/>
        </w:rPr>
      </w:pPr>
      <w:r w:rsidRPr="00F55BA6">
        <w:rPr>
          <w:rFonts w:asciiTheme="majorHAnsi" w:hAnsiTheme="majorHAnsi" w:cstheme="majorHAnsi"/>
          <w:b/>
          <w:sz w:val="24"/>
          <w:szCs w:val="24"/>
          <w:lang w:val="ro-RO"/>
        </w:rPr>
        <w:t xml:space="preserve">7.1 </w:t>
      </w:r>
      <w:r w:rsidR="00DF3986" w:rsidRPr="00DF3986">
        <w:rPr>
          <w:rFonts w:asciiTheme="majorHAnsi" w:hAnsiTheme="majorHAnsi" w:cstheme="majorHAnsi"/>
          <w:b/>
          <w:sz w:val="24"/>
          <w:szCs w:val="24"/>
          <w:lang w:val="ro-RO"/>
        </w:rPr>
        <w:t xml:space="preserve">Доходы </w:t>
      </w:r>
      <w:r w:rsidR="001D6EB0">
        <w:rPr>
          <w:rFonts w:asciiTheme="majorHAnsi" w:hAnsiTheme="majorHAnsi" w:cstheme="majorHAnsi"/>
          <w:b/>
          <w:sz w:val="24"/>
          <w:szCs w:val="24"/>
          <w:lang w:val="ro-RO"/>
        </w:rPr>
        <w:t>государственного бюджета</w:t>
      </w:r>
      <w:r w:rsidR="00DF3986" w:rsidRPr="00DF3986">
        <w:rPr>
          <w:rFonts w:asciiTheme="majorHAnsi" w:hAnsiTheme="majorHAnsi" w:cstheme="majorHAnsi"/>
          <w:b/>
          <w:sz w:val="24"/>
          <w:szCs w:val="24"/>
          <w:lang w:val="ro-RO"/>
        </w:rPr>
        <w:t>, исполненные в 2020 году, не достигли первоначально утвержденного уровня, но были пере</w:t>
      </w:r>
      <w:r w:rsidR="001D6EB0">
        <w:rPr>
          <w:rFonts w:asciiTheme="majorHAnsi" w:hAnsiTheme="majorHAnsi" w:cstheme="majorHAnsi"/>
          <w:b/>
          <w:sz w:val="24"/>
          <w:szCs w:val="24"/>
          <w:lang w:val="ru-RU"/>
        </w:rPr>
        <w:t>выполн</w:t>
      </w:r>
      <w:r w:rsidR="00DF3986" w:rsidRPr="00DF3986">
        <w:rPr>
          <w:rFonts w:asciiTheme="majorHAnsi" w:hAnsiTheme="majorHAnsi" w:cstheme="majorHAnsi"/>
          <w:b/>
          <w:sz w:val="24"/>
          <w:szCs w:val="24"/>
          <w:lang w:val="ro-RO"/>
        </w:rPr>
        <w:t xml:space="preserve">ены по сравнению с </w:t>
      </w:r>
      <w:r w:rsidR="001D6EB0">
        <w:rPr>
          <w:rFonts w:asciiTheme="majorHAnsi" w:hAnsiTheme="majorHAnsi" w:cstheme="majorHAnsi"/>
          <w:b/>
          <w:sz w:val="24"/>
          <w:szCs w:val="24"/>
          <w:lang w:val="ro-RO"/>
        </w:rPr>
        <w:t>уточне</w:t>
      </w:r>
      <w:r w:rsidR="00DF3986" w:rsidRPr="00DF3986">
        <w:rPr>
          <w:rFonts w:asciiTheme="majorHAnsi" w:hAnsiTheme="majorHAnsi" w:cstheme="majorHAnsi"/>
          <w:b/>
          <w:sz w:val="24"/>
          <w:szCs w:val="24"/>
          <w:lang w:val="ro-RO"/>
        </w:rPr>
        <w:t>нным уровнем, что обусловлено многочисленными изменениями в бюджетно-налоговой политике.</w:t>
      </w:r>
      <w:r w:rsidR="00DF3986">
        <w:rPr>
          <w:rFonts w:asciiTheme="majorHAnsi" w:hAnsiTheme="majorHAnsi" w:cstheme="majorHAnsi"/>
          <w:b/>
          <w:sz w:val="24"/>
          <w:szCs w:val="24"/>
          <w:lang w:val="ru-RU"/>
        </w:rPr>
        <w:t xml:space="preserve"> </w:t>
      </w:r>
    </w:p>
    <w:p w:rsidR="006E2E6A" w:rsidRPr="00DF7868" w:rsidRDefault="00DF3986" w:rsidP="00DF7868">
      <w:pPr>
        <w:spacing w:after="0" w:line="276" w:lineRule="auto"/>
        <w:rPr>
          <w:rFonts w:asciiTheme="majorHAnsi" w:hAnsiTheme="majorHAnsi" w:cstheme="majorHAnsi"/>
          <w:color w:val="000000"/>
          <w:spacing w:val="2"/>
          <w:sz w:val="24"/>
          <w:szCs w:val="24"/>
          <w:lang w:val="ro-RO"/>
        </w:rPr>
      </w:pPr>
      <w:r w:rsidRPr="00DF3986">
        <w:rPr>
          <w:rFonts w:asciiTheme="majorHAnsi" w:hAnsiTheme="majorHAnsi" w:cstheme="majorHAnsi"/>
          <w:sz w:val="24"/>
          <w:szCs w:val="24"/>
          <w:lang w:val="ro-RO"/>
        </w:rPr>
        <w:t xml:space="preserve">Доходная часть </w:t>
      </w:r>
      <w:r w:rsidR="008F632D">
        <w:rPr>
          <w:rFonts w:asciiTheme="majorHAnsi" w:hAnsiTheme="majorHAnsi" w:cstheme="majorHAnsi"/>
          <w:sz w:val="24"/>
          <w:szCs w:val="24"/>
          <w:lang w:val="ro-RO"/>
        </w:rPr>
        <w:t>ГБ</w:t>
      </w:r>
      <w:r w:rsidRPr="00DF3986">
        <w:rPr>
          <w:rFonts w:asciiTheme="majorHAnsi" w:hAnsiTheme="majorHAnsi" w:cstheme="majorHAnsi"/>
          <w:sz w:val="24"/>
          <w:szCs w:val="24"/>
          <w:lang w:val="ro-RO"/>
        </w:rPr>
        <w:t xml:space="preserve"> за 2020 год была первоначально утверждена в размере 44 136,6 млн. леев</w:t>
      </w:r>
      <w:r w:rsidR="00AB3E31">
        <w:rPr>
          <w:rFonts w:asciiTheme="majorHAnsi" w:hAnsiTheme="majorHAnsi" w:cstheme="majorHAnsi"/>
          <w:sz w:val="24"/>
          <w:szCs w:val="24"/>
          <w:lang w:val="ru-RU"/>
        </w:rPr>
        <w:t>, а</w:t>
      </w:r>
      <w:r w:rsidRPr="00DF3986">
        <w:rPr>
          <w:rFonts w:asciiTheme="majorHAnsi" w:hAnsiTheme="majorHAnsi" w:cstheme="majorHAnsi"/>
          <w:sz w:val="24"/>
          <w:szCs w:val="24"/>
          <w:lang w:val="ro-RO"/>
        </w:rPr>
        <w:t xml:space="preserve"> в результате </w:t>
      </w:r>
      <w:r w:rsidR="00AB3E31">
        <w:rPr>
          <w:rFonts w:asciiTheme="majorHAnsi" w:hAnsiTheme="majorHAnsi" w:cstheme="majorHAnsi"/>
          <w:sz w:val="24"/>
          <w:szCs w:val="24"/>
          <w:lang w:val="ru-RU"/>
        </w:rPr>
        <w:t>корректировки</w:t>
      </w:r>
      <w:r w:rsidRPr="00DF3986">
        <w:rPr>
          <w:rFonts w:asciiTheme="majorHAnsi" w:hAnsiTheme="majorHAnsi" w:cstheme="majorHAnsi"/>
          <w:sz w:val="24"/>
          <w:szCs w:val="24"/>
          <w:lang w:val="ro-RO"/>
        </w:rPr>
        <w:t xml:space="preserve"> и изменени</w:t>
      </w:r>
      <w:r w:rsidR="00AB3E31">
        <w:rPr>
          <w:rFonts w:asciiTheme="majorHAnsi" w:hAnsiTheme="majorHAnsi" w:cstheme="majorHAnsi"/>
          <w:sz w:val="24"/>
          <w:szCs w:val="24"/>
          <w:lang w:val="ru-RU"/>
        </w:rPr>
        <w:t>я</w:t>
      </w:r>
      <w:r w:rsidRPr="00DF3986">
        <w:rPr>
          <w:rFonts w:asciiTheme="majorHAnsi" w:hAnsiTheme="majorHAnsi" w:cstheme="majorHAnsi"/>
          <w:sz w:val="24"/>
          <w:szCs w:val="24"/>
          <w:lang w:val="ro-RO"/>
        </w:rPr>
        <w:t xml:space="preserve"> утвержденных показателей были сокращены на 6 855,4 млн. леев, или на 15,5% за счет снижения налогов и сборов (-6 309,5 млн. леев), а также поступлени</w:t>
      </w:r>
      <w:r w:rsidR="00AB3E31">
        <w:rPr>
          <w:rFonts w:asciiTheme="majorHAnsi" w:hAnsiTheme="majorHAnsi" w:cstheme="majorHAnsi"/>
          <w:sz w:val="24"/>
          <w:szCs w:val="24"/>
          <w:lang w:val="ru-RU"/>
        </w:rPr>
        <w:t>й</w:t>
      </w:r>
      <w:r w:rsidRPr="00DF3986">
        <w:rPr>
          <w:rFonts w:asciiTheme="majorHAnsi" w:hAnsiTheme="majorHAnsi" w:cstheme="majorHAnsi"/>
          <w:sz w:val="24"/>
          <w:szCs w:val="24"/>
          <w:lang w:val="ro-RO"/>
        </w:rPr>
        <w:t xml:space="preserve"> </w:t>
      </w:r>
      <w:r w:rsidR="00AB3E31">
        <w:rPr>
          <w:rFonts w:asciiTheme="majorHAnsi" w:hAnsiTheme="majorHAnsi" w:cstheme="majorHAnsi"/>
          <w:sz w:val="24"/>
          <w:szCs w:val="24"/>
          <w:lang w:val="ru-RU"/>
        </w:rPr>
        <w:t>от</w:t>
      </w:r>
      <w:r w:rsidRPr="00DF3986">
        <w:rPr>
          <w:rFonts w:asciiTheme="majorHAnsi" w:hAnsiTheme="majorHAnsi" w:cstheme="majorHAnsi"/>
          <w:sz w:val="24"/>
          <w:szCs w:val="24"/>
          <w:lang w:val="ro-RO"/>
        </w:rPr>
        <w:t xml:space="preserve"> грантов (-821,4 млн. леев). Согласно </w:t>
      </w:r>
      <w:r w:rsidR="00AB3E31" w:rsidRPr="00AB3E31">
        <w:rPr>
          <w:rFonts w:asciiTheme="majorHAnsi" w:hAnsiTheme="majorHAnsi" w:cstheme="majorHAnsi"/>
          <w:sz w:val="24"/>
          <w:szCs w:val="24"/>
          <w:lang w:val="ro-RO"/>
        </w:rPr>
        <w:t>О</w:t>
      </w:r>
      <w:r w:rsidRPr="00DF3986">
        <w:rPr>
          <w:rFonts w:asciiTheme="majorHAnsi" w:hAnsiTheme="majorHAnsi" w:cstheme="majorHAnsi"/>
          <w:sz w:val="24"/>
          <w:szCs w:val="24"/>
          <w:lang w:val="ro-RO"/>
        </w:rPr>
        <w:t xml:space="preserve">тчету об исполнении </w:t>
      </w:r>
      <w:r w:rsidR="008F632D">
        <w:rPr>
          <w:rFonts w:asciiTheme="majorHAnsi" w:hAnsiTheme="majorHAnsi" w:cstheme="majorHAnsi"/>
          <w:sz w:val="24"/>
          <w:szCs w:val="24"/>
          <w:lang w:val="ro-RO"/>
        </w:rPr>
        <w:t>ГБ</w:t>
      </w:r>
      <w:r w:rsidRPr="00DF3986">
        <w:rPr>
          <w:rFonts w:asciiTheme="majorHAnsi" w:hAnsiTheme="majorHAnsi" w:cstheme="majorHAnsi"/>
          <w:sz w:val="24"/>
          <w:szCs w:val="24"/>
          <w:lang w:val="ro-RO"/>
        </w:rPr>
        <w:t xml:space="preserve"> за 2020 год, по всем компонентам уровень исполнения доходов</w:t>
      </w:r>
      <w:r w:rsidR="00AB3E31" w:rsidRPr="00AB3E31">
        <w:rPr>
          <w:rFonts w:asciiTheme="majorHAnsi" w:hAnsiTheme="majorHAnsi" w:cstheme="majorHAnsi"/>
          <w:sz w:val="24"/>
          <w:szCs w:val="24"/>
          <w:lang w:val="ro-RO"/>
        </w:rPr>
        <w:t>,</w:t>
      </w:r>
      <w:r w:rsidRPr="00DF3986">
        <w:rPr>
          <w:rFonts w:asciiTheme="majorHAnsi" w:hAnsiTheme="majorHAnsi" w:cstheme="majorHAnsi"/>
          <w:sz w:val="24"/>
          <w:szCs w:val="24"/>
          <w:lang w:val="ro-RO"/>
        </w:rPr>
        <w:t xml:space="preserve"> по сравнению с </w:t>
      </w:r>
      <w:r w:rsidR="001D6EB0">
        <w:rPr>
          <w:rFonts w:asciiTheme="majorHAnsi" w:hAnsiTheme="majorHAnsi" w:cstheme="majorHAnsi"/>
          <w:sz w:val="24"/>
          <w:szCs w:val="24"/>
          <w:lang w:val="ro-RO"/>
        </w:rPr>
        <w:t>уточне</w:t>
      </w:r>
      <w:r w:rsidRPr="00DF3986">
        <w:rPr>
          <w:rFonts w:asciiTheme="majorHAnsi" w:hAnsiTheme="majorHAnsi" w:cstheme="majorHAnsi"/>
          <w:sz w:val="24"/>
          <w:szCs w:val="24"/>
          <w:lang w:val="ro-RO"/>
        </w:rPr>
        <w:t>нными годовыми по</w:t>
      </w:r>
      <w:r w:rsidR="00AB3E31" w:rsidRPr="00AB3E31">
        <w:rPr>
          <w:rFonts w:asciiTheme="majorHAnsi" w:hAnsiTheme="majorHAnsi" w:cstheme="majorHAnsi"/>
          <w:sz w:val="24"/>
          <w:szCs w:val="24"/>
          <w:lang w:val="ro-RO"/>
        </w:rPr>
        <w:t>казател</w:t>
      </w:r>
      <w:r w:rsidRPr="00DF3986">
        <w:rPr>
          <w:rFonts w:asciiTheme="majorHAnsi" w:hAnsiTheme="majorHAnsi" w:cstheme="majorHAnsi"/>
          <w:sz w:val="24"/>
          <w:szCs w:val="24"/>
          <w:lang w:val="ro-RO"/>
        </w:rPr>
        <w:t>ями</w:t>
      </w:r>
      <w:r w:rsidR="00AB3E31" w:rsidRPr="00AB3E31">
        <w:rPr>
          <w:rFonts w:asciiTheme="majorHAnsi" w:hAnsiTheme="majorHAnsi" w:cstheme="majorHAnsi"/>
          <w:sz w:val="24"/>
          <w:szCs w:val="24"/>
          <w:lang w:val="ro-RO"/>
        </w:rPr>
        <w:t>,</w:t>
      </w:r>
      <w:r w:rsidRPr="00DF3986">
        <w:rPr>
          <w:rFonts w:asciiTheme="majorHAnsi" w:hAnsiTheme="majorHAnsi" w:cstheme="majorHAnsi"/>
          <w:sz w:val="24"/>
          <w:szCs w:val="24"/>
          <w:lang w:val="ro-RO"/>
        </w:rPr>
        <w:t xml:space="preserve"> составил 103,3%, или 38 500,5 млн. </w:t>
      </w:r>
      <w:r w:rsidR="008E6894">
        <w:rPr>
          <w:rFonts w:asciiTheme="majorHAnsi" w:hAnsiTheme="majorHAnsi" w:cstheme="majorHAnsi"/>
          <w:sz w:val="24"/>
          <w:szCs w:val="24"/>
          <w:lang w:val="ro-RO"/>
        </w:rPr>
        <w:t>леев</w:t>
      </w:r>
      <w:r w:rsidR="006E2E6A" w:rsidRPr="00F55BA6">
        <w:rPr>
          <w:rFonts w:asciiTheme="majorHAnsi" w:hAnsiTheme="majorHAnsi" w:cs="Times New Roman"/>
          <w:iCs/>
          <w:color w:val="000000"/>
          <w:spacing w:val="-2"/>
          <w:sz w:val="24"/>
          <w:szCs w:val="24"/>
          <w:lang w:val="ro-RO"/>
        </w:rPr>
        <w:t xml:space="preserve">. </w:t>
      </w:r>
      <w:r w:rsidRPr="00DF3986">
        <w:rPr>
          <w:rFonts w:asciiTheme="majorHAnsi" w:hAnsiTheme="majorHAnsi" w:cs="Times New Roman"/>
          <w:iCs/>
          <w:color w:val="000000"/>
          <w:spacing w:val="-2"/>
          <w:sz w:val="24"/>
          <w:szCs w:val="24"/>
          <w:lang w:val="ro-RO"/>
        </w:rPr>
        <w:t xml:space="preserve">По сравнению с 2019 годом, доходы сократились на 1 467,4 млн. </w:t>
      </w:r>
      <w:r w:rsidR="008E6894">
        <w:rPr>
          <w:rFonts w:asciiTheme="majorHAnsi" w:hAnsiTheme="majorHAnsi" w:cs="Times New Roman"/>
          <w:iCs/>
          <w:color w:val="000000"/>
          <w:spacing w:val="-2"/>
          <w:sz w:val="24"/>
          <w:szCs w:val="24"/>
          <w:lang w:val="ro-RO"/>
        </w:rPr>
        <w:t>леев</w:t>
      </w:r>
      <w:r w:rsidRPr="00DF3986">
        <w:rPr>
          <w:rFonts w:asciiTheme="majorHAnsi" w:hAnsiTheme="majorHAnsi" w:cs="Times New Roman"/>
          <w:iCs/>
          <w:color w:val="000000"/>
          <w:spacing w:val="-2"/>
          <w:sz w:val="24"/>
          <w:szCs w:val="24"/>
          <w:lang w:val="ro-RO"/>
        </w:rPr>
        <w:t xml:space="preserve"> (3,7%), а по сравнению с 2018 годом</w:t>
      </w:r>
      <w:r w:rsidR="00AB3E31">
        <w:rPr>
          <w:rFonts w:asciiTheme="majorHAnsi" w:hAnsiTheme="majorHAnsi" w:cs="Times New Roman"/>
          <w:iCs/>
          <w:color w:val="000000"/>
          <w:spacing w:val="-2"/>
          <w:sz w:val="24"/>
          <w:szCs w:val="24"/>
          <w:lang w:val="ru-RU"/>
        </w:rPr>
        <w:t xml:space="preserve"> </w:t>
      </w:r>
      <w:r w:rsidRPr="00DF3986">
        <w:rPr>
          <w:rFonts w:asciiTheme="majorHAnsi" w:hAnsiTheme="majorHAnsi" w:cs="Times New Roman"/>
          <w:iCs/>
          <w:color w:val="000000"/>
          <w:spacing w:val="-2"/>
          <w:sz w:val="24"/>
          <w:szCs w:val="24"/>
          <w:lang w:val="ro-RO"/>
        </w:rPr>
        <w:t>-</w:t>
      </w:r>
      <w:r w:rsidR="00AB3E31">
        <w:rPr>
          <w:rFonts w:asciiTheme="majorHAnsi" w:hAnsiTheme="majorHAnsi" w:cs="Times New Roman"/>
          <w:iCs/>
          <w:color w:val="000000"/>
          <w:spacing w:val="-2"/>
          <w:sz w:val="24"/>
          <w:szCs w:val="24"/>
          <w:lang w:val="ru-RU"/>
        </w:rPr>
        <w:t xml:space="preserve"> </w:t>
      </w:r>
      <w:r w:rsidRPr="00DF3986">
        <w:rPr>
          <w:rFonts w:asciiTheme="majorHAnsi" w:hAnsiTheme="majorHAnsi" w:cs="Times New Roman"/>
          <w:iCs/>
          <w:color w:val="000000"/>
          <w:spacing w:val="-2"/>
          <w:sz w:val="24"/>
          <w:szCs w:val="24"/>
          <w:lang w:val="ro-RO"/>
        </w:rPr>
        <w:t>увеличил</w:t>
      </w:r>
      <w:r w:rsidR="00AB3E31">
        <w:rPr>
          <w:rFonts w:asciiTheme="majorHAnsi" w:hAnsiTheme="majorHAnsi" w:cs="Times New Roman"/>
          <w:iCs/>
          <w:color w:val="000000"/>
          <w:spacing w:val="-2"/>
          <w:sz w:val="24"/>
          <w:szCs w:val="24"/>
          <w:lang w:val="ru-RU"/>
        </w:rPr>
        <w:t>и</w:t>
      </w:r>
      <w:r w:rsidRPr="00DF3986">
        <w:rPr>
          <w:rFonts w:asciiTheme="majorHAnsi" w:hAnsiTheme="majorHAnsi" w:cs="Times New Roman"/>
          <w:iCs/>
          <w:color w:val="000000"/>
          <w:spacing w:val="-2"/>
          <w:sz w:val="24"/>
          <w:szCs w:val="24"/>
          <w:lang w:val="ro-RO"/>
        </w:rPr>
        <w:t>с</w:t>
      </w:r>
      <w:r w:rsidR="00AB3E31">
        <w:rPr>
          <w:rFonts w:asciiTheme="majorHAnsi" w:hAnsiTheme="majorHAnsi" w:cs="Times New Roman"/>
          <w:iCs/>
          <w:color w:val="000000"/>
          <w:spacing w:val="-2"/>
          <w:sz w:val="24"/>
          <w:szCs w:val="24"/>
          <w:lang w:val="ru-RU"/>
        </w:rPr>
        <w:t>ь</w:t>
      </w:r>
      <w:r w:rsidRPr="00DF3986">
        <w:rPr>
          <w:rFonts w:asciiTheme="majorHAnsi" w:hAnsiTheme="majorHAnsi" w:cs="Times New Roman"/>
          <w:iCs/>
          <w:color w:val="000000"/>
          <w:spacing w:val="-2"/>
          <w:sz w:val="24"/>
          <w:szCs w:val="24"/>
          <w:lang w:val="ro-RO"/>
        </w:rPr>
        <w:t xml:space="preserve"> на 2 067,8 млн. л</w:t>
      </w:r>
      <w:r w:rsidR="00AB3E31">
        <w:rPr>
          <w:rFonts w:asciiTheme="majorHAnsi" w:hAnsiTheme="majorHAnsi" w:cs="Times New Roman"/>
          <w:iCs/>
          <w:color w:val="000000"/>
          <w:spacing w:val="-2"/>
          <w:sz w:val="24"/>
          <w:szCs w:val="24"/>
          <w:lang w:val="ru-RU"/>
        </w:rPr>
        <w:t>еев</w:t>
      </w:r>
      <w:r w:rsidRPr="00DF3986">
        <w:rPr>
          <w:rFonts w:asciiTheme="majorHAnsi" w:hAnsiTheme="majorHAnsi" w:cs="Times New Roman"/>
          <w:iCs/>
          <w:color w:val="000000"/>
          <w:spacing w:val="-2"/>
          <w:sz w:val="24"/>
          <w:szCs w:val="24"/>
          <w:lang w:val="ro-RO"/>
        </w:rPr>
        <w:t xml:space="preserve"> (5,7%).</w:t>
      </w:r>
      <w:r w:rsidR="00AB3E31">
        <w:rPr>
          <w:rFonts w:asciiTheme="majorHAnsi" w:hAnsiTheme="majorHAnsi" w:cs="Times New Roman"/>
          <w:iCs/>
          <w:color w:val="000000"/>
          <w:spacing w:val="-2"/>
          <w:sz w:val="24"/>
          <w:szCs w:val="24"/>
          <w:lang w:val="ru-RU"/>
        </w:rPr>
        <w:t xml:space="preserve"> </w:t>
      </w:r>
      <w:r w:rsidRPr="00DF3986">
        <w:rPr>
          <w:rFonts w:asciiTheme="majorHAnsi" w:hAnsiTheme="majorHAnsi" w:cs="Times New Roman"/>
          <w:iCs/>
          <w:color w:val="000000"/>
          <w:spacing w:val="-2"/>
          <w:sz w:val="24"/>
          <w:szCs w:val="24"/>
          <w:lang w:val="ro-RO"/>
        </w:rPr>
        <w:t>Таким образом, в 2020 году пере</w:t>
      </w:r>
      <w:r w:rsidR="00AB3E31">
        <w:rPr>
          <w:rFonts w:asciiTheme="majorHAnsi" w:hAnsiTheme="majorHAnsi" w:cs="Times New Roman"/>
          <w:iCs/>
          <w:color w:val="000000"/>
          <w:spacing w:val="-2"/>
          <w:sz w:val="24"/>
          <w:szCs w:val="24"/>
          <w:lang w:val="ru-RU"/>
        </w:rPr>
        <w:t>выполнение</w:t>
      </w:r>
      <w:r w:rsidRPr="00DF3986">
        <w:rPr>
          <w:rFonts w:asciiTheme="majorHAnsi" w:hAnsiTheme="majorHAnsi" w:cs="Times New Roman"/>
          <w:iCs/>
          <w:color w:val="000000"/>
          <w:spacing w:val="-2"/>
          <w:sz w:val="24"/>
          <w:szCs w:val="24"/>
          <w:lang w:val="ro-RO"/>
        </w:rPr>
        <w:t xml:space="preserve"> доходов по сравнению с </w:t>
      </w:r>
      <w:r w:rsidR="001D6EB0">
        <w:rPr>
          <w:rFonts w:asciiTheme="majorHAnsi" w:hAnsiTheme="majorHAnsi" w:cs="Times New Roman"/>
          <w:iCs/>
          <w:color w:val="000000"/>
          <w:spacing w:val="-2"/>
          <w:sz w:val="24"/>
          <w:szCs w:val="24"/>
          <w:lang w:val="ro-RO"/>
        </w:rPr>
        <w:t>уточне</w:t>
      </w:r>
      <w:r w:rsidRPr="00DF3986">
        <w:rPr>
          <w:rFonts w:asciiTheme="majorHAnsi" w:hAnsiTheme="majorHAnsi" w:cs="Times New Roman"/>
          <w:iCs/>
          <w:color w:val="000000"/>
          <w:spacing w:val="-2"/>
          <w:sz w:val="24"/>
          <w:szCs w:val="24"/>
          <w:lang w:val="ro-RO"/>
        </w:rPr>
        <w:t>нным уровнем обусловлен</w:t>
      </w:r>
      <w:r w:rsidR="00E824CB">
        <w:rPr>
          <w:rFonts w:asciiTheme="majorHAnsi" w:hAnsiTheme="majorHAnsi" w:cs="Times New Roman"/>
          <w:iCs/>
          <w:color w:val="000000"/>
          <w:spacing w:val="-2"/>
          <w:sz w:val="24"/>
          <w:szCs w:val="24"/>
          <w:lang w:val="ru-RU"/>
        </w:rPr>
        <w:t>о</w:t>
      </w:r>
      <w:r w:rsidRPr="00DF3986">
        <w:rPr>
          <w:rFonts w:asciiTheme="majorHAnsi" w:hAnsiTheme="majorHAnsi" w:cs="Times New Roman"/>
          <w:iCs/>
          <w:color w:val="000000"/>
          <w:spacing w:val="-2"/>
          <w:sz w:val="24"/>
          <w:szCs w:val="24"/>
          <w:lang w:val="ro-RO"/>
        </w:rPr>
        <w:t xml:space="preserve"> сокращением утвержденных показателей, а их снижение по сравнению с предыдущим годом было обусловлено приостановлением экономической деятельности и введением различных ограничений в условиях кризиса, вызванного пандемией </w:t>
      </w:r>
      <w:r w:rsidR="00AB3E31" w:rsidRPr="00F55BA6">
        <w:rPr>
          <w:rFonts w:asciiTheme="majorHAnsi" w:hAnsiTheme="majorHAnsi" w:cstheme="majorHAnsi"/>
          <w:color w:val="000000"/>
          <w:sz w:val="24"/>
          <w:szCs w:val="24"/>
          <w:lang w:val="ro-RO"/>
        </w:rPr>
        <w:lastRenderedPageBreak/>
        <w:t>COVID-19</w:t>
      </w:r>
      <w:r w:rsidRPr="00DF3986">
        <w:rPr>
          <w:rFonts w:asciiTheme="majorHAnsi" w:hAnsiTheme="majorHAnsi" w:cs="Times New Roman"/>
          <w:iCs/>
          <w:color w:val="000000"/>
          <w:spacing w:val="-2"/>
          <w:sz w:val="24"/>
          <w:szCs w:val="24"/>
          <w:lang w:val="ro-RO"/>
        </w:rPr>
        <w:t xml:space="preserve">. </w:t>
      </w:r>
      <w:r w:rsidRPr="00AB3E31">
        <w:rPr>
          <w:rFonts w:asciiTheme="majorHAnsi" w:hAnsiTheme="majorHAnsi" w:cs="Times New Roman"/>
          <w:i/>
          <w:iCs/>
          <w:color w:val="000000"/>
          <w:spacing w:val="-2"/>
          <w:sz w:val="24"/>
          <w:szCs w:val="24"/>
          <w:lang w:val="ro-RO"/>
        </w:rPr>
        <w:t xml:space="preserve">Динамика исполнения доходов </w:t>
      </w:r>
      <w:r w:rsidR="001D6EB0" w:rsidRPr="00AB3E31">
        <w:rPr>
          <w:rFonts w:asciiTheme="majorHAnsi" w:hAnsiTheme="majorHAnsi" w:cs="Times New Roman"/>
          <w:i/>
          <w:iCs/>
          <w:color w:val="000000"/>
          <w:spacing w:val="-2"/>
          <w:sz w:val="24"/>
          <w:szCs w:val="24"/>
          <w:lang w:val="ro-RO"/>
        </w:rPr>
        <w:t>государственного бюджета</w:t>
      </w:r>
      <w:r w:rsidRPr="00AB3E31">
        <w:rPr>
          <w:rFonts w:asciiTheme="majorHAnsi" w:hAnsiTheme="majorHAnsi" w:cs="Times New Roman"/>
          <w:i/>
          <w:iCs/>
          <w:color w:val="000000"/>
          <w:spacing w:val="-2"/>
          <w:sz w:val="24"/>
          <w:szCs w:val="24"/>
          <w:lang w:val="ro-RO"/>
        </w:rPr>
        <w:t xml:space="preserve"> </w:t>
      </w:r>
      <w:r w:rsidR="00AB3E31">
        <w:rPr>
          <w:rFonts w:asciiTheme="majorHAnsi" w:hAnsiTheme="majorHAnsi" w:cs="Times New Roman"/>
          <w:i/>
          <w:iCs/>
          <w:color w:val="000000"/>
          <w:spacing w:val="-2"/>
          <w:sz w:val="24"/>
          <w:szCs w:val="24"/>
          <w:lang w:val="ru-RU"/>
        </w:rPr>
        <w:t>за</w:t>
      </w:r>
      <w:r w:rsidRPr="00AB3E31">
        <w:rPr>
          <w:rFonts w:asciiTheme="majorHAnsi" w:hAnsiTheme="majorHAnsi" w:cs="Times New Roman"/>
          <w:i/>
          <w:iCs/>
          <w:color w:val="000000"/>
          <w:spacing w:val="-2"/>
          <w:sz w:val="24"/>
          <w:szCs w:val="24"/>
          <w:lang w:val="ro-RO"/>
        </w:rPr>
        <w:t xml:space="preserve"> 2018-2020 </w:t>
      </w:r>
      <w:r w:rsidR="00AB3E31">
        <w:rPr>
          <w:rFonts w:asciiTheme="majorHAnsi" w:hAnsiTheme="majorHAnsi" w:cs="Times New Roman"/>
          <w:i/>
          <w:iCs/>
          <w:color w:val="000000"/>
          <w:spacing w:val="-2"/>
          <w:sz w:val="24"/>
          <w:szCs w:val="24"/>
          <w:lang w:val="ru-RU"/>
        </w:rPr>
        <w:t>годы</w:t>
      </w:r>
      <w:r w:rsidRPr="00AB3E31">
        <w:rPr>
          <w:rFonts w:asciiTheme="majorHAnsi" w:hAnsiTheme="majorHAnsi" w:cs="Times New Roman"/>
          <w:i/>
          <w:iCs/>
          <w:color w:val="000000"/>
          <w:spacing w:val="-2"/>
          <w:sz w:val="24"/>
          <w:szCs w:val="24"/>
          <w:lang w:val="ro-RO"/>
        </w:rPr>
        <w:t xml:space="preserve"> представлена в Таблице №3.</w:t>
      </w:r>
      <w:r w:rsidRPr="00DF3986">
        <w:rPr>
          <w:rFonts w:asciiTheme="majorHAnsi" w:hAnsiTheme="majorHAnsi" w:cs="Times New Roman"/>
          <w:iCs/>
          <w:color w:val="000000"/>
          <w:spacing w:val="-2"/>
          <w:sz w:val="24"/>
          <w:szCs w:val="24"/>
          <w:lang w:val="ro-RO"/>
        </w:rPr>
        <w:t xml:space="preserve"> </w:t>
      </w:r>
    </w:p>
    <w:p w:rsidR="006E2E6A" w:rsidRPr="00F55BA6" w:rsidRDefault="004C67D5" w:rsidP="006A3770">
      <w:pPr>
        <w:spacing w:after="0" w:line="240" w:lineRule="auto"/>
        <w:jc w:val="right"/>
        <w:rPr>
          <w:rFonts w:asciiTheme="majorHAnsi" w:eastAsia="Times New Roman" w:hAnsiTheme="majorHAnsi" w:cstheme="majorHAnsi"/>
          <w:b/>
          <w:sz w:val="24"/>
          <w:szCs w:val="24"/>
          <w:lang w:val="ro-RO"/>
        </w:rPr>
      </w:pPr>
      <w:r>
        <w:rPr>
          <w:rFonts w:asciiTheme="majorHAnsi" w:eastAsia="Times New Roman" w:hAnsiTheme="majorHAnsi" w:cstheme="majorHAnsi"/>
          <w:b/>
          <w:sz w:val="24"/>
          <w:szCs w:val="24"/>
          <w:lang w:val="ro-RO"/>
        </w:rPr>
        <w:t>Таблица №</w:t>
      </w:r>
      <w:r w:rsidR="007257D8" w:rsidRPr="00F55BA6">
        <w:rPr>
          <w:rFonts w:asciiTheme="majorHAnsi" w:eastAsia="Times New Roman" w:hAnsiTheme="majorHAnsi" w:cstheme="majorHAnsi"/>
          <w:b/>
          <w:sz w:val="24"/>
          <w:szCs w:val="24"/>
          <w:lang w:val="ro-RO"/>
        </w:rPr>
        <w:t>3</w:t>
      </w:r>
    </w:p>
    <w:p w:rsidR="006E2E6A" w:rsidRPr="00F55BA6" w:rsidRDefault="00AB3E31" w:rsidP="006E2E6A">
      <w:pPr>
        <w:spacing w:after="0" w:line="240" w:lineRule="auto"/>
        <w:jc w:val="center"/>
        <w:rPr>
          <w:rFonts w:asciiTheme="majorHAnsi" w:eastAsia="Times New Roman" w:hAnsiTheme="majorHAnsi" w:cstheme="majorHAnsi"/>
          <w:sz w:val="24"/>
          <w:szCs w:val="24"/>
          <w:lang w:val="ro-RO"/>
        </w:rPr>
      </w:pPr>
      <w:r w:rsidRPr="00AB3E31">
        <w:rPr>
          <w:rFonts w:asciiTheme="majorHAnsi" w:eastAsia="Times New Roman" w:hAnsiTheme="majorHAnsi" w:cstheme="majorHAnsi"/>
          <w:b/>
          <w:bCs/>
          <w:iCs/>
          <w:sz w:val="24"/>
          <w:szCs w:val="24"/>
          <w:lang w:val="ro-RO"/>
        </w:rPr>
        <w:t>Динамика исполнения доходов государственного бюджета за 2018-2020 годы</w:t>
      </w:r>
      <w:r w:rsidRPr="00AB3E31">
        <w:rPr>
          <w:rFonts w:asciiTheme="majorHAnsi" w:eastAsia="Times New Roman" w:hAnsiTheme="majorHAnsi" w:cstheme="majorHAnsi"/>
          <w:b/>
          <w:bCs/>
          <w:i/>
          <w:iCs/>
          <w:sz w:val="24"/>
          <w:szCs w:val="24"/>
          <w:lang w:val="ro-RO"/>
        </w:rPr>
        <w:t xml:space="preserve"> </w:t>
      </w:r>
    </w:p>
    <w:p w:rsidR="006E2E6A" w:rsidRPr="00F55BA6" w:rsidRDefault="006E2E6A" w:rsidP="006E2E6A">
      <w:pPr>
        <w:spacing w:after="0" w:line="240" w:lineRule="auto"/>
        <w:jc w:val="right"/>
        <w:rPr>
          <w:rFonts w:asciiTheme="majorHAnsi" w:eastAsia="Times New Roman" w:hAnsiTheme="majorHAnsi" w:cstheme="majorHAnsi"/>
          <w:b/>
          <w:i/>
          <w:iCs/>
          <w:sz w:val="24"/>
          <w:szCs w:val="24"/>
          <w:lang w:val="ro-RO"/>
        </w:rPr>
      </w:pPr>
      <w:r w:rsidRPr="00F55BA6">
        <w:rPr>
          <w:rFonts w:asciiTheme="majorHAnsi" w:eastAsia="Times New Roman" w:hAnsiTheme="majorHAnsi" w:cstheme="majorHAnsi"/>
          <w:b/>
          <w:sz w:val="24"/>
          <w:szCs w:val="24"/>
          <w:lang w:val="ro-RO"/>
        </w:rPr>
        <w:t> (</w:t>
      </w:r>
      <w:r w:rsidR="00AB3E31">
        <w:rPr>
          <w:rFonts w:asciiTheme="majorHAnsi" w:eastAsia="Times New Roman" w:hAnsiTheme="majorHAnsi" w:cstheme="majorHAnsi"/>
          <w:b/>
          <w:sz w:val="24"/>
          <w:szCs w:val="24"/>
          <w:lang w:val="ru-RU"/>
        </w:rPr>
        <w:t>млн</w:t>
      </w:r>
      <w:r w:rsidR="00AB3E31" w:rsidRPr="00AB3E31">
        <w:rPr>
          <w:rFonts w:asciiTheme="majorHAnsi" w:eastAsia="Times New Roman" w:hAnsiTheme="majorHAnsi" w:cstheme="majorHAnsi"/>
          <w:b/>
          <w:sz w:val="24"/>
          <w:szCs w:val="24"/>
          <w:lang w:val="en-US"/>
        </w:rPr>
        <w:t xml:space="preserve">. </w:t>
      </w:r>
      <w:r w:rsidR="00AB3E31">
        <w:rPr>
          <w:rFonts w:asciiTheme="majorHAnsi" w:eastAsia="Times New Roman" w:hAnsiTheme="majorHAnsi" w:cstheme="majorHAnsi"/>
          <w:b/>
          <w:sz w:val="24"/>
          <w:szCs w:val="24"/>
          <w:lang w:val="ru-RU"/>
        </w:rPr>
        <w:t>леев</w:t>
      </w:r>
      <w:r w:rsidRPr="00F55BA6">
        <w:rPr>
          <w:rFonts w:asciiTheme="majorHAnsi" w:eastAsia="Times New Roman" w:hAnsiTheme="majorHAnsi" w:cstheme="majorHAnsi"/>
          <w:b/>
          <w:sz w:val="24"/>
          <w:szCs w:val="24"/>
          <w:lang w:val="ro-RO"/>
        </w:rPr>
        <w:t>)</w:t>
      </w:r>
    </w:p>
    <w:tbl>
      <w:tblPr>
        <w:tblStyle w:val="GridTable1Light1"/>
        <w:tblW w:w="9890" w:type="dxa"/>
        <w:tblLook w:val="04A0" w:firstRow="1" w:lastRow="0" w:firstColumn="1" w:lastColumn="0" w:noHBand="0" w:noVBand="1"/>
      </w:tblPr>
      <w:tblGrid>
        <w:gridCol w:w="1555"/>
        <w:gridCol w:w="1152"/>
        <w:gridCol w:w="1152"/>
        <w:gridCol w:w="943"/>
        <w:gridCol w:w="671"/>
        <w:gridCol w:w="772"/>
        <w:gridCol w:w="1225"/>
        <w:gridCol w:w="1060"/>
        <w:gridCol w:w="695"/>
        <w:gridCol w:w="695"/>
      </w:tblGrid>
      <w:tr w:rsidR="006E2E6A" w:rsidRPr="00E4517B" w:rsidTr="00B51730">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55" w:type="dxa"/>
            <w:vMerge w:val="restart"/>
            <w:noWrap/>
            <w:vAlign w:val="center"/>
            <w:hideMark/>
          </w:tcPr>
          <w:p w:rsidR="006E2E6A" w:rsidRPr="00AB3E31" w:rsidRDefault="00AB3E31" w:rsidP="00B51730">
            <w:pPr>
              <w:jc w:val="center"/>
              <w:rPr>
                <w:rFonts w:ascii="Calibri Light" w:eastAsia="Times New Roman" w:hAnsi="Calibri Light" w:cs="Calibri Light"/>
                <w:bCs w:val="0"/>
                <w:color w:val="000000"/>
                <w:sz w:val="20"/>
                <w:szCs w:val="20"/>
                <w:lang w:val="ru-RU" w:eastAsia="ro-RO"/>
              </w:rPr>
            </w:pPr>
            <w:r>
              <w:rPr>
                <w:rFonts w:ascii="Calibri Light" w:eastAsia="Times New Roman" w:hAnsi="Calibri Light" w:cs="Calibri Light"/>
                <w:color w:val="000000"/>
                <w:sz w:val="20"/>
                <w:szCs w:val="20"/>
                <w:lang w:val="ru-RU" w:eastAsia="ro-RO"/>
              </w:rPr>
              <w:t>Показатели</w:t>
            </w:r>
          </w:p>
          <w:p w:rsidR="006E2E6A" w:rsidRPr="00F55BA6" w:rsidRDefault="006E2E6A" w:rsidP="00B51730">
            <w:pPr>
              <w:jc w:val="left"/>
              <w:rPr>
                <w:rFonts w:ascii="Calibri Light" w:eastAsia="Times New Roman" w:hAnsi="Calibri Light" w:cs="Calibri Light"/>
                <w:bCs w:val="0"/>
                <w:color w:val="000000"/>
                <w:sz w:val="20"/>
                <w:szCs w:val="20"/>
                <w:lang w:val="ro-RO" w:eastAsia="ro-RO"/>
              </w:rPr>
            </w:pPr>
            <w:r w:rsidRPr="00F55BA6">
              <w:rPr>
                <w:rFonts w:ascii="Calibri Light" w:eastAsia="Times New Roman" w:hAnsi="Calibri Light" w:cs="Calibri Light"/>
                <w:color w:val="000000"/>
                <w:sz w:val="20"/>
                <w:szCs w:val="20"/>
                <w:lang w:val="ro-RO" w:eastAsia="ro-RO"/>
              </w:rPr>
              <w:t> </w:t>
            </w:r>
          </w:p>
        </w:tc>
        <w:tc>
          <w:tcPr>
            <w:tcW w:w="1012" w:type="dxa"/>
            <w:vMerge w:val="restart"/>
            <w:noWrap/>
            <w:vAlign w:val="center"/>
            <w:hideMark/>
          </w:tcPr>
          <w:p w:rsidR="006E2E6A" w:rsidRPr="00F55BA6" w:rsidRDefault="006E2E6A" w:rsidP="00B51730">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RO" w:eastAsia="ro-RO"/>
              </w:rPr>
            </w:pPr>
          </w:p>
          <w:p w:rsidR="006E2E6A" w:rsidRPr="00AB3E31" w:rsidRDefault="00AB3E31" w:rsidP="00B51730">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u-RU" w:eastAsia="ro-RO"/>
              </w:rPr>
            </w:pPr>
            <w:r>
              <w:rPr>
                <w:rFonts w:ascii="Calibri Light" w:eastAsia="Times New Roman" w:hAnsi="Calibri Light" w:cs="Calibri Light"/>
                <w:color w:val="000000"/>
                <w:sz w:val="20"/>
                <w:szCs w:val="20"/>
                <w:lang w:val="ru-RU" w:eastAsia="ro-RO"/>
              </w:rPr>
              <w:t>Исполнено в</w:t>
            </w:r>
            <w:r w:rsidR="006E2E6A" w:rsidRPr="00F55BA6">
              <w:rPr>
                <w:rFonts w:ascii="Calibri Light" w:eastAsia="Times New Roman" w:hAnsi="Calibri Light" w:cs="Calibri Light"/>
                <w:color w:val="000000"/>
                <w:sz w:val="20"/>
                <w:szCs w:val="20"/>
                <w:lang w:val="ro-RO" w:eastAsia="ro-RO"/>
              </w:rPr>
              <w:t xml:space="preserve"> 2018</w:t>
            </w:r>
            <w:r>
              <w:rPr>
                <w:rFonts w:ascii="Calibri Light" w:eastAsia="Times New Roman" w:hAnsi="Calibri Light" w:cs="Calibri Light"/>
                <w:color w:val="000000"/>
                <w:sz w:val="20"/>
                <w:szCs w:val="20"/>
                <w:lang w:val="ru-RU" w:eastAsia="ro-RO"/>
              </w:rPr>
              <w:t xml:space="preserve"> году</w:t>
            </w:r>
          </w:p>
          <w:p w:rsidR="006E2E6A" w:rsidRPr="00F55BA6" w:rsidRDefault="006E2E6A" w:rsidP="00B51730">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RO" w:eastAsia="ro-RO"/>
              </w:rPr>
            </w:pPr>
          </w:p>
        </w:tc>
        <w:tc>
          <w:tcPr>
            <w:tcW w:w="993" w:type="dxa"/>
            <w:vMerge w:val="restart"/>
            <w:vAlign w:val="center"/>
          </w:tcPr>
          <w:p w:rsidR="006E2E6A" w:rsidRPr="00AB3E31" w:rsidRDefault="00AB3E31" w:rsidP="00B51730">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u-RU" w:eastAsia="ro-RO"/>
              </w:rPr>
            </w:pPr>
            <w:r>
              <w:rPr>
                <w:rFonts w:ascii="Calibri Light" w:eastAsia="Times New Roman" w:hAnsi="Calibri Light" w:cs="Calibri Light"/>
                <w:color w:val="000000"/>
                <w:sz w:val="20"/>
                <w:szCs w:val="20"/>
                <w:lang w:val="ru-RU" w:eastAsia="ro-RO"/>
              </w:rPr>
              <w:t>Исполнено в</w:t>
            </w:r>
            <w:r w:rsidRPr="00F55BA6">
              <w:rPr>
                <w:rFonts w:ascii="Calibri Light" w:eastAsia="Times New Roman" w:hAnsi="Calibri Light" w:cs="Calibri Light"/>
                <w:color w:val="000000"/>
                <w:sz w:val="20"/>
                <w:szCs w:val="20"/>
                <w:lang w:val="ro-RO" w:eastAsia="ro-RO"/>
              </w:rPr>
              <w:t xml:space="preserve"> </w:t>
            </w:r>
            <w:r w:rsidR="006E2E6A" w:rsidRPr="00F55BA6">
              <w:rPr>
                <w:rFonts w:ascii="Calibri Light" w:eastAsia="Times New Roman" w:hAnsi="Calibri Light" w:cs="Calibri Light"/>
                <w:color w:val="000000"/>
                <w:sz w:val="20"/>
                <w:szCs w:val="20"/>
                <w:lang w:val="ro-RO" w:eastAsia="ro-RO"/>
              </w:rPr>
              <w:t>2019</w:t>
            </w:r>
            <w:r>
              <w:rPr>
                <w:rFonts w:ascii="Calibri Light" w:eastAsia="Times New Roman" w:hAnsi="Calibri Light" w:cs="Calibri Light"/>
                <w:color w:val="000000"/>
                <w:sz w:val="20"/>
                <w:szCs w:val="20"/>
                <w:lang w:val="ru-RU" w:eastAsia="ro-RO"/>
              </w:rPr>
              <w:t xml:space="preserve"> году</w:t>
            </w:r>
          </w:p>
        </w:tc>
        <w:tc>
          <w:tcPr>
            <w:tcW w:w="3948" w:type="dxa"/>
            <w:gridSpan w:val="4"/>
            <w:vAlign w:val="center"/>
          </w:tcPr>
          <w:p w:rsidR="006E2E6A" w:rsidRPr="00F55BA6" w:rsidRDefault="006E2E6A" w:rsidP="00B51730">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RO" w:eastAsia="ro-RO"/>
              </w:rPr>
            </w:pPr>
            <w:r w:rsidRPr="00F55BA6">
              <w:rPr>
                <w:rFonts w:ascii="Calibri Light" w:eastAsia="Times New Roman" w:hAnsi="Calibri Light" w:cs="Calibri Light"/>
                <w:color w:val="000000"/>
                <w:sz w:val="20"/>
                <w:szCs w:val="20"/>
                <w:lang w:val="ro-RO" w:eastAsia="ro-RO"/>
              </w:rPr>
              <w:t>Anul 2020</w:t>
            </w:r>
          </w:p>
        </w:tc>
        <w:tc>
          <w:tcPr>
            <w:tcW w:w="992" w:type="dxa"/>
            <w:vMerge w:val="restart"/>
            <w:vAlign w:val="center"/>
          </w:tcPr>
          <w:p w:rsidR="006E2E6A" w:rsidRPr="00F55BA6" w:rsidRDefault="00AB3E31" w:rsidP="00B51730">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RO" w:eastAsia="ro-RO"/>
              </w:rPr>
            </w:pPr>
            <w:r>
              <w:rPr>
                <w:rFonts w:ascii="Calibri Light" w:eastAsia="Times New Roman" w:hAnsi="Calibri Light" w:cs="Calibri Light"/>
                <w:color w:val="000000"/>
                <w:sz w:val="20"/>
                <w:szCs w:val="20"/>
                <w:lang w:val="ru-RU" w:eastAsia="ro-RO"/>
              </w:rPr>
              <w:t>Удельный вес в ВВП</w:t>
            </w:r>
            <w:r w:rsidR="006E2E6A" w:rsidRPr="00F55BA6">
              <w:rPr>
                <w:rFonts w:ascii="Calibri Light" w:eastAsia="Times New Roman" w:hAnsi="Calibri Light" w:cs="Calibri Light"/>
                <w:color w:val="000000"/>
                <w:sz w:val="20"/>
                <w:szCs w:val="20"/>
                <w:lang w:val="ro-RO" w:eastAsia="ro-RO"/>
              </w:rPr>
              <w:t xml:space="preserve"> (%)</w:t>
            </w:r>
          </w:p>
        </w:tc>
        <w:tc>
          <w:tcPr>
            <w:tcW w:w="1390" w:type="dxa"/>
            <w:gridSpan w:val="2"/>
            <w:vAlign w:val="center"/>
          </w:tcPr>
          <w:p w:rsidR="006E2E6A" w:rsidRPr="00F55BA6" w:rsidRDefault="00AB3E31" w:rsidP="00B51730">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Cs w:val="0"/>
                <w:color w:val="000000"/>
                <w:sz w:val="20"/>
                <w:szCs w:val="20"/>
                <w:lang w:val="ro-RO" w:eastAsia="ro-RO"/>
              </w:rPr>
            </w:pPr>
            <w:r>
              <w:rPr>
                <w:rFonts w:ascii="Calibri Light" w:eastAsia="Times New Roman" w:hAnsi="Calibri Light" w:cs="Calibri Light"/>
                <w:color w:val="000000"/>
                <w:sz w:val="20"/>
                <w:szCs w:val="20"/>
                <w:lang w:val="ru-RU" w:eastAsia="ro-RO"/>
              </w:rPr>
              <w:t>Отклонения</w:t>
            </w:r>
            <w:r w:rsidR="006E2E6A" w:rsidRPr="00F55BA6">
              <w:rPr>
                <w:rFonts w:ascii="Calibri Light" w:eastAsia="Times New Roman" w:hAnsi="Calibri Light" w:cs="Calibri Light"/>
                <w:color w:val="000000"/>
                <w:sz w:val="20"/>
                <w:szCs w:val="20"/>
                <w:lang w:val="ro-RO" w:eastAsia="ro-RO"/>
              </w:rPr>
              <w:t xml:space="preserve"> (%)</w:t>
            </w:r>
          </w:p>
        </w:tc>
      </w:tr>
      <w:tr w:rsidR="006E2E6A" w:rsidRPr="00E4517B" w:rsidTr="00B51730">
        <w:trPr>
          <w:trHeight w:val="252"/>
        </w:trPr>
        <w:tc>
          <w:tcPr>
            <w:cnfStyle w:val="001000000000" w:firstRow="0" w:lastRow="0" w:firstColumn="1" w:lastColumn="0" w:oddVBand="0" w:evenVBand="0" w:oddHBand="0" w:evenHBand="0" w:firstRowFirstColumn="0" w:firstRowLastColumn="0" w:lastRowFirstColumn="0" w:lastRowLastColumn="0"/>
            <w:tcW w:w="1555" w:type="dxa"/>
            <w:vMerge/>
            <w:noWrap/>
            <w:vAlign w:val="center"/>
            <w:hideMark/>
          </w:tcPr>
          <w:p w:rsidR="006E2E6A" w:rsidRPr="00F55BA6" w:rsidRDefault="006E2E6A" w:rsidP="00B51730">
            <w:pPr>
              <w:jc w:val="left"/>
              <w:rPr>
                <w:rFonts w:ascii="Calibri Light" w:eastAsia="Times New Roman" w:hAnsi="Calibri Light" w:cs="Calibri Light"/>
                <w:color w:val="000000"/>
                <w:sz w:val="20"/>
                <w:szCs w:val="20"/>
                <w:lang w:val="ro-RO" w:eastAsia="ro-RO"/>
              </w:rPr>
            </w:pPr>
          </w:p>
        </w:tc>
        <w:tc>
          <w:tcPr>
            <w:tcW w:w="1012" w:type="dxa"/>
            <w:vMerge/>
            <w:noWrap/>
            <w:vAlign w:val="center"/>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p>
        </w:tc>
        <w:tc>
          <w:tcPr>
            <w:tcW w:w="993" w:type="dxa"/>
            <w:vMerge/>
            <w:noWrap/>
            <w:vAlign w:val="center"/>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p>
        </w:tc>
        <w:tc>
          <w:tcPr>
            <w:tcW w:w="943" w:type="dxa"/>
            <w:noWrap/>
            <w:vAlign w:val="center"/>
          </w:tcPr>
          <w:p w:rsidR="00AB3E31" w:rsidRDefault="00AB3E31"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eastAsia="ro-RO"/>
              </w:rPr>
            </w:pPr>
            <w:r>
              <w:rPr>
                <w:rFonts w:ascii="Calibri Light" w:eastAsia="Times New Roman" w:hAnsi="Calibri Light" w:cs="Calibri Light"/>
                <w:b/>
                <w:bCs/>
                <w:color w:val="000000"/>
                <w:sz w:val="20"/>
                <w:szCs w:val="20"/>
                <w:lang w:val="ru-RU" w:eastAsia="ro-RO"/>
              </w:rPr>
              <w:t>Утверж</w:t>
            </w:r>
          </w:p>
          <w:p w:rsidR="006E2E6A" w:rsidRPr="00AB3E31" w:rsidRDefault="00AB3E31"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eastAsia="ro-RO"/>
              </w:rPr>
            </w:pPr>
            <w:r>
              <w:rPr>
                <w:rFonts w:ascii="Calibri Light" w:eastAsia="Times New Roman" w:hAnsi="Calibri Light" w:cs="Calibri Light"/>
                <w:b/>
                <w:bCs/>
                <w:color w:val="000000"/>
                <w:sz w:val="20"/>
                <w:szCs w:val="20"/>
                <w:lang w:val="ru-RU" w:eastAsia="ro-RO"/>
              </w:rPr>
              <w:t>дено</w:t>
            </w:r>
          </w:p>
        </w:tc>
        <w:tc>
          <w:tcPr>
            <w:tcW w:w="1011" w:type="dxa"/>
            <w:vAlign w:val="center"/>
          </w:tcPr>
          <w:p w:rsidR="00AB3E31" w:rsidRDefault="00AB3E31"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eastAsia="ro-RO"/>
              </w:rPr>
            </w:pPr>
            <w:r>
              <w:rPr>
                <w:rFonts w:ascii="Calibri Light" w:eastAsia="Times New Roman" w:hAnsi="Calibri Light" w:cs="Calibri Light"/>
                <w:b/>
                <w:bCs/>
                <w:color w:val="000000"/>
                <w:sz w:val="20"/>
                <w:szCs w:val="20"/>
                <w:lang w:val="ru-RU" w:eastAsia="ro-RO"/>
              </w:rPr>
              <w:t>Уточ</w:t>
            </w:r>
          </w:p>
          <w:p w:rsidR="006E2E6A" w:rsidRPr="00AB3E31" w:rsidRDefault="00AB3E31"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eastAsia="ro-RO"/>
              </w:rPr>
            </w:pPr>
            <w:r>
              <w:rPr>
                <w:rFonts w:ascii="Calibri Light" w:eastAsia="Times New Roman" w:hAnsi="Calibri Light" w:cs="Calibri Light"/>
                <w:b/>
                <w:bCs/>
                <w:color w:val="000000"/>
                <w:sz w:val="20"/>
                <w:szCs w:val="20"/>
                <w:lang w:val="ru-RU" w:eastAsia="ro-RO"/>
              </w:rPr>
              <w:t>нено</w:t>
            </w:r>
          </w:p>
        </w:tc>
        <w:tc>
          <w:tcPr>
            <w:tcW w:w="979" w:type="dxa"/>
            <w:vAlign w:val="center"/>
          </w:tcPr>
          <w:p w:rsidR="00AB3E31" w:rsidRDefault="00AB3E31" w:rsidP="00AB3E31">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u-RU" w:eastAsia="ro-RO"/>
              </w:rPr>
            </w:pPr>
            <w:r w:rsidRPr="00AB3E31">
              <w:rPr>
                <w:rFonts w:ascii="Calibri Light" w:eastAsia="Times New Roman" w:hAnsi="Calibri Light" w:cs="Calibri Light"/>
                <w:b/>
                <w:bCs/>
                <w:color w:val="000000"/>
                <w:sz w:val="20"/>
                <w:szCs w:val="20"/>
                <w:lang w:val="ru-RU" w:eastAsia="ro-RO"/>
              </w:rPr>
              <w:t>Испол</w:t>
            </w:r>
          </w:p>
          <w:p w:rsidR="006E2E6A" w:rsidRPr="00F55BA6" w:rsidRDefault="00AB3E31" w:rsidP="00AB3E31">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r w:rsidRPr="00AB3E31">
              <w:rPr>
                <w:rFonts w:ascii="Calibri Light" w:eastAsia="Times New Roman" w:hAnsi="Calibri Light" w:cs="Calibri Light"/>
                <w:b/>
                <w:bCs/>
                <w:color w:val="000000"/>
                <w:sz w:val="20"/>
                <w:szCs w:val="20"/>
                <w:lang w:val="ru-RU" w:eastAsia="ro-RO"/>
              </w:rPr>
              <w:t xml:space="preserve">нено </w:t>
            </w:r>
          </w:p>
        </w:tc>
        <w:tc>
          <w:tcPr>
            <w:tcW w:w="1015" w:type="dxa"/>
          </w:tcPr>
          <w:p w:rsidR="006E2E6A" w:rsidRPr="00F55BA6" w:rsidRDefault="00AB3E31"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r>
              <w:rPr>
                <w:rFonts w:ascii="Calibri Light" w:eastAsia="Times New Roman" w:hAnsi="Calibri Light" w:cs="Calibri Light"/>
                <w:b/>
                <w:bCs/>
                <w:iCs/>
                <w:color w:val="000000"/>
                <w:sz w:val="20"/>
                <w:szCs w:val="20"/>
                <w:lang w:val="ru-RU" w:eastAsia="ro-RO"/>
              </w:rPr>
              <w:t>Уровень исполнения</w:t>
            </w:r>
            <w:r w:rsidR="006E2E6A" w:rsidRPr="00F55BA6">
              <w:rPr>
                <w:rFonts w:ascii="Calibri Light" w:eastAsia="Times New Roman" w:hAnsi="Calibri Light" w:cs="Calibri Light"/>
                <w:b/>
                <w:bCs/>
                <w:iCs/>
                <w:color w:val="000000"/>
                <w:sz w:val="20"/>
                <w:szCs w:val="20"/>
                <w:lang w:val="ro-RO" w:eastAsia="ro-RO"/>
              </w:rPr>
              <w:t xml:space="preserve"> (%)</w:t>
            </w:r>
          </w:p>
        </w:tc>
        <w:tc>
          <w:tcPr>
            <w:tcW w:w="992" w:type="dxa"/>
            <w:vMerge/>
            <w:vAlign w:val="center"/>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p>
        </w:tc>
        <w:tc>
          <w:tcPr>
            <w:tcW w:w="695" w:type="dxa"/>
            <w:vAlign w:val="center"/>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r w:rsidRPr="00F55BA6">
              <w:rPr>
                <w:rFonts w:ascii="Calibri Light" w:eastAsia="Times New Roman" w:hAnsi="Calibri Light" w:cs="Calibri Light"/>
                <w:b/>
                <w:bCs/>
                <w:color w:val="000000"/>
                <w:sz w:val="20"/>
                <w:szCs w:val="20"/>
                <w:lang w:val="ro-RO" w:eastAsia="ro-RO"/>
              </w:rPr>
              <w:t>2020/</w:t>
            </w:r>
          </w:p>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r w:rsidRPr="00F55BA6">
              <w:rPr>
                <w:rFonts w:ascii="Calibri Light" w:eastAsia="Times New Roman" w:hAnsi="Calibri Light" w:cs="Calibri Light"/>
                <w:b/>
                <w:bCs/>
                <w:color w:val="000000"/>
                <w:sz w:val="20"/>
                <w:szCs w:val="20"/>
                <w:lang w:val="ro-RO" w:eastAsia="ro-RO"/>
              </w:rPr>
              <w:t>2019</w:t>
            </w:r>
          </w:p>
        </w:tc>
        <w:tc>
          <w:tcPr>
            <w:tcW w:w="695" w:type="dxa"/>
            <w:vAlign w:val="center"/>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r w:rsidRPr="00F55BA6">
              <w:rPr>
                <w:rFonts w:ascii="Calibri Light" w:eastAsia="Times New Roman" w:hAnsi="Calibri Light" w:cs="Calibri Light"/>
                <w:b/>
                <w:bCs/>
                <w:color w:val="000000"/>
                <w:sz w:val="20"/>
                <w:szCs w:val="20"/>
                <w:lang w:val="ro-RO" w:eastAsia="ro-RO"/>
              </w:rPr>
              <w:t>2020/</w:t>
            </w:r>
          </w:p>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bCs/>
                <w:color w:val="000000"/>
                <w:sz w:val="20"/>
                <w:szCs w:val="20"/>
                <w:lang w:val="ro-RO" w:eastAsia="ro-RO"/>
              </w:rPr>
            </w:pPr>
            <w:r w:rsidRPr="00F55BA6">
              <w:rPr>
                <w:rFonts w:ascii="Calibri Light" w:eastAsia="Times New Roman" w:hAnsi="Calibri Light" w:cs="Calibri Light"/>
                <w:b/>
                <w:bCs/>
                <w:color w:val="000000"/>
                <w:sz w:val="20"/>
                <w:szCs w:val="20"/>
                <w:lang w:val="ro-RO" w:eastAsia="ro-RO"/>
              </w:rPr>
              <w:t>2018</w:t>
            </w:r>
          </w:p>
        </w:tc>
      </w:tr>
      <w:tr w:rsidR="006E2E6A" w:rsidRPr="00E4517B" w:rsidTr="00B51730">
        <w:trPr>
          <w:trHeight w:val="183"/>
        </w:trPr>
        <w:tc>
          <w:tcPr>
            <w:cnfStyle w:val="001000000000" w:firstRow="0" w:lastRow="0" w:firstColumn="1" w:lastColumn="0" w:oddVBand="0" w:evenVBand="0" w:oddHBand="0" w:evenHBand="0" w:firstRowFirstColumn="0" w:firstRowLastColumn="0" w:lastRowFirstColumn="0" w:lastRowLastColumn="0"/>
            <w:tcW w:w="1555" w:type="dxa"/>
            <w:noWrap/>
            <w:hideMark/>
          </w:tcPr>
          <w:p w:rsidR="006E2E6A" w:rsidRPr="00F55BA6" w:rsidRDefault="006E2E6A" w:rsidP="00B51730">
            <w:pPr>
              <w:jc w:val="center"/>
              <w:rPr>
                <w:rFonts w:ascii="Calibri Light" w:eastAsia="Times New Roman" w:hAnsi="Calibri Light" w:cs="Calibri Light"/>
                <w:b w:val="0"/>
                <w:bCs w:val="0"/>
                <w:i/>
                <w:iCs/>
                <w:color w:val="000000"/>
                <w:sz w:val="16"/>
                <w:szCs w:val="16"/>
                <w:lang w:val="ro-RO" w:eastAsia="ro-RO"/>
              </w:rPr>
            </w:pPr>
            <w:r w:rsidRPr="00F55BA6">
              <w:rPr>
                <w:rFonts w:ascii="Calibri Light" w:eastAsia="Times New Roman" w:hAnsi="Calibri Light" w:cs="Calibri Light"/>
                <w:i/>
                <w:iCs/>
                <w:color w:val="000000"/>
                <w:sz w:val="16"/>
                <w:szCs w:val="16"/>
                <w:lang w:val="ro-RO" w:eastAsia="ro-RO"/>
              </w:rPr>
              <w:t>1</w:t>
            </w:r>
          </w:p>
        </w:tc>
        <w:tc>
          <w:tcPr>
            <w:tcW w:w="1012"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6"/>
                <w:szCs w:val="16"/>
                <w:lang w:val="ro-RO" w:eastAsia="ro-RO"/>
              </w:rPr>
            </w:pPr>
            <w:r w:rsidRPr="00F55BA6">
              <w:rPr>
                <w:rFonts w:ascii="Calibri Light" w:eastAsia="Times New Roman" w:hAnsi="Calibri Light" w:cs="Calibri Light"/>
                <w:bCs/>
                <w:i/>
                <w:iCs/>
                <w:color w:val="000000"/>
                <w:sz w:val="16"/>
                <w:szCs w:val="16"/>
                <w:lang w:val="ro-RO" w:eastAsia="ro-RO"/>
              </w:rPr>
              <w:t>2</w:t>
            </w:r>
          </w:p>
        </w:tc>
        <w:tc>
          <w:tcPr>
            <w:tcW w:w="993"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6"/>
                <w:szCs w:val="16"/>
                <w:lang w:val="ro-RO" w:eastAsia="ro-RO"/>
              </w:rPr>
            </w:pPr>
            <w:r w:rsidRPr="00F55BA6">
              <w:rPr>
                <w:rFonts w:ascii="Calibri Light" w:eastAsia="Times New Roman" w:hAnsi="Calibri Light" w:cs="Calibri Light"/>
                <w:bCs/>
                <w:i/>
                <w:iCs/>
                <w:color w:val="000000"/>
                <w:sz w:val="16"/>
                <w:szCs w:val="16"/>
                <w:lang w:val="ro-RO" w:eastAsia="ro-RO"/>
              </w:rPr>
              <w:t>3</w:t>
            </w:r>
          </w:p>
        </w:tc>
        <w:tc>
          <w:tcPr>
            <w:tcW w:w="943" w:type="dxa"/>
            <w:noWrap/>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6"/>
                <w:szCs w:val="16"/>
                <w:lang w:val="ro-RO" w:eastAsia="ro-RO"/>
              </w:rPr>
            </w:pPr>
            <w:r w:rsidRPr="00F55BA6">
              <w:rPr>
                <w:rFonts w:ascii="Calibri Light" w:eastAsia="Times New Roman" w:hAnsi="Calibri Light" w:cs="Calibri Light"/>
                <w:bCs/>
                <w:i/>
                <w:iCs/>
                <w:color w:val="000000"/>
                <w:sz w:val="16"/>
                <w:szCs w:val="16"/>
                <w:lang w:val="ro-RO" w:eastAsia="ro-RO"/>
              </w:rPr>
              <w:t>4</w:t>
            </w:r>
          </w:p>
        </w:tc>
        <w:tc>
          <w:tcPr>
            <w:tcW w:w="1011"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6"/>
                <w:szCs w:val="16"/>
                <w:lang w:val="ro-RO" w:eastAsia="ro-RO"/>
              </w:rPr>
            </w:pPr>
            <w:r w:rsidRPr="00F55BA6">
              <w:rPr>
                <w:rFonts w:ascii="Calibri Light" w:eastAsia="Times New Roman" w:hAnsi="Calibri Light" w:cs="Calibri Light"/>
                <w:bCs/>
                <w:i/>
                <w:iCs/>
                <w:color w:val="000000"/>
                <w:sz w:val="16"/>
                <w:szCs w:val="16"/>
                <w:lang w:val="ro-RO" w:eastAsia="ro-RO"/>
              </w:rPr>
              <w:t>5</w:t>
            </w:r>
          </w:p>
        </w:tc>
        <w:tc>
          <w:tcPr>
            <w:tcW w:w="979"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6"/>
                <w:szCs w:val="16"/>
                <w:lang w:val="ro-RO" w:eastAsia="ro-RO"/>
              </w:rPr>
            </w:pPr>
            <w:r w:rsidRPr="00F55BA6">
              <w:rPr>
                <w:rFonts w:ascii="Calibri Light" w:eastAsia="Times New Roman" w:hAnsi="Calibri Light" w:cs="Calibri Light"/>
                <w:bCs/>
                <w:i/>
                <w:iCs/>
                <w:color w:val="000000"/>
                <w:sz w:val="16"/>
                <w:szCs w:val="16"/>
                <w:lang w:val="ro-RO" w:eastAsia="ro-RO"/>
              </w:rPr>
              <w:t>6</w:t>
            </w:r>
          </w:p>
        </w:tc>
        <w:tc>
          <w:tcPr>
            <w:tcW w:w="1015"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6"/>
                <w:szCs w:val="16"/>
                <w:lang w:val="ro-RO" w:eastAsia="ro-RO"/>
              </w:rPr>
            </w:pPr>
            <w:r w:rsidRPr="00F55BA6">
              <w:rPr>
                <w:rFonts w:ascii="Calibri Light" w:eastAsia="Times New Roman" w:hAnsi="Calibri Light" w:cs="Calibri Light"/>
                <w:bCs/>
                <w:i/>
                <w:iCs/>
                <w:color w:val="000000"/>
                <w:sz w:val="16"/>
                <w:szCs w:val="16"/>
                <w:lang w:val="ro-RO" w:eastAsia="ro-RO"/>
              </w:rPr>
              <w:t>7=6/5</w:t>
            </w:r>
          </w:p>
        </w:tc>
        <w:tc>
          <w:tcPr>
            <w:tcW w:w="992"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6"/>
                <w:szCs w:val="16"/>
                <w:lang w:val="ro-RO" w:eastAsia="ro-RO"/>
              </w:rPr>
            </w:pPr>
            <w:r w:rsidRPr="00F55BA6">
              <w:rPr>
                <w:rFonts w:ascii="Calibri Light" w:eastAsia="Times New Roman" w:hAnsi="Calibri Light" w:cs="Calibri Light"/>
                <w:bCs/>
                <w:i/>
                <w:iCs/>
                <w:color w:val="000000"/>
                <w:sz w:val="16"/>
                <w:szCs w:val="16"/>
                <w:lang w:val="ro-RO" w:eastAsia="ro-RO"/>
              </w:rPr>
              <w:t>8</w:t>
            </w:r>
          </w:p>
        </w:tc>
        <w:tc>
          <w:tcPr>
            <w:tcW w:w="695"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6"/>
                <w:szCs w:val="16"/>
                <w:lang w:val="ro-RO" w:eastAsia="ro-RO"/>
              </w:rPr>
            </w:pPr>
            <w:r w:rsidRPr="00F55BA6">
              <w:rPr>
                <w:rFonts w:ascii="Calibri Light" w:eastAsia="Times New Roman" w:hAnsi="Calibri Light" w:cs="Calibri Light"/>
                <w:bCs/>
                <w:i/>
                <w:iCs/>
                <w:color w:val="000000"/>
                <w:sz w:val="16"/>
                <w:szCs w:val="16"/>
                <w:lang w:val="ro-RO" w:eastAsia="ro-RO"/>
              </w:rPr>
              <w:t>9=6/3</w:t>
            </w:r>
          </w:p>
        </w:tc>
        <w:tc>
          <w:tcPr>
            <w:tcW w:w="695"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Cs/>
                <w:i/>
                <w:iCs/>
                <w:color w:val="000000"/>
                <w:sz w:val="16"/>
                <w:szCs w:val="16"/>
                <w:lang w:val="ro-RO" w:eastAsia="ro-RO"/>
              </w:rPr>
            </w:pPr>
            <w:r w:rsidRPr="00F55BA6">
              <w:rPr>
                <w:rFonts w:ascii="Calibri Light" w:eastAsia="Times New Roman" w:hAnsi="Calibri Light" w:cs="Calibri Light"/>
                <w:bCs/>
                <w:i/>
                <w:iCs/>
                <w:color w:val="000000"/>
                <w:sz w:val="16"/>
                <w:szCs w:val="16"/>
                <w:lang w:val="ro-RO" w:eastAsia="ro-RO"/>
              </w:rPr>
              <w:t>10=6/2</w:t>
            </w:r>
          </w:p>
        </w:tc>
      </w:tr>
      <w:tr w:rsidR="006E2E6A" w:rsidRPr="00E4517B" w:rsidTr="00B51730">
        <w:trPr>
          <w:trHeight w:val="255"/>
        </w:trPr>
        <w:tc>
          <w:tcPr>
            <w:cnfStyle w:val="001000000000" w:firstRow="0" w:lastRow="0" w:firstColumn="1" w:lastColumn="0" w:oddVBand="0" w:evenVBand="0" w:oddHBand="0" w:evenHBand="0" w:firstRowFirstColumn="0" w:firstRowLastColumn="0" w:lastRowFirstColumn="0" w:lastRowLastColumn="0"/>
            <w:tcW w:w="1555" w:type="dxa"/>
            <w:hideMark/>
          </w:tcPr>
          <w:p w:rsidR="006E2E6A" w:rsidRPr="00414912" w:rsidRDefault="00414912" w:rsidP="00B51730">
            <w:pPr>
              <w:jc w:val="left"/>
              <w:rPr>
                <w:rFonts w:ascii="Calibri Light" w:eastAsia="Times New Roman" w:hAnsi="Calibri Light" w:cs="Calibri Light"/>
                <w:bCs w:val="0"/>
                <w:color w:val="000000"/>
                <w:sz w:val="20"/>
                <w:szCs w:val="20"/>
                <w:lang w:val="ru-RU" w:eastAsia="ro-RO"/>
              </w:rPr>
            </w:pPr>
            <w:r>
              <w:rPr>
                <w:rFonts w:ascii="Calibri Light" w:eastAsia="Times New Roman" w:hAnsi="Calibri Light" w:cs="Calibri Light"/>
                <w:color w:val="000000"/>
                <w:sz w:val="20"/>
                <w:szCs w:val="20"/>
                <w:lang w:val="ru-RU" w:eastAsia="ro-RO"/>
              </w:rPr>
              <w:t>ДОХОДЫ</w:t>
            </w:r>
          </w:p>
        </w:tc>
        <w:tc>
          <w:tcPr>
            <w:tcW w:w="1012"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sz w:val="20"/>
                <w:szCs w:val="20"/>
                <w:lang w:val="ro-RO" w:eastAsia="ro-RO"/>
              </w:rPr>
            </w:pPr>
            <w:r w:rsidRPr="00F55BA6">
              <w:rPr>
                <w:rFonts w:ascii="Calibri Light" w:eastAsia="Times New Roman" w:hAnsi="Calibri Light" w:cs="Calibri Light"/>
                <w:b/>
                <w:color w:val="000000"/>
                <w:sz w:val="20"/>
                <w:szCs w:val="20"/>
                <w:lang w:val="ro-RO" w:eastAsia="ro-RO"/>
              </w:rPr>
              <w:t>36 432,7</w:t>
            </w:r>
          </w:p>
        </w:tc>
        <w:tc>
          <w:tcPr>
            <w:tcW w:w="993"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sz w:val="20"/>
                <w:szCs w:val="20"/>
                <w:lang w:val="ro-RO" w:eastAsia="ro-RO"/>
              </w:rPr>
            </w:pPr>
            <w:r w:rsidRPr="00F55BA6">
              <w:rPr>
                <w:rFonts w:ascii="Calibri Light" w:eastAsia="Times New Roman" w:hAnsi="Calibri Light" w:cs="Calibri Light"/>
                <w:b/>
                <w:color w:val="000000"/>
                <w:sz w:val="20"/>
                <w:szCs w:val="20"/>
                <w:lang w:val="ro-RO" w:eastAsia="ro-RO"/>
              </w:rPr>
              <w:t>39 967,9</w:t>
            </w:r>
          </w:p>
        </w:tc>
        <w:tc>
          <w:tcPr>
            <w:tcW w:w="943" w:type="dxa"/>
            <w:noWrap/>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sz w:val="20"/>
                <w:szCs w:val="20"/>
                <w:lang w:val="ro-RO" w:eastAsia="ro-RO"/>
              </w:rPr>
            </w:pPr>
            <w:r w:rsidRPr="00F55BA6">
              <w:rPr>
                <w:rFonts w:ascii="Calibri Light" w:eastAsia="Times New Roman" w:hAnsi="Calibri Light" w:cs="Calibri Light"/>
                <w:b/>
                <w:color w:val="000000"/>
                <w:sz w:val="20"/>
                <w:szCs w:val="20"/>
                <w:lang w:val="ro-RO" w:eastAsia="ro-RO"/>
              </w:rPr>
              <w:t>44 136,6</w:t>
            </w:r>
          </w:p>
        </w:tc>
        <w:tc>
          <w:tcPr>
            <w:tcW w:w="1011"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sz w:val="20"/>
                <w:szCs w:val="20"/>
                <w:lang w:val="ro-RO" w:eastAsia="ro-RO"/>
              </w:rPr>
            </w:pPr>
            <w:r w:rsidRPr="00F55BA6">
              <w:rPr>
                <w:rFonts w:ascii="Calibri Light" w:eastAsia="Times New Roman" w:hAnsi="Calibri Light" w:cs="Calibri Light"/>
                <w:b/>
                <w:color w:val="000000"/>
                <w:sz w:val="20"/>
                <w:szCs w:val="20"/>
                <w:lang w:val="ro-RO" w:eastAsia="ro-RO"/>
              </w:rPr>
              <w:t>37 281,2</w:t>
            </w:r>
          </w:p>
        </w:tc>
        <w:tc>
          <w:tcPr>
            <w:tcW w:w="979"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sz w:val="20"/>
                <w:szCs w:val="20"/>
                <w:lang w:val="ro-RO" w:eastAsia="ro-RO"/>
              </w:rPr>
            </w:pPr>
            <w:r w:rsidRPr="00F55BA6">
              <w:rPr>
                <w:rFonts w:ascii="Calibri Light" w:eastAsia="Times New Roman" w:hAnsi="Calibri Light" w:cs="Calibri Light"/>
                <w:b/>
                <w:color w:val="000000"/>
                <w:sz w:val="20"/>
                <w:szCs w:val="20"/>
                <w:lang w:val="ro-RO" w:eastAsia="ro-RO"/>
              </w:rPr>
              <w:t>38 500,5</w:t>
            </w:r>
          </w:p>
        </w:tc>
        <w:tc>
          <w:tcPr>
            <w:tcW w:w="1015" w:type="dxa"/>
            <w:tcBorders>
              <w:top w:val="nil"/>
              <w:left w:val="nil"/>
              <w:bottom w:val="single" w:sz="4" w:space="0" w:color="auto"/>
              <w:right w:val="single" w:sz="4" w:space="0" w:color="auto"/>
            </w:tcBorders>
            <w:shd w:val="clear" w:color="auto" w:fill="auto"/>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b/>
                <w:bCs/>
                <w:sz w:val="20"/>
                <w:szCs w:val="20"/>
                <w:lang w:val="ro-RO" w:eastAsia="ro-RO"/>
              </w:rPr>
            </w:pPr>
            <w:r w:rsidRPr="00F55BA6">
              <w:rPr>
                <w:rFonts w:ascii="Calibri Light" w:eastAsia="Times New Roman" w:hAnsi="Calibri Light" w:cs="Arial"/>
                <w:b/>
                <w:bCs/>
                <w:sz w:val="20"/>
                <w:szCs w:val="20"/>
                <w:lang w:val="ro-RO" w:eastAsia="ro-RO"/>
              </w:rPr>
              <w:t>103,3</w:t>
            </w:r>
          </w:p>
        </w:tc>
        <w:tc>
          <w:tcPr>
            <w:tcW w:w="992"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sz w:val="20"/>
                <w:szCs w:val="20"/>
                <w:lang w:val="ro-RO" w:eastAsia="ro-RO"/>
              </w:rPr>
            </w:pPr>
            <w:r w:rsidRPr="00F55BA6">
              <w:rPr>
                <w:rFonts w:ascii="Calibri Light" w:eastAsia="Times New Roman" w:hAnsi="Calibri Light" w:cs="Calibri Light"/>
                <w:b/>
                <w:color w:val="000000"/>
                <w:sz w:val="20"/>
                <w:szCs w:val="20"/>
                <w:lang w:val="ro-RO" w:eastAsia="ro-RO"/>
              </w:rPr>
              <w:t>18,7</w:t>
            </w:r>
          </w:p>
        </w:tc>
        <w:tc>
          <w:tcPr>
            <w:tcW w:w="695" w:type="dxa"/>
          </w:tcPr>
          <w:p w:rsidR="006E2E6A" w:rsidRPr="00F55BA6" w:rsidRDefault="006E2E6A" w:rsidP="00B51730">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sz w:val="20"/>
                <w:szCs w:val="20"/>
                <w:lang w:val="ro-RO" w:eastAsia="ro-RO"/>
              </w:rPr>
            </w:pPr>
            <w:r w:rsidRPr="00F55BA6">
              <w:rPr>
                <w:rFonts w:ascii="Calibri Light" w:eastAsia="Times New Roman" w:hAnsi="Calibri Light" w:cs="Calibri Light"/>
                <w:b/>
                <w:color w:val="000000"/>
                <w:sz w:val="20"/>
                <w:szCs w:val="20"/>
                <w:lang w:val="ro-RO" w:eastAsia="ro-RO"/>
              </w:rPr>
              <w:t>96,3</w:t>
            </w:r>
          </w:p>
        </w:tc>
        <w:tc>
          <w:tcPr>
            <w:tcW w:w="695" w:type="dxa"/>
          </w:tcPr>
          <w:p w:rsidR="006E2E6A" w:rsidRPr="00F55BA6" w:rsidRDefault="006E2E6A" w:rsidP="00B51730">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color w:val="000000"/>
                <w:sz w:val="20"/>
                <w:szCs w:val="20"/>
                <w:lang w:val="ro-RO" w:eastAsia="ro-RO"/>
              </w:rPr>
            </w:pPr>
            <w:r w:rsidRPr="00F55BA6">
              <w:rPr>
                <w:rFonts w:ascii="Calibri Light" w:eastAsia="Times New Roman" w:hAnsi="Calibri Light" w:cs="Calibri Light"/>
                <w:b/>
                <w:color w:val="000000"/>
                <w:sz w:val="20"/>
                <w:szCs w:val="20"/>
                <w:lang w:val="ro-RO" w:eastAsia="ro-RO"/>
              </w:rPr>
              <w:t>105,7</w:t>
            </w:r>
          </w:p>
        </w:tc>
      </w:tr>
      <w:tr w:rsidR="006E2E6A" w:rsidRPr="00E4517B" w:rsidTr="00B51730">
        <w:trPr>
          <w:trHeight w:val="254"/>
        </w:trPr>
        <w:tc>
          <w:tcPr>
            <w:cnfStyle w:val="001000000000" w:firstRow="0" w:lastRow="0" w:firstColumn="1" w:lastColumn="0" w:oddVBand="0" w:evenVBand="0" w:oddHBand="0" w:evenHBand="0" w:firstRowFirstColumn="0" w:firstRowLastColumn="0" w:lastRowFirstColumn="0" w:lastRowLastColumn="0"/>
            <w:tcW w:w="1555" w:type="dxa"/>
            <w:hideMark/>
          </w:tcPr>
          <w:p w:rsidR="006E2E6A" w:rsidRPr="00F55BA6" w:rsidRDefault="00414912" w:rsidP="00414912">
            <w:pPr>
              <w:jc w:val="left"/>
              <w:rPr>
                <w:rFonts w:ascii="Calibri Light" w:eastAsia="Times New Roman" w:hAnsi="Calibri Light" w:cs="Calibri Light"/>
                <w:b w:val="0"/>
                <w:bCs w:val="0"/>
                <w:iCs/>
                <w:color w:val="000000"/>
                <w:sz w:val="20"/>
                <w:szCs w:val="20"/>
                <w:lang w:val="ro-RO" w:eastAsia="ro-RO"/>
              </w:rPr>
            </w:pPr>
            <w:r>
              <w:rPr>
                <w:rFonts w:ascii="Calibri Light" w:eastAsia="Times New Roman" w:hAnsi="Calibri Light" w:cs="Calibri Light"/>
                <w:iCs/>
                <w:color w:val="000000"/>
                <w:sz w:val="20"/>
                <w:szCs w:val="20"/>
                <w:lang w:val="ru-RU" w:eastAsia="ro-RO"/>
              </w:rPr>
              <w:t>Налоги и сборы</w:t>
            </w:r>
          </w:p>
        </w:tc>
        <w:tc>
          <w:tcPr>
            <w:tcW w:w="1012"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34 057,9</w:t>
            </w:r>
          </w:p>
        </w:tc>
        <w:tc>
          <w:tcPr>
            <w:tcW w:w="993"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36 417,2</w:t>
            </w:r>
          </w:p>
        </w:tc>
        <w:tc>
          <w:tcPr>
            <w:tcW w:w="943" w:type="dxa"/>
            <w:noWrap/>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40 536,2</w:t>
            </w:r>
          </w:p>
        </w:tc>
        <w:tc>
          <w:tcPr>
            <w:tcW w:w="1011"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34 226,7</w:t>
            </w:r>
          </w:p>
        </w:tc>
        <w:tc>
          <w:tcPr>
            <w:tcW w:w="979"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35 772,1</w:t>
            </w:r>
          </w:p>
        </w:tc>
        <w:tc>
          <w:tcPr>
            <w:tcW w:w="1015" w:type="dxa"/>
            <w:tcBorders>
              <w:top w:val="nil"/>
              <w:left w:val="nil"/>
              <w:bottom w:val="single" w:sz="4" w:space="0" w:color="auto"/>
              <w:right w:val="single" w:sz="4" w:space="0" w:color="auto"/>
            </w:tcBorders>
            <w:shd w:val="clear" w:color="auto" w:fill="auto"/>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20"/>
                <w:szCs w:val="20"/>
                <w:lang w:val="ro-RO" w:eastAsia="ro-RO"/>
              </w:rPr>
            </w:pPr>
            <w:r w:rsidRPr="00F55BA6">
              <w:rPr>
                <w:rFonts w:ascii="Calibri Light" w:eastAsia="Times New Roman" w:hAnsi="Calibri Light" w:cs="Arial"/>
                <w:sz w:val="20"/>
                <w:szCs w:val="20"/>
                <w:lang w:val="ro-RO" w:eastAsia="ro-RO"/>
              </w:rPr>
              <w:t>104,5</w:t>
            </w:r>
          </w:p>
        </w:tc>
        <w:tc>
          <w:tcPr>
            <w:tcW w:w="992"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17,3</w:t>
            </w:r>
          </w:p>
        </w:tc>
        <w:tc>
          <w:tcPr>
            <w:tcW w:w="695" w:type="dxa"/>
          </w:tcPr>
          <w:p w:rsidR="006E2E6A" w:rsidRPr="00F55BA6" w:rsidRDefault="006E2E6A" w:rsidP="00B51730">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98,2</w:t>
            </w:r>
          </w:p>
        </w:tc>
        <w:tc>
          <w:tcPr>
            <w:tcW w:w="695" w:type="dxa"/>
          </w:tcPr>
          <w:p w:rsidR="006E2E6A" w:rsidRPr="00F55BA6" w:rsidRDefault="006E2E6A" w:rsidP="00B51730">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105,0</w:t>
            </w:r>
          </w:p>
        </w:tc>
      </w:tr>
      <w:tr w:rsidR="006E2E6A" w:rsidRPr="00E4517B" w:rsidTr="00B51730">
        <w:trPr>
          <w:trHeight w:val="219"/>
        </w:trPr>
        <w:tc>
          <w:tcPr>
            <w:cnfStyle w:val="001000000000" w:firstRow="0" w:lastRow="0" w:firstColumn="1" w:lastColumn="0" w:oddVBand="0" w:evenVBand="0" w:oddHBand="0" w:evenHBand="0" w:firstRowFirstColumn="0" w:firstRowLastColumn="0" w:lastRowFirstColumn="0" w:lastRowLastColumn="0"/>
            <w:tcW w:w="1555" w:type="dxa"/>
            <w:hideMark/>
          </w:tcPr>
          <w:p w:rsidR="006E2E6A" w:rsidRPr="00F55BA6" w:rsidRDefault="00414912" w:rsidP="00414912">
            <w:pPr>
              <w:jc w:val="left"/>
              <w:rPr>
                <w:rFonts w:ascii="Calibri Light" w:eastAsia="Times New Roman" w:hAnsi="Calibri Light" w:cs="Calibri Light"/>
                <w:b w:val="0"/>
                <w:bCs w:val="0"/>
                <w:iCs/>
                <w:color w:val="000000"/>
                <w:sz w:val="20"/>
                <w:szCs w:val="20"/>
                <w:lang w:val="ro-RO" w:eastAsia="ro-RO"/>
              </w:rPr>
            </w:pPr>
            <w:r>
              <w:rPr>
                <w:rFonts w:ascii="Calibri Light" w:eastAsia="Times New Roman" w:hAnsi="Calibri Light" w:cs="Calibri Light"/>
                <w:iCs/>
                <w:color w:val="000000"/>
                <w:sz w:val="20"/>
                <w:szCs w:val="20"/>
                <w:lang w:val="ru-RU" w:eastAsia="ro-RO"/>
              </w:rPr>
              <w:t>Гранты полученные</w:t>
            </w:r>
          </w:p>
        </w:tc>
        <w:tc>
          <w:tcPr>
            <w:tcW w:w="1012"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335,4</w:t>
            </w:r>
          </w:p>
        </w:tc>
        <w:tc>
          <w:tcPr>
            <w:tcW w:w="993"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1 540,5</w:t>
            </w:r>
          </w:p>
        </w:tc>
        <w:tc>
          <w:tcPr>
            <w:tcW w:w="943" w:type="dxa"/>
            <w:noWrap/>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1 773 ,5</w:t>
            </w:r>
          </w:p>
        </w:tc>
        <w:tc>
          <w:tcPr>
            <w:tcW w:w="1011"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952,1</w:t>
            </w:r>
          </w:p>
        </w:tc>
        <w:tc>
          <w:tcPr>
            <w:tcW w:w="979"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624,2</w:t>
            </w:r>
          </w:p>
        </w:tc>
        <w:tc>
          <w:tcPr>
            <w:tcW w:w="1015" w:type="dxa"/>
            <w:tcBorders>
              <w:top w:val="nil"/>
              <w:left w:val="nil"/>
              <w:bottom w:val="single" w:sz="4" w:space="0" w:color="auto"/>
              <w:right w:val="single" w:sz="4" w:space="0" w:color="auto"/>
            </w:tcBorders>
            <w:shd w:val="clear" w:color="auto" w:fill="auto"/>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20"/>
                <w:szCs w:val="20"/>
                <w:lang w:val="ro-RO" w:eastAsia="ro-RO"/>
              </w:rPr>
            </w:pPr>
            <w:r w:rsidRPr="00F55BA6">
              <w:rPr>
                <w:rFonts w:ascii="Calibri Light" w:eastAsia="Times New Roman" w:hAnsi="Calibri Light" w:cs="Arial"/>
                <w:sz w:val="20"/>
                <w:szCs w:val="20"/>
                <w:lang w:val="ro-RO" w:eastAsia="ro-RO"/>
              </w:rPr>
              <w:t>65,6</w:t>
            </w:r>
          </w:p>
        </w:tc>
        <w:tc>
          <w:tcPr>
            <w:tcW w:w="992"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0,3</w:t>
            </w:r>
          </w:p>
        </w:tc>
        <w:tc>
          <w:tcPr>
            <w:tcW w:w="695" w:type="dxa"/>
          </w:tcPr>
          <w:p w:rsidR="006E2E6A" w:rsidRPr="00F55BA6" w:rsidRDefault="006E2E6A" w:rsidP="00B51730">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40,5</w:t>
            </w:r>
          </w:p>
        </w:tc>
        <w:tc>
          <w:tcPr>
            <w:tcW w:w="695" w:type="dxa"/>
          </w:tcPr>
          <w:p w:rsidR="006E2E6A" w:rsidRPr="00F55BA6" w:rsidRDefault="006E2E6A" w:rsidP="00B51730">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186,1</w:t>
            </w:r>
          </w:p>
        </w:tc>
      </w:tr>
      <w:tr w:rsidR="006E2E6A" w:rsidRPr="00E4517B" w:rsidTr="00B51730">
        <w:trPr>
          <w:trHeight w:val="192"/>
        </w:trPr>
        <w:tc>
          <w:tcPr>
            <w:cnfStyle w:val="001000000000" w:firstRow="0" w:lastRow="0" w:firstColumn="1" w:lastColumn="0" w:oddVBand="0" w:evenVBand="0" w:oddHBand="0" w:evenHBand="0" w:firstRowFirstColumn="0" w:firstRowLastColumn="0" w:lastRowFirstColumn="0" w:lastRowLastColumn="0"/>
            <w:tcW w:w="1555" w:type="dxa"/>
            <w:hideMark/>
          </w:tcPr>
          <w:p w:rsidR="006E2E6A" w:rsidRPr="00F55BA6" w:rsidRDefault="00414912" w:rsidP="00414912">
            <w:pPr>
              <w:jc w:val="left"/>
              <w:rPr>
                <w:rFonts w:ascii="Calibri Light" w:eastAsia="Times New Roman" w:hAnsi="Calibri Light" w:cs="Calibri Light"/>
                <w:b w:val="0"/>
                <w:bCs w:val="0"/>
                <w:iCs/>
                <w:color w:val="000000"/>
                <w:sz w:val="20"/>
                <w:szCs w:val="20"/>
                <w:lang w:val="ro-RO" w:eastAsia="ro-RO"/>
              </w:rPr>
            </w:pPr>
            <w:r>
              <w:rPr>
                <w:rFonts w:ascii="Calibri Light" w:eastAsia="Times New Roman" w:hAnsi="Calibri Light" w:cs="Calibri Light"/>
                <w:iCs/>
                <w:color w:val="000000"/>
                <w:sz w:val="20"/>
                <w:szCs w:val="20"/>
                <w:lang w:val="ru-RU" w:eastAsia="ro-RO"/>
              </w:rPr>
              <w:t>Другие доходы</w:t>
            </w:r>
          </w:p>
        </w:tc>
        <w:tc>
          <w:tcPr>
            <w:tcW w:w="1012"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2 013,4</w:t>
            </w:r>
          </w:p>
        </w:tc>
        <w:tc>
          <w:tcPr>
            <w:tcW w:w="993"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1 986,8</w:t>
            </w:r>
          </w:p>
        </w:tc>
        <w:tc>
          <w:tcPr>
            <w:tcW w:w="943" w:type="dxa"/>
            <w:noWrap/>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1 800,3</w:t>
            </w:r>
          </w:p>
        </w:tc>
        <w:tc>
          <w:tcPr>
            <w:tcW w:w="1011"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2 084,6</w:t>
            </w:r>
          </w:p>
        </w:tc>
        <w:tc>
          <w:tcPr>
            <w:tcW w:w="979"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2 087,70</w:t>
            </w:r>
          </w:p>
        </w:tc>
        <w:tc>
          <w:tcPr>
            <w:tcW w:w="1015" w:type="dxa"/>
            <w:tcBorders>
              <w:top w:val="nil"/>
              <w:left w:val="nil"/>
              <w:bottom w:val="single" w:sz="4" w:space="0" w:color="auto"/>
              <w:right w:val="single" w:sz="4" w:space="0" w:color="auto"/>
            </w:tcBorders>
            <w:shd w:val="clear" w:color="auto" w:fill="auto"/>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20"/>
                <w:szCs w:val="20"/>
                <w:lang w:val="ro-RO" w:eastAsia="ro-RO"/>
              </w:rPr>
            </w:pPr>
            <w:r w:rsidRPr="00F55BA6">
              <w:rPr>
                <w:rFonts w:ascii="Calibri Light" w:eastAsia="Times New Roman" w:hAnsi="Calibri Light" w:cs="Arial"/>
                <w:sz w:val="20"/>
                <w:szCs w:val="20"/>
                <w:lang w:val="ro-RO" w:eastAsia="ro-RO"/>
              </w:rPr>
              <w:t>100,1</w:t>
            </w:r>
          </w:p>
        </w:tc>
        <w:tc>
          <w:tcPr>
            <w:tcW w:w="992"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1,0</w:t>
            </w:r>
          </w:p>
        </w:tc>
        <w:tc>
          <w:tcPr>
            <w:tcW w:w="695" w:type="dxa"/>
          </w:tcPr>
          <w:p w:rsidR="006E2E6A" w:rsidRPr="00F55BA6" w:rsidRDefault="006E2E6A" w:rsidP="00B51730">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105,1</w:t>
            </w:r>
          </w:p>
        </w:tc>
        <w:tc>
          <w:tcPr>
            <w:tcW w:w="695" w:type="dxa"/>
          </w:tcPr>
          <w:p w:rsidR="006E2E6A" w:rsidRPr="00F55BA6" w:rsidRDefault="006E2E6A" w:rsidP="00B51730">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103,7</w:t>
            </w:r>
          </w:p>
        </w:tc>
      </w:tr>
      <w:tr w:rsidR="006E2E6A" w:rsidRPr="00E4517B" w:rsidTr="00B51730">
        <w:trPr>
          <w:trHeight w:val="165"/>
        </w:trPr>
        <w:tc>
          <w:tcPr>
            <w:cnfStyle w:val="001000000000" w:firstRow="0" w:lastRow="0" w:firstColumn="1" w:lastColumn="0" w:oddVBand="0" w:evenVBand="0" w:oddHBand="0" w:evenHBand="0" w:firstRowFirstColumn="0" w:firstRowLastColumn="0" w:lastRowFirstColumn="0" w:lastRowLastColumn="0"/>
            <w:tcW w:w="1555" w:type="dxa"/>
            <w:hideMark/>
          </w:tcPr>
          <w:p w:rsidR="006E2E6A" w:rsidRPr="00F55BA6" w:rsidRDefault="00414912" w:rsidP="00414912">
            <w:pPr>
              <w:jc w:val="left"/>
              <w:rPr>
                <w:rFonts w:ascii="Calibri Light" w:eastAsia="Times New Roman" w:hAnsi="Calibri Light" w:cs="Calibri Light"/>
                <w:b w:val="0"/>
                <w:bCs w:val="0"/>
                <w:iCs/>
                <w:color w:val="000000"/>
                <w:sz w:val="20"/>
                <w:szCs w:val="20"/>
                <w:lang w:val="ro-RO" w:eastAsia="ro-RO"/>
              </w:rPr>
            </w:pPr>
            <w:r>
              <w:rPr>
                <w:rFonts w:ascii="Calibri Light" w:eastAsia="Times New Roman" w:hAnsi="Calibri Light" w:cs="Calibri Light"/>
                <w:iCs/>
                <w:color w:val="000000"/>
                <w:sz w:val="20"/>
                <w:szCs w:val="20"/>
                <w:lang w:val="ru-RU" w:eastAsia="ro-RO"/>
              </w:rPr>
              <w:t>Трансферты</w:t>
            </w:r>
            <w:r w:rsidRPr="00414912">
              <w:rPr>
                <w:rFonts w:ascii="Calibri Light" w:eastAsia="Times New Roman" w:hAnsi="Calibri Light" w:cs="Calibri Light"/>
                <w:iCs/>
                <w:color w:val="000000"/>
                <w:sz w:val="20"/>
                <w:szCs w:val="20"/>
                <w:lang w:val="ru-RU" w:eastAsia="ro-RO"/>
              </w:rPr>
              <w:t xml:space="preserve"> </w:t>
            </w:r>
            <w:r>
              <w:rPr>
                <w:rFonts w:ascii="Calibri Light" w:eastAsia="Times New Roman" w:hAnsi="Calibri Light" w:cs="Calibri Light"/>
                <w:iCs/>
                <w:color w:val="000000"/>
                <w:sz w:val="20"/>
                <w:szCs w:val="20"/>
                <w:lang w:val="ru-RU" w:eastAsia="ro-RO"/>
              </w:rPr>
              <w:t>полученные</w:t>
            </w:r>
            <w:r w:rsidRPr="00414912">
              <w:rPr>
                <w:rFonts w:ascii="Calibri Light" w:eastAsia="Times New Roman" w:hAnsi="Calibri Light" w:cs="Calibri Light"/>
                <w:iCs/>
                <w:color w:val="000000"/>
                <w:sz w:val="20"/>
                <w:szCs w:val="20"/>
                <w:lang w:val="ru-RU" w:eastAsia="ro-RO"/>
              </w:rPr>
              <w:t xml:space="preserve"> </w:t>
            </w:r>
            <w:r>
              <w:rPr>
                <w:rFonts w:ascii="Calibri Light" w:eastAsia="Times New Roman" w:hAnsi="Calibri Light" w:cs="Calibri Light"/>
                <w:iCs/>
                <w:color w:val="000000"/>
                <w:sz w:val="20"/>
                <w:szCs w:val="20"/>
                <w:lang w:val="ru-RU" w:eastAsia="ro-RO"/>
              </w:rPr>
              <w:t>в</w:t>
            </w:r>
            <w:r w:rsidRPr="00414912">
              <w:rPr>
                <w:rFonts w:ascii="Calibri Light" w:eastAsia="Times New Roman" w:hAnsi="Calibri Light" w:cs="Calibri Light"/>
                <w:iCs/>
                <w:color w:val="000000"/>
                <w:sz w:val="20"/>
                <w:szCs w:val="20"/>
                <w:lang w:val="ru-RU" w:eastAsia="ro-RO"/>
              </w:rPr>
              <w:t xml:space="preserve"> </w:t>
            </w:r>
            <w:r>
              <w:rPr>
                <w:rFonts w:ascii="Calibri Light" w:eastAsia="Times New Roman" w:hAnsi="Calibri Light" w:cs="Calibri Light"/>
                <w:iCs/>
                <w:color w:val="000000"/>
                <w:sz w:val="20"/>
                <w:szCs w:val="20"/>
                <w:lang w:val="ru-RU" w:eastAsia="ro-RO"/>
              </w:rPr>
              <w:t>рамках</w:t>
            </w:r>
            <w:r w:rsidRPr="00414912">
              <w:rPr>
                <w:rFonts w:ascii="Calibri Light" w:eastAsia="Times New Roman" w:hAnsi="Calibri Light" w:cs="Calibri Light"/>
                <w:iCs/>
                <w:color w:val="000000"/>
                <w:sz w:val="20"/>
                <w:szCs w:val="20"/>
                <w:lang w:val="ru-RU" w:eastAsia="ro-RO"/>
              </w:rPr>
              <w:t xml:space="preserve"> </w:t>
            </w:r>
            <w:r>
              <w:rPr>
                <w:rFonts w:ascii="Calibri Light" w:eastAsia="Times New Roman" w:hAnsi="Calibri Light" w:cs="Calibri Light"/>
                <w:iCs/>
                <w:color w:val="000000"/>
                <w:sz w:val="20"/>
                <w:szCs w:val="20"/>
                <w:lang w:val="ru-RU" w:eastAsia="ro-RO"/>
              </w:rPr>
              <w:t>НПБ</w:t>
            </w:r>
          </w:p>
        </w:tc>
        <w:tc>
          <w:tcPr>
            <w:tcW w:w="1012"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26,0</w:t>
            </w:r>
          </w:p>
        </w:tc>
        <w:tc>
          <w:tcPr>
            <w:tcW w:w="993" w:type="dxa"/>
            <w:noWrap/>
            <w:hideMark/>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23,5</w:t>
            </w:r>
          </w:p>
        </w:tc>
        <w:tc>
          <w:tcPr>
            <w:tcW w:w="943" w:type="dxa"/>
            <w:noWrap/>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26,7</w:t>
            </w:r>
          </w:p>
        </w:tc>
        <w:tc>
          <w:tcPr>
            <w:tcW w:w="1011"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17,8</w:t>
            </w:r>
          </w:p>
        </w:tc>
        <w:tc>
          <w:tcPr>
            <w:tcW w:w="979"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16,6</w:t>
            </w:r>
          </w:p>
        </w:tc>
        <w:tc>
          <w:tcPr>
            <w:tcW w:w="1015" w:type="dxa"/>
            <w:tcBorders>
              <w:top w:val="nil"/>
              <w:left w:val="nil"/>
              <w:bottom w:val="single" w:sz="4" w:space="0" w:color="auto"/>
              <w:right w:val="single" w:sz="4" w:space="0" w:color="auto"/>
            </w:tcBorders>
            <w:shd w:val="clear" w:color="auto" w:fill="auto"/>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Arial"/>
                <w:sz w:val="20"/>
                <w:szCs w:val="20"/>
                <w:lang w:val="ro-RO" w:eastAsia="ro-RO"/>
              </w:rPr>
            </w:pPr>
            <w:r w:rsidRPr="00F55BA6">
              <w:rPr>
                <w:rFonts w:ascii="Calibri Light" w:eastAsia="Times New Roman" w:hAnsi="Calibri Light" w:cs="Arial"/>
                <w:sz w:val="20"/>
                <w:szCs w:val="20"/>
                <w:lang w:val="ro-RO" w:eastAsia="ro-RO"/>
              </w:rPr>
              <w:t>93,3</w:t>
            </w:r>
          </w:p>
        </w:tc>
        <w:tc>
          <w:tcPr>
            <w:tcW w:w="992"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0,0</w:t>
            </w:r>
          </w:p>
        </w:tc>
        <w:tc>
          <w:tcPr>
            <w:tcW w:w="695" w:type="dxa"/>
          </w:tcPr>
          <w:p w:rsidR="006E2E6A" w:rsidRPr="00F55BA6" w:rsidRDefault="006E2E6A" w:rsidP="00B51730">
            <w:pPr>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70,6</w:t>
            </w:r>
          </w:p>
        </w:tc>
        <w:tc>
          <w:tcPr>
            <w:tcW w:w="695" w:type="dxa"/>
          </w:tcPr>
          <w:p w:rsidR="006E2E6A" w:rsidRPr="00F55BA6" w:rsidRDefault="006E2E6A" w:rsidP="00B51730">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20"/>
                <w:szCs w:val="20"/>
                <w:lang w:val="ro-RO" w:eastAsia="ro-RO"/>
              </w:rPr>
            </w:pPr>
            <w:r w:rsidRPr="00F55BA6">
              <w:rPr>
                <w:rFonts w:ascii="Calibri Light" w:eastAsia="Times New Roman" w:hAnsi="Calibri Light" w:cs="Calibri Light"/>
                <w:color w:val="000000"/>
                <w:sz w:val="20"/>
                <w:szCs w:val="20"/>
                <w:lang w:val="ro-RO" w:eastAsia="ro-RO"/>
              </w:rPr>
              <w:t>63,8</w:t>
            </w:r>
          </w:p>
        </w:tc>
      </w:tr>
    </w:tbl>
    <w:p w:rsidR="006E2E6A" w:rsidRPr="00F55BA6" w:rsidRDefault="00414912" w:rsidP="006E2E6A">
      <w:pPr>
        <w:spacing w:after="0" w:line="240" w:lineRule="auto"/>
        <w:rPr>
          <w:rFonts w:asciiTheme="majorHAnsi" w:eastAsia="Times New Roman" w:hAnsiTheme="majorHAnsi" w:cstheme="majorHAnsi"/>
          <w:bCs/>
          <w:i/>
          <w:sz w:val="20"/>
          <w:szCs w:val="20"/>
          <w:lang w:val="ro-RO"/>
        </w:rPr>
      </w:pPr>
      <w:r>
        <w:rPr>
          <w:rFonts w:asciiTheme="majorHAnsi" w:eastAsia="Times New Roman" w:hAnsiTheme="majorHAnsi" w:cstheme="majorHAnsi"/>
          <w:b/>
          <w:bCs/>
          <w:i/>
          <w:sz w:val="20"/>
          <w:szCs w:val="20"/>
          <w:lang w:val="ru-RU"/>
        </w:rPr>
        <w:t>Источник</w:t>
      </w:r>
      <w:r w:rsidR="006E2E6A" w:rsidRPr="00F55BA6">
        <w:rPr>
          <w:rFonts w:asciiTheme="majorHAnsi" w:eastAsia="Times New Roman" w:hAnsiTheme="majorHAnsi" w:cstheme="majorHAnsi"/>
          <w:b/>
          <w:bCs/>
          <w:i/>
          <w:sz w:val="20"/>
          <w:szCs w:val="20"/>
          <w:lang w:val="ro-RO"/>
        </w:rPr>
        <w:t>:</w:t>
      </w:r>
      <w:r w:rsidR="006E2E6A" w:rsidRPr="00F55BA6">
        <w:rPr>
          <w:rFonts w:asciiTheme="majorHAnsi" w:eastAsia="Times New Roman" w:hAnsiTheme="majorHAnsi" w:cstheme="majorHAnsi"/>
          <w:bCs/>
          <w:i/>
          <w:sz w:val="20"/>
          <w:szCs w:val="20"/>
          <w:lang w:val="ro-RO"/>
        </w:rPr>
        <w:t xml:space="preserve"> </w:t>
      </w:r>
      <w:r w:rsidRPr="00414912">
        <w:rPr>
          <w:rFonts w:asciiTheme="majorHAnsi" w:eastAsia="Times New Roman" w:hAnsiTheme="majorHAnsi" w:cstheme="majorHAnsi"/>
          <w:bCs/>
          <w:i/>
          <w:sz w:val="20"/>
          <w:szCs w:val="20"/>
          <w:lang w:val="ro-RO"/>
        </w:rPr>
        <w:t>Информация, обобщенная аудиторской группой из Отчетов об исполнении государственного бюджета за 2018-2020 годы</w:t>
      </w:r>
      <w:r w:rsidR="006E2E6A" w:rsidRPr="00F55BA6">
        <w:rPr>
          <w:rFonts w:asciiTheme="majorHAnsi" w:eastAsia="Times New Roman" w:hAnsiTheme="majorHAnsi" w:cstheme="majorHAnsi"/>
          <w:bCs/>
          <w:i/>
          <w:sz w:val="20"/>
          <w:szCs w:val="20"/>
          <w:lang w:val="ro-RO"/>
        </w:rPr>
        <w:t>.</w:t>
      </w:r>
    </w:p>
    <w:p w:rsidR="006E2E6A" w:rsidRPr="00F55BA6" w:rsidRDefault="006E2E6A" w:rsidP="006E2E6A">
      <w:pPr>
        <w:spacing w:after="0" w:line="276" w:lineRule="auto"/>
        <w:rPr>
          <w:rFonts w:asciiTheme="majorHAnsi" w:hAnsiTheme="majorHAnsi" w:cstheme="majorHAnsi"/>
          <w:b/>
          <w:sz w:val="24"/>
          <w:szCs w:val="24"/>
          <w:lang w:val="ro-RO"/>
        </w:rPr>
      </w:pPr>
    </w:p>
    <w:p w:rsidR="006E2E6A" w:rsidRPr="00F55BA6" w:rsidRDefault="00DF3986" w:rsidP="006E2E6A">
      <w:pPr>
        <w:spacing w:after="0" w:line="276" w:lineRule="auto"/>
        <w:rPr>
          <w:rFonts w:asciiTheme="majorHAnsi" w:hAnsiTheme="majorHAnsi" w:cstheme="majorHAnsi"/>
          <w:color w:val="000000"/>
          <w:sz w:val="24"/>
          <w:szCs w:val="24"/>
          <w:lang w:val="ro-RO"/>
        </w:rPr>
      </w:pPr>
      <w:r w:rsidRPr="00DF3986">
        <w:rPr>
          <w:rFonts w:asciiTheme="majorHAnsi" w:hAnsiTheme="majorHAnsi" w:cstheme="majorHAnsi"/>
          <w:sz w:val="24"/>
          <w:szCs w:val="24"/>
          <w:lang w:val="ro-RO"/>
        </w:rPr>
        <w:t xml:space="preserve">Как </w:t>
      </w:r>
      <w:r w:rsidR="00BE0647">
        <w:rPr>
          <w:rFonts w:asciiTheme="majorHAnsi" w:hAnsiTheme="majorHAnsi" w:cstheme="majorHAnsi"/>
          <w:sz w:val="24"/>
          <w:szCs w:val="24"/>
          <w:lang w:val="ro-RO"/>
        </w:rPr>
        <w:t>удельный вес</w:t>
      </w:r>
      <w:r w:rsidRPr="00DF3986">
        <w:rPr>
          <w:rFonts w:asciiTheme="majorHAnsi" w:hAnsiTheme="majorHAnsi" w:cstheme="majorHAnsi"/>
          <w:sz w:val="24"/>
          <w:szCs w:val="24"/>
          <w:lang w:val="ro-RO"/>
        </w:rPr>
        <w:t xml:space="preserve"> ВВП, доходы </w:t>
      </w:r>
      <w:r w:rsidR="008F632D">
        <w:rPr>
          <w:rFonts w:asciiTheme="majorHAnsi" w:hAnsiTheme="majorHAnsi" w:cstheme="majorHAnsi"/>
          <w:sz w:val="24"/>
          <w:szCs w:val="24"/>
          <w:lang w:val="ro-RO"/>
        </w:rPr>
        <w:t>ГБ</w:t>
      </w:r>
      <w:r w:rsidRPr="00DF3986">
        <w:rPr>
          <w:rFonts w:asciiTheme="majorHAnsi" w:hAnsiTheme="majorHAnsi" w:cstheme="majorHAnsi"/>
          <w:sz w:val="24"/>
          <w:szCs w:val="24"/>
          <w:lang w:val="ro-RO"/>
        </w:rPr>
        <w:t xml:space="preserve"> в 2020 году достигли 18,7%</w:t>
      </w:r>
      <w:r w:rsidR="00143625">
        <w:rPr>
          <w:rFonts w:asciiTheme="majorHAnsi" w:hAnsiTheme="majorHAnsi" w:cstheme="majorHAnsi"/>
          <w:sz w:val="24"/>
          <w:szCs w:val="24"/>
          <w:lang w:val="ru-RU"/>
        </w:rPr>
        <w:t xml:space="preserve"> уровня</w:t>
      </w:r>
      <w:r w:rsidRPr="00DF3986">
        <w:rPr>
          <w:rFonts w:asciiTheme="majorHAnsi" w:hAnsiTheme="majorHAnsi" w:cstheme="majorHAnsi"/>
          <w:sz w:val="24"/>
          <w:szCs w:val="24"/>
          <w:lang w:val="ro-RO"/>
        </w:rPr>
        <w:t xml:space="preserve">, </w:t>
      </w:r>
      <w:r w:rsidR="00143625">
        <w:rPr>
          <w:rFonts w:asciiTheme="majorHAnsi" w:hAnsiTheme="majorHAnsi" w:cstheme="majorHAnsi"/>
          <w:sz w:val="24"/>
          <w:szCs w:val="24"/>
          <w:lang w:val="ru-RU"/>
        </w:rPr>
        <w:t>регистрируя</w:t>
      </w:r>
      <w:r w:rsidRPr="00DF3986">
        <w:rPr>
          <w:rFonts w:asciiTheme="majorHAnsi" w:hAnsiTheme="majorHAnsi" w:cstheme="majorHAnsi"/>
          <w:sz w:val="24"/>
          <w:szCs w:val="24"/>
          <w:lang w:val="ro-RO"/>
        </w:rPr>
        <w:t xml:space="preserve"> снижени</w:t>
      </w:r>
      <w:r w:rsidR="00143625">
        <w:rPr>
          <w:rFonts w:asciiTheme="majorHAnsi" w:hAnsiTheme="majorHAnsi" w:cstheme="majorHAnsi"/>
          <w:sz w:val="24"/>
          <w:szCs w:val="24"/>
          <w:lang w:val="ru-RU"/>
        </w:rPr>
        <w:t>е</w:t>
      </w:r>
      <w:r w:rsidRPr="00DF3986">
        <w:rPr>
          <w:rFonts w:asciiTheme="majorHAnsi" w:hAnsiTheme="majorHAnsi" w:cstheme="majorHAnsi"/>
          <w:sz w:val="24"/>
          <w:szCs w:val="24"/>
          <w:lang w:val="ro-RO"/>
        </w:rPr>
        <w:t xml:space="preserve"> на 0,3 п. п. по сравнению с 2019 годом. В структуре доходов</w:t>
      </w:r>
      <w:r w:rsidR="00143625">
        <w:rPr>
          <w:rFonts w:asciiTheme="majorHAnsi" w:hAnsiTheme="majorHAnsi" w:cstheme="majorHAnsi"/>
          <w:sz w:val="24"/>
          <w:szCs w:val="24"/>
          <w:lang w:val="ru-RU"/>
        </w:rPr>
        <w:t>, наибольший удельный вес</w:t>
      </w:r>
      <w:r w:rsidRPr="00DF3986">
        <w:rPr>
          <w:rFonts w:asciiTheme="majorHAnsi" w:hAnsiTheme="majorHAnsi" w:cstheme="majorHAnsi"/>
          <w:sz w:val="24"/>
          <w:szCs w:val="24"/>
          <w:lang w:val="ro-RO"/>
        </w:rPr>
        <w:t xml:space="preserve"> занимают налоги и сборы, составляющие 35 772,1 млн. леев, или 92,9% от общего объема доходов </w:t>
      </w:r>
      <w:r w:rsidR="008F632D">
        <w:rPr>
          <w:rFonts w:asciiTheme="majorHAnsi" w:hAnsiTheme="majorHAnsi" w:cstheme="majorHAnsi"/>
          <w:sz w:val="24"/>
          <w:szCs w:val="24"/>
          <w:lang w:val="ro-RO"/>
        </w:rPr>
        <w:t>ГБ</w:t>
      </w:r>
      <w:r w:rsidRPr="00DF3986">
        <w:rPr>
          <w:rFonts w:asciiTheme="majorHAnsi" w:hAnsiTheme="majorHAnsi" w:cstheme="majorHAnsi"/>
          <w:sz w:val="24"/>
          <w:szCs w:val="24"/>
          <w:lang w:val="ro-RO"/>
        </w:rPr>
        <w:t xml:space="preserve">, </w:t>
      </w:r>
      <w:r w:rsidR="00143625">
        <w:rPr>
          <w:rFonts w:asciiTheme="majorHAnsi" w:hAnsiTheme="majorHAnsi" w:cstheme="majorHAnsi"/>
          <w:sz w:val="24"/>
          <w:szCs w:val="24"/>
          <w:lang w:val="ru-RU"/>
        </w:rPr>
        <w:t xml:space="preserve">регистрируя </w:t>
      </w:r>
      <w:r w:rsidRPr="00DF3986">
        <w:rPr>
          <w:rFonts w:asciiTheme="majorHAnsi" w:hAnsiTheme="majorHAnsi" w:cstheme="majorHAnsi"/>
          <w:sz w:val="24"/>
          <w:szCs w:val="24"/>
          <w:lang w:val="ro-RO"/>
        </w:rPr>
        <w:t>увелич</w:t>
      </w:r>
      <w:r w:rsidR="00143625">
        <w:rPr>
          <w:rFonts w:asciiTheme="majorHAnsi" w:hAnsiTheme="majorHAnsi" w:cstheme="majorHAnsi"/>
          <w:sz w:val="24"/>
          <w:szCs w:val="24"/>
          <w:lang w:val="ru-RU"/>
        </w:rPr>
        <w:t>ение</w:t>
      </w:r>
      <w:r w:rsidRPr="00DF3986">
        <w:rPr>
          <w:rFonts w:asciiTheme="majorHAnsi" w:hAnsiTheme="majorHAnsi" w:cstheme="majorHAnsi"/>
          <w:sz w:val="24"/>
          <w:szCs w:val="24"/>
          <w:lang w:val="ro-RO"/>
        </w:rPr>
        <w:t xml:space="preserve"> на 1 545,4 млн. </w:t>
      </w:r>
      <w:r w:rsidR="008E6894">
        <w:rPr>
          <w:rFonts w:asciiTheme="majorHAnsi" w:hAnsiTheme="majorHAnsi" w:cstheme="majorHAnsi"/>
          <w:sz w:val="24"/>
          <w:szCs w:val="24"/>
          <w:lang w:val="ro-RO"/>
        </w:rPr>
        <w:t>леев</w:t>
      </w:r>
      <w:r w:rsidRPr="00DF3986">
        <w:rPr>
          <w:rFonts w:asciiTheme="majorHAnsi" w:hAnsiTheme="majorHAnsi" w:cstheme="majorHAnsi"/>
          <w:sz w:val="24"/>
          <w:szCs w:val="24"/>
          <w:lang w:val="ro-RO"/>
        </w:rPr>
        <w:t xml:space="preserve"> (104,5%) по сравнению с </w:t>
      </w:r>
      <w:r w:rsidR="001D6EB0">
        <w:rPr>
          <w:rFonts w:asciiTheme="majorHAnsi" w:hAnsiTheme="majorHAnsi" w:cstheme="majorHAnsi"/>
          <w:sz w:val="24"/>
          <w:szCs w:val="24"/>
          <w:lang w:val="ro-RO"/>
        </w:rPr>
        <w:t>уточне</w:t>
      </w:r>
      <w:r w:rsidRPr="00DF3986">
        <w:rPr>
          <w:rFonts w:asciiTheme="majorHAnsi" w:hAnsiTheme="majorHAnsi" w:cstheme="majorHAnsi"/>
          <w:sz w:val="24"/>
          <w:szCs w:val="24"/>
          <w:lang w:val="ro-RO"/>
        </w:rPr>
        <w:t>нными показателями</w:t>
      </w:r>
      <w:r w:rsidR="00143625">
        <w:rPr>
          <w:rFonts w:asciiTheme="majorHAnsi" w:hAnsiTheme="majorHAnsi" w:cstheme="majorHAnsi"/>
          <w:sz w:val="24"/>
          <w:szCs w:val="24"/>
          <w:lang w:val="ru-RU"/>
        </w:rPr>
        <w:t>,</w:t>
      </w:r>
      <w:r w:rsidRPr="00DF3986">
        <w:rPr>
          <w:rFonts w:asciiTheme="majorHAnsi" w:hAnsiTheme="majorHAnsi" w:cstheme="majorHAnsi"/>
          <w:sz w:val="24"/>
          <w:szCs w:val="24"/>
          <w:lang w:val="ro-RO"/>
        </w:rPr>
        <w:t xml:space="preserve"> и снижение на 645,1 млн. </w:t>
      </w:r>
      <w:r w:rsidR="008E6894">
        <w:rPr>
          <w:rFonts w:asciiTheme="majorHAnsi" w:hAnsiTheme="majorHAnsi" w:cstheme="majorHAnsi"/>
          <w:sz w:val="24"/>
          <w:szCs w:val="24"/>
          <w:lang w:val="ro-RO"/>
        </w:rPr>
        <w:t>леев</w:t>
      </w:r>
      <w:r w:rsidRPr="00DF3986">
        <w:rPr>
          <w:rFonts w:asciiTheme="majorHAnsi" w:hAnsiTheme="majorHAnsi" w:cstheme="majorHAnsi"/>
          <w:sz w:val="24"/>
          <w:szCs w:val="24"/>
          <w:lang w:val="ro-RO"/>
        </w:rPr>
        <w:t xml:space="preserve"> (1,8%) по сравнению с 2019 годом</w:t>
      </w:r>
      <w:r w:rsidR="006E2E6A" w:rsidRPr="00F55BA6">
        <w:rPr>
          <w:rFonts w:asciiTheme="majorHAnsi" w:hAnsiTheme="majorHAnsi" w:cstheme="majorHAnsi"/>
          <w:color w:val="000000"/>
          <w:sz w:val="24"/>
          <w:szCs w:val="24"/>
          <w:lang w:val="ro-RO"/>
        </w:rPr>
        <w:t>.</w:t>
      </w:r>
      <w:r w:rsidR="006E2E6A" w:rsidRPr="00F55BA6">
        <w:rPr>
          <w:rFonts w:asciiTheme="majorHAnsi" w:eastAsia="Times New Roman" w:hAnsiTheme="majorHAnsi" w:cstheme="majorHAnsi"/>
          <w:sz w:val="24"/>
          <w:szCs w:val="24"/>
          <w:lang w:val="ro-RO"/>
        </w:rPr>
        <w:t xml:space="preserve"> </w:t>
      </w:r>
      <w:r w:rsidRPr="00DF3986">
        <w:rPr>
          <w:rFonts w:asciiTheme="majorHAnsi" w:eastAsia="Times New Roman" w:hAnsiTheme="majorHAnsi" w:cstheme="majorHAnsi"/>
          <w:sz w:val="24"/>
          <w:szCs w:val="24"/>
          <w:lang w:val="ro-RO"/>
        </w:rPr>
        <w:t xml:space="preserve">Таким образом, </w:t>
      </w:r>
      <w:r w:rsidR="00143625">
        <w:rPr>
          <w:rFonts w:asciiTheme="majorHAnsi" w:eastAsia="Times New Roman" w:hAnsiTheme="majorHAnsi" w:cstheme="majorHAnsi"/>
          <w:sz w:val="24"/>
          <w:szCs w:val="24"/>
          <w:lang w:val="ru-RU"/>
        </w:rPr>
        <w:t>в аспекте тип</w:t>
      </w:r>
      <w:r w:rsidRPr="00DF3986">
        <w:rPr>
          <w:rFonts w:asciiTheme="majorHAnsi" w:eastAsia="Times New Roman" w:hAnsiTheme="majorHAnsi" w:cstheme="majorHAnsi"/>
          <w:sz w:val="24"/>
          <w:szCs w:val="24"/>
          <w:lang w:val="ro-RO"/>
        </w:rPr>
        <w:t>ов доходов, наиболее значи</w:t>
      </w:r>
      <w:r w:rsidR="00143625">
        <w:rPr>
          <w:rFonts w:asciiTheme="majorHAnsi" w:eastAsia="Times New Roman" w:hAnsiTheme="majorHAnsi" w:cstheme="majorHAnsi"/>
          <w:sz w:val="24"/>
          <w:szCs w:val="24"/>
          <w:lang w:val="ru-RU"/>
        </w:rPr>
        <w:t>тель</w:t>
      </w:r>
      <w:r w:rsidR="001B5289">
        <w:rPr>
          <w:rFonts w:asciiTheme="majorHAnsi" w:eastAsia="Times New Roman" w:hAnsiTheme="majorHAnsi" w:cstheme="majorHAnsi"/>
          <w:sz w:val="24"/>
          <w:szCs w:val="24"/>
          <w:lang w:val="ro-RO"/>
        </w:rPr>
        <w:t>н</w:t>
      </w:r>
      <w:r w:rsidRPr="00DF3986">
        <w:rPr>
          <w:rFonts w:asciiTheme="majorHAnsi" w:eastAsia="Times New Roman" w:hAnsiTheme="majorHAnsi" w:cstheme="majorHAnsi"/>
          <w:sz w:val="24"/>
          <w:szCs w:val="24"/>
          <w:lang w:val="ro-RO"/>
        </w:rPr>
        <w:t xml:space="preserve">ыми являются доходы от НДС, которые составляют </w:t>
      </w:r>
      <w:r w:rsidR="00143625">
        <w:rPr>
          <w:rFonts w:asciiTheme="majorHAnsi" w:eastAsia="Times New Roman" w:hAnsiTheme="majorHAnsi" w:cstheme="majorHAnsi"/>
          <w:sz w:val="24"/>
          <w:szCs w:val="24"/>
          <w:lang w:val="ru-RU"/>
        </w:rPr>
        <w:t xml:space="preserve">в целом </w:t>
      </w:r>
      <w:r w:rsidRPr="00DF3986">
        <w:rPr>
          <w:rFonts w:asciiTheme="majorHAnsi" w:eastAsia="Times New Roman" w:hAnsiTheme="majorHAnsi" w:cstheme="majorHAnsi"/>
          <w:sz w:val="24"/>
          <w:szCs w:val="24"/>
          <w:lang w:val="ro-RO"/>
        </w:rPr>
        <w:t xml:space="preserve">19 686,3 млн. </w:t>
      </w:r>
      <w:r w:rsidR="008E6894">
        <w:rPr>
          <w:rFonts w:asciiTheme="majorHAnsi" w:eastAsia="Times New Roman" w:hAnsiTheme="majorHAnsi" w:cstheme="majorHAnsi"/>
          <w:sz w:val="24"/>
          <w:szCs w:val="24"/>
          <w:lang w:val="ro-RO"/>
        </w:rPr>
        <w:t>леев</w:t>
      </w:r>
      <w:r w:rsidRPr="00DF3986">
        <w:rPr>
          <w:rFonts w:asciiTheme="majorHAnsi" w:eastAsia="Times New Roman" w:hAnsiTheme="majorHAnsi" w:cstheme="majorHAnsi"/>
          <w:sz w:val="24"/>
          <w:szCs w:val="24"/>
          <w:lang w:val="ro-RO"/>
        </w:rPr>
        <w:t>, или 55,0%, подоходный налог-6 469,1 млн. л</w:t>
      </w:r>
      <w:r w:rsidR="00143625">
        <w:rPr>
          <w:rFonts w:asciiTheme="majorHAnsi" w:eastAsia="Times New Roman" w:hAnsiTheme="majorHAnsi" w:cstheme="majorHAnsi"/>
          <w:sz w:val="24"/>
          <w:szCs w:val="24"/>
          <w:lang w:val="ru-RU"/>
        </w:rPr>
        <w:t>ее</w:t>
      </w:r>
      <w:r w:rsidRPr="00DF3986">
        <w:rPr>
          <w:rFonts w:asciiTheme="majorHAnsi" w:eastAsia="Times New Roman" w:hAnsiTheme="majorHAnsi" w:cstheme="majorHAnsi"/>
          <w:sz w:val="24"/>
          <w:szCs w:val="24"/>
          <w:lang w:val="ro-RO"/>
        </w:rPr>
        <w:t>в (18,1%)</w:t>
      </w:r>
      <w:r w:rsidR="00143625">
        <w:rPr>
          <w:rFonts w:asciiTheme="majorHAnsi" w:eastAsia="Times New Roman" w:hAnsiTheme="majorHAnsi" w:cstheme="majorHAnsi"/>
          <w:sz w:val="24"/>
          <w:szCs w:val="24"/>
          <w:lang w:val="ru-RU"/>
        </w:rPr>
        <w:t xml:space="preserve"> и акцизы - </w:t>
      </w:r>
      <w:r w:rsidR="00143625" w:rsidRPr="00F55BA6">
        <w:rPr>
          <w:rFonts w:asciiTheme="majorHAnsi" w:eastAsia="Times New Roman" w:hAnsiTheme="majorHAnsi" w:cstheme="majorHAnsi"/>
          <w:sz w:val="24"/>
          <w:szCs w:val="24"/>
          <w:lang w:val="ro-RO" w:eastAsia="ru-RU"/>
        </w:rPr>
        <w:t xml:space="preserve">6 465,6 </w:t>
      </w:r>
      <w:r w:rsidR="00143625" w:rsidRPr="00DF3986">
        <w:rPr>
          <w:rFonts w:asciiTheme="majorHAnsi" w:eastAsia="Times New Roman" w:hAnsiTheme="majorHAnsi" w:cstheme="majorHAnsi"/>
          <w:sz w:val="24"/>
          <w:szCs w:val="24"/>
          <w:lang w:val="ro-RO"/>
        </w:rPr>
        <w:t xml:space="preserve">млн. </w:t>
      </w:r>
      <w:r w:rsidR="00143625">
        <w:rPr>
          <w:rFonts w:asciiTheme="majorHAnsi" w:eastAsia="Times New Roman" w:hAnsiTheme="majorHAnsi" w:cstheme="majorHAnsi"/>
          <w:sz w:val="24"/>
          <w:szCs w:val="24"/>
          <w:lang w:val="ro-RO"/>
        </w:rPr>
        <w:t>леев</w:t>
      </w:r>
      <w:r w:rsidR="00143625" w:rsidRPr="00F55BA6">
        <w:rPr>
          <w:rFonts w:asciiTheme="majorHAnsi" w:eastAsia="Times New Roman" w:hAnsiTheme="majorHAnsi" w:cstheme="majorHAnsi"/>
          <w:sz w:val="24"/>
          <w:szCs w:val="24"/>
          <w:lang w:val="ro-RO" w:eastAsia="ru-RU"/>
        </w:rPr>
        <w:t xml:space="preserve"> (18,1%)</w:t>
      </w:r>
      <w:r w:rsidRPr="00DF3986">
        <w:rPr>
          <w:rFonts w:asciiTheme="majorHAnsi" w:eastAsia="Times New Roman" w:hAnsiTheme="majorHAnsi" w:cstheme="majorHAnsi"/>
          <w:sz w:val="24"/>
          <w:szCs w:val="24"/>
          <w:lang w:val="ro-RO"/>
        </w:rPr>
        <w:t xml:space="preserve">. В 2020 году, по сравнению с </w:t>
      </w:r>
      <w:r w:rsidR="001D6EB0">
        <w:rPr>
          <w:rFonts w:asciiTheme="majorHAnsi" w:eastAsia="Times New Roman" w:hAnsiTheme="majorHAnsi" w:cstheme="majorHAnsi"/>
          <w:sz w:val="24"/>
          <w:szCs w:val="24"/>
          <w:lang w:val="ro-RO"/>
        </w:rPr>
        <w:t>уточне</w:t>
      </w:r>
      <w:r w:rsidRPr="00DF3986">
        <w:rPr>
          <w:rFonts w:asciiTheme="majorHAnsi" w:eastAsia="Times New Roman" w:hAnsiTheme="majorHAnsi" w:cstheme="majorHAnsi"/>
          <w:sz w:val="24"/>
          <w:szCs w:val="24"/>
          <w:lang w:val="ro-RO"/>
        </w:rPr>
        <w:t>нными показателями, поступления от НДС увеличились на 839,3 млн. леев, а по сравнению с утвержденными показателями – сни</w:t>
      </w:r>
      <w:r w:rsidR="00143625">
        <w:rPr>
          <w:rFonts w:asciiTheme="majorHAnsi" w:eastAsia="Times New Roman" w:hAnsiTheme="majorHAnsi" w:cstheme="majorHAnsi"/>
          <w:sz w:val="24"/>
          <w:szCs w:val="24"/>
          <w:lang w:val="ru-RU"/>
        </w:rPr>
        <w:t xml:space="preserve">зились </w:t>
      </w:r>
      <w:r w:rsidRPr="00DF3986">
        <w:rPr>
          <w:rFonts w:asciiTheme="majorHAnsi" w:eastAsia="Times New Roman" w:hAnsiTheme="majorHAnsi" w:cstheme="majorHAnsi"/>
          <w:sz w:val="24"/>
          <w:szCs w:val="24"/>
          <w:lang w:val="ro-RO"/>
        </w:rPr>
        <w:t xml:space="preserve">на 3 000,6 млн. леев. </w:t>
      </w:r>
      <w:r w:rsidR="00143625">
        <w:rPr>
          <w:rFonts w:asciiTheme="majorHAnsi" w:eastAsia="Times New Roman" w:hAnsiTheme="majorHAnsi" w:cstheme="majorHAnsi"/>
          <w:sz w:val="24"/>
          <w:szCs w:val="24"/>
          <w:lang w:val="ru-RU"/>
        </w:rPr>
        <w:t>Одновременно</w:t>
      </w:r>
      <w:r w:rsidRPr="00DF3986">
        <w:rPr>
          <w:rFonts w:asciiTheme="majorHAnsi" w:eastAsia="Times New Roman" w:hAnsiTheme="majorHAnsi" w:cstheme="majorHAnsi"/>
          <w:sz w:val="24"/>
          <w:szCs w:val="24"/>
          <w:lang w:val="ro-RO"/>
        </w:rPr>
        <w:t xml:space="preserve">, по сравнению с 2019 годом, поступления </w:t>
      </w:r>
      <w:r w:rsidR="00143625">
        <w:rPr>
          <w:rFonts w:asciiTheme="majorHAnsi" w:eastAsia="Times New Roman" w:hAnsiTheme="majorHAnsi" w:cstheme="majorHAnsi"/>
          <w:sz w:val="24"/>
          <w:szCs w:val="24"/>
          <w:lang w:val="ru-RU"/>
        </w:rPr>
        <w:t xml:space="preserve">от </w:t>
      </w:r>
      <w:r w:rsidRPr="00DF3986">
        <w:rPr>
          <w:rFonts w:asciiTheme="majorHAnsi" w:eastAsia="Times New Roman" w:hAnsiTheme="majorHAnsi" w:cstheme="majorHAnsi"/>
          <w:sz w:val="24"/>
          <w:szCs w:val="24"/>
          <w:lang w:val="ro-RO"/>
        </w:rPr>
        <w:t xml:space="preserve">НДС сократились на 410,3 млн. </w:t>
      </w:r>
      <w:r w:rsidR="008E6894">
        <w:rPr>
          <w:rFonts w:asciiTheme="majorHAnsi" w:eastAsia="Times New Roman" w:hAnsiTheme="majorHAnsi" w:cstheme="majorHAnsi"/>
          <w:sz w:val="24"/>
          <w:szCs w:val="24"/>
          <w:lang w:val="ro-RO"/>
        </w:rPr>
        <w:t>леев</w:t>
      </w:r>
      <w:r w:rsidRPr="00DF3986">
        <w:rPr>
          <w:rFonts w:asciiTheme="majorHAnsi" w:eastAsia="Times New Roman" w:hAnsiTheme="majorHAnsi" w:cstheme="majorHAnsi"/>
          <w:sz w:val="24"/>
          <w:szCs w:val="24"/>
          <w:lang w:val="ro-RO"/>
        </w:rPr>
        <w:t>, или на 2,0%. Увеличение поступлений НДС в 2020 году обусловлено ростом поставок товаров и услуг, оказанных внутри страны в ноябре</w:t>
      </w:r>
      <w:r w:rsidR="00143625">
        <w:rPr>
          <w:rFonts w:asciiTheme="majorHAnsi" w:eastAsia="Times New Roman" w:hAnsiTheme="majorHAnsi" w:cstheme="majorHAnsi"/>
          <w:sz w:val="24"/>
          <w:szCs w:val="24"/>
          <w:lang w:val="ru-RU"/>
        </w:rPr>
        <w:t xml:space="preserve"> месяце</w:t>
      </w:r>
      <w:r w:rsidRPr="00DF3986">
        <w:rPr>
          <w:rFonts w:asciiTheme="majorHAnsi" w:eastAsia="Times New Roman" w:hAnsiTheme="majorHAnsi" w:cstheme="majorHAnsi"/>
          <w:sz w:val="24"/>
          <w:szCs w:val="24"/>
          <w:lang w:val="ro-RO"/>
        </w:rPr>
        <w:t>, вследствие во</w:t>
      </w:r>
      <w:r w:rsidR="00042543">
        <w:rPr>
          <w:rFonts w:asciiTheme="majorHAnsi" w:eastAsia="Times New Roman" w:hAnsiTheme="majorHAnsi" w:cstheme="majorHAnsi"/>
          <w:sz w:val="24"/>
          <w:szCs w:val="24"/>
          <w:lang w:val="ru-RU"/>
        </w:rPr>
        <w:t>зоб</w:t>
      </w:r>
      <w:r w:rsidRPr="00DF3986">
        <w:rPr>
          <w:rFonts w:asciiTheme="majorHAnsi" w:eastAsia="Times New Roman" w:hAnsiTheme="majorHAnsi" w:cstheme="majorHAnsi"/>
          <w:sz w:val="24"/>
          <w:szCs w:val="24"/>
          <w:lang w:val="ro-RO"/>
        </w:rPr>
        <w:t>новления экономической деятельности и импорта после установления чрезвычайного положения.</w:t>
      </w:r>
      <w:r>
        <w:rPr>
          <w:rFonts w:asciiTheme="majorHAnsi" w:eastAsia="Times New Roman" w:hAnsiTheme="majorHAnsi" w:cstheme="majorHAnsi"/>
          <w:sz w:val="24"/>
          <w:szCs w:val="24"/>
          <w:lang w:val="ru-RU"/>
        </w:rPr>
        <w:t xml:space="preserve"> </w:t>
      </w:r>
    </w:p>
    <w:p w:rsidR="006E2E6A" w:rsidRPr="00F55BA6" w:rsidRDefault="00DF3986" w:rsidP="006E2E6A">
      <w:pPr>
        <w:shd w:val="clear" w:color="auto" w:fill="FFFFFF"/>
        <w:spacing w:after="0" w:line="276" w:lineRule="auto"/>
        <w:rPr>
          <w:rFonts w:asciiTheme="majorHAnsi" w:hAnsiTheme="majorHAnsi" w:cstheme="majorHAnsi"/>
          <w:color w:val="000000"/>
          <w:sz w:val="24"/>
          <w:szCs w:val="24"/>
          <w:lang w:val="ro-RO"/>
        </w:rPr>
      </w:pPr>
      <w:r w:rsidRPr="00DF3986">
        <w:rPr>
          <w:rFonts w:asciiTheme="majorHAnsi" w:eastAsia="Times New Roman" w:hAnsiTheme="majorHAnsi" w:cs="Times New Roman"/>
          <w:sz w:val="24"/>
          <w:szCs w:val="24"/>
          <w:lang w:val="ro-RO" w:eastAsia="ru-RU"/>
        </w:rPr>
        <w:t xml:space="preserve">В течение 2020 года, в целях снижения </w:t>
      </w:r>
      <w:r w:rsidR="00015B14">
        <w:rPr>
          <w:rFonts w:asciiTheme="majorHAnsi" w:eastAsia="Times New Roman" w:hAnsiTheme="majorHAnsi" w:cs="Times New Roman"/>
          <w:sz w:val="24"/>
          <w:szCs w:val="24"/>
          <w:lang w:val="ru-RU" w:eastAsia="ru-RU"/>
        </w:rPr>
        <w:t>отрицательного воздействия</w:t>
      </w:r>
      <w:r w:rsidRPr="00DF3986">
        <w:rPr>
          <w:rFonts w:asciiTheme="majorHAnsi" w:eastAsia="Times New Roman" w:hAnsiTheme="majorHAnsi" w:cs="Times New Roman"/>
          <w:sz w:val="24"/>
          <w:szCs w:val="24"/>
          <w:lang w:val="ro-RO" w:eastAsia="ru-RU"/>
        </w:rPr>
        <w:t xml:space="preserve"> пандемии COVID-19 на национальную экономику, были установлены некоторые меры по поддержке предпринимательской деятельности</w:t>
      </w:r>
      <w:r w:rsidR="00015B14">
        <w:rPr>
          <w:rFonts w:asciiTheme="majorHAnsi" w:eastAsia="Times New Roman" w:hAnsiTheme="majorHAnsi" w:cs="Times New Roman"/>
          <w:sz w:val="24"/>
          <w:szCs w:val="24"/>
          <w:lang w:val="ru-RU" w:eastAsia="ru-RU"/>
        </w:rPr>
        <w:t>, направленные на</w:t>
      </w:r>
      <w:r w:rsidRPr="00DF3986">
        <w:rPr>
          <w:rFonts w:asciiTheme="majorHAnsi" w:eastAsia="Times New Roman" w:hAnsiTheme="majorHAnsi" w:cs="Times New Roman"/>
          <w:sz w:val="24"/>
          <w:szCs w:val="24"/>
          <w:lang w:val="ro-RO" w:eastAsia="ru-RU"/>
        </w:rPr>
        <w:t xml:space="preserve"> снижени</w:t>
      </w:r>
      <w:r w:rsidR="00015B14">
        <w:rPr>
          <w:rFonts w:asciiTheme="majorHAnsi" w:eastAsia="Times New Roman" w:hAnsiTheme="majorHAnsi" w:cs="Times New Roman"/>
          <w:sz w:val="24"/>
          <w:szCs w:val="24"/>
          <w:lang w:val="ru-RU" w:eastAsia="ru-RU"/>
        </w:rPr>
        <w:t>е</w:t>
      </w:r>
      <w:r w:rsidRPr="00DF3986">
        <w:rPr>
          <w:rFonts w:asciiTheme="majorHAnsi" w:eastAsia="Times New Roman" w:hAnsiTheme="majorHAnsi" w:cs="Times New Roman"/>
          <w:sz w:val="24"/>
          <w:szCs w:val="24"/>
          <w:lang w:val="ro-RO" w:eastAsia="ru-RU"/>
        </w:rPr>
        <w:t xml:space="preserve"> налогового бремени. Так, </w:t>
      </w:r>
      <w:r w:rsidR="00015B14">
        <w:rPr>
          <w:rFonts w:asciiTheme="majorHAnsi" w:eastAsia="Times New Roman" w:hAnsiTheme="majorHAnsi" w:cs="Times New Roman"/>
          <w:sz w:val="24"/>
          <w:szCs w:val="24"/>
          <w:lang w:val="ru-RU" w:eastAsia="ru-RU"/>
        </w:rPr>
        <w:t>принят</w:t>
      </w:r>
      <w:r w:rsidRPr="00DF3986">
        <w:rPr>
          <w:rFonts w:asciiTheme="majorHAnsi" w:eastAsia="Times New Roman" w:hAnsiTheme="majorHAnsi" w:cs="Times New Roman"/>
          <w:sz w:val="24"/>
          <w:szCs w:val="24"/>
          <w:lang w:val="ro-RO" w:eastAsia="ru-RU"/>
        </w:rPr>
        <w:t>и</w:t>
      </w:r>
      <w:r w:rsidR="00015B14">
        <w:rPr>
          <w:rFonts w:asciiTheme="majorHAnsi" w:eastAsia="Times New Roman" w:hAnsiTheme="majorHAnsi" w:cs="Times New Roman"/>
          <w:sz w:val="24"/>
          <w:szCs w:val="24"/>
          <w:lang w:val="ru-RU" w:eastAsia="ru-RU"/>
        </w:rPr>
        <w:t>ем</w:t>
      </w:r>
      <w:r w:rsidRPr="00DF3986">
        <w:rPr>
          <w:rFonts w:asciiTheme="majorHAnsi" w:eastAsia="Times New Roman" w:hAnsiTheme="majorHAnsi" w:cs="Times New Roman"/>
          <w:sz w:val="24"/>
          <w:szCs w:val="24"/>
          <w:lang w:val="ro-RO" w:eastAsia="ru-RU"/>
        </w:rPr>
        <w:t xml:space="preserve"> </w:t>
      </w:r>
      <w:r w:rsidR="00015B14">
        <w:rPr>
          <w:rFonts w:asciiTheme="majorHAnsi" w:eastAsia="Times New Roman" w:hAnsiTheme="majorHAnsi" w:cs="Times New Roman"/>
          <w:sz w:val="24"/>
          <w:szCs w:val="24"/>
          <w:lang w:val="ru-RU" w:eastAsia="ru-RU"/>
        </w:rPr>
        <w:t>З</w:t>
      </w:r>
      <w:r w:rsidRPr="00DF3986">
        <w:rPr>
          <w:rFonts w:asciiTheme="majorHAnsi" w:eastAsia="Times New Roman" w:hAnsiTheme="majorHAnsi" w:cs="Times New Roman"/>
          <w:sz w:val="24"/>
          <w:szCs w:val="24"/>
          <w:lang w:val="ro-RO" w:eastAsia="ru-RU"/>
        </w:rPr>
        <w:t>акона</w:t>
      </w:r>
      <w:r w:rsidR="00015B14">
        <w:rPr>
          <w:rFonts w:asciiTheme="majorHAnsi" w:eastAsia="Times New Roman" w:hAnsiTheme="majorHAnsi" w:cs="Times New Roman"/>
          <w:sz w:val="24"/>
          <w:szCs w:val="24"/>
          <w:lang w:val="ru-RU" w:eastAsia="ru-RU"/>
        </w:rPr>
        <w:t xml:space="preserve"> </w:t>
      </w:r>
      <w:r w:rsidRPr="00DF3986">
        <w:rPr>
          <w:rFonts w:asciiTheme="majorHAnsi" w:eastAsia="Times New Roman" w:hAnsiTheme="majorHAnsi" w:cs="Times New Roman"/>
          <w:sz w:val="24"/>
          <w:szCs w:val="24"/>
          <w:lang w:val="ro-RO" w:eastAsia="ru-RU"/>
        </w:rPr>
        <w:t xml:space="preserve">№60 </w:t>
      </w:r>
      <w:r w:rsidR="00015B14">
        <w:rPr>
          <w:rFonts w:asciiTheme="majorHAnsi" w:eastAsia="Times New Roman" w:hAnsiTheme="majorHAnsi" w:cs="Times New Roman"/>
          <w:sz w:val="24"/>
          <w:szCs w:val="24"/>
          <w:lang w:val="ru-RU" w:eastAsia="ru-RU"/>
        </w:rPr>
        <w:t>от</w:t>
      </w:r>
      <w:r w:rsidRPr="00DF3986">
        <w:rPr>
          <w:rFonts w:asciiTheme="majorHAnsi" w:eastAsia="Times New Roman" w:hAnsiTheme="majorHAnsi" w:cs="Times New Roman"/>
          <w:sz w:val="24"/>
          <w:szCs w:val="24"/>
          <w:lang w:val="ro-RO" w:eastAsia="ru-RU"/>
        </w:rPr>
        <w:t xml:space="preserve"> 23.04.2020</w:t>
      </w:r>
      <w:r w:rsidR="00015B14" w:rsidRPr="00F55BA6">
        <w:rPr>
          <w:rFonts w:asciiTheme="majorHAnsi" w:hAnsiTheme="majorHAnsi"/>
          <w:color w:val="000000"/>
          <w:sz w:val="24"/>
          <w:szCs w:val="24"/>
          <w:vertAlign w:val="superscript"/>
          <w:lang w:val="ro-RO" w:eastAsia="ro-RO" w:bidi="ro-RO"/>
        </w:rPr>
        <w:footnoteReference w:id="85"/>
      </w:r>
      <w:r w:rsidR="00015B14">
        <w:rPr>
          <w:rFonts w:asciiTheme="majorHAnsi" w:eastAsia="Times New Roman" w:hAnsiTheme="majorHAnsi" w:cs="Times New Roman"/>
          <w:sz w:val="24"/>
          <w:szCs w:val="24"/>
          <w:lang w:val="ru-RU" w:eastAsia="ru-RU"/>
        </w:rPr>
        <w:t>,</w:t>
      </w:r>
      <w:r w:rsidRPr="00DF3986">
        <w:rPr>
          <w:rFonts w:asciiTheme="majorHAnsi" w:eastAsia="Times New Roman" w:hAnsiTheme="majorHAnsi" w:cs="Times New Roman"/>
          <w:sz w:val="24"/>
          <w:szCs w:val="24"/>
          <w:lang w:val="ro-RO" w:eastAsia="ru-RU"/>
        </w:rPr>
        <w:t xml:space="preserve"> были внесены изменения в нормативную базу о </w:t>
      </w:r>
      <w:r w:rsidRPr="00DF3986">
        <w:rPr>
          <w:rFonts w:asciiTheme="majorHAnsi" w:eastAsia="Times New Roman" w:hAnsiTheme="majorHAnsi" w:cs="Times New Roman"/>
          <w:sz w:val="24"/>
          <w:szCs w:val="24"/>
          <w:lang w:val="ro-RO" w:eastAsia="ru-RU"/>
        </w:rPr>
        <w:lastRenderedPageBreak/>
        <w:t>сокращени</w:t>
      </w:r>
      <w:r w:rsidR="00015B14">
        <w:rPr>
          <w:rFonts w:asciiTheme="majorHAnsi" w:eastAsia="Times New Roman" w:hAnsiTheme="majorHAnsi" w:cs="Times New Roman"/>
          <w:sz w:val="24"/>
          <w:szCs w:val="24"/>
          <w:lang w:val="ru-RU" w:eastAsia="ru-RU"/>
        </w:rPr>
        <w:t>и</w:t>
      </w:r>
      <w:r w:rsidRPr="00DF3986">
        <w:rPr>
          <w:rFonts w:asciiTheme="majorHAnsi" w:eastAsia="Times New Roman" w:hAnsiTheme="majorHAnsi" w:cs="Times New Roman"/>
          <w:sz w:val="24"/>
          <w:szCs w:val="24"/>
          <w:lang w:val="ro-RO" w:eastAsia="ru-RU"/>
        </w:rPr>
        <w:t xml:space="preserve"> ставки НДС с 20% до 15% для сектора HORECA, начиная с 1.05.2020</w:t>
      </w:r>
      <w:r w:rsidR="00015B14">
        <w:rPr>
          <w:rFonts w:asciiTheme="majorHAnsi" w:eastAsia="Times New Roman" w:hAnsiTheme="majorHAnsi" w:cs="Times New Roman"/>
          <w:sz w:val="24"/>
          <w:szCs w:val="24"/>
          <w:lang w:val="ru-RU" w:eastAsia="ru-RU"/>
        </w:rPr>
        <w:t>,</w:t>
      </w:r>
      <w:r w:rsidRPr="00DF3986">
        <w:rPr>
          <w:rFonts w:asciiTheme="majorHAnsi" w:eastAsia="Times New Roman" w:hAnsiTheme="majorHAnsi" w:cs="Times New Roman"/>
          <w:sz w:val="24"/>
          <w:szCs w:val="24"/>
          <w:lang w:val="ro-RO" w:eastAsia="ru-RU"/>
        </w:rPr>
        <w:t xml:space="preserve"> и </w:t>
      </w:r>
      <w:r w:rsidR="00015B14">
        <w:rPr>
          <w:rFonts w:asciiTheme="majorHAnsi" w:eastAsia="Times New Roman" w:hAnsiTheme="majorHAnsi" w:cs="Times New Roman"/>
          <w:sz w:val="24"/>
          <w:szCs w:val="24"/>
          <w:lang w:val="ru-RU" w:eastAsia="ru-RU"/>
        </w:rPr>
        <w:t>создании</w:t>
      </w:r>
      <w:r w:rsidRPr="00DF3986">
        <w:rPr>
          <w:rFonts w:asciiTheme="majorHAnsi" w:eastAsia="Times New Roman" w:hAnsiTheme="majorHAnsi" w:cs="Times New Roman"/>
          <w:sz w:val="24"/>
          <w:szCs w:val="24"/>
          <w:lang w:val="ro-RO" w:eastAsia="ru-RU"/>
        </w:rPr>
        <w:t xml:space="preserve"> </w:t>
      </w:r>
      <w:r w:rsidR="00015B14">
        <w:rPr>
          <w:rFonts w:asciiTheme="majorHAnsi" w:eastAsia="Times New Roman" w:hAnsiTheme="majorHAnsi" w:cs="Times New Roman"/>
          <w:sz w:val="24"/>
          <w:szCs w:val="24"/>
          <w:lang w:val="ru-RU" w:eastAsia="ru-RU"/>
        </w:rPr>
        <w:t>П</w:t>
      </w:r>
      <w:r w:rsidRPr="00DF3986">
        <w:rPr>
          <w:rFonts w:asciiTheme="majorHAnsi" w:eastAsia="Times New Roman" w:hAnsiTheme="majorHAnsi" w:cs="Times New Roman"/>
          <w:sz w:val="24"/>
          <w:szCs w:val="24"/>
          <w:lang w:val="ro-RO" w:eastAsia="ru-RU"/>
        </w:rPr>
        <w:t xml:space="preserve">рограммы возмещения НДС для предприятий, </w:t>
      </w:r>
      <w:r w:rsidR="00015B14" w:rsidRPr="00015B14">
        <w:rPr>
          <w:rFonts w:asciiTheme="majorHAnsi" w:eastAsia="Times New Roman" w:hAnsiTheme="majorHAnsi" w:cs="Times New Roman"/>
          <w:sz w:val="24"/>
          <w:szCs w:val="24"/>
          <w:lang w:val="ru-RU" w:eastAsia="ru-RU"/>
        </w:rPr>
        <w:t>зарегистрированные в качестве плательщика НДС, которые зарегистрировали суммы НДС, подлежащие вычету</w:t>
      </w:r>
      <w:r w:rsidR="00015B14">
        <w:rPr>
          <w:rFonts w:asciiTheme="majorHAnsi" w:eastAsia="Times New Roman" w:hAnsiTheme="majorHAnsi" w:cs="Times New Roman"/>
          <w:sz w:val="24"/>
          <w:szCs w:val="24"/>
          <w:lang w:val="ru-RU" w:eastAsia="ru-RU"/>
        </w:rPr>
        <w:t>,</w:t>
      </w:r>
      <w:r w:rsidR="00015B14" w:rsidRPr="00015B14">
        <w:rPr>
          <w:rFonts w:asciiTheme="majorHAnsi" w:eastAsia="Times New Roman" w:hAnsiTheme="majorHAnsi" w:cs="Times New Roman"/>
          <w:sz w:val="24"/>
          <w:szCs w:val="24"/>
          <w:lang w:val="ru-RU" w:eastAsia="ru-RU"/>
        </w:rPr>
        <w:t xml:space="preserve"> </w:t>
      </w:r>
      <w:r w:rsidRPr="00DF3986">
        <w:rPr>
          <w:rFonts w:asciiTheme="majorHAnsi" w:eastAsia="Times New Roman" w:hAnsiTheme="majorHAnsi" w:cs="Times New Roman"/>
          <w:sz w:val="24"/>
          <w:szCs w:val="24"/>
          <w:lang w:val="ro-RO" w:eastAsia="ru-RU"/>
        </w:rPr>
        <w:t xml:space="preserve">на период до 31.12.2020, которые </w:t>
      </w:r>
      <w:r w:rsidR="00417F53">
        <w:rPr>
          <w:rFonts w:asciiTheme="majorHAnsi" w:eastAsia="Times New Roman" w:hAnsiTheme="majorHAnsi" w:cs="Times New Roman"/>
          <w:sz w:val="24"/>
          <w:szCs w:val="24"/>
          <w:lang w:val="ru-RU" w:eastAsia="ru-RU"/>
        </w:rPr>
        <w:t>были направлены на</w:t>
      </w:r>
      <w:r w:rsidRPr="00DF3986">
        <w:rPr>
          <w:rFonts w:asciiTheme="majorHAnsi" w:eastAsia="Times New Roman" w:hAnsiTheme="majorHAnsi" w:cs="Times New Roman"/>
          <w:sz w:val="24"/>
          <w:szCs w:val="24"/>
          <w:lang w:val="ro-RO" w:eastAsia="ru-RU"/>
        </w:rPr>
        <w:t xml:space="preserve"> поддержку </w:t>
      </w:r>
      <w:r w:rsidR="00417F53" w:rsidRPr="00DF3986">
        <w:rPr>
          <w:rFonts w:asciiTheme="majorHAnsi" w:eastAsia="Times New Roman" w:hAnsiTheme="majorHAnsi" w:cs="Times New Roman"/>
          <w:sz w:val="24"/>
          <w:szCs w:val="24"/>
          <w:lang w:val="ro-RO" w:eastAsia="ru-RU"/>
        </w:rPr>
        <w:t>предпринимателей</w:t>
      </w:r>
      <w:r w:rsidR="00417F53">
        <w:rPr>
          <w:rFonts w:asciiTheme="majorHAnsi" w:eastAsia="Times New Roman" w:hAnsiTheme="majorHAnsi" w:cs="Times New Roman"/>
          <w:sz w:val="24"/>
          <w:szCs w:val="24"/>
          <w:lang w:val="ru-RU" w:eastAsia="ru-RU"/>
        </w:rPr>
        <w:t xml:space="preserve"> в</w:t>
      </w:r>
      <w:r w:rsidR="00417F53" w:rsidRPr="00DF3986">
        <w:rPr>
          <w:rFonts w:asciiTheme="majorHAnsi" w:eastAsia="Times New Roman" w:hAnsiTheme="majorHAnsi" w:cs="Times New Roman"/>
          <w:sz w:val="24"/>
          <w:szCs w:val="24"/>
          <w:lang w:val="ro-RO" w:eastAsia="ru-RU"/>
        </w:rPr>
        <w:t xml:space="preserve"> </w:t>
      </w:r>
      <w:r w:rsidRPr="00DF3986">
        <w:rPr>
          <w:rFonts w:asciiTheme="majorHAnsi" w:eastAsia="Times New Roman" w:hAnsiTheme="majorHAnsi" w:cs="Times New Roman"/>
          <w:sz w:val="24"/>
          <w:szCs w:val="24"/>
          <w:lang w:val="ro-RO" w:eastAsia="ru-RU"/>
        </w:rPr>
        <w:t>краткосрочн</w:t>
      </w:r>
      <w:r w:rsidR="00417F53">
        <w:rPr>
          <w:rFonts w:asciiTheme="majorHAnsi" w:eastAsia="Times New Roman" w:hAnsiTheme="majorHAnsi" w:cs="Times New Roman"/>
          <w:sz w:val="24"/>
          <w:szCs w:val="24"/>
          <w:lang w:val="ru-RU" w:eastAsia="ru-RU"/>
        </w:rPr>
        <w:t>ой перспективе</w:t>
      </w:r>
      <w:r w:rsidRPr="00DF3986">
        <w:rPr>
          <w:rFonts w:asciiTheme="majorHAnsi" w:eastAsia="Times New Roman" w:hAnsiTheme="majorHAnsi" w:cs="Times New Roman"/>
          <w:sz w:val="24"/>
          <w:szCs w:val="24"/>
          <w:lang w:val="ro-RO" w:eastAsia="ru-RU"/>
        </w:rPr>
        <w:t>.</w:t>
      </w:r>
    </w:p>
    <w:p w:rsidR="006E2E6A" w:rsidRPr="00F55BA6" w:rsidRDefault="00DF3986" w:rsidP="006E2E6A">
      <w:pPr>
        <w:shd w:val="clear" w:color="auto" w:fill="FFFFFF"/>
        <w:spacing w:after="0" w:line="276" w:lineRule="auto"/>
        <w:rPr>
          <w:rFonts w:asciiTheme="majorHAnsi" w:hAnsiTheme="majorHAnsi"/>
          <w:color w:val="000000"/>
          <w:sz w:val="24"/>
          <w:szCs w:val="24"/>
          <w:lang w:val="ro-RO" w:eastAsia="ro-RO" w:bidi="ro-RO"/>
        </w:rPr>
      </w:pPr>
      <w:r w:rsidRPr="00DF3986">
        <w:rPr>
          <w:rFonts w:asciiTheme="majorHAnsi" w:hAnsiTheme="majorHAnsi" w:cstheme="majorHAnsi"/>
          <w:sz w:val="24"/>
          <w:szCs w:val="24"/>
          <w:lang w:val="ro-RO"/>
        </w:rPr>
        <w:t xml:space="preserve">Доходы </w:t>
      </w:r>
      <w:r w:rsidR="00417F53">
        <w:rPr>
          <w:rFonts w:asciiTheme="majorHAnsi" w:hAnsiTheme="majorHAnsi" w:cstheme="majorHAnsi"/>
          <w:sz w:val="24"/>
          <w:szCs w:val="24"/>
          <w:lang w:val="ru-RU"/>
        </w:rPr>
        <w:t xml:space="preserve">от </w:t>
      </w:r>
      <w:r w:rsidRPr="00DF3986">
        <w:rPr>
          <w:rFonts w:asciiTheme="majorHAnsi" w:hAnsiTheme="majorHAnsi" w:cstheme="majorHAnsi"/>
          <w:sz w:val="24"/>
          <w:szCs w:val="24"/>
          <w:lang w:val="ro-RO"/>
        </w:rPr>
        <w:t xml:space="preserve">подоходного налога в структуре </w:t>
      </w:r>
      <w:r w:rsidR="008F632D">
        <w:rPr>
          <w:rFonts w:asciiTheme="majorHAnsi" w:hAnsiTheme="majorHAnsi" w:cstheme="majorHAnsi"/>
          <w:sz w:val="24"/>
          <w:szCs w:val="24"/>
          <w:lang w:val="ro-RO"/>
        </w:rPr>
        <w:t>ГБ</w:t>
      </w:r>
      <w:r w:rsidRPr="00DF3986">
        <w:rPr>
          <w:rFonts w:asciiTheme="majorHAnsi" w:hAnsiTheme="majorHAnsi" w:cstheme="majorHAnsi"/>
          <w:sz w:val="24"/>
          <w:szCs w:val="24"/>
          <w:lang w:val="ro-RO"/>
        </w:rPr>
        <w:t xml:space="preserve"> </w:t>
      </w:r>
      <w:r w:rsidR="00417F53">
        <w:rPr>
          <w:rFonts w:asciiTheme="majorHAnsi" w:hAnsiTheme="majorHAnsi" w:cstheme="majorHAnsi"/>
          <w:sz w:val="24"/>
          <w:szCs w:val="24"/>
          <w:lang w:val="ru-RU"/>
        </w:rPr>
        <w:t>з</w:t>
      </w:r>
      <w:r w:rsidRPr="00DF3986">
        <w:rPr>
          <w:rFonts w:asciiTheme="majorHAnsi" w:hAnsiTheme="majorHAnsi" w:cstheme="majorHAnsi"/>
          <w:sz w:val="24"/>
          <w:szCs w:val="24"/>
          <w:lang w:val="ro-RO"/>
        </w:rPr>
        <w:t>а 2020 год составили 18,1% от общего объема налогов и сборов, получив</w:t>
      </w:r>
      <w:r w:rsidR="00417F53">
        <w:rPr>
          <w:rFonts w:asciiTheme="majorHAnsi" w:hAnsiTheme="majorHAnsi" w:cstheme="majorHAnsi"/>
          <w:sz w:val="24"/>
          <w:szCs w:val="24"/>
          <w:lang w:val="ru-RU"/>
        </w:rPr>
        <w:t>шие в размере</w:t>
      </w:r>
      <w:r w:rsidRPr="00DF3986">
        <w:rPr>
          <w:rFonts w:asciiTheme="majorHAnsi" w:hAnsiTheme="majorHAnsi" w:cstheme="majorHAnsi"/>
          <w:sz w:val="24"/>
          <w:szCs w:val="24"/>
          <w:lang w:val="ro-RO"/>
        </w:rPr>
        <w:t xml:space="preserve"> 6 469,1 млн. </w:t>
      </w:r>
      <w:r w:rsidR="008E6894">
        <w:rPr>
          <w:rFonts w:asciiTheme="majorHAnsi" w:hAnsiTheme="majorHAnsi" w:cstheme="majorHAnsi"/>
          <w:sz w:val="24"/>
          <w:szCs w:val="24"/>
          <w:lang w:val="ro-RO"/>
        </w:rPr>
        <w:t>леев</w:t>
      </w:r>
      <w:r w:rsidRPr="00DF3986">
        <w:rPr>
          <w:rFonts w:asciiTheme="majorHAnsi" w:hAnsiTheme="majorHAnsi" w:cstheme="majorHAnsi"/>
          <w:sz w:val="24"/>
          <w:szCs w:val="24"/>
          <w:lang w:val="ro-RO"/>
        </w:rPr>
        <w:t xml:space="preserve">, зарегистрировав снижение на 391,3 млн. леев по сравнению с 2019 годом. Таким образом, </w:t>
      </w:r>
      <w:r w:rsidR="00417F53">
        <w:rPr>
          <w:rFonts w:asciiTheme="majorHAnsi" w:hAnsiTheme="majorHAnsi" w:cstheme="majorHAnsi"/>
          <w:sz w:val="24"/>
          <w:szCs w:val="24"/>
          <w:lang w:val="ru-RU"/>
        </w:rPr>
        <w:t xml:space="preserve">на </w:t>
      </w:r>
      <w:r w:rsidRPr="00DF3986">
        <w:rPr>
          <w:rFonts w:asciiTheme="majorHAnsi" w:hAnsiTheme="majorHAnsi" w:cstheme="majorHAnsi"/>
          <w:sz w:val="24"/>
          <w:szCs w:val="24"/>
          <w:lang w:val="ro-RO"/>
        </w:rPr>
        <w:t xml:space="preserve">увеличение поступлений </w:t>
      </w:r>
      <w:r w:rsidR="00417F53">
        <w:rPr>
          <w:rFonts w:asciiTheme="majorHAnsi" w:hAnsiTheme="majorHAnsi" w:cstheme="majorHAnsi"/>
          <w:sz w:val="24"/>
          <w:szCs w:val="24"/>
          <w:lang w:val="ru-RU"/>
        </w:rPr>
        <w:t xml:space="preserve">от </w:t>
      </w:r>
      <w:r w:rsidR="00417F53" w:rsidRPr="00DF3986">
        <w:rPr>
          <w:rFonts w:asciiTheme="majorHAnsi" w:hAnsiTheme="majorHAnsi" w:cstheme="majorHAnsi"/>
          <w:sz w:val="24"/>
          <w:szCs w:val="24"/>
          <w:lang w:val="ro-RO"/>
        </w:rPr>
        <w:t xml:space="preserve">подоходного </w:t>
      </w:r>
      <w:r w:rsidRPr="00DF3986">
        <w:rPr>
          <w:rFonts w:asciiTheme="majorHAnsi" w:hAnsiTheme="majorHAnsi" w:cstheme="majorHAnsi"/>
          <w:sz w:val="24"/>
          <w:szCs w:val="24"/>
          <w:lang w:val="ro-RO"/>
        </w:rPr>
        <w:t xml:space="preserve">налога </w:t>
      </w:r>
      <w:r w:rsidR="00417F53">
        <w:rPr>
          <w:rFonts w:asciiTheme="majorHAnsi" w:hAnsiTheme="majorHAnsi" w:cstheme="majorHAnsi"/>
          <w:sz w:val="24"/>
          <w:szCs w:val="24"/>
          <w:lang w:val="ru-RU"/>
        </w:rPr>
        <w:t>с</w:t>
      </w:r>
      <w:r w:rsidRPr="00DF3986">
        <w:rPr>
          <w:rFonts w:asciiTheme="majorHAnsi" w:hAnsiTheme="majorHAnsi" w:cstheme="majorHAnsi"/>
          <w:sz w:val="24"/>
          <w:szCs w:val="24"/>
          <w:lang w:val="ro-RO"/>
        </w:rPr>
        <w:t xml:space="preserve"> физических лиц на 1,1% , или 15,7 млн. </w:t>
      </w:r>
      <w:r w:rsidR="008E6894">
        <w:rPr>
          <w:rFonts w:asciiTheme="majorHAnsi" w:hAnsiTheme="majorHAnsi" w:cstheme="majorHAnsi"/>
          <w:sz w:val="24"/>
          <w:szCs w:val="24"/>
          <w:lang w:val="ro-RO"/>
        </w:rPr>
        <w:t>леев</w:t>
      </w:r>
      <w:r w:rsidRPr="00DF3986">
        <w:rPr>
          <w:rFonts w:asciiTheme="majorHAnsi" w:hAnsiTheme="majorHAnsi" w:cstheme="majorHAnsi"/>
          <w:sz w:val="24"/>
          <w:szCs w:val="24"/>
          <w:lang w:val="ro-RO"/>
        </w:rPr>
        <w:t xml:space="preserve"> по сравнению с </w:t>
      </w:r>
      <w:r w:rsidR="001D6EB0">
        <w:rPr>
          <w:rFonts w:asciiTheme="majorHAnsi" w:hAnsiTheme="majorHAnsi" w:cstheme="majorHAnsi"/>
          <w:sz w:val="24"/>
          <w:szCs w:val="24"/>
          <w:lang w:val="ro-RO"/>
        </w:rPr>
        <w:t>уточне</w:t>
      </w:r>
      <w:r w:rsidRPr="00DF3986">
        <w:rPr>
          <w:rFonts w:asciiTheme="majorHAnsi" w:hAnsiTheme="majorHAnsi" w:cstheme="majorHAnsi"/>
          <w:sz w:val="24"/>
          <w:szCs w:val="24"/>
          <w:lang w:val="ro-RO"/>
        </w:rPr>
        <w:t>нными показателями</w:t>
      </w:r>
      <w:r w:rsidR="00417F53">
        <w:rPr>
          <w:rFonts w:asciiTheme="majorHAnsi" w:hAnsiTheme="majorHAnsi" w:cstheme="majorHAnsi"/>
          <w:sz w:val="24"/>
          <w:szCs w:val="24"/>
          <w:lang w:val="ru-RU"/>
        </w:rPr>
        <w:t>,</w:t>
      </w:r>
      <w:r w:rsidRPr="00DF3986">
        <w:rPr>
          <w:rFonts w:asciiTheme="majorHAnsi" w:hAnsiTheme="majorHAnsi" w:cstheme="majorHAnsi"/>
          <w:sz w:val="24"/>
          <w:szCs w:val="24"/>
          <w:lang w:val="ro-RO"/>
        </w:rPr>
        <w:t xml:space="preserve"> повлиял рост в 2020 году </w:t>
      </w:r>
      <w:r w:rsidR="00417F53" w:rsidRPr="00DF3986">
        <w:rPr>
          <w:rFonts w:asciiTheme="majorHAnsi" w:hAnsiTheme="majorHAnsi" w:cstheme="majorHAnsi"/>
          <w:sz w:val="24"/>
          <w:szCs w:val="24"/>
          <w:lang w:val="ro-RO"/>
        </w:rPr>
        <w:t xml:space="preserve">на 106,0% </w:t>
      </w:r>
      <w:r w:rsidRPr="00DF3986">
        <w:rPr>
          <w:rFonts w:asciiTheme="majorHAnsi" w:hAnsiTheme="majorHAnsi" w:cstheme="majorHAnsi"/>
          <w:sz w:val="24"/>
          <w:szCs w:val="24"/>
          <w:lang w:val="ro-RO"/>
        </w:rPr>
        <w:t>уровня фонда оплаты труда по сравнению с 2019 годом</w:t>
      </w:r>
      <w:r w:rsidR="00417F53">
        <w:rPr>
          <w:rFonts w:asciiTheme="majorHAnsi" w:hAnsiTheme="majorHAnsi" w:cstheme="majorHAnsi"/>
          <w:sz w:val="24"/>
          <w:szCs w:val="24"/>
          <w:lang w:val="ru-RU"/>
        </w:rPr>
        <w:t>,</w:t>
      </w:r>
      <w:r w:rsidRPr="00DF3986">
        <w:rPr>
          <w:rFonts w:asciiTheme="majorHAnsi" w:hAnsiTheme="majorHAnsi" w:cstheme="majorHAnsi"/>
          <w:sz w:val="24"/>
          <w:szCs w:val="24"/>
          <w:lang w:val="ro-RO"/>
        </w:rPr>
        <w:t xml:space="preserve"> в результате постепенного во</w:t>
      </w:r>
      <w:r w:rsidR="00417F53">
        <w:rPr>
          <w:rFonts w:asciiTheme="majorHAnsi" w:hAnsiTheme="majorHAnsi" w:cstheme="majorHAnsi"/>
          <w:sz w:val="24"/>
          <w:szCs w:val="24"/>
          <w:lang w:val="ru-RU"/>
        </w:rPr>
        <w:t>зобновл</w:t>
      </w:r>
      <w:r w:rsidRPr="00DF3986">
        <w:rPr>
          <w:rFonts w:asciiTheme="majorHAnsi" w:hAnsiTheme="majorHAnsi" w:cstheme="majorHAnsi"/>
          <w:sz w:val="24"/>
          <w:szCs w:val="24"/>
          <w:lang w:val="ro-RO"/>
        </w:rPr>
        <w:t>ения экономической деятельности экономических агентов</w:t>
      </w:r>
      <w:r w:rsidR="006E2E6A" w:rsidRPr="00F55BA6">
        <w:rPr>
          <w:rFonts w:asciiTheme="majorHAnsi" w:hAnsiTheme="majorHAnsi" w:cstheme="majorHAnsi"/>
          <w:sz w:val="24"/>
          <w:szCs w:val="24"/>
          <w:lang w:val="ro-RO"/>
        </w:rPr>
        <w:t xml:space="preserve">. </w:t>
      </w:r>
      <w:r w:rsidRPr="00DF3986">
        <w:rPr>
          <w:rFonts w:asciiTheme="majorHAnsi" w:hAnsiTheme="majorHAnsi" w:cstheme="majorHAnsi"/>
          <w:sz w:val="24"/>
          <w:szCs w:val="24"/>
          <w:lang w:val="ro-RO"/>
        </w:rPr>
        <w:t xml:space="preserve">Отмечается, что внесенные </w:t>
      </w:r>
      <w:r w:rsidR="00417F53">
        <w:rPr>
          <w:rFonts w:asciiTheme="majorHAnsi" w:hAnsiTheme="majorHAnsi" w:cstheme="majorHAnsi"/>
          <w:sz w:val="24"/>
          <w:szCs w:val="24"/>
          <w:lang w:val="ru-RU"/>
        </w:rPr>
        <w:t xml:space="preserve">изменения </w:t>
      </w:r>
      <w:r w:rsidR="00417F53">
        <w:rPr>
          <w:rFonts w:asciiTheme="majorHAnsi" w:hAnsiTheme="majorHAnsi" w:cstheme="majorHAnsi"/>
          <w:sz w:val="24"/>
          <w:szCs w:val="24"/>
          <w:lang w:val="ro-RO"/>
        </w:rPr>
        <w:t xml:space="preserve">в нормативную базу </w:t>
      </w:r>
      <w:r w:rsidR="00570AD0">
        <w:rPr>
          <w:rFonts w:asciiTheme="majorHAnsi" w:hAnsiTheme="majorHAnsi" w:cstheme="majorHAnsi"/>
          <w:sz w:val="24"/>
          <w:szCs w:val="24"/>
          <w:lang w:val="ru-RU"/>
        </w:rPr>
        <w:t>обуслови</w:t>
      </w:r>
      <w:r w:rsidRPr="00DF3986">
        <w:rPr>
          <w:rFonts w:asciiTheme="majorHAnsi" w:hAnsiTheme="majorHAnsi" w:cstheme="majorHAnsi"/>
          <w:sz w:val="24"/>
          <w:szCs w:val="24"/>
          <w:lang w:val="ro-RO"/>
        </w:rPr>
        <w:t xml:space="preserve">ли снижение поступлений </w:t>
      </w:r>
      <w:r w:rsidR="00570AD0">
        <w:rPr>
          <w:rFonts w:asciiTheme="majorHAnsi" w:hAnsiTheme="majorHAnsi" w:cstheme="majorHAnsi"/>
          <w:sz w:val="24"/>
          <w:szCs w:val="24"/>
          <w:lang w:val="ru-RU"/>
        </w:rPr>
        <w:t xml:space="preserve">от </w:t>
      </w:r>
      <w:r w:rsidRPr="00DF3986">
        <w:rPr>
          <w:rFonts w:asciiTheme="majorHAnsi" w:hAnsiTheme="majorHAnsi" w:cstheme="majorHAnsi"/>
          <w:sz w:val="24"/>
          <w:szCs w:val="24"/>
          <w:lang w:val="ro-RO"/>
        </w:rPr>
        <w:t xml:space="preserve">подоходного налога по сравнению с 2019 годом в результате изменений, внесенных в </w:t>
      </w:r>
      <w:r w:rsidR="00417F53">
        <w:rPr>
          <w:rFonts w:asciiTheme="majorHAnsi" w:hAnsiTheme="majorHAnsi" w:cstheme="majorHAnsi"/>
          <w:sz w:val="24"/>
          <w:szCs w:val="24"/>
          <w:lang w:val="ru-RU"/>
        </w:rPr>
        <w:t>З</w:t>
      </w:r>
      <w:r w:rsidRPr="00DF3986">
        <w:rPr>
          <w:rFonts w:asciiTheme="majorHAnsi" w:hAnsiTheme="majorHAnsi" w:cstheme="majorHAnsi"/>
          <w:sz w:val="24"/>
          <w:szCs w:val="24"/>
          <w:lang w:val="ro-RO"/>
        </w:rPr>
        <w:t>акон  о местных публичных финансах</w:t>
      </w:r>
      <w:r w:rsidR="00417F53">
        <w:rPr>
          <w:rFonts w:asciiTheme="majorHAnsi" w:hAnsiTheme="majorHAnsi" w:cstheme="majorHAnsi"/>
          <w:sz w:val="24"/>
          <w:szCs w:val="24"/>
          <w:lang w:val="ru-RU"/>
        </w:rPr>
        <w:t xml:space="preserve"> №</w:t>
      </w:r>
      <w:r w:rsidR="00417F53" w:rsidRPr="00DF3986">
        <w:rPr>
          <w:rFonts w:asciiTheme="majorHAnsi" w:hAnsiTheme="majorHAnsi" w:cstheme="majorHAnsi"/>
          <w:sz w:val="24"/>
          <w:szCs w:val="24"/>
          <w:lang w:val="ro-RO"/>
        </w:rPr>
        <w:t>397/2003</w:t>
      </w:r>
      <w:r w:rsidR="00417F53" w:rsidRPr="00F55BA6">
        <w:rPr>
          <w:rFonts w:asciiTheme="majorHAnsi" w:hAnsiTheme="majorHAnsi" w:cs="Times New Roman"/>
          <w:iCs/>
          <w:color w:val="000000"/>
          <w:sz w:val="24"/>
          <w:szCs w:val="24"/>
          <w:shd w:val="clear" w:color="auto" w:fill="FFFFFF"/>
          <w:vertAlign w:val="superscript"/>
          <w:lang w:val="ro-RO" w:eastAsia="ro-RO" w:bidi="ro-RO"/>
        </w:rPr>
        <w:footnoteReference w:id="86"/>
      </w:r>
      <w:r w:rsidRPr="00DF3986">
        <w:rPr>
          <w:rFonts w:asciiTheme="majorHAnsi" w:hAnsiTheme="majorHAnsi" w:cstheme="majorHAnsi"/>
          <w:sz w:val="24"/>
          <w:szCs w:val="24"/>
          <w:lang w:val="ro-RO"/>
        </w:rPr>
        <w:t xml:space="preserve">, а именно, исходя из увеличения </w:t>
      </w:r>
      <w:r w:rsidR="00C62440">
        <w:rPr>
          <w:rFonts w:asciiTheme="majorHAnsi" w:hAnsiTheme="majorHAnsi" w:cstheme="majorHAnsi"/>
          <w:sz w:val="24"/>
          <w:szCs w:val="24"/>
          <w:lang w:val="ru-RU"/>
        </w:rPr>
        <w:t>процентных</w:t>
      </w:r>
      <w:r w:rsidR="00424EB9" w:rsidRPr="00424EB9">
        <w:rPr>
          <w:rFonts w:asciiTheme="majorHAnsi" w:hAnsiTheme="majorHAnsi" w:cstheme="majorHAnsi"/>
          <w:sz w:val="24"/>
          <w:szCs w:val="24"/>
          <w:lang w:val="ru-RU"/>
        </w:rPr>
        <w:t xml:space="preserve"> </w:t>
      </w:r>
      <w:r w:rsidR="00424EB9">
        <w:rPr>
          <w:rFonts w:asciiTheme="majorHAnsi" w:hAnsiTheme="majorHAnsi" w:cstheme="majorHAnsi"/>
          <w:sz w:val="24"/>
          <w:szCs w:val="24"/>
          <w:lang w:val="ru-RU"/>
        </w:rPr>
        <w:t xml:space="preserve">отчислений от </w:t>
      </w:r>
      <w:r w:rsidRPr="00DF3986">
        <w:rPr>
          <w:rFonts w:asciiTheme="majorHAnsi" w:hAnsiTheme="majorHAnsi" w:cstheme="majorHAnsi"/>
          <w:sz w:val="24"/>
          <w:szCs w:val="24"/>
          <w:lang w:val="ro-RO"/>
        </w:rPr>
        <w:t>налог</w:t>
      </w:r>
      <w:r w:rsidR="00570AD0">
        <w:rPr>
          <w:rFonts w:asciiTheme="majorHAnsi" w:hAnsiTheme="majorHAnsi" w:cstheme="majorHAnsi"/>
          <w:sz w:val="24"/>
          <w:szCs w:val="24"/>
          <w:lang w:val="ru-RU"/>
        </w:rPr>
        <w:t>а</w:t>
      </w:r>
      <w:r w:rsidRPr="00DF3986">
        <w:rPr>
          <w:rFonts w:asciiTheme="majorHAnsi" w:hAnsiTheme="majorHAnsi" w:cstheme="majorHAnsi"/>
          <w:sz w:val="24"/>
          <w:szCs w:val="24"/>
          <w:lang w:val="ro-RO"/>
        </w:rPr>
        <w:t xml:space="preserve"> </w:t>
      </w:r>
      <w:r w:rsidR="00424EB9">
        <w:rPr>
          <w:rFonts w:asciiTheme="majorHAnsi" w:hAnsiTheme="majorHAnsi" w:cstheme="majorHAnsi"/>
          <w:sz w:val="24"/>
          <w:szCs w:val="24"/>
          <w:lang w:val="ru-RU"/>
        </w:rPr>
        <w:t>на доходы</w:t>
      </w:r>
      <w:r w:rsidR="00570AD0">
        <w:rPr>
          <w:rFonts w:asciiTheme="majorHAnsi" w:hAnsiTheme="majorHAnsi" w:cstheme="majorHAnsi"/>
          <w:sz w:val="24"/>
          <w:szCs w:val="24"/>
          <w:lang w:val="ru-RU"/>
        </w:rPr>
        <w:t xml:space="preserve"> </w:t>
      </w:r>
      <w:r w:rsidRPr="00DF3986">
        <w:rPr>
          <w:rFonts w:asciiTheme="majorHAnsi" w:hAnsiTheme="majorHAnsi" w:cstheme="majorHAnsi"/>
          <w:sz w:val="24"/>
          <w:szCs w:val="24"/>
          <w:lang w:val="ro-RO"/>
        </w:rPr>
        <w:t xml:space="preserve">физических лиц </w:t>
      </w:r>
      <w:r w:rsidR="00570AD0">
        <w:rPr>
          <w:rFonts w:asciiTheme="majorHAnsi" w:hAnsiTheme="majorHAnsi" w:cstheme="majorHAnsi"/>
          <w:sz w:val="24"/>
          <w:szCs w:val="24"/>
          <w:lang w:val="ru-RU"/>
        </w:rPr>
        <w:t>для</w:t>
      </w:r>
      <w:r w:rsidRPr="00DF3986">
        <w:rPr>
          <w:rFonts w:asciiTheme="majorHAnsi" w:hAnsiTheme="majorHAnsi" w:cstheme="majorHAnsi"/>
          <w:sz w:val="24"/>
          <w:szCs w:val="24"/>
          <w:lang w:val="ro-RO"/>
        </w:rPr>
        <w:t xml:space="preserve"> МП</w:t>
      </w:r>
      <w:r w:rsidR="00570AD0">
        <w:rPr>
          <w:rFonts w:asciiTheme="majorHAnsi" w:hAnsiTheme="majorHAnsi" w:cstheme="majorHAnsi"/>
          <w:sz w:val="24"/>
          <w:szCs w:val="24"/>
          <w:lang w:val="ru-RU"/>
        </w:rPr>
        <w:t>О</w:t>
      </w:r>
      <w:r w:rsidRPr="00DF3986">
        <w:rPr>
          <w:rFonts w:asciiTheme="majorHAnsi" w:hAnsiTheme="majorHAnsi" w:cstheme="majorHAnsi"/>
          <w:sz w:val="24"/>
          <w:szCs w:val="24"/>
          <w:lang w:val="ro-RO"/>
        </w:rPr>
        <w:t xml:space="preserve"> I уровня, а также</w:t>
      </w:r>
      <w:r w:rsidR="00570AD0">
        <w:rPr>
          <w:rFonts w:asciiTheme="majorHAnsi" w:hAnsiTheme="majorHAnsi" w:cstheme="majorHAnsi"/>
          <w:sz w:val="24"/>
          <w:szCs w:val="24"/>
          <w:lang w:val="ru-RU"/>
        </w:rPr>
        <w:t xml:space="preserve"> их</w:t>
      </w:r>
      <w:r w:rsidRPr="00DF3986">
        <w:rPr>
          <w:rFonts w:asciiTheme="majorHAnsi" w:hAnsiTheme="majorHAnsi" w:cstheme="majorHAnsi"/>
          <w:sz w:val="24"/>
          <w:szCs w:val="24"/>
          <w:lang w:val="ro-RO"/>
        </w:rPr>
        <w:t xml:space="preserve"> </w:t>
      </w:r>
      <w:r w:rsidR="005C594E">
        <w:rPr>
          <w:rFonts w:asciiTheme="majorHAnsi" w:hAnsiTheme="majorHAnsi" w:cstheme="majorHAnsi"/>
          <w:sz w:val="24"/>
          <w:szCs w:val="24"/>
          <w:lang w:val="ru-RU"/>
        </w:rPr>
        <w:t>рост</w:t>
      </w:r>
      <w:r w:rsidR="00570AD0">
        <w:rPr>
          <w:rFonts w:asciiTheme="majorHAnsi" w:hAnsiTheme="majorHAnsi" w:cstheme="majorHAnsi"/>
          <w:sz w:val="24"/>
          <w:szCs w:val="24"/>
          <w:lang w:val="ru-RU"/>
        </w:rPr>
        <w:t>,</w:t>
      </w:r>
      <w:r w:rsidRPr="00DF3986">
        <w:rPr>
          <w:rFonts w:asciiTheme="majorHAnsi" w:hAnsiTheme="majorHAnsi" w:cstheme="majorHAnsi"/>
          <w:sz w:val="24"/>
          <w:szCs w:val="24"/>
          <w:lang w:val="ro-RO"/>
        </w:rPr>
        <w:t xml:space="preserve"> путем исключения личного освобождения от </w:t>
      </w:r>
      <w:r w:rsidR="000805C2">
        <w:rPr>
          <w:rFonts w:asciiTheme="majorHAnsi" w:hAnsiTheme="majorHAnsi" w:cstheme="majorHAnsi"/>
          <w:sz w:val="24"/>
          <w:szCs w:val="24"/>
          <w:lang w:val="ru-RU"/>
        </w:rPr>
        <w:t xml:space="preserve">уплаты </w:t>
      </w:r>
      <w:r w:rsidRPr="00DF3986">
        <w:rPr>
          <w:rFonts w:asciiTheme="majorHAnsi" w:hAnsiTheme="majorHAnsi" w:cstheme="majorHAnsi"/>
          <w:sz w:val="24"/>
          <w:szCs w:val="24"/>
          <w:lang w:val="ro-RO"/>
        </w:rPr>
        <w:t>подоходного налога физически</w:t>
      </w:r>
      <w:r w:rsidR="000805C2">
        <w:rPr>
          <w:rFonts w:asciiTheme="majorHAnsi" w:hAnsiTheme="majorHAnsi" w:cstheme="majorHAnsi"/>
          <w:sz w:val="24"/>
          <w:szCs w:val="24"/>
          <w:lang w:val="ru-RU"/>
        </w:rPr>
        <w:t>х</w:t>
      </w:r>
      <w:r w:rsidRPr="00DF3986">
        <w:rPr>
          <w:rFonts w:asciiTheme="majorHAnsi" w:hAnsiTheme="majorHAnsi" w:cstheme="majorHAnsi"/>
          <w:sz w:val="24"/>
          <w:szCs w:val="24"/>
          <w:lang w:val="ro-RO"/>
        </w:rPr>
        <w:t xml:space="preserve"> лиц, получивши</w:t>
      </w:r>
      <w:r w:rsidR="000805C2">
        <w:rPr>
          <w:rFonts w:asciiTheme="majorHAnsi" w:hAnsiTheme="majorHAnsi" w:cstheme="majorHAnsi"/>
          <w:sz w:val="24"/>
          <w:szCs w:val="24"/>
          <w:lang w:val="ru-RU"/>
        </w:rPr>
        <w:t>х</w:t>
      </w:r>
      <w:r w:rsidRPr="00DF3986">
        <w:rPr>
          <w:rFonts w:asciiTheme="majorHAnsi" w:hAnsiTheme="majorHAnsi" w:cstheme="majorHAnsi"/>
          <w:sz w:val="24"/>
          <w:szCs w:val="24"/>
          <w:lang w:val="ro-RO"/>
        </w:rPr>
        <w:t xml:space="preserve"> доход более 360,0 тыс. леев</w:t>
      </w:r>
      <w:r w:rsidR="000805C2" w:rsidRPr="00F55BA6">
        <w:rPr>
          <w:rFonts w:asciiTheme="majorHAnsi" w:hAnsiTheme="majorHAnsi"/>
          <w:sz w:val="24"/>
          <w:szCs w:val="24"/>
          <w:vertAlign w:val="superscript"/>
          <w:lang w:val="ro-RO"/>
        </w:rPr>
        <w:footnoteReference w:id="87"/>
      </w:r>
      <w:r w:rsidR="006E2E6A" w:rsidRPr="00F55BA6">
        <w:rPr>
          <w:rFonts w:asciiTheme="majorHAnsi" w:hAnsiTheme="majorHAnsi"/>
          <w:sz w:val="24"/>
          <w:szCs w:val="24"/>
          <w:lang w:val="ro-RO"/>
        </w:rPr>
        <w:t>.</w:t>
      </w:r>
    </w:p>
    <w:p w:rsidR="006E2E6A" w:rsidRPr="00F55BA6" w:rsidRDefault="00DF3986" w:rsidP="006E2E6A">
      <w:pPr>
        <w:spacing w:after="0" w:line="276" w:lineRule="auto"/>
        <w:rPr>
          <w:rFonts w:asciiTheme="majorHAnsi" w:hAnsiTheme="majorHAnsi" w:cstheme="majorHAnsi"/>
          <w:sz w:val="24"/>
          <w:szCs w:val="24"/>
          <w:lang w:val="ro-RO"/>
        </w:rPr>
      </w:pPr>
      <w:r w:rsidRPr="00DF3986">
        <w:rPr>
          <w:rFonts w:asciiTheme="majorHAnsi" w:hAnsiTheme="majorHAnsi" w:cstheme="majorHAnsi"/>
          <w:sz w:val="24"/>
          <w:szCs w:val="24"/>
          <w:lang w:val="ro-RO"/>
        </w:rPr>
        <w:t xml:space="preserve">Из </w:t>
      </w:r>
      <w:r w:rsidR="008F632D">
        <w:rPr>
          <w:rFonts w:asciiTheme="majorHAnsi" w:hAnsiTheme="majorHAnsi" w:cstheme="majorHAnsi"/>
          <w:sz w:val="24"/>
          <w:szCs w:val="24"/>
          <w:lang w:val="ro-RO"/>
        </w:rPr>
        <w:t>ГБ</w:t>
      </w:r>
      <w:r w:rsidRPr="00DF3986">
        <w:rPr>
          <w:rFonts w:asciiTheme="majorHAnsi" w:hAnsiTheme="majorHAnsi" w:cstheme="majorHAnsi"/>
          <w:sz w:val="24"/>
          <w:szCs w:val="24"/>
          <w:lang w:val="ro-RO"/>
        </w:rPr>
        <w:t xml:space="preserve"> были </w:t>
      </w:r>
      <w:r w:rsidR="00F844DE">
        <w:rPr>
          <w:rFonts w:asciiTheme="majorHAnsi" w:hAnsiTheme="majorHAnsi" w:cstheme="majorHAnsi"/>
          <w:sz w:val="24"/>
          <w:szCs w:val="24"/>
          <w:lang w:val="ru-RU"/>
        </w:rPr>
        <w:t>осуществлен</w:t>
      </w:r>
      <w:r w:rsidRPr="00DF3986">
        <w:rPr>
          <w:rFonts w:asciiTheme="majorHAnsi" w:hAnsiTheme="majorHAnsi" w:cstheme="majorHAnsi"/>
          <w:sz w:val="24"/>
          <w:szCs w:val="24"/>
          <w:lang w:val="ro-RO"/>
        </w:rPr>
        <w:t xml:space="preserve">ы </w:t>
      </w:r>
      <w:r w:rsidR="001B5289">
        <w:rPr>
          <w:rFonts w:asciiTheme="majorHAnsi" w:hAnsiTheme="majorHAnsi" w:cstheme="majorHAnsi"/>
          <w:i/>
          <w:sz w:val="24"/>
          <w:szCs w:val="24"/>
          <w:lang w:val="ro-RO"/>
        </w:rPr>
        <w:t>воз</w:t>
      </w:r>
      <w:r w:rsidR="00424EB9" w:rsidRPr="00F844DE">
        <w:rPr>
          <w:rFonts w:asciiTheme="majorHAnsi" w:hAnsiTheme="majorHAnsi" w:cstheme="majorHAnsi"/>
          <w:i/>
          <w:sz w:val="24"/>
          <w:szCs w:val="24"/>
          <w:lang w:val="ru-RU"/>
        </w:rPr>
        <w:t>мещения</w:t>
      </w:r>
      <w:r w:rsidRPr="00F844DE">
        <w:rPr>
          <w:rFonts w:asciiTheme="majorHAnsi" w:hAnsiTheme="majorHAnsi" w:cstheme="majorHAnsi"/>
          <w:i/>
          <w:sz w:val="24"/>
          <w:szCs w:val="24"/>
          <w:lang w:val="ro-RO"/>
        </w:rPr>
        <w:t xml:space="preserve"> подоходного налога физических лиц</w:t>
      </w:r>
      <w:r w:rsidR="00F844DE">
        <w:rPr>
          <w:rFonts w:asciiTheme="majorHAnsi" w:hAnsiTheme="majorHAnsi" w:cstheme="majorHAnsi"/>
          <w:i/>
          <w:sz w:val="24"/>
          <w:szCs w:val="24"/>
          <w:lang w:val="ru-RU"/>
        </w:rPr>
        <w:t>,</w:t>
      </w:r>
      <w:r w:rsidRPr="00DF3986">
        <w:rPr>
          <w:rFonts w:asciiTheme="majorHAnsi" w:hAnsiTheme="majorHAnsi" w:cstheme="majorHAnsi"/>
          <w:sz w:val="24"/>
          <w:szCs w:val="24"/>
          <w:lang w:val="ro-RO"/>
        </w:rPr>
        <w:t xml:space="preserve"> в соответствии с представленными декларациями</w:t>
      </w:r>
      <w:r w:rsidR="00F844DE">
        <w:rPr>
          <w:rFonts w:asciiTheme="majorHAnsi" w:hAnsiTheme="majorHAnsi" w:cstheme="majorHAnsi"/>
          <w:sz w:val="24"/>
          <w:szCs w:val="24"/>
          <w:lang w:val="ru-RU"/>
        </w:rPr>
        <w:t>,</w:t>
      </w:r>
      <w:r w:rsidRPr="00DF3986">
        <w:rPr>
          <w:rFonts w:asciiTheme="majorHAnsi" w:hAnsiTheme="majorHAnsi" w:cstheme="majorHAnsi"/>
          <w:sz w:val="24"/>
          <w:szCs w:val="24"/>
          <w:lang w:val="ro-RO"/>
        </w:rPr>
        <w:t xml:space="preserve"> на сумму 1,3 млн.</w:t>
      </w:r>
      <w:r w:rsidR="00F844DE">
        <w:rPr>
          <w:rFonts w:asciiTheme="majorHAnsi" w:hAnsiTheme="majorHAnsi" w:cstheme="majorHAnsi"/>
          <w:sz w:val="24"/>
          <w:szCs w:val="24"/>
          <w:lang w:val="ru-RU"/>
        </w:rPr>
        <w:t xml:space="preserve"> леев, </w:t>
      </w:r>
      <w:r w:rsidRPr="00DF3986">
        <w:rPr>
          <w:rFonts w:asciiTheme="majorHAnsi" w:hAnsiTheme="majorHAnsi" w:cstheme="majorHAnsi"/>
          <w:sz w:val="24"/>
          <w:szCs w:val="24"/>
          <w:lang w:val="ro-RO"/>
        </w:rPr>
        <w:t>меньше</w:t>
      </w:r>
      <w:r w:rsidR="00F844DE">
        <w:rPr>
          <w:rFonts w:asciiTheme="majorHAnsi" w:hAnsiTheme="majorHAnsi" w:cstheme="majorHAnsi"/>
          <w:sz w:val="24"/>
          <w:szCs w:val="24"/>
          <w:lang w:val="ru-RU"/>
        </w:rPr>
        <w:t xml:space="preserve"> по сравнению с</w:t>
      </w:r>
      <w:r w:rsidRPr="00DF3986">
        <w:rPr>
          <w:rFonts w:asciiTheme="majorHAnsi" w:hAnsiTheme="majorHAnsi" w:cstheme="majorHAnsi"/>
          <w:sz w:val="24"/>
          <w:szCs w:val="24"/>
          <w:lang w:val="ro-RO"/>
        </w:rPr>
        <w:t xml:space="preserve"> </w:t>
      </w:r>
      <w:r w:rsidR="001D6EB0">
        <w:rPr>
          <w:rFonts w:asciiTheme="majorHAnsi" w:hAnsiTheme="majorHAnsi" w:cstheme="majorHAnsi"/>
          <w:sz w:val="24"/>
          <w:szCs w:val="24"/>
          <w:lang w:val="ro-RO"/>
        </w:rPr>
        <w:t>уточне</w:t>
      </w:r>
      <w:r w:rsidRPr="00DF3986">
        <w:rPr>
          <w:rFonts w:asciiTheme="majorHAnsi" w:hAnsiTheme="majorHAnsi" w:cstheme="majorHAnsi"/>
          <w:sz w:val="24"/>
          <w:szCs w:val="24"/>
          <w:lang w:val="ro-RO"/>
        </w:rPr>
        <w:t>нны</w:t>
      </w:r>
      <w:r w:rsidR="00F844DE">
        <w:rPr>
          <w:rFonts w:asciiTheme="majorHAnsi" w:hAnsiTheme="majorHAnsi" w:cstheme="majorHAnsi"/>
          <w:sz w:val="24"/>
          <w:szCs w:val="24"/>
          <w:lang w:val="ru-RU"/>
        </w:rPr>
        <w:t>м</w:t>
      </w:r>
      <w:r w:rsidRPr="00DF3986">
        <w:rPr>
          <w:rFonts w:asciiTheme="majorHAnsi" w:hAnsiTheme="majorHAnsi" w:cstheme="majorHAnsi"/>
          <w:sz w:val="24"/>
          <w:szCs w:val="24"/>
          <w:lang w:val="ro-RO"/>
        </w:rPr>
        <w:t xml:space="preserve"> лимит</w:t>
      </w:r>
      <w:r w:rsidR="00F844DE">
        <w:rPr>
          <w:rFonts w:asciiTheme="majorHAnsi" w:hAnsiTheme="majorHAnsi" w:cstheme="majorHAnsi"/>
          <w:sz w:val="24"/>
          <w:szCs w:val="24"/>
          <w:lang w:val="ru-RU"/>
        </w:rPr>
        <w:t>ом</w:t>
      </w:r>
      <w:r w:rsidRPr="00DF3986">
        <w:rPr>
          <w:rFonts w:asciiTheme="majorHAnsi" w:hAnsiTheme="majorHAnsi" w:cstheme="majorHAnsi"/>
          <w:sz w:val="24"/>
          <w:szCs w:val="24"/>
          <w:lang w:val="ro-RO"/>
        </w:rPr>
        <w:t xml:space="preserve"> (60,9 млн. леев)</w:t>
      </w:r>
      <w:r w:rsidR="00F844DE">
        <w:rPr>
          <w:rFonts w:asciiTheme="majorHAnsi" w:hAnsiTheme="majorHAnsi" w:cstheme="majorHAnsi"/>
          <w:sz w:val="24"/>
          <w:szCs w:val="24"/>
          <w:lang w:val="ru-RU"/>
        </w:rPr>
        <w:t>, но с</w:t>
      </w:r>
      <w:r w:rsidRPr="00DF3986">
        <w:rPr>
          <w:rFonts w:asciiTheme="majorHAnsi" w:hAnsiTheme="majorHAnsi" w:cstheme="majorHAnsi"/>
          <w:sz w:val="24"/>
          <w:szCs w:val="24"/>
          <w:lang w:val="ro-RO"/>
        </w:rPr>
        <w:t xml:space="preserve"> превы</w:t>
      </w:r>
      <w:r w:rsidR="00F844DE">
        <w:rPr>
          <w:rFonts w:asciiTheme="majorHAnsi" w:hAnsiTheme="majorHAnsi" w:cstheme="majorHAnsi"/>
          <w:sz w:val="24"/>
          <w:szCs w:val="24"/>
          <w:lang w:val="ru-RU"/>
        </w:rPr>
        <w:t>шением</w:t>
      </w:r>
      <w:r w:rsidRPr="00DF3986">
        <w:rPr>
          <w:rFonts w:asciiTheme="majorHAnsi" w:hAnsiTheme="majorHAnsi" w:cstheme="majorHAnsi"/>
          <w:sz w:val="24"/>
          <w:szCs w:val="24"/>
          <w:lang w:val="ro-RO"/>
        </w:rPr>
        <w:t xml:space="preserve"> лимит</w:t>
      </w:r>
      <w:r w:rsidR="00F844DE">
        <w:rPr>
          <w:rFonts w:asciiTheme="majorHAnsi" w:hAnsiTheme="majorHAnsi" w:cstheme="majorHAnsi"/>
          <w:sz w:val="24"/>
          <w:szCs w:val="24"/>
          <w:lang w:val="ru-RU"/>
        </w:rPr>
        <w:t>а</w:t>
      </w:r>
      <w:r w:rsidRPr="00DF3986">
        <w:rPr>
          <w:rFonts w:asciiTheme="majorHAnsi" w:hAnsiTheme="majorHAnsi" w:cstheme="majorHAnsi"/>
          <w:sz w:val="24"/>
          <w:szCs w:val="24"/>
          <w:lang w:val="ro-RO"/>
        </w:rPr>
        <w:t>, утвержденн</w:t>
      </w:r>
      <w:r w:rsidR="00F844DE">
        <w:rPr>
          <w:rFonts w:asciiTheme="majorHAnsi" w:hAnsiTheme="majorHAnsi" w:cstheme="majorHAnsi"/>
          <w:sz w:val="24"/>
          <w:szCs w:val="24"/>
          <w:lang w:val="ru-RU"/>
        </w:rPr>
        <w:t>ого</w:t>
      </w:r>
      <w:r w:rsidR="00F844DE">
        <w:rPr>
          <w:rFonts w:asciiTheme="majorHAnsi" w:hAnsiTheme="majorHAnsi" w:cstheme="majorHAnsi"/>
          <w:sz w:val="24"/>
          <w:szCs w:val="24"/>
          <w:lang w:val="ro-RO"/>
        </w:rPr>
        <w:t xml:space="preserve"> в бюджете, на 29,6 млн. леев</w:t>
      </w:r>
      <w:r w:rsidRPr="00DF3986">
        <w:rPr>
          <w:rFonts w:asciiTheme="majorHAnsi" w:hAnsiTheme="majorHAnsi" w:cstheme="majorHAnsi"/>
          <w:sz w:val="24"/>
          <w:szCs w:val="24"/>
          <w:lang w:val="ro-RO"/>
        </w:rPr>
        <w:t xml:space="preserve"> (98,6%). Проверки аудита </w:t>
      </w:r>
      <w:r w:rsidR="00F844DE">
        <w:rPr>
          <w:rFonts w:asciiTheme="majorHAnsi" w:hAnsiTheme="majorHAnsi" w:cstheme="majorHAnsi"/>
          <w:sz w:val="24"/>
          <w:szCs w:val="24"/>
          <w:lang w:val="ru-RU"/>
        </w:rPr>
        <w:t>показали</w:t>
      </w:r>
      <w:r w:rsidRPr="00DF3986">
        <w:rPr>
          <w:rFonts w:asciiTheme="majorHAnsi" w:hAnsiTheme="majorHAnsi" w:cstheme="majorHAnsi"/>
          <w:sz w:val="24"/>
          <w:szCs w:val="24"/>
          <w:lang w:val="ro-RO"/>
        </w:rPr>
        <w:t xml:space="preserve">, что сохраняется стабильная динамика, но с тенденцией роста на 7,5% (4,5 млн. </w:t>
      </w:r>
      <w:r w:rsidR="008E6894">
        <w:rPr>
          <w:rFonts w:asciiTheme="majorHAnsi" w:hAnsiTheme="majorHAnsi" w:cstheme="majorHAnsi"/>
          <w:sz w:val="24"/>
          <w:szCs w:val="24"/>
          <w:lang w:val="ro-RO"/>
        </w:rPr>
        <w:t>леев</w:t>
      </w:r>
      <w:r w:rsidRPr="00DF3986">
        <w:rPr>
          <w:rFonts w:asciiTheme="majorHAnsi" w:hAnsiTheme="majorHAnsi" w:cstheme="majorHAnsi"/>
          <w:sz w:val="24"/>
          <w:szCs w:val="24"/>
          <w:lang w:val="ro-RO"/>
        </w:rPr>
        <w:t>) по сравнению с 2019 годом. Суммы, указанные в процент</w:t>
      </w:r>
      <w:r w:rsidR="00F844DE">
        <w:rPr>
          <w:rFonts w:asciiTheme="majorHAnsi" w:hAnsiTheme="majorHAnsi" w:cstheme="majorHAnsi"/>
          <w:sz w:val="24"/>
          <w:szCs w:val="24"/>
          <w:lang w:val="ru-RU"/>
        </w:rPr>
        <w:t>ном соотношении</w:t>
      </w:r>
      <w:r w:rsidRPr="00DF3986">
        <w:rPr>
          <w:rFonts w:asciiTheme="majorHAnsi" w:hAnsiTheme="majorHAnsi" w:cstheme="majorHAnsi"/>
          <w:sz w:val="24"/>
          <w:szCs w:val="24"/>
          <w:lang w:val="ro-RO"/>
        </w:rPr>
        <w:t xml:space="preserve"> от подоходного налога физически</w:t>
      </w:r>
      <w:r w:rsidR="00F844DE">
        <w:rPr>
          <w:rFonts w:asciiTheme="majorHAnsi" w:hAnsiTheme="majorHAnsi" w:cstheme="majorHAnsi"/>
          <w:sz w:val="24"/>
          <w:szCs w:val="24"/>
          <w:lang w:val="ru-RU"/>
        </w:rPr>
        <w:t>х</w:t>
      </w:r>
      <w:r w:rsidRPr="00DF3986">
        <w:rPr>
          <w:rFonts w:asciiTheme="majorHAnsi" w:hAnsiTheme="majorHAnsi" w:cstheme="majorHAnsi"/>
          <w:sz w:val="24"/>
          <w:szCs w:val="24"/>
          <w:lang w:val="ro-RO"/>
        </w:rPr>
        <w:t xml:space="preserve"> лиц-резидент</w:t>
      </w:r>
      <w:r w:rsidR="00F844DE">
        <w:rPr>
          <w:rFonts w:asciiTheme="majorHAnsi" w:hAnsiTheme="majorHAnsi" w:cstheme="majorHAnsi"/>
          <w:sz w:val="24"/>
          <w:szCs w:val="24"/>
          <w:lang w:val="ru-RU"/>
        </w:rPr>
        <w:t>ов</w:t>
      </w:r>
      <w:r w:rsidRPr="00DF3986">
        <w:rPr>
          <w:rFonts w:asciiTheme="majorHAnsi" w:hAnsiTheme="majorHAnsi" w:cstheme="majorHAnsi"/>
          <w:sz w:val="24"/>
          <w:szCs w:val="24"/>
          <w:lang w:val="ro-RO"/>
        </w:rPr>
        <w:t>, согласно ст.15</w:t>
      </w:r>
      <w:r w:rsidRPr="00F844DE">
        <w:rPr>
          <w:rFonts w:asciiTheme="majorHAnsi" w:hAnsiTheme="majorHAnsi" w:cstheme="majorHAnsi"/>
          <w:sz w:val="24"/>
          <w:szCs w:val="24"/>
          <w:vertAlign w:val="superscript"/>
          <w:lang w:val="ro-RO"/>
        </w:rPr>
        <w:t>2</w:t>
      </w:r>
      <w:r w:rsidRPr="00DF3986">
        <w:rPr>
          <w:rFonts w:asciiTheme="majorHAnsi" w:hAnsiTheme="majorHAnsi" w:cstheme="majorHAnsi"/>
          <w:sz w:val="24"/>
          <w:szCs w:val="24"/>
          <w:lang w:val="ro-RO"/>
        </w:rPr>
        <w:t xml:space="preserve"> Налогового кодекса (2% подоходного налога, рассчитанного в бюджете </w:t>
      </w:r>
      <w:r w:rsidR="00C62440" w:rsidRPr="00C62440">
        <w:rPr>
          <w:rFonts w:asciiTheme="majorHAnsi" w:hAnsiTheme="majorHAnsi" w:cstheme="majorHAnsi"/>
          <w:color w:val="000000"/>
          <w:sz w:val="24"/>
          <w:szCs w:val="24"/>
          <w:lang w:val="ru-RU"/>
        </w:rPr>
        <w:t>физическими лицами-резидентами, не имеющими задолженностей по подоходному налогу за предыдущие налоговые периоды</w:t>
      </w:r>
      <w:r w:rsidRPr="00C62440">
        <w:rPr>
          <w:rFonts w:asciiTheme="majorHAnsi" w:hAnsiTheme="majorHAnsi" w:cstheme="majorHAnsi"/>
          <w:sz w:val="24"/>
          <w:szCs w:val="24"/>
          <w:lang w:val="ro-RO"/>
        </w:rPr>
        <w:t>)</w:t>
      </w:r>
      <w:r w:rsidRPr="00DF3986">
        <w:rPr>
          <w:rFonts w:asciiTheme="majorHAnsi" w:hAnsiTheme="majorHAnsi" w:cstheme="majorHAnsi"/>
          <w:sz w:val="24"/>
          <w:szCs w:val="24"/>
          <w:lang w:val="ro-RO"/>
        </w:rPr>
        <w:t xml:space="preserve">, составили 5,6 млн. леев (100,1%) по сравнению с </w:t>
      </w:r>
      <w:r w:rsidR="001D6EB0">
        <w:rPr>
          <w:rFonts w:asciiTheme="majorHAnsi" w:hAnsiTheme="majorHAnsi" w:cstheme="majorHAnsi"/>
          <w:sz w:val="24"/>
          <w:szCs w:val="24"/>
          <w:lang w:val="ro-RO"/>
        </w:rPr>
        <w:t>уточне</w:t>
      </w:r>
      <w:r w:rsidRPr="00DF3986">
        <w:rPr>
          <w:rFonts w:asciiTheme="majorHAnsi" w:hAnsiTheme="majorHAnsi" w:cstheme="majorHAnsi"/>
          <w:sz w:val="24"/>
          <w:szCs w:val="24"/>
          <w:lang w:val="ro-RO"/>
        </w:rPr>
        <w:t xml:space="preserve">нными лимитами, но на 2,1 млн. </w:t>
      </w:r>
      <w:r w:rsidR="008E6894">
        <w:rPr>
          <w:rFonts w:asciiTheme="majorHAnsi" w:hAnsiTheme="majorHAnsi" w:cstheme="majorHAnsi"/>
          <w:sz w:val="24"/>
          <w:szCs w:val="24"/>
          <w:lang w:val="ro-RO"/>
        </w:rPr>
        <w:t>леев</w:t>
      </w:r>
      <w:r w:rsidRPr="00DF3986">
        <w:rPr>
          <w:rFonts w:asciiTheme="majorHAnsi" w:hAnsiTheme="majorHAnsi" w:cstheme="majorHAnsi"/>
          <w:sz w:val="24"/>
          <w:szCs w:val="24"/>
          <w:lang w:val="ro-RO"/>
        </w:rPr>
        <w:t xml:space="preserve"> (27,1%) меньше</w:t>
      </w:r>
      <w:r w:rsidR="00C62440">
        <w:rPr>
          <w:rFonts w:asciiTheme="majorHAnsi" w:hAnsiTheme="majorHAnsi" w:cstheme="majorHAnsi"/>
          <w:sz w:val="24"/>
          <w:szCs w:val="24"/>
          <w:lang w:val="ru-RU"/>
        </w:rPr>
        <w:t xml:space="preserve"> по сравнению с</w:t>
      </w:r>
      <w:r w:rsidRPr="00DF3986">
        <w:rPr>
          <w:rFonts w:asciiTheme="majorHAnsi" w:hAnsiTheme="majorHAnsi" w:cstheme="majorHAnsi"/>
          <w:sz w:val="24"/>
          <w:szCs w:val="24"/>
          <w:lang w:val="ro-RO"/>
        </w:rPr>
        <w:t xml:space="preserve"> 2019 год</w:t>
      </w:r>
      <w:r w:rsidR="00C62440">
        <w:rPr>
          <w:rFonts w:asciiTheme="majorHAnsi" w:hAnsiTheme="majorHAnsi" w:cstheme="majorHAnsi"/>
          <w:sz w:val="24"/>
          <w:szCs w:val="24"/>
          <w:lang w:val="ru-RU"/>
        </w:rPr>
        <w:t>ом</w:t>
      </w:r>
      <w:r w:rsidRPr="00DF3986">
        <w:rPr>
          <w:rFonts w:asciiTheme="majorHAnsi" w:hAnsiTheme="majorHAnsi" w:cstheme="majorHAnsi"/>
          <w:sz w:val="24"/>
          <w:szCs w:val="24"/>
          <w:lang w:val="ro-RO"/>
        </w:rPr>
        <w:t>.</w:t>
      </w:r>
    </w:p>
    <w:p w:rsidR="006E2E6A" w:rsidRPr="00F55BA6" w:rsidRDefault="00C62440" w:rsidP="006E2E6A">
      <w:pPr>
        <w:shd w:val="clear" w:color="auto" w:fill="FFFFFF"/>
        <w:spacing w:after="0" w:line="276" w:lineRule="auto"/>
        <w:rPr>
          <w:rFonts w:asciiTheme="majorHAnsi" w:eastAsia="Times New Roman" w:hAnsiTheme="majorHAnsi" w:cs="Arial"/>
          <w:sz w:val="24"/>
          <w:szCs w:val="24"/>
          <w:lang w:val="ro-RO" w:eastAsia="ro-RO"/>
        </w:rPr>
      </w:pPr>
      <w:r>
        <w:rPr>
          <w:rFonts w:asciiTheme="majorHAnsi" w:hAnsiTheme="majorHAnsi"/>
          <w:bCs/>
          <w:iCs/>
          <w:color w:val="000000"/>
          <w:spacing w:val="-1"/>
          <w:sz w:val="24"/>
          <w:szCs w:val="24"/>
          <w:lang w:val="ru-RU"/>
        </w:rPr>
        <w:t xml:space="preserve">Согласно </w:t>
      </w:r>
      <w:r w:rsidR="00A93937" w:rsidRPr="00A93937">
        <w:rPr>
          <w:rFonts w:asciiTheme="majorHAnsi" w:hAnsiTheme="majorHAnsi"/>
          <w:bCs/>
          <w:iCs/>
          <w:color w:val="000000"/>
          <w:spacing w:val="-1"/>
          <w:sz w:val="24"/>
          <w:szCs w:val="24"/>
          <w:lang w:val="ro-RO"/>
        </w:rPr>
        <w:t xml:space="preserve">данным </w:t>
      </w:r>
      <w:r>
        <w:rPr>
          <w:rFonts w:asciiTheme="majorHAnsi" w:hAnsiTheme="majorHAnsi"/>
          <w:bCs/>
          <w:iCs/>
          <w:color w:val="000000"/>
          <w:spacing w:val="-1"/>
          <w:sz w:val="24"/>
          <w:szCs w:val="24"/>
          <w:lang w:val="ru-RU"/>
        </w:rPr>
        <w:t xml:space="preserve">отчетов </w:t>
      </w:r>
      <w:r w:rsidR="00A93937" w:rsidRPr="00A93937">
        <w:rPr>
          <w:rFonts w:asciiTheme="majorHAnsi" w:hAnsiTheme="majorHAnsi"/>
          <w:bCs/>
          <w:iCs/>
          <w:color w:val="000000"/>
          <w:spacing w:val="-1"/>
          <w:sz w:val="24"/>
          <w:szCs w:val="24"/>
          <w:lang w:val="ro-RO"/>
        </w:rPr>
        <w:t xml:space="preserve">МФ, доходы от акцизов в 2020 году были перевыполнены на 167,9 млн. леев (102,7%) по сравнению с </w:t>
      </w:r>
      <w:r w:rsidR="001D6EB0">
        <w:rPr>
          <w:rFonts w:asciiTheme="majorHAnsi" w:hAnsiTheme="majorHAnsi"/>
          <w:bCs/>
          <w:iCs/>
          <w:color w:val="000000"/>
          <w:spacing w:val="-1"/>
          <w:sz w:val="24"/>
          <w:szCs w:val="24"/>
          <w:lang w:val="ro-RO"/>
        </w:rPr>
        <w:t>уточне</w:t>
      </w:r>
      <w:r w:rsidR="00A93937" w:rsidRPr="00A93937">
        <w:rPr>
          <w:rFonts w:asciiTheme="majorHAnsi" w:hAnsiTheme="majorHAnsi"/>
          <w:bCs/>
          <w:iCs/>
          <w:color w:val="000000"/>
          <w:spacing w:val="-1"/>
          <w:sz w:val="24"/>
          <w:szCs w:val="24"/>
          <w:lang w:val="ro-RO"/>
        </w:rPr>
        <w:t>нными показателями</w:t>
      </w:r>
      <w:r>
        <w:rPr>
          <w:rFonts w:asciiTheme="majorHAnsi" w:hAnsiTheme="majorHAnsi"/>
          <w:bCs/>
          <w:iCs/>
          <w:color w:val="000000"/>
          <w:spacing w:val="-1"/>
          <w:sz w:val="24"/>
          <w:szCs w:val="24"/>
          <w:lang w:val="ru-RU"/>
        </w:rPr>
        <w:t>,</w:t>
      </w:r>
      <w:r w:rsidR="00A93937" w:rsidRPr="00A93937">
        <w:rPr>
          <w:rFonts w:asciiTheme="majorHAnsi" w:hAnsiTheme="majorHAnsi"/>
          <w:bCs/>
          <w:iCs/>
          <w:color w:val="000000"/>
          <w:spacing w:val="-1"/>
          <w:sz w:val="24"/>
          <w:szCs w:val="24"/>
          <w:lang w:val="ro-RO"/>
        </w:rPr>
        <w:t xml:space="preserve"> и на 3,9%, или 245,5 млн.</w:t>
      </w:r>
      <w:r>
        <w:rPr>
          <w:rFonts w:asciiTheme="majorHAnsi" w:hAnsiTheme="majorHAnsi"/>
          <w:bCs/>
          <w:iCs/>
          <w:color w:val="000000"/>
          <w:spacing w:val="-1"/>
          <w:sz w:val="24"/>
          <w:szCs w:val="24"/>
          <w:lang w:val="ru-RU"/>
        </w:rPr>
        <w:t xml:space="preserve"> </w:t>
      </w:r>
      <w:r w:rsidR="00A93937" w:rsidRPr="00A93937">
        <w:rPr>
          <w:rFonts w:asciiTheme="majorHAnsi" w:hAnsiTheme="majorHAnsi"/>
          <w:bCs/>
          <w:iCs/>
          <w:color w:val="000000"/>
          <w:spacing w:val="-1"/>
          <w:sz w:val="24"/>
          <w:szCs w:val="24"/>
          <w:lang w:val="ro-RO"/>
        </w:rPr>
        <w:t>леев больше по сравнению с предыдущим годом. В этом контексте отмечается, что из поступлений в размере 6 465,7 млн. леев (включая возмещение – 11,9 млн. леев)</w:t>
      </w:r>
      <w:r w:rsidRPr="00C62440">
        <w:rPr>
          <w:rFonts w:asciiTheme="majorHAnsi" w:hAnsiTheme="majorHAnsi"/>
          <w:bCs/>
          <w:iCs/>
          <w:color w:val="000000"/>
          <w:spacing w:val="-1"/>
          <w:sz w:val="24"/>
          <w:szCs w:val="24"/>
          <w:lang w:val="ro-RO"/>
        </w:rPr>
        <w:t xml:space="preserve"> от</w:t>
      </w:r>
      <w:r w:rsidR="00A93937" w:rsidRPr="00A93937">
        <w:rPr>
          <w:rFonts w:asciiTheme="majorHAnsi" w:hAnsiTheme="majorHAnsi"/>
          <w:bCs/>
          <w:iCs/>
          <w:color w:val="000000"/>
          <w:spacing w:val="-1"/>
          <w:sz w:val="24"/>
          <w:szCs w:val="24"/>
          <w:lang w:val="ro-RO"/>
        </w:rPr>
        <w:t xml:space="preserve"> акцизов</w:t>
      </w:r>
      <w:r w:rsidRPr="00C62440">
        <w:rPr>
          <w:rFonts w:asciiTheme="majorHAnsi" w:hAnsiTheme="majorHAnsi"/>
          <w:bCs/>
          <w:iCs/>
          <w:color w:val="000000"/>
          <w:spacing w:val="-1"/>
          <w:sz w:val="24"/>
          <w:szCs w:val="24"/>
          <w:lang w:val="ro-RO"/>
        </w:rPr>
        <w:t>,</w:t>
      </w:r>
      <w:r w:rsidR="00A93937" w:rsidRPr="00A93937">
        <w:rPr>
          <w:rFonts w:asciiTheme="majorHAnsi" w:hAnsiTheme="majorHAnsi"/>
          <w:bCs/>
          <w:iCs/>
          <w:color w:val="000000"/>
          <w:spacing w:val="-1"/>
          <w:sz w:val="24"/>
          <w:szCs w:val="24"/>
          <w:lang w:val="ro-RO"/>
        </w:rPr>
        <w:t xml:space="preserve"> 91,2% (5 909,8 млн. леев) </w:t>
      </w:r>
      <w:r w:rsidRPr="00C62440">
        <w:rPr>
          <w:rFonts w:asciiTheme="majorHAnsi" w:hAnsiTheme="majorHAnsi"/>
          <w:bCs/>
          <w:iCs/>
          <w:color w:val="000000"/>
          <w:spacing w:val="-1"/>
          <w:sz w:val="24"/>
          <w:szCs w:val="24"/>
          <w:lang w:val="ro-RO"/>
        </w:rPr>
        <w:t xml:space="preserve">составляют </w:t>
      </w:r>
      <w:r w:rsidR="00A93937" w:rsidRPr="00A93937">
        <w:rPr>
          <w:rFonts w:asciiTheme="majorHAnsi" w:hAnsiTheme="majorHAnsi"/>
          <w:bCs/>
          <w:iCs/>
          <w:color w:val="000000"/>
          <w:spacing w:val="-1"/>
          <w:sz w:val="24"/>
          <w:szCs w:val="24"/>
          <w:lang w:val="ro-RO"/>
        </w:rPr>
        <w:t>акцизы на импортные товары</w:t>
      </w:r>
      <w:r w:rsidRPr="00C62440">
        <w:rPr>
          <w:rFonts w:asciiTheme="majorHAnsi" w:hAnsiTheme="majorHAnsi"/>
          <w:bCs/>
          <w:iCs/>
          <w:color w:val="000000"/>
          <w:spacing w:val="-1"/>
          <w:sz w:val="24"/>
          <w:szCs w:val="24"/>
          <w:lang w:val="ro-RO"/>
        </w:rPr>
        <w:t>, и</w:t>
      </w:r>
      <w:r w:rsidR="00A93937" w:rsidRPr="00A93937">
        <w:rPr>
          <w:rFonts w:asciiTheme="majorHAnsi" w:hAnsiTheme="majorHAnsi"/>
          <w:bCs/>
          <w:iCs/>
          <w:color w:val="000000"/>
          <w:spacing w:val="-1"/>
          <w:sz w:val="24"/>
          <w:szCs w:val="24"/>
          <w:lang w:val="ro-RO"/>
        </w:rPr>
        <w:t xml:space="preserve"> 567,8 млн. леев, или 8,8</w:t>
      </w:r>
      <w:r w:rsidRPr="00C62440">
        <w:rPr>
          <w:rFonts w:asciiTheme="majorHAnsi" w:hAnsiTheme="majorHAnsi"/>
          <w:bCs/>
          <w:iCs/>
          <w:color w:val="000000"/>
          <w:spacing w:val="-1"/>
          <w:sz w:val="24"/>
          <w:szCs w:val="24"/>
          <w:lang w:val="ro-RO"/>
        </w:rPr>
        <w:t>%</w:t>
      </w:r>
      <w:r w:rsidR="00A93937" w:rsidRPr="00A93937">
        <w:rPr>
          <w:rFonts w:asciiTheme="majorHAnsi" w:hAnsiTheme="majorHAnsi"/>
          <w:bCs/>
          <w:iCs/>
          <w:color w:val="000000"/>
          <w:spacing w:val="-1"/>
          <w:sz w:val="24"/>
          <w:szCs w:val="24"/>
          <w:lang w:val="ro-RO"/>
        </w:rPr>
        <w:t xml:space="preserve"> - на товары, произведенные в стране</w:t>
      </w:r>
      <w:r w:rsidR="006E2E6A" w:rsidRPr="00F55BA6">
        <w:rPr>
          <w:rFonts w:asciiTheme="majorHAnsi" w:hAnsiTheme="majorHAnsi"/>
          <w:sz w:val="24"/>
          <w:szCs w:val="24"/>
          <w:lang w:val="ro-RO"/>
        </w:rPr>
        <w:t xml:space="preserve">. </w:t>
      </w:r>
      <w:r w:rsidR="0022407C" w:rsidRPr="0022407C">
        <w:rPr>
          <w:rFonts w:asciiTheme="majorHAnsi" w:hAnsiTheme="majorHAnsi"/>
          <w:sz w:val="24"/>
          <w:szCs w:val="24"/>
          <w:lang w:val="ro-RO"/>
        </w:rPr>
        <w:t>На у</w:t>
      </w:r>
      <w:r w:rsidR="00A93937" w:rsidRPr="00A93937">
        <w:rPr>
          <w:rFonts w:asciiTheme="majorHAnsi" w:hAnsiTheme="majorHAnsi"/>
          <w:sz w:val="24"/>
          <w:szCs w:val="24"/>
          <w:lang w:val="ro-RO"/>
        </w:rPr>
        <w:t>величение поступлений от акцизов в значительной степени повлиял</w:t>
      </w:r>
      <w:r w:rsidR="0022407C" w:rsidRPr="0022407C">
        <w:rPr>
          <w:rFonts w:asciiTheme="majorHAnsi" w:hAnsiTheme="majorHAnsi"/>
          <w:sz w:val="24"/>
          <w:szCs w:val="24"/>
          <w:lang w:val="ro-RO"/>
        </w:rPr>
        <w:t xml:space="preserve">и </w:t>
      </w:r>
      <w:r w:rsidR="00A93937" w:rsidRPr="00A93937">
        <w:rPr>
          <w:rFonts w:asciiTheme="majorHAnsi" w:hAnsiTheme="majorHAnsi"/>
          <w:sz w:val="24"/>
          <w:szCs w:val="24"/>
          <w:lang w:val="ro-RO"/>
        </w:rPr>
        <w:t>изменения, внесенные в нормативную базу</w:t>
      </w:r>
      <w:r w:rsidR="0022407C" w:rsidRPr="0022407C">
        <w:rPr>
          <w:rFonts w:asciiTheme="majorHAnsi" w:hAnsiTheme="majorHAnsi"/>
          <w:sz w:val="24"/>
          <w:szCs w:val="24"/>
          <w:lang w:val="ro-RO"/>
        </w:rPr>
        <w:t>,</w:t>
      </w:r>
      <w:r w:rsidR="00A93937" w:rsidRPr="00A93937">
        <w:rPr>
          <w:rFonts w:asciiTheme="majorHAnsi" w:hAnsiTheme="majorHAnsi"/>
          <w:sz w:val="24"/>
          <w:szCs w:val="24"/>
          <w:lang w:val="ro-RO"/>
        </w:rPr>
        <w:t xml:space="preserve"> путем </w:t>
      </w:r>
      <w:r w:rsidR="0022407C" w:rsidRPr="0022407C">
        <w:rPr>
          <w:rFonts w:asciiTheme="majorHAnsi" w:hAnsiTheme="majorHAnsi"/>
          <w:sz w:val="24"/>
          <w:szCs w:val="24"/>
          <w:lang w:val="ro-RO"/>
        </w:rPr>
        <w:t>уравнива</w:t>
      </w:r>
      <w:r w:rsidR="00A93937" w:rsidRPr="00A93937">
        <w:rPr>
          <w:rFonts w:asciiTheme="majorHAnsi" w:hAnsiTheme="majorHAnsi"/>
          <w:sz w:val="24"/>
          <w:szCs w:val="24"/>
          <w:lang w:val="ro-RO"/>
        </w:rPr>
        <w:t xml:space="preserve">ния </w:t>
      </w:r>
      <w:r w:rsidR="0022407C" w:rsidRPr="0022407C">
        <w:rPr>
          <w:rFonts w:asciiTheme="majorHAnsi" w:hAnsiTheme="majorHAnsi"/>
          <w:sz w:val="24"/>
          <w:szCs w:val="24"/>
          <w:lang w:val="ro-RO"/>
        </w:rPr>
        <w:t xml:space="preserve">ставки </w:t>
      </w:r>
      <w:r w:rsidR="00A93937" w:rsidRPr="00A93937">
        <w:rPr>
          <w:rFonts w:asciiTheme="majorHAnsi" w:hAnsiTheme="majorHAnsi"/>
          <w:sz w:val="24"/>
          <w:szCs w:val="24"/>
          <w:lang w:val="ro-RO"/>
        </w:rPr>
        <w:t xml:space="preserve">акциза на сигареты без фильтра </w:t>
      </w:r>
      <w:r w:rsidR="0022407C" w:rsidRPr="0022407C">
        <w:rPr>
          <w:rFonts w:asciiTheme="majorHAnsi" w:hAnsiTheme="majorHAnsi"/>
          <w:sz w:val="24"/>
          <w:szCs w:val="24"/>
          <w:lang w:val="ro-RO"/>
        </w:rPr>
        <w:t>и акциза на сигареты с</w:t>
      </w:r>
      <w:r w:rsidR="00A93937" w:rsidRPr="00A93937">
        <w:rPr>
          <w:rFonts w:asciiTheme="majorHAnsi" w:hAnsiTheme="majorHAnsi"/>
          <w:sz w:val="24"/>
          <w:szCs w:val="24"/>
          <w:lang w:val="ro-RO"/>
        </w:rPr>
        <w:t xml:space="preserve"> фильтром</w:t>
      </w:r>
      <w:r w:rsidR="0022407C" w:rsidRPr="00F55BA6">
        <w:rPr>
          <w:rFonts w:asciiTheme="majorHAnsi" w:hAnsiTheme="majorHAnsi"/>
          <w:sz w:val="24"/>
          <w:szCs w:val="24"/>
          <w:vertAlign w:val="superscript"/>
          <w:lang w:val="ro-RO"/>
        </w:rPr>
        <w:footnoteReference w:id="88"/>
      </w:r>
      <w:r w:rsidR="0022407C" w:rsidRPr="00F55BA6">
        <w:rPr>
          <w:rFonts w:asciiTheme="majorHAnsi" w:hAnsiTheme="majorHAnsi"/>
          <w:sz w:val="24"/>
          <w:szCs w:val="24"/>
          <w:lang w:val="ro-RO"/>
        </w:rPr>
        <w:t>,</w:t>
      </w:r>
      <w:r w:rsidR="00A93937" w:rsidRPr="00A93937">
        <w:rPr>
          <w:rFonts w:asciiTheme="majorHAnsi" w:hAnsiTheme="majorHAnsi"/>
          <w:sz w:val="24"/>
          <w:szCs w:val="24"/>
          <w:lang w:val="ro-RO"/>
        </w:rPr>
        <w:t xml:space="preserve"> отмены налоговых льгот для акцизных </w:t>
      </w:r>
      <w:r w:rsidR="0022407C" w:rsidRPr="0022407C">
        <w:rPr>
          <w:rFonts w:asciiTheme="majorHAnsi" w:hAnsiTheme="majorHAnsi"/>
          <w:sz w:val="24"/>
          <w:szCs w:val="24"/>
          <w:lang w:val="ro-RO"/>
        </w:rPr>
        <w:t>товар</w:t>
      </w:r>
      <w:r w:rsidR="00A93937" w:rsidRPr="00A93937">
        <w:rPr>
          <w:rFonts w:asciiTheme="majorHAnsi" w:hAnsiTheme="majorHAnsi"/>
          <w:sz w:val="24"/>
          <w:szCs w:val="24"/>
          <w:lang w:val="ro-RO"/>
        </w:rPr>
        <w:t xml:space="preserve">ов, продаваемых магазинами duty-free, а также увеличения акцизов на автомобили класса </w:t>
      </w:r>
      <w:r w:rsidR="00A93937" w:rsidRPr="00A93937">
        <w:rPr>
          <w:rFonts w:asciiTheme="majorHAnsi" w:hAnsiTheme="majorHAnsi"/>
          <w:sz w:val="24"/>
          <w:szCs w:val="24"/>
          <w:lang w:val="ro-RO"/>
        </w:rPr>
        <w:lastRenderedPageBreak/>
        <w:t>люкс</w:t>
      </w:r>
      <w:r w:rsidR="006E2E6A" w:rsidRPr="00F55BA6">
        <w:rPr>
          <w:rFonts w:asciiTheme="majorHAnsi" w:hAnsiTheme="majorHAnsi"/>
          <w:sz w:val="24"/>
          <w:szCs w:val="24"/>
          <w:vertAlign w:val="superscript"/>
          <w:lang w:val="ro-RO"/>
        </w:rPr>
        <w:footnoteReference w:id="89"/>
      </w:r>
      <w:r w:rsidR="006E2E6A" w:rsidRPr="00F55BA6">
        <w:rPr>
          <w:rFonts w:asciiTheme="majorHAnsi" w:hAnsiTheme="majorHAnsi"/>
          <w:sz w:val="24"/>
          <w:szCs w:val="24"/>
          <w:lang w:val="ro-RO"/>
        </w:rPr>
        <w:t xml:space="preserve">. </w:t>
      </w:r>
      <w:r w:rsidR="00A93937" w:rsidRPr="00A93937">
        <w:rPr>
          <w:rFonts w:asciiTheme="majorHAnsi" w:hAnsiTheme="majorHAnsi"/>
          <w:sz w:val="24"/>
          <w:szCs w:val="24"/>
          <w:lang w:val="ro-RO"/>
        </w:rPr>
        <w:t xml:space="preserve">Отмечается, что, начиная с 01.01.2020, за счет увеличения </w:t>
      </w:r>
      <w:r w:rsidR="0022407C" w:rsidRPr="00A93937">
        <w:rPr>
          <w:rFonts w:asciiTheme="majorHAnsi" w:hAnsiTheme="majorHAnsi"/>
          <w:sz w:val="24"/>
          <w:szCs w:val="24"/>
          <w:lang w:val="ro-RO"/>
        </w:rPr>
        <w:t>на 9,0%</w:t>
      </w:r>
      <w:r w:rsidR="0022407C">
        <w:rPr>
          <w:rFonts w:asciiTheme="majorHAnsi" w:hAnsiTheme="majorHAnsi"/>
          <w:sz w:val="24"/>
          <w:szCs w:val="24"/>
          <w:lang w:val="ru-RU"/>
        </w:rPr>
        <w:t xml:space="preserve"> </w:t>
      </w:r>
      <w:r w:rsidR="00A93937" w:rsidRPr="00A93937">
        <w:rPr>
          <w:rFonts w:asciiTheme="majorHAnsi" w:hAnsiTheme="majorHAnsi"/>
          <w:sz w:val="24"/>
          <w:szCs w:val="24"/>
          <w:lang w:val="ro-RO"/>
        </w:rPr>
        <w:t>акцизов на импорт</w:t>
      </w:r>
      <w:r w:rsidR="0022407C">
        <w:rPr>
          <w:rFonts w:asciiTheme="majorHAnsi" w:hAnsiTheme="majorHAnsi"/>
          <w:sz w:val="24"/>
          <w:szCs w:val="24"/>
          <w:lang w:val="ru-RU"/>
        </w:rPr>
        <w:t>ируем</w:t>
      </w:r>
      <w:r w:rsidR="00A93937" w:rsidRPr="00A93937">
        <w:rPr>
          <w:rFonts w:asciiTheme="majorHAnsi" w:hAnsiTheme="majorHAnsi"/>
          <w:sz w:val="24"/>
          <w:szCs w:val="24"/>
          <w:lang w:val="ro-RO"/>
        </w:rPr>
        <w:t>ые нефтепродукты</w:t>
      </w:r>
      <w:r w:rsidR="0022407C" w:rsidRPr="00F55BA6">
        <w:rPr>
          <w:rFonts w:asciiTheme="majorHAnsi" w:hAnsiTheme="majorHAnsi"/>
          <w:sz w:val="24"/>
          <w:szCs w:val="24"/>
          <w:vertAlign w:val="superscript"/>
          <w:lang w:val="ro-RO"/>
        </w:rPr>
        <w:footnoteReference w:id="90"/>
      </w:r>
      <w:r w:rsidR="00A93937" w:rsidRPr="00A93937">
        <w:rPr>
          <w:rFonts w:asciiTheme="majorHAnsi" w:hAnsiTheme="majorHAnsi"/>
          <w:sz w:val="24"/>
          <w:szCs w:val="24"/>
          <w:lang w:val="ro-RO"/>
        </w:rPr>
        <w:t xml:space="preserve">, поступления </w:t>
      </w:r>
      <w:r w:rsidR="00A93937" w:rsidRPr="00A87DC7">
        <w:rPr>
          <w:rFonts w:asciiTheme="majorHAnsi" w:hAnsiTheme="majorHAnsi"/>
          <w:sz w:val="24"/>
          <w:szCs w:val="24"/>
          <w:lang w:val="ro-RO"/>
        </w:rPr>
        <w:t>по сравнению с 2019 годом</w:t>
      </w:r>
      <w:r w:rsidR="00A93937" w:rsidRPr="00A93937">
        <w:rPr>
          <w:rFonts w:asciiTheme="majorHAnsi" w:hAnsiTheme="majorHAnsi"/>
          <w:sz w:val="24"/>
          <w:szCs w:val="24"/>
          <w:lang w:val="ro-RO"/>
        </w:rPr>
        <w:t xml:space="preserve"> выросли на 4,4%. </w:t>
      </w:r>
      <w:r w:rsidR="0022407C">
        <w:rPr>
          <w:rFonts w:asciiTheme="majorHAnsi" w:hAnsiTheme="majorHAnsi"/>
          <w:sz w:val="24"/>
          <w:szCs w:val="24"/>
          <w:lang w:val="ru-RU"/>
        </w:rPr>
        <w:t>При этом,</w:t>
      </w:r>
      <w:r w:rsidR="00A93937" w:rsidRPr="00A93937">
        <w:rPr>
          <w:rFonts w:asciiTheme="majorHAnsi" w:hAnsiTheme="majorHAnsi"/>
          <w:sz w:val="24"/>
          <w:szCs w:val="24"/>
          <w:lang w:val="ro-RO"/>
        </w:rPr>
        <w:t xml:space="preserve"> сократились на 35,6 млн. леев, по сравнению с 2019 годом, доходы от акцизов на товары, произведенные на территории РМ, из-за уменьшения объема реализации алкогольной продукции, вина и пива в результате применения мер по защите и предотвращению распространения COVID-19, а также пр</w:t>
      </w:r>
      <w:r w:rsidR="0022407C">
        <w:rPr>
          <w:rFonts w:asciiTheme="majorHAnsi" w:hAnsiTheme="majorHAnsi"/>
          <w:sz w:val="24"/>
          <w:szCs w:val="24"/>
          <w:lang w:val="ru-RU"/>
        </w:rPr>
        <w:t>иостановл</w:t>
      </w:r>
      <w:r w:rsidR="00A93937" w:rsidRPr="00A93937">
        <w:rPr>
          <w:rFonts w:asciiTheme="majorHAnsi" w:hAnsiTheme="majorHAnsi"/>
          <w:sz w:val="24"/>
          <w:szCs w:val="24"/>
          <w:lang w:val="ro-RO"/>
        </w:rPr>
        <w:t>ения деятельности в области HORECA</w:t>
      </w:r>
      <w:r w:rsidR="0022407C">
        <w:rPr>
          <w:rFonts w:asciiTheme="majorHAnsi" w:hAnsiTheme="majorHAnsi"/>
          <w:sz w:val="24"/>
          <w:szCs w:val="24"/>
          <w:lang w:val="ru-RU"/>
        </w:rPr>
        <w:t>.</w:t>
      </w:r>
      <w:r w:rsidR="008B06C9" w:rsidRPr="00F55BA6">
        <w:rPr>
          <w:rFonts w:asciiTheme="majorHAnsi" w:eastAsia="Times New Roman" w:hAnsiTheme="majorHAnsi" w:cs="Arial"/>
          <w:sz w:val="24"/>
          <w:szCs w:val="24"/>
          <w:lang w:val="ro-RO" w:eastAsia="ro-RO"/>
        </w:rPr>
        <w:t xml:space="preserve"> </w:t>
      </w:r>
    </w:p>
    <w:p w:rsidR="006E2E6A" w:rsidRPr="00F55BA6" w:rsidRDefault="00A93937" w:rsidP="006E2E6A">
      <w:pPr>
        <w:shd w:val="clear" w:color="auto" w:fill="FFFFFF"/>
        <w:spacing w:after="0" w:line="276" w:lineRule="auto"/>
        <w:rPr>
          <w:rFonts w:asciiTheme="majorHAnsi" w:hAnsiTheme="majorHAnsi"/>
          <w:sz w:val="24"/>
          <w:szCs w:val="24"/>
          <w:lang w:val="ro-RO"/>
        </w:rPr>
      </w:pPr>
      <w:r w:rsidRPr="00A93937">
        <w:rPr>
          <w:rFonts w:asciiTheme="majorHAnsi" w:hAnsiTheme="majorHAnsi"/>
          <w:i/>
          <w:sz w:val="24"/>
          <w:szCs w:val="24"/>
          <w:lang w:val="ro-RO"/>
        </w:rPr>
        <w:t>Воз</w:t>
      </w:r>
      <w:r w:rsidR="00261268">
        <w:rPr>
          <w:rFonts w:asciiTheme="majorHAnsi" w:hAnsiTheme="majorHAnsi"/>
          <w:i/>
          <w:sz w:val="24"/>
          <w:szCs w:val="24"/>
          <w:lang w:val="ru-RU"/>
        </w:rPr>
        <w:t>мещение</w:t>
      </w:r>
      <w:r w:rsidRPr="00A93937">
        <w:rPr>
          <w:rFonts w:asciiTheme="majorHAnsi" w:hAnsiTheme="majorHAnsi"/>
          <w:i/>
          <w:sz w:val="24"/>
          <w:szCs w:val="24"/>
          <w:lang w:val="ro-RO"/>
        </w:rPr>
        <w:t xml:space="preserve"> акцизов </w:t>
      </w:r>
      <w:r w:rsidRPr="0022407C">
        <w:rPr>
          <w:rFonts w:asciiTheme="majorHAnsi" w:hAnsiTheme="majorHAnsi"/>
          <w:sz w:val="24"/>
          <w:szCs w:val="24"/>
          <w:lang w:val="ro-RO"/>
        </w:rPr>
        <w:t>в 2020 году составил</w:t>
      </w:r>
      <w:r w:rsidR="00261268">
        <w:rPr>
          <w:rFonts w:asciiTheme="majorHAnsi" w:hAnsiTheme="majorHAnsi"/>
          <w:sz w:val="24"/>
          <w:szCs w:val="24"/>
          <w:lang w:val="ru-RU"/>
        </w:rPr>
        <w:t>о</w:t>
      </w:r>
      <w:r w:rsidRPr="0022407C">
        <w:rPr>
          <w:rFonts w:asciiTheme="majorHAnsi" w:hAnsiTheme="majorHAnsi"/>
          <w:sz w:val="24"/>
          <w:szCs w:val="24"/>
          <w:lang w:val="ro-RO"/>
        </w:rPr>
        <w:t xml:space="preserve"> 11,9 млн.</w:t>
      </w:r>
      <w:r w:rsidR="00261268">
        <w:rPr>
          <w:rFonts w:asciiTheme="majorHAnsi" w:hAnsiTheme="majorHAnsi"/>
          <w:sz w:val="24"/>
          <w:szCs w:val="24"/>
          <w:lang w:val="ru-RU"/>
        </w:rPr>
        <w:t xml:space="preserve"> леев (</w:t>
      </w:r>
      <w:r w:rsidRPr="0022407C">
        <w:rPr>
          <w:rFonts w:asciiTheme="majorHAnsi" w:hAnsiTheme="majorHAnsi"/>
          <w:sz w:val="24"/>
          <w:szCs w:val="24"/>
          <w:lang w:val="ro-RO"/>
        </w:rPr>
        <w:t>92,1%</w:t>
      </w:r>
      <w:r w:rsidR="00261268">
        <w:rPr>
          <w:rFonts w:asciiTheme="majorHAnsi" w:hAnsiTheme="majorHAnsi"/>
          <w:sz w:val="24"/>
          <w:szCs w:val="24"/>
          <w:lang w:val="ru-RU"/>
        </w:rPr>
        <w:t>)</w:t>
      </w:r>
      <w:r w:rsidRPr="0022407C">
        <w:rPr>
          <w:rFonts w:asciiTheme="majorHAnsi" w:hAnsiTheme="majorHAnsi"/>
          <w:sz w:val="24"/>
          <w:szCs w:val="24"/>
          <w:lang w:val="ro-RO"/>
        </w:rPr>
        <w:t xml:space="preserve">, </w:t>
      </w:r>
      <w:r w:rsidR="00261268">
        <w:rPr>
          <w:rFonts w:asciiTheme="majorHAnsi" w:hAnsiTheme="majorHAnsi"/>
          <w:sz w:val="24"/>
          <w:szCs w:val="24"/>
          <w:lang w:val="ru-RU"/>
        </w:rPr>
        <w:t xml:space="preserve">на </w:t>
      </w:r>
      <w:r w:rsidR="0002603D">
        <w:rPr>
          <w:rFonts w:asciiTheme="majorHAnsi" w:hAnsiTheme="majorHAnsi"/>
          <w:sz w:val="24"/>
          <w:szCs w:val="24"/>
          <w:lang w:val="ro-RO"/>
        </w:rPr>
        <w:t>1,0 млн. леев</w:t>
      </w:r>
      <w:r w:rsidRPr="0022407C">
        <w:rPr>
          <w:rFonts w:asciiTheme="majorHAnsi" w:hAnsiTheme="majorHAnsi"/>
          <w:sz w:val="24"/>
          <w:szCs w:val="24"/>
          <w:lang w:val="ro-RO"/>
        </w:rPr>
        <w:t xml:space="preserve"> меньше </w:t>
      </w:r>
      <w:r w:rsidR="001D6EB0" w:rsidRPr="0022407C">
        <w:rPr>
          <w:rFonts w:asciiTheme="majorHAnsi" w:hAnsiTheme="majorHAnsi"/>
          <w:sz w:val="24"/>
          <w:szCs w:val="24"/>
          <w:lang w:val="ro-RO"/>
        </w:rPr>
        <w:t>уточне</w:t>
      </w:r>
      <w:r w:rsidRPr="0022407C">
        <w:rPr>
          <w:rFonts w:asciiTheme="majorHAnsi" w:hAnsiTheme="majorHAnsi"/>
          <w:sz w:val="24"/>
          <w:szCs w:val="24"/>
          <w:lang w:val="ro-RO"/>
        </w:rPr>
        <w:t xml:space="preserve">нного </w:t>
      </w:r>
      <w:r w:rsidR="00261268">
        <w:rPr>
          <w:rFonts w:asciiTheme="majorHAnsi" w:hAnsiTheme="majorHAnsi"/>
          <w:sz w:val="24"/>
          <w:szCs w:val="24"/>
          <w:lang w:val="ru-RU"/>
        </w:rPr>
        <w:t>лимита</w:t>
      </w:r>
      <w:r w:rsidRPr="0022407C">
        <w:rPr>
          <w:rFonts w:asciiTheme="majorHAnsi" w:hAnsiTheme="majorHAnsi"/>
          <w:sz w:val="24"/>
          <w:szCs w:val="24"/>
          <w:lang w:val="ro-RO"/>
        </w:rPr>
        <w:t>, и на 13,0 млн.</w:t>
      </w:r>
      <w:r w:rsidR="00261268">
        <w:rPr>
          <w:rFonts w:asciiTheme="majorHAnsi" w:hAnsiTheme="majorHAnsi"/>
          <w:sz w:val="24"/>
          <w:szCs w:val="24"/>
          <w:lang w:val="ru-RU"/>
        </w:rPr>
        <w:t xml:space="preserve"> </w:t>
      </w:r>
      <w:r w:rsidRPr="0022407C">
        <w:rPr>
          <w:rFonts w:asciiTheme="majorHAnsi" w:hAnsiTheme="majorHAnsi"/>
          <w:sz w:val="24"/>
          <w:szCs w:val="24"/>
          <w:lang w:val="ro-RO"/>
        </w:rPr>
        <w:t xml:space="preserve">леев против утвержденного </w:t>
      </w:r>
      <w:r w:rsidR="00261268">
        <w:rPr>
          <w:rFonts w:asciiTheme="majorHAnsi" w:hAnsiTheme="majorHAnsi"/>
          <w:sz w:val="24"/>
          <w:szCs w:val="24"/>
          <w:lang w:val="ru-RU"/>
        </w:rPr>
        <w:t>лимит</w:t>
      </w:r>
      <w:r w:rsidRPr="0022407C">
        <w:rPr>
          <w:rFonts w:asciiTheme="majorHAnsi" w:hAnsiTheme="majorHAnsi"/>
          <w:sz w:val="24"/>
          <w:szCs w:val="24"/>
          <w:lang w:val="ro-RO"/>
        </w:rPr>
        <w:t>а. По сравнению с 2019 годом, воз</w:t>
      </w:r>
      <w:r w:rsidR="00261268">
        <w:rPr>
          <w:rFonts w:asciiTheme="majorHAnsi" w:hAnsiTheme="majorHAnsi"/>
          <w:sz w:val="24"/>
          <w:szCs w:val="24"/>
          <w:lang w:val="ru-RU"/>
        </w:rPr>
        <w:t>мещение</w:t>
      </w:r>
      <w:r w:rsidRPr="0022407C">
        <w:rPr>
          <w:rFonts w:asciiTheme="majorHAnsi" w:hAnsiTheme="majorHAnsi"/>
          <w:sz w:val="24"/>
          <w:szCs w:val="24"/>
          <w:lang w:val="ro-RO"/>
        </w:rPr>
        <w:t xml:space="preserve"> акцизов снизил</w:t>
      </w:r>
      <w:r w:rsidR="00261268">
        <w:rPr>
          <w:rFonts w:asciiTheme="majorHAnsi" w:hAnsiTheme="majorHAnsi"/>
          <w:sz w:val="24"/>
          <w:szCs w:val="24"/>
          <w:lang w:val="ru-RU"/>
        </w:rPr>
        <w:t>о</w:t>
      </w:r>
      <w:r w:rsidRPr="0022407C">
        <w:rPr>
          <w:rFonts w:asciiTheme="majorHAnsi" w:hAnsiTheme="majorHAnsi"/>
          <w:sz w:val="24"/>
          <w:szCs w:val="24"/>
          <w:lang w:val="ro-RO"/>
        </w:rPr>
        <w:t>с</w:t>
      </w:r>
      <w:r w:rsidR="00261268">
        <w:rPr>
          <w:rFonts w:asciiTheme="majorHAnsi" w:hAnsiTheme="majorHAnsi"/>
          <w:sz w:val="24"/>
          <w:szCs w:val="24"/>
          <w:lang w:val="ru-RU"/>
        </w:rPr>
        <w:t>ь</w:t>
      </w:r>
      <w:r w:rsidRPr="0022407C">
        <w:rPr>
          <w:rFonts w:asciiTheme="majorHAnsi" w:hAnsiTheme="majorHAnsi"/>
          <w:sz w:val="24"/>
          <w:szCs w:val="24"/>
          <w:lang w:val="ro-RO"/>
        </w:rPr>
        <w:t xml:space="preserve"> на 14,2 млн. </w:t>
      </w:r>
      <w:r w:rsidR="008E6894" w:rsidRPr="0022407C">
        <w:rPr>
          <w:rFonts w:asciiTheme="majorHAnsi" w:hAnsiTheme="majorHAnsi"/>
          <w:sz w:val="24"/>
          <w:szCs w:val="24"/>
          <w:lang w:val="ro-RO"/>
        </w:rPr>
        <w:t>леев</w:t>
      </w:r>
      <w:r w:rsidRPr="0022407C">
        <w:rPr>
          <w:rFonts w:asciiTheme="majorHAnsi" w:hAnsiTheme="majorHAnsi"/>
          <w:sz w:val="24"/>
          <w:szCs w:val="24"/>
          <w:lang w:val="ro-RO"/>
        </w:rPr>
        <w:t>, или на 54,4%.</w:t>
      </w:r>
      <w:r w:rsidR="006E2E6A" w:rsidRPr="00F55BA6">
        <w:rPr>
          <w:rFonts w:asciiTheme="majorHAnsi" w:hAnsiTheme="majorHAnsi"/>
          <w:sz w:val="24"/>
          <w:szCs w:val="24"/>
          <w:lang w:val="ro-RO"/>
        </w:rPr>
        <w:t xml:space="preserve"> </w:t>
      </w:r>
    </w:p>
    <w:p w:rsidR="006E2E6A" w:rsidRPr="00F55BA6" w:rsidRDefault="00A93937" w:rsidP="006E2E6A">
      <w:pPr>
        <w:shd w:val="clear" w:color="auto" w:fill="FFFFFF"/>
        <w:spacing w:after="0" w:line="276" w:lineRule="auto"/>
        <w:rPr>
          <w:rFonts w:asciiTheme="majorHAnsi" w:hAnsiTheme="majorHAnsi"/>
          <w:sz w:val="24"/>
          <w:szCs w:val="24"/>
          <w:lang w:val="ro-RO"/>
        </w:rPr>
      </w:pPr>
      <w:r w:rsidRPr="00A93937">
        <w:rPr>
          <w:rFonts w:asciiTheme="majorHAnsi" w:hAnsiTheme="majorHAnsi"/>
          <w:sz w:val="24"/>
          <w:szCs w:val="24"/>
          <w:lang w:val="ro-RO"/>
        </w:rPr>
        <w:t xml:space="preserve">Кроме того, </w:t>
      </w:r>
      <w:r w:rsidR="00A8765E" w:rsidRPr="00A93937">
        <w:rPr>
          <w:rFonts w:asciiTheme="majorHAnsi" w:hAnsiTheme="majorHAnsi"/>
          <w:sz w:val="24"/>
          <w:szCs w:val="24"/>
          <w:lang w:val="ro-RO"/>
        </w:rPr>
        <w:t xml:space="preserve">в законодательство </w:t>
      </w:r>
      <w:r w:rsidRPr="00A93937">
        <w:rPr>
          <w:rFonts w:asciiTheme="majorHAnsi" w:hAnsiTheme="majorHAnsi"/>
          <w:sz w:val="24"/>
          <w:szCs w:val="24"/>
          <w:lang w:val="ro-RO"/>
        </w:rPr>
        <w:t>были внесены и другие изменения, которые повлияли на консолид</w:t>
      </w:r>
      <w:r w:rsidR="00A8765E" w:rsidRPr="00832D19">
        <w:rPr>
          <w:rFonts w:asciiTheme="majorHAnsi" w:hAnsiTheme="majorHAnsi"/>
          <w:sz w:val="24"/>
          <w:szCs w:val="24"/>
          <w:lang w:val="ro-RO"/>
        </w:rPr>
        <w:t>ирование</w:t>
      </w:r>
      <w:r w:rsidRPr="00A93937">
        <w:rPr>
          <w:rFonts w:asciiTheme="majorHAnsi" w:hAnsiTheme="majorHAnsi"/>
          <w:sz w:val="24"/>
          <w:szCs w:val="24"/>
          <w:lang w:val="ro-RO"/>
        </w:rPr>
        <w:t xml:space="preserve"> </w:t>
      </w:r>
      <w:r w:rsidR="008F632D">
        <w:rPr>
          <w:rFonts w:asciiTheme="majorHAnsi" w:hAnsiTheme="majorHAnsi"/>
          <w:sz w:val="24"/>
          <w:szCs w:val="24"/>
          <w:lang w:val="ro-RO"/>
        </w:rPr>
        <w:t>ГБ</w:t>
      </w:r>
      <w:r w:rsidRPr="00A93937">
        <w:rPr>
          <w:rFonts w:asciiTheme="majorHAnsi" w:hAnsiTheme="majorHAnsi"/>
          <w:sz w:val="24"/>
          <w:szCs w:val="24"/>
          <w:lang w:val="ro-RO"/>
        </w:rPr>
        <w:t xml:space="preserve">, </w:t>
      </w:r>
      <w:r w:rsidR="00A8765E" w:rsidRPr="00832D19">
        <w:rPr>
          <w:rFonts w:asciiTheme="majorHAnsi" w:hAnsiTheme="majorHAnsi"/>
          <w:sz w:val="24"/>
          <w:szCs w:val="24"/>
          <w:lang w:val="ro-RO"/>
        </w:rPr>
        <w:t>а именно</w:t>
      </w:r>
      <w:r w:rsidRPr="00A93937">
        <w:rPr>
          <w:rFonts w:asciiTheme="majorHAnsi" w:hAnsiTheme="majorHAnsi"/>
          <w:sz w:val="24"/>
          <w:szCs w:val="24"/>
          <w:lang w:val="ro-RO"/>
        </w:rPr>
        <w:t xml:space="preserve">: </w:t>
      </w:r>
      <w:r w:rsidRPr="00A8765E">
        <w:rPr>
          <w:rFonts w:asciiTheme="majorHAnsi" w:hAnsiTheme="majorHAnsi"/>
          <w:i/>
          <w:sz w:val="24"/>
          <w:szCs w:val="24"/>
          <w:lang w:val="ro-RO"/>
        </w:rPr>
        <w:t>(i)</w:t>
      </w:r>
      <w:r w:rsidRPr="00A93937">
        <w:rPr>
          <w:rFonts w:asciiTheme="majorHAnsi" w:hAnsiTheme="majorHAnsi"/>
          <w:sz w:val="24"/>
          <w:szCs w:val="24"/>
          <w:lang w:val="ro-RO"/>
        </w:rPr>
        <w:t xml:space="preserve"> введение </w:t>
      </w:r>
      <w:r w:rsidR="00A8765E" w:rsidRPr="00832D19">
        <w:rPr>
          <w:rFonts w:asciiTheme="majorHAnsi" w:hAnsiTheme="majorHAnsi"/>
          <w:sz w:val="24"/>
          <w:szCs w:val="24"/>
          <w:lang w:val="ro-RO"/>
        </w:rPr>
        <w:t>сбора</w:t>
      </w:r>
      <w:r w:rsidRPr="00A93937">
        <w:rPr>
          <w:rFonts w:asciiTheme="majorHAnsi" w:hAnsiTheme="majorHAnsi"/>
          <w:sz w:val="24"/>
          <w:szCs w:val="24"/>
          <w:lang w:val="ro-RO"/>
        </w:rPr>
        <w:t xml:space="preserve"> на п</w:t>
      </w:r>
      <w:r w:rsidR="00A8765E" w:rsidRPr="00832D19">
        <w:rPr>
          <w:rFonts w:asciiTheme="majorHAnsi" w:hAnsiTheme="majorHAnsi"/>
          <w:sz w:val="24"/>
          <w:szCs w:val="24"/>
          <w:lang w:val="ro-RO"/>
        </w:rPr>
        <w:t>ереносимость</w:t>
      </w:r>
      <w:r w:rsidRPr="00A93937">
        <w:rPr>
          <w:rFonts w:asciiTheme="majorHAnsi" w:hAnsiTheme="majorHAnsi"/>
          <w:sz w:val="24"/>
          <w:szCs w:val="24"/>
          <w:lang w:val="ro-RO"/>
        </w:rPr>
        <w:t xml:space="preserve"> номеров</w:t>
      </w:r>
      <w:r w:rsidR="00A8765E" w:rsidRPr="00832D19">
        <w:rPr>
          <w:rFonts w:asciiTheme="majorHAnsi" w:hAnsiTheme="majorHAnsi"/>
          <w:sz w:val="24"/>
          <w:szCs w:val="24"/>
          <w:lang w:val="ro-RO"/>
        </w:rPr>
        <w:t xml:space="preserve"> </w:t>
      </w:r>
      <w:r w:rsidRPr="00A93937">
        <w:rPr>
          <w:rFonts w:asciiTheme="majorHAnsi" w:hAnsiTheme="majorHAnsi"/>
          <w:sz w:val="24"/>
          <w:szCs w:val="24"/>
          <w:lang w:val="ro-RO"/>
        </w:rPr>
        <w:t>-</w:t>
      </w:r>
      <w:r w:rsidR="00A8765E" w:rsidRPr="00832D19">
        <w:rPr>
          <w:rFonts w:asciiTheme="majorHAnsi" w:hAnsiTheme="majorHAnsi"/>
          <w:sz w:val="24"/>
          <w:szCs w:val="24"/>
          <w:lang w:val="ro-RO"/>
        </w:rPr>
        <w:t xml:space="preserve"> </w:t>
      </w:r>
      <w:r w:rsidRPr="00A93937">
        <w:rPr>
          <w:rFonts w:asciiTheme="majorHAnsi" w:hAnsiTheme="majorHAnsi"/>
          <w:sz w:val="24"/>
          <w:szCs w:val="24"/>
          <w:lang w:val="ro-RO"/>
        </w:rPr>
        <w:t xml:space="preserve">12,4 млн. </w:t>
      </w:r>
      <w:r w:rsidR="008E6894">
        <w:rPr>
          <w:rFonts w:asciiTheme="majorHAnsi" w:hAnsiTheme="majorHAnsi"/>
          <w:sz w:val="24"/>
          <w:szCs w:val="24"/>
          <w:lang w:val="ro-RO"/>
        </w:rPr>
        <w:t>леев</w:t>
      </w:r>
      <w:r w:rsidRPr="00A93937">
        <w:rPr>
          <w:rFonts w:asciiTheme="majorHAnsi" w:hAnsiTheme="majorHAnsi"/>
          <w:sz w:val="24"/>
          <w:szCs w:val="24"/>
          <w:lang w:val="ro-RO"/>
        </w:rPr>
        <w:t xml:space="preserve"> и аэропорт</w:t>
      </w:r>
      <w:r w:rsidR="00A8765E" w:rsidRPr="00832D19">
        <w:rPr>
          <w:rFonts w:asciiTheme="majorHAnsi" w:hAnsiTheme="majorHAnsi"/>
          <w:sz w:val="24"/>
          <w:szCs w:val="24"/>
          <w:lang w:val="ro-RO"/>
        </w:rPr>
        <w:t>ных</w:t>
      </w:r>
      <w:r w:rsidRPr="00A93937">
        <w:rPr>
          <w:rFonts w:asciiTheme="majorHAnsi" w:hAnsiTheme="majorHAnsi"/>
          <w:sz w:val="24"/>
          <w:szCs w:val="24"/>
          <w:lang w:val="ro-RO"/>
        </w:rPr>
        <w:t xml:space="preserve"> сбор</w:t>
      </w:r>
      <w:r w:rsidR="00A8765E" w:rsidRPr="00832D19">
        <w:rPr>
          <w:rFonts w:asciiTheme="majorHAnsi" w:hAnsiTheme="majorHAnsi"/>
          <w:sz w:val="24"/>
          <w:szCs w:val="24"/>
          <w:lang w:val="ro-RO"/>
        </w:rPr>
        <w:t xml:space="preserve">ов </w:t>
      </w:r>
      <w:r w:rsidRPr="00A93937">
        <w:rPr>
          <w:rFonts w:asciiTheme="majorHAnsi" w:hAnsiTheme="majorHAnsi"/>
          <w:sz w:val="24"/>
          <w:szCs w:val="24"/>
          <w:lang w:val="ro-RO"/>
        </w:rPr>
        <w:t>-</w:t>
      </w:r>
      <w:r w:rsidR="00A8765E" w:rsidRPr="00832D19">
        <w:rPr>
          <w:rFonts w:asciiTheme="majorHAnsi" w:hAnsiTheme="majorHAnsi"/>
          <w:sz w:val="24"/>
          <w:szCs w:val="24"/>
          <w:lang w:val="ro-RO"/>
        </w:rPr>
        <w:t xml:space="preserve"> </w:t>
      </w:r>
      <w:r w:rsidRPr="00A93937">
        <w:rPr>
          <w:rFonts w:asciiTheme="majorHAnsi" w:hAnsiTheme="majorHAnsi"/>
          <w:sz w:val="24"/>
          <w:szCs w:val="24"/>
          <w:lang w:val="ro-RO"/>
        </w:rPr>
        <w:t xml:space="preserve">9,7 млн. леев; </w:t>
      </w:r>
      <w:r w:rsidRPr="00A8765E">
        <w:rPr>
          <w:rFonts w:asciiTheme="majorHAnsi" w:hAnsiTheme="majorHAnsi"/>
          <w:i/>
          <w:sz w:val="24"/>
          <w:szCs w:val="24"/>
          <w:lang w:val="ro-RO"/>
        </w:rPr>
        <w:t>(ii)</w:t>
      </w:r>
      <w:r w:rsidRPr="00A93937">
        <w:rPr>
          <w:rFonts w:asciiTheme="majorHAnsi" w:hAnsiTheme="majorHAnsi"/>
          <w:sz w:val="24"/>
          <w:szCs w:val="24"/>
          <w:lang w:val="ro-RO"/>
        </w:rPr>
        <w:t xml:space="preserve"> изменение ст.20 (5) Закона </w:t>
      </w:r>
      <w:r w:rsidR="00A8765E" w:rsidRPr="00832D19">
        <w:rPr>
          <w:rFonts w:asciiTheme="majorHAnsi" w:hAnsiTheme="majorHAnsi"/>
          <w:sz w:val="24"/>
          <w:szCs w:val="24"/>
          <w:lang w:val="ro-RO"/>
        </w:rPr>
        <w:t>№</w:t>
      </w:r>
      <w:r w:rsidRPr="00A93937">
        <w:rPr>
          <w:rFonts w:asciiTheme="majorHAnsi" w:hAnsiTheme="majorHAnsi"/>
          <w:sz w:val="24"/>
          <w:szCs w:val="24"/>
          <w:lang w:val="ro-RO"/>
        </w:rPr>
        <w:t>548-XIII от 21.07.1995</w:t>
      </w:r>
      <w:r w:rsidR="00A8765E" w:rsidRPr="00F55BA6">
        <w:rPr>
          <w:rFonts w:asciiTheme="majorHAnsi" w:hAnsiTheme="majorHAnsi" w:cstheme="majorHAnsi"/>
          <w:sz w:val="24"/>
          <w:szCs w:val="24"/>
          <w:vertAlign w:val="superscript"/>
          <w:lang w:val="ro-RO"/>
        </w:rPr>
        <w:footnoteReference w:id="91"/>
      </w:r>
      <w:r w:rsidRPr="00A93937">
        <w:rPr>
          <w:rFonts w:asciiTheme="majorHAnsi" w:hAnsiTheme="majorHAnsi"/>
          <w:sz w:val="24"/>
          <w:szCs w:val="24"/>
          <w:lang w:val="ro-RO"/>
        </w:rPr>
        <w:t xml:space="preserve">, </w:t>
      </w:r>
      <w:r w:rsidR="00A8765E" w:rsidRPr="00832D19">
        <w:rPr>
          <w:rFonts w:asciiTheme="majorHAnsi" w:hAnsiTheme="majorHAnsi"/>
          <w:sz w:val="24"/>
          <w:szCs w:val="24"/>
          <w:lang w:val="ro-RO"/>
        </w:rPr>
        <w:t xml:space="preserve">согласно </w:t>
      </w:r>
      <w:r w:rsidRPr="00A93937">
        <w:rPr>
          <w:rFonts w:asciiTheme="majorHAnsi" w:hAnsiTheme="majorHAnsi"/>
          <w:sz w:val="24"/>
          <w:szCs w:val="24"/>
          <w:lang w:val="ro-RO"/>
        </w:rPr>
        <w:t>котор</w:t>
      </w:r>
      <w:r w:rsidR="00A8765E" w:rsidRPr="00832D19">
        <w:rPr>
          <w:rFonts w:asciiTheme="majorHAnsi" w:hAnsiTheme="majorHAnsi"/>
          <w:sz w:val="24"/>
          <w:szCs w:val="24"/>
          <w:lang w:val="ro-RO"/>
        </w:rPr>
        <w:t>ому</w:t>
      </w:r>
      <w:r w:rsidRPr="00A93937">
        <w:rPr>
          <w:rFonts w:asciiTheme="majorHAnsi" w:hAnsiTheme="majorHAnsi"/>
          <w:sz w:val="24"/>
          <w:szCs w:val="24"/>
          <w:lang w:val="ro-RO"/>
        </w:rPr>
        <w:t xml:space="preserve"> НБМ перечислил прибыль</w:t>
      </w:r>
      <w:r w:rsidR="00A8765E" w:rsidRPr="00832D19">
        <w:rPr>
          <w:rFonts w:asciiTheme="majorHAnsi" w:hAnsiTheme="majorHAnsi"/>
          <w:sz w:val="24"/>
          <w:szCs w:val="24"/>
          <w:lang w:val="ro-RO"/>
        </w:rPr>
        <w:t>, подлежащую</w:t>
      </w:r>
      <w:r w:rsidRPr="00A93937">
        <w:rPr>
          <w:rFonts w:asciiTheme="majorHAnsi" w:hAnsiTheme="majorHAnsi"/>
          <w:sz w:val="24"/>
          <w:szCs w:val="24"/>
          <w:lang w:val="ro-RO"/>
        </w:rPr>
        <w:t xml:space="preserve"> распределени</w:t>
      </w:r>
      <w:r w:rsidR="00A8765E" w:rsidRPr="00832D19">
        <w:rPr>
          <w:rFonts w:asciiTheme="majorHAnsi" w:hAnsiTheme="majorHAnsi"/>
          <w:sz w:val="24"/>
          <w:szCs w:val="24"/>
          <w:lang w:val="ro-RO"/>
        </w:rPr>
        <w:t>ю,</w:t>
      </w:r>
      <w:r w:rsidRPr="00A93937">
        <w:rPr>
          <w:rFonts w:asciiTheme="majorHAnsi" w:hAnsiTheme="majorHAnsi"/>
          <w:sz w:val="24"/>
          <w:szCs w:val="24"/>
          <w:lang w:val="ro-RO"/>
        </w:rPr>
        <w:t xml:space="preserve"> в доход </w:t>
      </w:r>
      <w:r w:rsidR="008F632D">
        <w:rPr>
          <w:rFonts w:asciiTheme="majorHAnsi" w:hAnsiTheme="majorHAnsi"/>
          <w:sz w:val="24"/>
          <w:szCs w:val="24"/>
          <w:lang w:val="ro-RO"/>
        </w:rPr>
        <w:t>ГБ</w:t>
      </w:r>
      <w:r w:rsidR="00832D19" w:rsidRPr="00832D19">
        <w:rPr>
          <w:rFonts w:asciiTheme="majorHAnsi" w:hAnsiTheme="majorHAnsi"/>
          <w:sz w:val="24"/>
          <w:szCs w:val="24"/>
          <w:lang w:val="ro-RO"/>
        </w:rPr>
        <w:t>,</w:t>
      </w:r>
      <w:r w:rsidRPr="00A93937">
        <w:rPr>
          <w:rFonts w:asciiTheme="majorHAnsi" w:hAnsiTheme="majorHAnsi"/>
          <w:sz w:val="24"/>
          <w:szCs w:val="24"/>
          <w:lang w:val="ro-RO"/>
        </w:rPr>
        <w:t xml:space="preserve"> </w:t>
      </w:r>
      <w:r w:rsidR="00A8765E" w:rsidRPr="00832D19">
        <w:rPr>
          <w:rFonts w:asciiTheme="majorHAnsi" w:hAnsiTheme="majorHAnsi"/>
          <w:sz w:val="24"/>
          <w:szCs w:val="24"/>
          <w:lang w:val="ro-RO"/>
        </w:rPr>
        <w:t>в</w:t>
      </w:r>
      <w:r w:rsidRPr="00A93937">
        <w:rPr>
          <w:rFonts w:asciiTheme="majorHAnsi" w:hAnsiTheme="majorHAnsi"/>
          <w:sz w:val="24"/>
          <w:szCs w:val="24"/>
          <w:lang w:val="ro-RO"/>
        </w:rPr>
        <w:t xml:space="preserve"> сумм</w:t>
      </w:r>
      <w:r w:rsidR="00A8765E" w:rsidRPr="00832D19">
        <w:rPr>
          <w:rFonts w:asciiTheme="majorHAnsi" w:hAnsiTheme="majorHAnsi"/>
          <w:sz w:val="24"/>
          <w:szCs w:val="24"/>
          <w:lang w:val="ro-RO"/>
        </w:rPr>
        <w:t>е</w:t>
      </w:r>
      <w:r w:rsidRPr="00A93937">
        <w:rPr>
          <w:rFonts w:asciiTheme="majorHAnsi" w:hAnsiTheme="majorHAnsi"/>
          <w:sz w:val="24"/>
          <w:szCs w:val="24"/>
          <w:lang w:val="ro-RO"/>
        </w:rPr>
        <w:t xml:space="preserve"> 218,4 млн. </w:t>
      </w:r>
      <w:r w:rsidR="008E6894">
        <w:rPr>
          <w:rFonts w:asciiTheme="majorHAnsi" w:hAnsiTheme="majorHAnsi"/>
          <w:sz w:val="24"/>
          <w:szCs w:val="24"/>
          <w:lang w:val="ro-RO"/>
        </w:rPr>
        <w:t>леев</w:t>
      </w:r>
      <w:r w:rsidRPr="00A93937">
        <w:rPr>
          <w:rFonts w:asciiTheme="majorHAnsi" w:hAnsiTheme="majorHAnsi"/>
          <w:sz w:val="24"/>
          <w:szCs w:val="24"/>
          <w:lang w:val="ro-RO"/>
        </w:rPr>
        <w:t xml:space="preserve">; </w:t>
      </w:r>
      <w:r w:rsidRPr="00A8765E">
        <w:rPr>
          <w:rFonts w:asciiTheme="majorHAnsi" w:hAnsiTheme="majorHAnsi"/>
          <w:i/>
          <w:sz w:val="24"/>
          <w:szCs w:val="24"/>
          <w:lang w:val="ro-RO"/>
        </w:rPr>
        <w:t>(iii)</w:t>
      </w:r>
      <w:r w:rsidRPr="00A93937">
        <w:rPr>
          <w:rFonts w:asciiTheme="majorHAnsi" w:hAnsiTheme="majorHAnsi"/>
          <w:sz w:val="24"/>
          <w:szCs w:val="24"/>
          <w:lang w:val="ro-RO"/>
        </w:rPr>
        <w:t xml:space="preserve"> увеличение доходов от платежей за загрязнение окружающей среды на 9,0 млн.</w:t>
      </w:r>
      <w:r w:rsidR="00832D19" w:rsidRPr="00832D19">
        <w:rPr>
          <w:rFonts w:asciiTheme="majorHAnsi" w:hAnsiTheme="majorHAnsi"/>
          <w:sz w:val="24"/>
          <w:szCs w:val="24"/>
          <w:lang w:val="ro-RO"/>
        </w:rPr>
        <w:t xml:space="preserve"> </w:t>
      </w:r>
      <w:r w:rsidRPr="00A93937">
        <w:rPr>
          <w:rFonts w:asciiTheme="majorHAnsi" w:hAnsiTheme="majorHAnsi"/>
          <w:sz w:val="24"/>
          <w:szCs w:val="24"/>
          <w:lang w:val="ro-RO"/>
        </w:rPr>
        <w:t>леев, или на 3,0% по сравнению с годовыми по</w:t>
      </w:r>
      <w:r w:rsidR="00832D19" w:rsidRPr="00832D19">
        <w:rPr>
          <w:rFonts w:asciiTheme="majorHAnsi" w:hAnsiTheme="majorHAnsi"/>
          <w:sz w:val="24"/>
          <w:szCs w:val="24"/>
          <w:lang w:val="ro-RO"/>
        </w:rPr>
        <w:t>казател</w:t>
      </w:r>
      <w:r w:rsidRPr="00A93937">
        <w:rPr>
          <w:rFonts w:asciiTheme="majorHAnsi" w:hAnsiTheme="majorHAnsi"/>
          <w:sz w:val="24"/>
          <w:szCs w:val="24"/>
          <w:lang w:val="ro-RO"/>
        </w:rPr>
        <w:t>ями</w:t>
      </w:r>
      <w:r w:rsidR="00832D19" w:rsidRPr="00832D19">
        <w:rPr>
          <w:rFonts w:asciiTheme="majorHAnsi" w:hAnsiTheme="majorHAnsi"/>
          <w:sz w:val="24"/>
          <w:szCs w:val="24"/>
          <w:lang w:val="ro-RO"/>
        </w:rPr>
        <w:t>,</w:t>
      </w:r>
      <w:r w:rsidRPr="00A93937">
        <w:rPr>
          <w:rFonts w:asciiTheme="majorHAnsi" w:hAnsiTheme="majorHAnsi"/>
          <w:sz w:val="24"/>
          <w:szCs w:val="24"/>
          <w:lang w:val="ro-RO"/>
        </w:rPr>
        <w:t xml:space="preserve"> в результате внесенных </w:t>
      </w:r>
      <w:r w:rsidR="00832D19">
        <w:rPr>
          <w:rFonts w:asciiTheme="majorHAnsi" w:hAnsiTheme="majorHAnsi"/>
          <w:sz w:val="24"/>
          <w:szCs w:val="24"/>
          <w:lang w:val="ro-RO"/>
        </w:rPr>
        <w:t xml:space="preserve">изменений </w:t>
      </w:r>
      <w:r w:rsidRPr="00A93937">
        <w:rPr>
          <w:rFonts w:asciiTheme="majorHAnsi" w:hAnsiTheme="majorHAnsi"/>
          <w:sz w:val="24"/>
          <w:szCs w:val="24"/>
          <w:lang w:val="ro-RO"/>
        </w:rPr>
        <w:t xml:space="preserve">в </w:t>
      </w:r>
      <w:r w:rsidR="00832D19" w:rsidRPr="00832D19">
        <w:rPr>
          <w:rFonts w:asciiTheme="majorHAnsi" w:hAnsiTheme="majorHAnsi"/>
          <w:sz w:val="24"/>
          <w:szCs w:val="24"/>
          <w:lang w:val="ro-RO"/>
        </w:rPr>
        <w:t>З</w:t>
      </w:r>
      <w:r w:rsidRPr="00A93937">
        <w:rPr>
          <w:rFonts w:asciiTheme="majorHAnsi" w:hAnsiTheme="majorHAnsi"/>
          <w:sz w:val="24"/>
          <w:szCs w:val="24"/>
          <w:lang w:val="ro-RO"/>
        </w:rPr>
        <w:t>ако</w:t>
      </w:r>
      <w:r w:rsidR="00832D19">
        <w:rPr>
          <w:rFonts w:asciiTheme="majorHAnsi" w:hAnsiTheme="majorHAnsi"/>
          <w:sz w:val="24"/>
          <w:szCs w:val="24"/>
          <w:lang w:val="ro-RO"/>
        </w:rPr>
        <w:t xml:space="preserve">н </w:t>
      </w:r>
      <w:r w:rsidR="00832D19" w:rsidRPr="00A93937">
        <w:rPr>
          <w:rFonts w:asciiTheme="majorHAnsi" w:hAnsiTheme="majorHAnsi"/>
          <w:sz w:val="24"/>
          <w:szCs w:val="24"/>
          <w:lang w:val="ro-RO"/>
        </w:rPr>
        <w:t xml:space="preserve">о плате за загрязнение окружающей среды </w:t>
      </w:r>
      <w:r w:rsidR="00832D19">
        <w:rPr>
          <w:rFonts w:asciiTheme="majorHAnsi" w:hAnsiTheme="majorHAnsi"/>
          <w:sz w:val="24"/>
          <w:szCs w:val="24"/>
          <w:lang w:val="ro-RO"/>
        </w:rPr>
        <w:t>№</w:t>
      </w:r>
      <w:r w:rsidRPr="00A93937">
        <w:rPr>
          <w:rFonts w:asciiTheme="majorHAnsi" w:hAnsiTheme="majorHAnsi"/>
          <w:sz w:val="24"/>
          <w:szCs w:val="24"/>
          <w:lang w:val="ro-RO"/>
        </w:rPr>
        <w:t>1540/1998</w:t>
      </w:r>
      <w:r w:rsidR="00832D19" w:rsidRPr="00F55BA6">
        <w:rPr>
          <w:rStyle w:val="FootnoteReference"/>
          <w:rFonts w:asciiTheme="majorHAnsi" w:hAnsiTheme="majorHAnsi" w:cstheme="majorHAnsi"/>
          <w:sz w:val="24"/>
          <w:szCs w:val="24"/>
          <w:lang w:val="ro-RO"/>
        </w:rPr>
        <w:footnoteReference w:id="92"/>
      </w:r>
      <w:r w:rsidR="00832D19" w:rsidRPr="00832D19">
        <w:rPr>
          <w:rFonts w:asciiTheme="majorHAnsi" w:hAnsiTheme="majorHAnsi"/>
          <w:sz w:val="24"/>
          <w:szCs w:val="24"/>
          <w:lang w:val="ro-RO"/>
        </w:rPr>
        <w:t>,</w:t>
      </w:r>
      <w:r w:rsidRPr="00A93937">
        <w:rPr>
          <w:rFonts w:asciiTheme="majorHAnsi" w:hAnsiTheme="majorHAnsi"/>
          <w:sz w:val="24"/>
          <w:szCs w:val="24"/>
          <w:lang w:val="ro-RO"/>
        </w:rPr>
        <w:t xml:space="preserve"> путем увеличения </w:t>
      </w:r>
      <w:r w:rsidR="00832D19">
        <w:rPr>
          <w:rFonts w:asciiTheme="majorHAnsi" w:hAnsiTheme="majorHAnsi"/>
          <w:sz w:val="24"/>
          <w:szCs w:val="24"/>
          <w:lang w:val="ru-RU"/>
        </w:rPr>
        <w:t>с</w:t>
      </w:r>
      <w:r w:rsidR="00832D19" w:rsidRPr="00832D19">
        <w:rPr>
          <w:rFonts w:asciiTheme="majorHAnsi" w:hAnsiTheme="majorHAnsi"/>
          <w:sz w:val="24"/>
          <w:szCs w:val="24"/>
          <w:lang w:val="ru-RU"/>
        </w:rPr>
        <w:t>бор</w:t>
      </w:r>
      <w:r w:rsidR="00832D19">
        <w:rPr>
          <w:rFonts w:asciiTheme="majorHAnsi" w:hAnsiTheme="majorHAnsi"/>
          <w:sz w:val="24"/>
          <w:szCs w:val="24"/>
          <w:lang w:val="ru-RU"/>
        </w:rPr>
        <w:t>а</w:t>
      </w:r>
      <w:r w:rsidR="00832D19" w:rsidRPr="00832D19">
        <w:rPr>
          <w:rFonts w:asciiTheme="majorHAnsi" w:hAnsiTheme="majorHAnsi"/>
          <w:sz w:val="24"/>
          <w:szCs w:val="24"/>
          <w:lang w:val="ru-RU"/>
        </w:rPr>
        <w:t xml:space="preserve"> за товары, в процессе использования которых загрязняется окружающая среда</w:t>
      </w:r>
      <w:r w:rsidR="00832D19">
        <w:rPr>
          <w:rFonts w:asciiTheme="majorHAnsi" w:hAnsiTheme="majorHAnsi"/>
          <w:sz w:val="24"/>
          <w:szCs w:val="24"/>
          <w:lang w:val="ro-RO"/>
        </w:rPr>
        <w:t xml:space="preserve"> и др</w:t>
      </w:r>
      <w:r w:rsidR="006E2E6A" w:rsidRPr="00F55BA6">
        <w:rPr>
          <w:rFonts w:asciiTheme="majorHAnsi" w:hAnsiTheme="majorHAnsi" w:cstheme="majorHAnsi"/>
          <w:sz w:val="24"/>
          <w:szCs w:val="24"/>
          <w:lang w:val="ro-RO"/>
        </w:rPr>
        <w:t>.</w:t>
      </w:r>
    </w:p>
    <w:p w:rsidR="006E2E6A" w:rsidRPr="00F55BA6" w:rsidRDefault="00A93937" w:rsidP="006E2E6A">
      <w:pPr>
        <w:pStyle w:val="ListParagraph"/>
        <w:shd w:val="clear" w:color="auto" w:fill="FFFFFF"/>
        <w:tabs>
          <w:tab w:val="left" w:pos="142"/>
        </w:tabs>
        <w:spacing w:after="0" w:line="276" w:lineRule="auto"/>
        <w:ind w:left="0"/>
        <w:rPr>
          <w:rFonts w:asciiTheme="majorHAnsi" w:hAnsiTheme="majorHAnsi" w:cstheme="majorHAnsi"/>
          <w:sz w:val="24"/>
          <w:szCs w:val="24"/>
          <w:lang w:val="ro-RO"/>
        </w:rPr>
      </w:pPr>
      <w:r w:rsidRPr="00A93937">
        <w:rPr>
          <w:rFonts w:asciiTheme="majorHAnsi" w:hAnsiTheme="majorHAnsi" w:cstheme="majorHAnsi"/>
          <w:sz w:val="24"/>
          <w:szCs w:val="24"/>
          <w:lang w:val="ro-RO"/>
        </w:rPr>
        <w:t xml:space="preserve">В </w:t>
      </w:r>
      <w:r w:rsidR="00832D19">
        <w:rPr>
          <w:rFonts w:asciiTheme="majorHAnsi" w:hAnsiTheme="majorHAnsi" w:cstheme="majorHAnsi"/>
          <w:sz w:val="24"/>
          <w:szCs w:val="24"/>
          <w:lang w:val="ru-RU"/>
        </w:rPr>
        <w:t>ГБ</w:t>
      </w:r>
      <w:r w:rsidRPr="00A93937">
        <w:rPr>
          <w:rFonts w:asciiTheme="majorHAnsi" w:hAnsiTheme="majorHAnsi" w:cstheme="majorHAnsi"/>
          <w:sz w:val="24"/>
          <w:szCs w:val="24"/>
          <w:lang w:val="ro-RO"/>
        </w:rPr>
        <w:t xml:space="preserve"> были </w:t>
      </w:r>
      <w:r w:rsidR="00C002CF">
        <w:rPr>
          <w:rFonts w:asciiTheme="majorHAnsi" w:hAnsiTheme="majorHAnsi" w:cstheme="majorHAnsi"/>
          <w:sz w:val="24"/>
          <w:szCs w:val="24"/>
          <w:lang w:val="ru-RU"/>
        </w:rPr>
        <w:t>взысканы</w:t>
      </w:r>
      <w:r w:rsidRPr="00A93937">
        <w:rPr>
          <w:rFonts w:asciiTheme="majorHAnsi" w:hAnsiTheme="majorHAnsi" w:cstheme="majorHAnsi"/>
          <w:sz w:val="24"/>
          <w:szCs w:val="24"/>
          <w:lang w:val="ro-RO"/>
        </w:rPr>
        <w:t xml:space="preserve"> средства на сумму 6,5 млн. леев </w:t>
      </w:r>
      <w:r w:rsidR="00C002CF">
        <w:rPr>
          <w:rFonts w:asciiTheme="majorHAnsi" w:hAnsiTheme="majorHAnsi" w:cstheme="majorHAnsi"/>
          <w:sz w:val="24"/>
          <w:szCs w:val="24"/>
          <w:lang w:val="ru-RU"/>
        </w:rPr>
        <w:t>от</w:t>
      </w:r>
      <w:r w:rsidRPr="00A93937">
        <w:rPr>
          <w:rFonts w:asciiTheme="majorHAnsi" w:hAnsiTheme="majorHAnsi" w:cstheme="majorHAnsi"/>
          <w:sz w:val="24"/>
          <w:szCs w:val="24"/>
          <w:lang w:val="ro-RO"/>
        </w:rPr>
        <w:t xml:space="preserve"> превышения расходов </w:t>
      </w:r>
      <w:r w:rsidR="00C002CF" w:rsidRPr="00A93937">
        <w:rPr>
          <w:rFonts w:asciiTheme="majorHAnsi" w:hAnsiTheme="majorHAnsi" w:cstheme="majorHAnsi"/>
          <w:sz w:val="24"/>
          <w:szCs w:val="24"/>
          <w:lang w:val="ro-RO"/>
        </w:rPr>
        <w:t>доход</w:t>
      </w:r>
      <w:r w:rsidR="00C002CF">
        <w:rPr>
          <w:rFonts w:asciiTheme="majorHAnsi" w:hAnsiTheme="majorHAnsi" w:cstheme="majorHAnsi"/>
          <w:sz w:val="24"/>
          <w:szCs w:val="24"/>
          <w:lang w:val="ru-RU"/>
        </w:rPr>
        <w:t>ами</w:t>
      </w:r>
      <w:r w:rsidR="00C002CF" w:rsidRPr="00A93937">
        <w:rPr>
          <w:rFonts w:asciiTheme="majorHAnsi" w:hAnsiTheme="majorHAnsi" w:cstheme="majorHAnsi"/>
          <w:sz w:val="24"/>
          <w:szCs w:val="24"/>
          <w:lang w:val="ro-RO"/>
        </w:rPr>
        <w:t xml:space="preserve"> </w:t>
      </w:r>
      <w:r w:rsidR="00C002CF">
        <w:rPr>
          <w:rFonts w:asciiTheme="majorHAnsi" w:hAnsiTheme="majorHAnsi" w:cstheme="majorHAnsi"/>
          <w:sz w:val="24"/>
          <w:szCs w:val="24"/>
          <w:lang w:val="ru-RU"/>
        </w:rPr>
        <w:t>публич</w:t>
      </w:r>
      <w:r w:rsidR="00C002CF" w:rsidRPr="00A93937">
        <w:rPr>
          <w:rFonts w:asciiTheme="majorHAnsi" w:hAnsiTheme="majorHAnsi" w:cstheme="majorHAnsi"/>
          <w:sz w:val="24"/>
          <w:szCs w:val="24"/>
          <w:lang w:val="ro-RO"/>
        </w:rPr>
        <w:t xml:space="preserve">ными </w:t>
      </w:r>
      <w:r w:rsidRPr="00A93937">
        <w:rPr>
          <w:rFonts w:asciiTheme="majorHAnsi" w:hAnsiTheme="majorHAnsi" w:cstheme="majorHAnsi"/>
          <w:sz w:val="24"/>
          <w:szCs w:val="24"/>
          <w:lang w:val="ro-RO"/>
        </w:rPr>
        <w:t>органами/учреждениями на самоуправлени</w:t>
      </w:r>
      <w:r w:rsidR="00C002CF">
        <w:rPr>
          <w:rFonts w:asciiTheme="majorHAnsi" w:hAnsiTheme="majorHAnsi" w:cstheme="majorHAnsi"/>
          <w:sz w:val="24"/>
          <w:szCs w:val="24"/>
          <w:lang w:val="ru-RU"/>
        </w:rPr>
        <w:t>и,</w:t>
      </w:r>
      <w:r w:rsidRPr="00A93937">
        <w:rPr>
          <w:rFonts w:asciiTheme="majorHAnsi" w:hAnsiTheme="majorHAnsi" w:cstheme="majorHAnsi"/>
          <w:sz w:val="24"/>
          <w:szCs w:val="24"/>
          <w:lang w:val="ro-RO"/>
        </w:rPr>
        <w:t xml:space="preserve"> или на 6,3 млн. леев больше по сравнению с предыдущим годом. </w:t>
      </w:r>
      <w:r w:rsidR="00C002CF">
        <w:rPr>
          <w:rFonts w:asciiTheme="majorHAnsi" w:hAnsiTheme="majorHAnsi" w:cstheme="majorHAnsi"/>
          <w:sz w:val="24"/>
          <w:szCs w:val="24"/>
          <w:lang w:val="ru-RU"/>
        </w:rPr>
        <w:t>Кроме того,</w:t>
      </w:r>
      <w:r w:rsidRPr="00A93937">
        <w:rPr>
          <w:rFonts w:asciiTheme="majorHAnsi" w:hAnsiTheme="majorHAnsi" w:cstheme="majorHAnsi"/>
          <w:sz w:val="24"/>
          <w:szCs w:val="24"/>
          <w:lang w:val="ro-RO"/>
        </w:rPr>
        <w:t xml:space="preserve"> </w:t>
      </w:r>
      <w:r w:rsidR="00C002CF" w:rsidRPr="00A93937">
        <w:rPr>
          <w:rFonts w:asciiTheme="majorHAnsi" w:hAnsiTheme="majorHAnsi" w:cstheme="majorHAnsi"/>
          <w:sz w:val="24"/>
          <w:szCs w:val="24"/>
          <w:lang w:val="ro-RO"/>
        </w:rPr>
        <w:t xml:space="preserve">акционерные общества </w:t>
      </w:r>
      <w:r w:rsidRPr="00A93937">
        <w:rPr>
          <w:rFonts w:asciiTheme="majorHAnsi" w:hAnsiTheme="majorHAnsi" w:cstheme="majorHAnsi"/>
          <w:sz w:val="24"/>
          <w:szCs w:val="24"/>
          <w:lang w:val="ro-RO"/>
        </w:rPr>
        <w:t>пере</w:t>
      </w:r>
      <w:r w:rsidR="00C002CF">
        <w:rPr>
          <w:rFonts w:asciiTheme="majorHAnsi" w:hAnsiTheme="majorHAnsi" w:cstheme="majorHAnsi"/>
          <w:sz w:val="24"/>
          <w:szCs w:val="24"/>
          <w:lang w:val="ru-RU"/>
        </w:rPr>
        <w:t>числи</w:t>
      </w:r>
      <w:r w:rsidRPr="00A93937">
        <w:rPr>
          <w:rFonts w:asciiTheme="majorHAnsi" w:hAnsiTheme="majorHAnsi" w:cstheme="majorHAnsi"/>
          <w:sz w:val="24"/>
          <w:szCs w:val="24"/>
          <w:lang w:val="ro-RO"/>
        </w:rPr>
        <w:t xml:space="preserve">ли дивиденды </w:t>
      </w:r>
      <w:r w:rsidR="00C002CF">
        <w:rPr>
          <w:rFonts w:asciiTheme="majorHAnsi" w:hAnsiTheme="majorHAnsi" w:cstheme="majorHAnsi"/>
          <w:sz w:val="24"/>
          <w:szCs w:val="24"/>
          <w:lang w:val="ru-RU"/>
        </w:rPr>
        <w:t>от</w:t>
      </w:r>
      <w:r w:rsidR="00C002CF" w:rsidRPr="00A93937">
        <w:rPr>
          <w:rFonts w:asciiTheme="majorHAnsi" w:hAnsiTheme="majorHAnsi" w:cstheme="majorHAnsi"/>
          <w:sz w:val="24"/>
          <w:szCs w:val="24"/>
          <w:lang w:val="ro-RO"/>
        </w:rPr>
        <w:t xml:space="preserve"> доли публичной собственности </w:t>
      </w:r>
      <w:r w:rsidRPr="00A93937">
        <w:rPr>
          <w:rFonts w:asciiTheme="majorHAnsi" w:hAnsiTheme="majorHAnsi" w:cstheme="majorHAnsi"/>
          <w:sz w:val="24"/>
          <w:szCs w:val="24"/>
          <w:lang w:val="ro-RO"/>
        </w:rPr>
        <w:t>на общую сумму 104,5 млн. леев, а государственные предприятия пере</w:t>
      </w:r>
      <w:r w:rsidR="00C002CF">
        <w:rPr>
          <w:rFonts w:asciiTheme="majorHAnsi" w:hAnsiTheme="majorHAnsi" w:cstheme="majorHAnsi"/>
          <w:sz w:val="24"/>
          <w:szCs w:val="24"/>
          <w:lang w:val="ru-RU"/>
        </w:rPr>
        <w:t>числи</w:t>
      </w:r>
      <w:r w:rsidRPr="00A93937">
        <w:rPr>
          <w:rFonts w:asciiTheme="majorHAnsi" w:hAnsiTheme="majorHAnsi" w:cstheme="majorHAnsi"/>
          <w:sz w:val="24"/>
          <w:szCs w:val="24"/>
          <w:lang w:val="ro-RO"/>
        </w:rPr>
        <w:t>ли отчисления из чистой прибыли на сумму 87,1 млн. леев.</w:t>
      </w:r>
    </w:p>
    <w:p w:rsidR="00AC6703" w:rsidRPr="003A12E6" w:rsidRDefault="00EA7373" w:rsidP="00AC6703">
      <w:pPr>
        <w:spacing w:after="0" w:line="276" w:lineRule="auto"/>
        <w:rPr>
          <w:rFonts w:asciiTheme="majorHAnsi" w:hAnsiTheme="majorHAnsi" w:cstheme="majorHAnsi"/>
          <w:b/>
          <w:sz w:val="24"/>
          <w:szCs w:val="24"/>
          <w:lang w:val="ro-RO"/>
        </w:rPr>
      </w:pPr>
      <w:r w:rsidRPr="00F55BA6">
        <w:rPr>
          <w:rFonts w:asciiTheme="majorHAnsi" w:hAnsiTheme="majorHAnsi" w:cstheme="majorHAnsi"/>
          <w:b/>
          <w:sz w:val="24"/>
          <w:szCs w:val="24"/>
          <w:lang w:val="ro-RO"/>
        </w:rPr>
        <w:t xml:space="preserve">7.2 </w:t>
      </w:r>
      <w:r w:rsidR="008F632D">
        <w:rPr>
          <w:rFonts w:asciiTheme="majorHAnsi" w:hAnsiTheme="majorHAnsi" w:cstheme="majorHAnsi"/>
          <w:b/>
          <w:sz w:val="24"/>
          <w:szCs w:val="24"/>
          <w:lang w:val="ro-RO"/>
        </w:rPr>
        <w:t>Кассовые</w:t>
      </w:r>
      <w:r w:rsidR="00A93937" w:rsidRPr="00A93937">
        <w:rPr>
          <w:rFonts w:asciiTheme="majorHAnsi" w:hAnsiTheme="majorHAnsi" w:cstheme="majorHAnsi"/>
          <w:b/>
          <w:sz w:val="24"/>
          <w:szCs w:val="24"/>
          <w:lang w:val="ro-RO"/>
        </w:rPr>
        <w:t xml:space="preserve"> расходы </w:t>
      </w:r>
      <w:r w:rsidR="001D6EB0">
        <w:rPr>
          <w:rFonts w:asciiTheme="majorHAnsi" w:hAnsiTheme="majorHAnsi" w:cstheme="majorHAnsi"/>
          <w:b/>
          <w:sz w:val="24"/>
          <w:szCs w:val="24"/>
          <w:lang w:val="ro-RO"/>
        </w:rPr>
        <w:t>государственного бюджета</w:t>
      </w:r>
      <w:r w:rsidR="00A93937" w:rsidRPr="00A93937">
        <w:rPr>
          <w:rFonts w:asciiTheme="majorHAnsi" w:hAnsiTheme="majorHAnsi" w:cstheme="majorHAnsi"/>
          <w:b/>
          <w:sz w:val="24"/>
          <w:szCs w:val="24"/>
          <w:lang w:val="ro-RO"/>
        </w:rPr>
        <w:t xml:space="preserve"> </w:t>
      </w:r>
      <w:r w:rsidR="00C002CF" w:rsidRPr="00C002CF">
        <w:rPr>
          <w:rFonts w:asciiTheme="majorHAnsi" w:hAnsiTheme="majorHAnsi" w:cstheme="majorHAnsi"/>
          <w:b/>
          <w:sz w:val="24"/>
          <w:szCs w:val="24"/>
          <w:lang w:val="ro-RO"/>
        </w:rPr>
        <w:t>за</w:t>
      </w:r>
      <w:r w:rsidR="00A93937" w:rsidRPr="00A93937">
        <w:rPr>
          <w:rFonts w:asciiTheme="majorHAnsi" w:hAnsiTheme="majorHAnsi" w:cstheme="majorHAnsi"/>
          <w:b/>
          <w:sz w:val="24"/>
          <w:szCs w:val="24"/>
          <w:lang w:val="ro-RO"/>
        </w:rPr>
        <w:t xml:space="preserve"> 2020 год были </w:t>
      </w:r>
      <w:r w:rsidR="0066158B">
        <w:rPr>
          <w:rFonts w:asciiTheme="majorHAnsi" w:hAnsiTheme="majorHAnsi" w:cstheme="majorHAnsi"/>
          <w:b/>
          <w:sz w:val="24"/>
          <w:szCs w:val="24"/>
          <w:lang w:val="ro-RO"/>
        </w:rPr>
        <w:t>исполнены</w:t>
      </w:r>
      <w:r w:rsidR="00A93937" w:rsidRPr="00A93937">
        <w:rPr>
          <w:rFonts w:asciiTheme="majorHAnsi" w:hAnsiTheme="majorHAnsi" w:cstheme="majorHAnsi"/>
          <w:b/>
          <w:sz w:val="24"/>
          <w:szCs w:val="24"/>
          <w:lang w:val="ro-RO"/>
        </w:rPr>
        <w:t xml:space="preserve"> ниже </w:t>
      </w:r>
      <w:r w:rsidR="001D6EB0">
        <w:rPr>
          <w:rFonts w:asciiTheme="majorHAnsi" w:hAnsiTheme="majorHAnsi" w:cstheme="majorHAnsi"/>
          <w:b/>
          <w:sz w:val="24"/>
          <w:szCs w:val="24"/>
          <w:lang w:val="ro-RO"/>
        </w:rPr>
        <w:t>уточне</w:t>
      </w:r>
      <w:r w:rsidR="00A93937" w:rsidRPr="00A93937">
        <w:rPr>
          <w:rFonts w:asciiTheme="majorHAnsi" w:hAnsiTheme="majorHAnsi" w:cstheme="majorHAnsi"/>
          <w:b/>
          <w:sz w:val="24"/>
          <w:szCs w:val="24"/>
          <w:lang w:val="ro-RO"/>
        </w:rPr>
        <w:t xml:space="preserve">нного уровня, не было освоено 6,8%, программы расходов были пересмотрены </w:t>
      </w:r>
      <w:r w:rsidR="00484EFC" w:rsidRPr="00484EFC">
        <w:rPr>
          <w:rFonts w:asciiTheme="majorHAnsi" w:hAnsiTheme="majorHAnsi" w:cstheme="majorHAnsi"/>
          <w:b/>
          <w:sz w:val="24"/>
          <w:szCs w:val="24"/>
          <w:lang w:val="ro-RO"/>
        </w:rPr>
        <w:t>с учетом их</w:t>
      </w:r>
      <w:r w:rsidR="00A93937" w:rsidRPr="00A93937">
        <w:rPr>
          <w:rFonts w:asciiTheme="majorHAnsi" w:hAnsiTheme="majorHAnsi" w:cstheme="majorHAnsi"/>
          <w:b/>
          <w:sz w:val="24"/>
          <w:szCs w:val="24"/>
          <w:lang w:val="ro-RO"/>
        </w:rPr>
        <w:t xml:space="preserve"> выполнения и </w:t>
      </w:r>
      <w:r w:rsidR="00484EFC" w:rsidRPr="00484EFC">
        <w:rPr>
          <w:rFonts w:asciiTheme="majorHAnsi" w:hAnsiTheme="majorHAnsi" w:cstheme="majorHAnsi"/>
          <w:b/>
          <w:sz w:val="24"/>
          <w:szCs w:val="24"/>
          <w:lang w:val="ro-RO"/>
        </w:rPr>
        <w:t>выявл</w:t>
      </w:r>
      <w:r w:rsidR="00A93937" w:rsidRPr="00A93937">
        <w:rPr>
          <w:rFonts w:asciiTheme="majorHAnsi" w:hAnsiTheme="majorHAnsi" w:cstheme="majorHAnsi"/>
          <w:b/>
          <w:sz w:val="24"/>
          <w:szCs w:val="24"/>
          <w:lang w:val="ro-RO"/>
        </w:rPr>
        <w:t xml:space="preserve">ения дополнительных ресурсов для </w:t>
      </w:r>
      <w:r w:rsidR="00C27DDF" w:rsidRPr="00C27DDF">
        <w:rPr>
          <w:rFonts w:asciiTheme="majorHAnsi" w:hAnsiTheme="majorHAnsi" w:cstheme="majorHAnsi"/>
          <w:b/>
          <w:sz w:val="24"/>
          <w:szCs w:val="24"/>
          <w:lang w:val="ro-RO"/>
        </w:rPr>
        <w:t>срочн</w:t>
      </w:r>
      <w:r w:rsidR="00A93937" w:rsidRPr="00A93937">
        <w:rPr>
          <w:rFonts w:asciiTheme="majorHAnsi" w:hAnsiTheme="majorHAnsi" w:cstheme="majorHAnsi"/>
          <w:b/>
          <w:sz w:val="24"/>
          <w:szCs w:val="24"/>
          <w:lang w:val="ro-RO"/>
        </w:rPr>
        <w:t>ых расходов</w:t>
      </w:r>
      <w:r w:rsidR="00576621">
        <w:rPr>
          <w:rFonts w:asciiTheme="majorHAnsi" w:hAnsiTheme="majorHAnsi" w:cstheme="majorHAnsi"/>
          <w:b/>
          <w:sz w:val="24"/>
          <w:szCs w:val="24"/>
          <w:lang w:val="ro-RO"/>
        </w:rPr>
        <w:t>.</w:t>
      </w:r>
    </w:p>
    <w:p w:rsidR="00AC6703" w:rsidRDefault="00484EFC" w:rsidP="001D1C4D">
      <w:pPr>
        <w:spacing w:after="0" w:line="276" w:lineRule="auto"/>
        <w:rPr>
          <w:rFonts w:asciiTheme="majorHAnsi" w:hAnsiTheme="majorHAnsi" w:cstheme="majorHAnsi"/>
          <w:sz w:val="24"/>
          <w:szCs w:val="24"/>
          <w:lang w:val="ru-RU"/>
        </w:rPr>
      </w:pPr>
      <w:r>
        <w:rPr>
          <w:rFonts w:asciiTheme="majorHAnsi" w:hAnsiTheme="majorHAnsi" w:cstheme="majorHAnsi"/>
          <w:sz w:val="24"/>
          <w:szCs w:val="24"/>
          <w:lang w:val="ru-RU"/>
        </w:rPr>
        <w:t>Кассовые р</w:t>
      </w:r>
      <w:r w:rsidR="00A93937" w:rsidRPr="00A93937">
        <w:rPr>
          <w:rFonts w:asciiTheme="majorHAnsi" w:hAnsiTheme="majorHAnsi" w:cstheme="majorHAnsi"/>
          <w:sz w:val="24"/>
          <w:szCs w:val="24"/>
          <w:lang w:val="ro-RO"/>
        </w:rPr>
        <w:t>асходы</w:t>
      </w:r>
      <w:r w:rsidRPr="00E4517B">
        <w:rPr>
          <w:rFonts w:asciiTheme="majorHAnsi" w:hAnsiTheme="majorHAnsi" w:cstheme="majorHAnsi"/>
          <w:sz w:val="24"/>
          <w:szCs w:val="24"/>
          <w:vertAlign w:val="superscript"/>
          <w:lang w:val="ro-RO"/>
        </w:rPr>
        <w:footnoteReference w:id="93"/>
      </w:r>
      <w:r w:rsidR="00A93937" w:rsidRPr="00A93937">
        <w:rPr>
          <w:rFonts w:asciiTheme="majorHAnsi" w:hAnsiTheme="majorHAnsi" w:cstheme="majorHAnsi"/>
          <w:sz w:val="24"/>
          <w:szCs w:val="24"/>
          <w:lang w:val="ro-RO"/>
        </w:rPr>
        <w:t xml:space="preserve"> были </w:t>
      </w:r>
      <w:r w:rsidR="0066158B">
        <w:rPr>
          <w:rFonts w:asciiTheme="majorHAnsi" w:hAnsiTheme="majorHAnsi" w:cstheme="majorHAnsi"/>
          <w:sz w:val="24"/>
          <w:szCs w:val="24"/>
          <w:lang w:val="ro-RO"/>
        </w:rPr>
        <w:t>исполнены</w:t>
      </w:r>
      <w:r w:rsidR="00A93937" w:rsidRPr="00A93937">
        <w:rPr>
          <w:rFonts w:asciiTheme="majorHAnsi" w:hAnsiTheme="majorHAnsi" w:cstheme="majorHAnsi"/>
          <w:sz w:val="24"/>
          <w:szCs w:val="24"/>
          <w:lang w:val="ro-RO"/>
        </w:rPr>
        <w:t xml:space="preserve"> на уровне 93,2%, или </w:t>
      </w:r>
      <w:r>
        <w:rPr>
          <w:rFonts w:asciiTheme="majorHAnsi" w:hAnsiTheme="majorHAnsi" w:cstheme="majorHAnsi"/>
          <w:sz w:val="24"/>
          <w:szCs w:val="24"/>
          <w:lang w:val="ru-RU"/>
        </w:rPr>
        <w:t>в</w:t>
      </w:r>
      <w:r w:rsidR="00A93937" w:rsidRPr="00A93937">
        <w:rPr>
          <w:rFonts w:asciiTheme="majorHAnsi" w:hAnsiTheme="majorHAnsi" w:cstheme="majorHAnsi"/>
          <w:sz w:val="24"/>
          <w:szCs w:val="24"/>
          <w:lang w:val="ro-RO"/>
        </w:rPr>
        <w:t xml:space="preserve"> сумм</w:t>
      </w:r>
      <w:r>
        <w:rPr>
          <w:rFonts w:asciiTheme="majorHAnsi" w:hAnsiTheme="majorHAnsi" w:cstheme="majorHAnsi"/>
          <w:sz w:val="24"/>
          <w:szCs w:val="24"/>
          <w:lang w:val="ru-RU"/>
        </w:rPr>
        <w:t>е</w:t>
      </w:r>
      <w:r w:rsidR="00A93937" w:rsidRPr="00A93937">
        <w:rPr>
          <w:rFonts w:asciiTheme="majorHAnsi" w:hAnsiTheme="majorHAnsi" w:cstheme="majorHAnsi"/>
          <w:sz w:val="24"/>
          <w:szCs w:val="24"/>
          <w:lang w:val="ro-RO"/>
        </w:rPr>
        <w:t xml:space="preserve"> 49 635,4 млн. л</w:t>
      </w:r>
      <w:r>
        <w:rPr>
          <w:rFonts w:asciiTheme="majorHAnsi" w:hAnsiTheme="majorHAnsi" w:cstheme="majorHAnsi"/>
          <w:sz w:val="24"/>
          <w:szCs w:val="24"/>
          <w:lang w:val="ru-RU"/>
        </w:rPr>
        <w:t xml:space="preserve">еев, </w:t>
      </w:r>
      <w:r w:rsidR="00FE13B7">
        <w:rPr>
          <w:rFonts w:asciiTheme="majorHAnsi" w:hAnsiTheme="majorHAnsi" w:cstheme="majorHAnsi"/>
          <w:sz w:val="24"/>
          <w:szCs w:val="24"/>
          <w:lang w:val="ro-RO"/>
        </w:rPr>
        <w:t xml:space="preserve"> зарегистрирован остаток неосвоен</w:t>
      </w:r>
      <w:r w:rsidR="00A93937" w:rsidRPr="00A93937">
        <w:rPr>
          <w:rFonts w:asciiTheme="majorHAnsi" w:hAnsiTheme="majorHAnsi" w:cstheme="majorHAnsi"/>
          <w:sz w:val="24"/>
          <w:szCs w:val="24"/>
          <w:lang w:val="ro-RO"/>
        </w:rPr>
        <w:t xml:space="preserve">ных ассигнований на сумму 3 645,2 млн. леев, или 6,8% от </w:t>
      </w:r>
      <w:r w:rsidR="00FE13B7">
        <w:rPr>
          <w:rFonts w:asciiTheme="majorHAnsi" w:hAnsiTheme="majorHAnsi" w:cstheme="majorHAnsi"/>
          <w:sz w:val="24"/>
          <w:szCs w:val="24"/>
          <w:lang w:val="ru-RU"/>
        </w:rPr>
        <w:t>общего объема</w:t>
      </w:r>
      <w:r w:rsidR="00A93937" w:rsidRPr="00A93937">
        <w:rPr>
          <w:rFonts w:asciiTheme="majorHAnsi" w:hAnsiTheme="majorHAnsi" w:cstheme="majorHAnsi"/>
          <w:sz w:val="24"/>
          <w:szCs w:val="24"/>
          <w:lang w:val="ro-RO"/>
        </w:rPr>
        <w:t xml:space="preserve"> </w:t>
      </w:r>
      <w:r w:rsidR="0066158B">
        <w:rPr>
          <w:rFonts w:asciiTheme="majorHAnsi" w:hAnsiTheme="majorHAnsi" w:cstheme="majorHAnsi"/>
          <w:sz w:val="24"/>
          <w:szCs w:val="24"/>
          <w:lang w:val="ro-RO"/>
        </w:rPr>
        <w:t>уточненных</w:t>
      </w:r>
      <w:r w:rsidR="00A93937" w:rsidRPr="00A93937">
        <w:rPr>
          <w:rFonts w:asciiTheme="majorHAnsi" w:hAnsiTheme="majorHAnsi" w:cstheme="majorHAnsi"/>
          <w:sz w:val="24"/>
          <w:szCs w:val="24"/>
          <w:lang w:val="ro-RO"/>
        </w:rPr>
        <w:t xml:space="preserve"> расходов. </w:t>
      </w:r>
      <w:r w:rsidR="00FE13B7">
        <w:rPr>
          <w:rFonts w:asciiTheme="majorHAnsi" w:hAnsiTheme="majorHAnsi" w:cstheme="majorHAnsi"/>
          <w:sz w:val="24"/>
          <w:szCs w:val="24"/>
          <w:lang w:val="ru-RU"/>
        </w:rPr>
        <w:t>Отмеч</w:t>
      </w:r>
      <w:r w:rsidR="00A93937" w:rsidRPr="00A93937">
        <w:rPr>
          <w:rFonts w:asciiTheme="majorHAnsi" w:hAnsiTheme="majorHAnsi" w:cstheme="majorHAnsi"/>
          <w:sz w:val="24"/>
          <w:szCs w:val="24"/>
          <w:lang w:val="ro-RO"/>
        </w:rPr>
        <w:t xml:space="preserve">ается рост на 6 561,5 млн. леев (15,2%) по сравнению </w:t>
      </w:r>
      <w:proofErr w:type="gramStart"/>
      <w:r w:rsidR="00A93937" w:rsidRPr="00A93937">
        <w:rPr>
          <w:rFonts w:asciiTheme="majorHAnsi" w:hAnsiTheme="majorHAnsi" w:cstheme="majorHAnsi"/>
          <w:sz w:val="24"/>
          <w:szCs w:val="24"/>
          <w:lang w:val="ro-RO"/>
        </w:rPr>
        <w:t xml:space="preserve">с </w:t>
      </w:r>
      <w:r w:rsidR="00FE13B7">
        <w:rPr>
          <w:rFonts w:asciiTheme="majorHAnsi" w:hAnsiTheme="majorHAnsi" w:cstheme="majorHAnsi"/>
          <w:sz w:val="24"/>
          <w:szCs w:val="24"/>
          <w:lang w:val="ru-RU"/>
        </w:rPr>
        <w:t>кассовыми расходами</w:t>
      </w:r>
      <w:proofErr w:type="gramEnd"/>
      <w:r w:rsidR="00FE13B7">
        <w:rPr>
          <w:rFonts w:asciiTheme="majorHAnsi" w:hAnsiTheme="majorHAnsi" w:cstheme="majorHAnsi"/>
          <w:sz w:val="24"/>
          <w:szCs w:val="24"/>
          <w:lang w:val="ru-RU"/>
        </w:rPr>
        <w:t xml:space="preserve"> ис</w:t>
      </w:r>
      <w:r w:rsidR="00FE13B7" w:rsidRPr="00A93937">
        <w:rPr>
          <w:rFonts w:asciiTheme="majorHAnsi" w:hAnsiTheme="majorHAnsi" w:cstheme="majorHAnsi"/>
          <w:sz w:val="24"/>
          <w:szCs w:val="24"/>
          <w:lang w:val="ro-RO"/>
        </w:rPr>
        <w:t>полненными</w:t>
      </w:r>
      <w:r w:rsidR="00FE13B7">
        <w:rPr>
          <w:rFonts w:asciiTheme="majorHAnsi" w:hAnsiTheme="majorHAnsi" w:cstheme="majorHAnsi"/>
          <w:sz w:val="24"/>
          <w:szCs w:val="24"/>
          <w:lang w:val="ru-RU"/>
        </w:rPr>
        <w:t xml:space="preserve"> за </w:t>
      </w:r>
      <w:r w:rsidR="00A93937" w:rsidRPr="00A93937">
        <w:rPr>
          <w:rFonts w:asciiTheme="majorHAnsi" w:hAnsiTheme="majorHAnsi" w:cstheme="majorHAnsi"/>
          <w:sz w:val="24"/>
          <w:szCs w:val="24"/>
          <w:lang w:val="ro-RO"/>
        </w:rPr>
        <w:t>2019 год</w:t>
      </w:r>
      <w:r w:rsidR="00FE13B7">
        <w:rPr>
          <w:rFonts w:asciiTheme="majorHAnsi" w:hAnsiTheme="majorHAnsi" w:cstheme="majorHAnsi"/>
          <w:sz w:val="24"/>
          <w:szCs w:val="24"/>
          <w:lang w:val="ru-RU"/>
        </w:rPr>
        <w:t>,</w:t>
      </w:r>
      <w:r w:rsidR="00A93937" w:rsidRPr="00A93937">
        <w:rPr>
          <w:rFonts w:asciiTheme="majorHAnsi" w:hAnsiTheme="majorHAnsi" w:cstheme="majorHAnsi"/>
          <w:sz w:val="24"/>
          <w:szCs w:val="24"/>
          <w:lang w:val="ro-RO"/>
        </w:rPr>
        <w:t xml:space="preserve"> и значительны</w:t>
      </w:r>
      <w:r w:rsidR="00FE13B7">
        <w:rPr>
          <w:rFonts w:asciiTheme="majorHAnsi" w:hAnsiTheme="majorHAnsi" w:cstheme="majorHAnsi"/>
          <w:sz w:val="24"/>
          <w:szCs w:val="24"/>
          <w:lang w:val="ru-RU"/>
        </w:rPr>
        <w:t>й</w:t>
      </w:r>
      <w:r w:rsidR="00A93937" w:rsidRPr="00A93937">
        <w:rPr>
          <w:rFonts w:asciiTheme="majorHAnsi" w:hAnsiTheme="majorHAnsi" w:cstheme="majorHAnsi"/>
          <w:sz w:val="24"/>
          <w:szCs w:val="24"/>
          <w:lang w:val="ro-RO"/>
        </w:rPr>
        <w:t xml:space="preserve"> рост на 10 927,1 млн. леев (28,2%) по сравнению с </w:t>
      </w:r>
      <w:r w:rsidR="00FE13B7">
        <w:rPr>
          <w:rFonts w:asciiTheme="majorHAnsi" w:hAnsiTheme="majorHAnsi" w:cstheme="majorHAnsi"/>
          <w:sz w:val="24"/>
          <w:szCs w:val="24"/>
          <w:lang w:val="ru-RU"/>
        </w:rPr>
        <w:t xml:space="preserve">кассовыми </w:t>
      </w:r>
      <w:r w:rsidR="00A93937" w:rsidRPr="00A93937">
        <w:rPr>
          <w:rFonts w:asciiTheme="majorHAnsi" w:hAnsiTheme="majorHAnsi" w:cstheme="majorHAnsi"/>
          <w:sz w:val="24"/>
          <w:szCs w:val="24"/>
          <w:lang w:val="ro-RO"/>
        </w:rPr>
        <w:t xml:space="preserve">расходами, </w:t>
      </w:r>
      <w:r w:rsidR="00FE13B7">
        <w:rPr>
          <w:rFonts w:asciiTheme="majorHAnsi" w:hAnsiTheme="majorHAnsi" w:cstheme="majorHAnsi"/>
          <w:sz w:val="24"/>
          <w:szCs w:val="24"/>
          <w:lang w:val="ru-RU"/>
        </w:rPr>
        <w:t>ис</w:t>
      </w:r>
      <w:r w:rsidR="00A93937" w:rsidRPr="00A93937">
        <w:rPr>
          <w:rFonts w:asciiTheme="majorHAnsi" w:hAnsiTheme="majorHAnsi" w:cstheme="majorHAnsi"/>
          <w:sz w:val="24"/>
          <w:szCs w:val="24"/>
          <w:lang w:val="ro-RO"/>
        </w:rPr>
        <w:t xml:space="preserve">полненными </w:t>
      </w:r>
      <w:r w:rsidR="00FE13B7">
        <w:rPr>
          <w:rFonts w:asciiTheme="majorHAnsi" w:hAnsiTheme="majorHAnsi" w:cstheme="majorHAnsi"/>
          <w:sz w:val="24"/>
          <w:szCs w:val="24"/>
          <w:lang w:val="ru-RU"/>
        </w:rPr>
        <w:t>за</w:t>
      </w:r>
      <w:r w:rsidR="00A93937" w:rsidRPr="00A93937">
        <w:rPr>
          <w:rFonts w:asciiTheme="majorHAnsi" w:hAnsiTheme="majorHAnsi" w:cstheme="majorHAnsi"/>
          <w:sz w:val="24"/>
          <w:szCs w:val="24"/>
          <w:lang w:val="ro-RO"/>
        </w:rPr>
        <w:t xml:space="preserve"> 2018 год. </w:t>
      </w:r>
      <w:r w:rsidR="00A93937" w:rsidRPr="00FE13B7">
        <w:rPr>
          <w:rFonts w:asciiTheme="majorHAnsi" w:hAnsiTheme="majorHAnsi" w:cstheme="majorHAnsi"/>
          <w:i/>
          <w:sz w:val="24"/>
          <w:szCs w:val="24"/>
          <w:lang w:val="ro-RO"/>
        </w:rPr>
        <w:t xml:space="preserve">Информация о финансировании расходов из </w:t>
      </w:r>
      <w:r w:rsidR="008F632D" w:rsidRPr="00FE13B7">
        <w:rPr>
          <w:rFonts w:asciiTheme="majorHAnsi" w:hAnsiTheme="majorHAnsi" w:cstheme="majorHAnsi"/>
          <w:i/>
          <w:sz w:val="24"/>
          <w:szCs w:val="24"/>
          <w:lang w:val="ro-RO"/>
        </w:rPr>
        <w:t>ГБ</w:t>
      </w:r>
      <w:r w:rsidR="00A93937" w:rsidRPr="00FE13B7">
        <w:rPr>
          <w:rFonts w:asciiTheme="majorHAnsi" w:hAnsiTheme="majorHAnsi" w:cstheme="majorHAnsi"/>
          <w:i/>
          <w:sz w:val="24"/>
          <w:szCs w:val="24"/>
          <w:lang w:val="ro-RO"/>
        </w:rPr>
        <w:t xml:space="preserve"> на протяжении 2018-2020 г</w:t>
      </w:r>
      <w:r w:rsidR="00FE13B7" w:rsidRPr="00FE13B7">
        <w:rPr>
          <w:rFonts w:asciiTheme="majorHAnsi" w:hAnsiTheme="majorHAnsi" w:cstheme="majorHAnsi"/>
          <w:i/>
          <w:sz w:val="24"/>
          <w:szCs w:val="24"/>
          <w:lang w:val="ru-RU"/>
        </w:rPr>
        <w:t>одов</w:t>
      </w:r>
      <w:r w:rsidR="00A93937" w:rsidRPr="00FE13B7">
        <w:rPr>
          <w:rFonts w:asciiTheme="majorHAnsi" w:hAnsiTheme="majorHAnsi" w:cstheme="majorHAnsi"/>
          <w:i/>
          <w:sz w:val="24"/>
          <w:szCs w:val="24"/>
          <w:lang w:val="ro-RO"/>
        </w:rPr>
        <w:t xml:space="preserve"> представлена на диаграмме №1</w:t>
      </w:r>
      <w:r w:rsidR="00A93937" w:rsidRPr="00A93937">
        <w:rPr>
          <w:rFonts w:asciiTheme="majorHAnsi" w:hAnsiTheme="majorHAnsi" w:cstheme="majorHAnsi"/>
          <w:sz w:val="24"/>
          <w:szCs w:val="24"/>
          <w:lang w:val="ro-RO"/>
        </w:rPr>
        <w:t>.</w:t>
      </w:r>
      <w:r w:rsidR="00A93937">
        <w:rPr>
          <w:rFonts w:asciiTheme="majorHAnsi" w:hAnsiTheme="majorHAnsi" w:cstheme="majorHAnsi"/>
          <w:sz w:val="24"/>
          <w:szCs w:val="24"/>
          <w:lang w:val="ru-RU"/>
        </w:rPr>
        <w:t xml:space="preserve"> </w:t>
      </w:r>
    </w:p>
    <w:p w:rsidR="0002603D" w:rsidRDefault="0002603D" w:rsidP="001D1C4D">
      <w:pPr>
        <w:spacing w:after="0" w:line="276" w:lineRule="auto"/>
        <w:rPr>
          <w:rFonts w:asciiTheme="majorHAnsi" w:hAnsiTheme="majorHAnsi" w:cstheme="majorHAnsi"/>
          <w:sz w:val="24"/>
          <w:szCs w:val="24"/>
          <w:lang w:val="ru-RU"/>
        </w:rPr>
      </w:pPr>
    </w:p>
    <w:p w:rsidR="0002603D" w:rsidRPr="00F55BA6" w:rsidRDefault="0002603D" w:rsidP="001D1C4D">
      <w:pPr>
        <w:spacing w:after="0" w:line="276" w:lineRule="auto"/>
        <w:rPr>
          <w:rFonts w:asciiTheme="majorHAnsi" w:eastAsia="Times New Roman" w:hAnsiTheme="majorHAnsi" w:cstheme="majorHAnsi"/>
          <w:color w:val="000000" w:themeColor="text1"/>
          <w:sz w:val="24"/>
          <w:szCs w:val="24"/>
          <w:lang w:val="ro-RO"/>
        </w:rPr>
      </w:pPr>
    </w:p>
    <w:p w:rsidR="00AC6703" w:rsidRPr="00973E5B" w:rsidRDefault="00FE13B7" w:rsidP="001D1C4D">
      <w:pPr>
        <w:spacing w:after="0" w:line="276" w:lineRule="auto"/>
        <w:jc w:val="right"/>
        <w:rPr>
          <w:rFonts w:asciiTheme="majorHAnsi" w:hAnsiTheme="majorHAnsi" w:cstheme="majorHAnsi"/>
          <w:b/>
          <w:i/>
          <w:sz w:val="24"/>
          <w:szCs w:val="24"/>
          <w:lang w:val="ro-RO"/>
        </w:rPr>
      </w:pPr>
      <w:r>
        <w:rPr>
          <w:rFonts w:asciiTheme="majorHAnsi" w:hAnsiTheme="majorHAnsi" w:cstheme="majorHAnsi"/>
          <w:i/>
          <w:sz w:val="24"/>
          <w:szCs w:val="24"/>
          <w:lang w:val="ru-RU"/>
        </w:rPr>
        <w:lastRenderedPageBreak/>
        <w:t>Диаграмма №</w:t>
      </w:r>
      <w:r w:rsidR="00F53D96" w:rsidRPr="00E4517B">
        <w:rPr>
          <w:rFonts w:asciiTheme="majorHAnsi" w:hAnsiTheme="majorHAnsi" w:cstheme="majorHAnsi"/>
          <w:i/>
          <w:sz w:val="24"/>
          <w:szCs w:val="24"/>
          <w:lang w:val="ro-RO"/>
        </w:rPr>
        <w:t>1</w:t>
      </w:r>
    </w:p>
    <w:p w:rsidR="00AC6703" w:rsidRPr="00FE13B7" w:rsidRDefault="00FE13B7" w:rsidP="00FE13B7">
      <w:pPr>
        <w:spacing w:after="0"/>
        <w:jc w:val="center"/>
        <w:rPr>
          <w:rFonts w:asciiTheme="majorHAnsi" w:hAnsiTheme="majorHAnsi" w:cstheme="majorHAnsi"/>
          <w:b/>
          <w:sz w:val="24"/>
          <w:szCs w:val="24"/>
          <w:lang w:val="ro-RO"/>
        </w:rPr>
      </w:pPr>
      <w:r>
        <w:rPr>
          <w:rFonts w:asciiTheme="majorHAnsi" w:hAnsiTheme="majorHAnsi" w:cstheme="majorHAnsi"/>
          <w:b/>
          <w:sz w:val="24"/>
          <w:szCs w:val="24"/>
          <w:lang w:val="ru-RU"/>
        </w:rPr>
        <w:t>Ф</w:t>
      </w:r>
      <w:r w:rsidRPr="00FE13B7">
        <w:rPr>
          <w:rFonts w:asciiTheme="majorHAnsi" w:hAnsiTheme="majorHAnsi" w:cstheme="majorHAnsi"/>
          <w:b/>
          <w:sz w:val="24"/>
          <w:szCs w:val="24"/>
          <w:lang w:val="ro-RO"/>
        </w:rPr>
        <w:t>инансировани</w:t>
      </w:r>
      <w:r>
        <w:rPr>
          <w:rFonts w:asciiTheme="majorHAnsi" w:hAnsiTheme="majorHAnsi" w:cstheme="majorHAnsi"/>
          <w:b/>
          <w:sz w:val="24"/>
          <w:szCs w:val="24"/>
          <w:lang w:val="ru-RU"/>
        </w:rPr>
        <w:t>е</w:t>
      </w:r>
      <w:r w:rsidRPr="00FE13B7">
        <w:rPr>
          <w:rFonts w:asciiTheme="majorHAnsi" w:hAnsiTheme="majorHAnsi" w:cstheme="majorHAnsi"/>
          <w:b/>
          <w:sz w:val="24"/>
          <w:szCs w:val="24"/>
          <w:lang w:val="ro-RO"/>
        </w:rPr>
        <w:t xml:space="preserve"> расходов из ГБ на протяжении 2018-2020 г</w:t>
      </w:r>
      <w:r w:rsidRPr="00FE13B7">
        <w:rPr>
          <w:rFonts w:asciiTheme="majorHAnsi" w:hAnsiTheme="majorHAnsi" w:cstheme="majorHAnsi"/>
          <w:b/>
          <w:sz w:val="24"/>
          <w:szCs w:val="24"/>
          <w:lang w:val="ru-RU"/>
        </w:rPr>
        <w:t>одов</w:t>
      </w:r>
    </w:p>
    <w:p w:rsidR="00AC6703" w:rsidRPr="00F55BA6" w:rsidRDefault="00AC6703" w:rsidP="00595FCF">
      <w:pPr>
        <w:spacing w:after="0"/>
        <w:ind w:right="899"/>
        <w:jc w:val="right"/>
        <w:rPr>
          <w:rFonts w:asciiTheme="majorHAnsi" w:hAnsiTheme="majorHAnsi" w:cstheme="majorHAnsi"/>
          <w:color w:val="000000" w:themeColor="text1"/>
          <w:sz w:val="24"/>
          <w:szCs w:val="24"/>
          <w:lang w:val="ro-RO"/>
        </w:rPr>
      </w:pPr>
      <w:r w:rsidRPr="00F55BA6">
        <w:rPr>
          <w:rFonts w:asciiTheme="majorHAnsi" w:hAnsiTheme="majorHAnsi" w:cstheme="majorHAnsi"/>
          <w:b/>
          <w:sz w:val="24"/>
          <w:szCs w:val="24"/>
          <w:lang w:val="ro-RO"/>
        </w:rPr>
        <w:t>(</w:t>
      </w:r>
      <w:r w:rsidR="00FE13B7" w:rsidRPr="00FE13B7">
        <w:rPr>
          <w:rFonts w:asciiTheme="majorHAnsi" w:hAnsiTheme="majorHAnsi" w:cstheme="majorHAnsi"/>
          <w:b/>
          <w:sz w:val="24"/>
          <w:szCs w:val="24"/>
          <w:lang w:val="ro-RO"/>
        </w:rPr>
        <w:t xml:space="preserve">млн. </w:t>
      </w:r>
      <w:r w:rsidR="00FE13B7">
        <w:rPr>
          <w:rFonts w:asciiTheme="majorHAnsi" w:hAnsiTheme="majorHAnsi" w:cstheme="majorHAnsi"/>
          <w:b/>
          <w:sz w:val="24"/>
          <w:szCs w:val="24"/>
          <w:lang w:val="ru-RU"/>
        </w:rPr>
        <w:t>леев</w:t>
      </w:r>
      <w:r w:rsidRPr="00F55BA6">
        <w:rPr>
          <w:rFonts w:asciiTheme="majorHAnsi" w:hAnsiTheme="majorHAnsi" w:cstheme="majorHAnsi"/>
          <w:b/>
          <w:sz w:val="24"/>
          <w:szCs w:val="24"/>
          <w:lang w:val="ro-RO"/>
        </w:rPr>
        <w:t>)</w:t>
      </w:r>
      <w:r w:rsidRPr="004946B2">
        <w:rPr>
          <w:rFonts w:asciiTheme="minorHAnsi" w:hAnsiTheme="minorHAnsi"/>
          <w:noProof/>
          <w:sz w:val="22"/>
          <w:lang w:val="en-US"/>
        </w:rPr>
        <w:drawing>
          <wp:inline distT="0" distB="0" distL="0" distR="0" wp14:anchorId="48AAFEB7" wp14:editId="62FA8114">
            <wp:extent cx="5708650" cy="1960474"/>
            <wp:effectExtent l="76200" t="76200" r="82550" b="78105"/>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6703" w:rsidRPr="00973E5B" w:rsidRDefault="00595FCF" w:rsidP="00AC6703">
      <w:pPr>
        <w:spacing w:after="0" w:line="276" w:lineRule="auto"/>
        <w:ind w:firstLine="851"/>
        <w:jc w:val="left"/>
        <w:rPr>
          <w:rFonts w:asciiTheme="majorHAnsi" w:hAnsiTheme="majorHAnsi" w:cstheme="majorHAnsi"/>
          <w:i/>
          <w:sz w:val="20"/>
          <w:szCs w:val="20"/>
          <w:lang w:val="ro-RO"/>
        </w:rPr>
      </w:pPr>
      <w:r>
        <w:rPr>
          <w:rFonts w:asciiTheme="majorHAnsi" w:hAnsiTheme="majorHAnsi" w:cstheme="majorHAnsi"/>
          <w:b/>
          <w:i/>
          <w:color w:val="000000" w:themeColor="text1"/>
          <w:sz w:val="20"/>
          <w:szCs w:val="20"/>
          <w:lang w:val="ru-RU"/>
        </w:rPr>
        <w:t>Источник</w:t>
      </w:r>
      <w:r w:rsidR="00AC6703" w:rsidRPr="00F55BA6">
        <w:rPr>
          <w:rFonts w:asciiTheme="majorHAnsi" w:hAnsiTheme="majorHAnsi" w:cstheme="majorHAnsi"/>
          <w:b/>
          <w:i/>
          <w:color w:val="000000" w:themeColor="text1"/>
          <w:sz w:val="20"/>
          <w:szCs w:val="20"/>
          <w:lang w:val="ro-RO"/>
        </w:rPr>
        <w:t>:</w:t>
      </w:r>
      <w:r w:rsidR="00AC6703" w:rsidRPr="00F55BA6">
        <w:rPr>
          <w:rFonts w:asciiTheme="majorHAnsi" w:hAnsiTheme="majorHAnsi" w:cstheme="majorHAnsi"/>
          <w:color w:val="000000" w:themeColor="text1"/>
          <w:sz w:val="20"/>
          <w:szCs w:val="20"/>
          <w:lang w:val="ro-RO"/>
        </w:rPr>
        <w:t xml:space="preserve"> </w:t>
      </w:r>
      <w:r w:rsidRPr="00595FCF">
        <w:rPr>
          <w:rFonts w:asciiTheme="majorHAnsi" w:hAnsiTheme="majorHAnsi" w:cstheme="majorHAnsi"/>
          <w:i/>
          <w:sz w:val="20"/>
          <w:szCs w:val="20"/>
          <w:lang w:val="ro-RO"/>
        </w:rPr>
        <w:t>Отчет об исполнении государственного бюджета за 2020 год</w:t>
      </w:r>
      <w:r w:rsidR="00AC6703" w:rsidRPr="00973E5B">
        <w:rPr>
          <w:rFonts w:asciiTheme="majorHAnsi" w:hAnsiTheme="majorHAnsi" w:cstheme="majorHAnsi"/>
          <w:i/>
          <w:sz w:val="20"/>
          <w:szCs w:val="20"/>
          <w:lang w:val="ro-RO"/>
        </w:rPr>
        <w:t>.</w:t>
      </w:r>
    </w:p>
    <w:p w:rsidR="00AC6703" w:rsidRPr="00F55BA6" w:rsidRDefault="00AC6703" w:rsidP="00AC6703">
      <w:pPr>
        <w:spacing w:after="0"/>
        <w:rPr>
          <w:rFonts w:asciiTheme="majorHAnsi" w:eastAsia="Times New Roman" w:hAnsiTheme="majorHAnsi" w:cstheme="majorHAnsi"/>
          <w:color w:val="000000" w:themeColor="text1"/>
          <w:sz w:val="24"/>
          <w:szCs w:val="24"/>
          <w:lang w:val="ro-RO"/>
        </w:rPr>
      </w:pPr>
    </w:p>
    <w:p w:rsidR="00AC6703" w:rsidRPr="00F55BA6" w:rsidRDefault="00A93937" w:rsidP="00AC6703">
      <w:pPr>
        <w:spacing w:after="0" w:line="276" w:lineRule="auto"/>
        <w:rPr>
          <w:rFonts w:asciiTheme="majorHAnsi" w:eastAsiaTheme="minorEastAsia" w:hAnsiTheme="majorHAnsi" w:cstheme="majorHAnsi"/>
          <w:bCs/>
          <w:iCs/>
          <w:sz w:val="24"/>
          <w:szCs w:val="24"/>
          <w:lang w:val="ro-RO" w:eastAsia="ru-RU"/>
        </w:rPr>
      </w:pPr>
      <w:r w:rsidRPr="00A93937">
        <w:rPr>
          <w:rFonts w:asciiTheme="majorHAnsi" w:hAnsiTheme="majorHAnsi" w:cstheme="majorHAnsi"/>
          <w:sz w:val="24"/>
          <w:szCs w:val="24"/>
          <w:lang w:val="ro-RO"/>
        </w:rPr>
        <w:t xml:space="preserve">В течение 2020 года </w:t>
      </w:r>
      <w:r w:rsidR="00595FCF" w:rsidRPr="00C81ADA">
        <w:rPr>
          <w:rFonts w:asciiTheme="majorHAnsi" w:hAnsiTheme="majorHAnsi" w:cstheme="majorHAnsi"/>
          <w:sz w:val="24"/>
          <w:szCs w:val="24"/>
          <w:lang w:val="ro-RO"/>
        </w:rPr>
        <w:t xml:space="preserve">программы расходов были пересмотрены с учетом их выполнения и </w:t>
      </w:r>
      <w:r w:rsidRPr="00A93937">
        <w:rPr>
          <w:rFonts w:asciiTheme="majorHAnsi" w:hAnsiTheme="majorHAnsi" w:cstheme="majorHAnsi"/>
          <w:sz w:val="24"/>
          <w:szCs w:val="24"/>
          <w:lang w:val="ro-RO"/>
        </w:rPr>
        <w:t xml:space="preserve">возможностей освоения утвержденных до конца года </w:t>
      </w:r>
      <w:r w:rsidR="00C81ADA">
        <w:rPr>
          <w:rFonts w:asciiTheme="majorHAnsi" w:hAnsiTheme="majorHAnsi" w:cstheme="majorHAnsi"/>
          <w:sz w:val="24"/>
          <w:szCs w:val="24"/>
          <w:lang w:val="ru-RU"/>
        </w:rPr>
        <w:t>ассигновани</w:t>
      </w:r>
      <w:r w:rsidRPr="00A93937">
        <w:rPr>
          <w:rFonts w:asciiTheme="majorHAnsi" w:hAnsiTheme="majorHAnsi" w:cstheme="majorHAnsi"/>
          <w:sz w:val="24"/>
          <w:szCs w:val="24"/>
          <w:lang w:val="ro-RO"/>
        </w:rPr>
        <w:t xml:space="preserve">й, а также </w:t>
      </w:r>
      <w:r w:rsidR="00C81ADA">
        <w:rPr>
          <w:rFonts w:asciiTheme="majorHAnsi" w:hAnsiTheme="majorHAnsi" w:cstheme="majorHAnsi"/>
          <w:sz w:val="24"/>
          <w:szCs w:val="24"/>
          <w:lang w:val="ru-RU"/>
        </w:rPr>
        <w:t xml:space="preserve">исходя из </w:t>
      </w:r>
      <w:r w:rsidRPr="00A93937">
        <w:rPr>
          <w:rFonts w:asciiTheme="majorHAnsi" w:hAnsiTheme="majorHAnsi" w:cstheme="majorHAnsi"/>
          <w:sz w:val="24"/>
          <w:szCs w:val="24"/>
          <w:lang w:val="ro-RO"/>
        </w:rPr>
        <w:t xml:space="preserve">необходимости </w:t>
      </w:r>
      <w:r w:rsidR="00C81ADA">
        <w:rPr>
          <w:rFonts w:asciiTheme="majorHAnsi" w:hAnsiTheme="majorHAnsi" w:cstheme="majorHAnsi"/>
          <w:sz w:val="24"/>
          <w:szCs w:val="24"/>
          <w:lang w:val="ru-RU"/>
        </w:rPr>
        <w:t>выяв</w:t>
      </w:r>
      <w:r w:rsidRPr="00A93937">
        <w:rPr>
          <w:rFonts w:asciiTheme="majorHAnsi" w:hAnsiTheme="majorHAnsi" w:cstheme="majorHAnsi"/>
          <w:sz w:val="24"/>
          <w:szCs w:val="24"/>
          <w:lang w:val="ro-RO"/>
        </w:rPr>
        <w:t xml:space="preserve">ления дополнительных ресурсов для программ приоритетных расходов. </w:t>
      </w:r>
      <w:r w:rsidR="00C81ADA" w:rsidRPr="00C81ADA">
        <w:rPr>
          <w:rFonts w:asciiTheme="majorHAnsi" w:hAnsiTheme="majorHAnsi" w:cstheme="majorHAnsi"/>
          <w:sz w:val="24"/>
          <w:szCs w:val="24"/>
          <w:lang w:val="ro-RO"/>
        </w:rPr>
        <w:t>Самый значительный</w:t>
      </w:r>
      <w:r w:rsidRPr="00A93937">
        <w:rPr>
          <w:rFonts w:asciiTheme="majorHAnsi" w:hAnsiTheme="majorHAnsi" w:cstheme="majorHAnsi"/>
          <w:sz w:val="24"/>
          <w:szCs w:val="24"/>
          <w:lang w:val="ro-RO"/>
        </w:rPr>
        <w:t xml:space="preserve"> рост расходов, </w:t>
      </w:r>
      <w:r w:rsidR="00C81ADA" w:rsidRPr="00C81ADA">
        <w:rPr>
          <w:rFonts w:asciiTheme="majorHAnsi" w:hAnsiTheme="majorHAnsi" w:cstheme="majorHAnsi"/>
          <w:sz w:val="24"/>
          <w:szCs w:val="24"/>
          <w:lang w:val="ro-RO"/>
        </w:rPr>
        <w:t>исполн</w:t>
      </w:r>
      <w:r w:rsidRPr="00A93937">
        <w:rPr>
          <w:rFonts w:asciiTheme="majorHAnsi" w:hAnsiTheme="majorHAnsi" w:cstheme="majorHAnsi"/>
          <w:sz w:val="24"/>
          <w:szCs w:val="24"/>
          <w:lang w:val="ro-RO"/>
        </w:rPr>
        <w:t xml:space="preserve">енных </w:t>
      </w:r>
      <w:r w:rsidR="00C81ADA" w:rsidRPr="00C81ADA">
        <w:rPr>
          <w:rFonts w:asciiTheme="majorHAnsi" w:hAnsiTheme="majorHAnsi" w:cstheme="majorHAnsi"/>
          <w:sz w:val="24"/>
          <w:szCs w:val="24"/>
          <w:lang w:val="ro-RO"/>
        </w:rPr>
        <w:t>за</w:t>
      </w:r>
      <w:r w:rsidRPr="00A93937">
        <w:rPr>
          <w:rFonts w:asciiTheme="majorHAnsi" w:hAnsiTheme="majorHAnsi" w:cstheme="majorHAnsi"/>
          <w:sz w:val="24"/>
          <w:szCs w:val="24"/>
          <w:lang w:val="ro-RO"/>
        </w:rPr>
        <w:t xml:space="preserve"> 2020 год, по сравнению с 2019 годом, зарегистрирова</w:t>
      </w:r>
      <w:r w:rsidR="00C81ADA" w:rsidRPr="00C81ADA">
        <w:rPr>
          <w:rFonts w:asciiTheme="majorHAnsi" w:hAnsiTheme="majorHAnsi" w:cstheme="majorHAnsi"/>
          <w:sz w:val="24"/>
          <w:szCs w:val="24"/>
          <w:lang w:val="ro-RO"/>
        </w:rPr>
        <w:t>ли</w:t>
      </w:r>
      <w:r w:rsidRPr="00A93937">
        <w:rPr>
          <w:rFonts w:asciiTheme="majorHAnsi" w:hAnsiTheme="majorHAnsi" w:cstheme="majorHAnsi"/>
          <w:sz w:val="24"/>
          <w:szCs w:val="24"/>
          <w:lang w:val="ro-RO"/>
        </w:rPr>
        <w:t xml:space="preserve">: </w:t>
      </w:r>
      <w:r w:rsidRPr="00C81ADA">
        <w:rPr>
          <w:rFonts w:asciiTheme="majorHAnsi" w:hAnsiTheme="majorHAnsi" w:cstheme="majorHAnsi"/>
          <w:i/>
          <w:sz w:val="24"/>
          <w:szCs w:val="24"/>
          <w:lang w:val="ro-RO"/>
        </w:rPr>
        <w:t>i)</w:t>
      </w:r>
      <w:r w:rsidRPr="00A93937">
        <w:rPr>
          <w:rFonts w:asciiTheme="majorHAnsi" w:hAnsiTheme="majorHAnsi" w:cstheme="majorHAnsi"/>
          <w:sz w:val="24"/>
          <w:szCs w:val="24"/>
          <w:lang w:val="ro-RO"/>
        </w:rPr>
        <w:t xml:space="preserve"> </w:t>
      </w:r>
      <w:r w:rsidR="00C81ADA" w:rsidRPr="00F55BA6">
        <w:rPr>
          <w:rFonts w:asciiTheme="majorHAnsi" w:eastAsiaTheme="minorEastAsia" w:hAnsiTheme="majorHAnsi" w:cstheme="majorHAnsi"/>
          <w:bCs/>
          <w:i/>
          <w:iCs/>
          <w:sz w:val="24"/>
          <w:szCs w:val="24"/>
          <w:lang w:val="ro-RO" w:eastAsia="ru-RU"/>
        </w:rPr>
        <w:t>„</w:t>
      </w:r>
      <w:r w:rsidR="00C81ADA" w:rsidRPr="00C81ADA">
        <w:rPr>
          <w:rFonts w:asciiTheme="majorHAnsi" w:eastAsiaTheme="minorEastAsia" w:hAnsiTheme="majorHAnsi" w:cstheme="majorHAnsi"/>
          <w:bCs/>
          <w:i/>
          <w:iCs/>
          <w:sz w:val="24"/>
          <w:szCs w:val="24"/>
          <w:lang w:val="ro-RO" w:eastAsia="ru-RU"/>
        </w:rPr>
        <w:t>Т</w:t>
      </w:r>
      <w:r w:rsidRPr="00C81ADA">
        <w:rPr>
          <w:rFonts w:asciiTheme="majorHAnsi" w:hAnsiTheme="majorHAnsi" w:cstheme="majorHAnsi"/>
          <w:i/>
          <w:sz w:val="24"/>
          <w:szCs w:val="24"/>
          <w:lang w:val="ro-RO"/>
        </w:rPr>
        <w:t>рансферты, предоставленные в рамках НПБ</w:t>
      </w:r>
      <w:r w:rsidR="00C81ADA" w:rsidRPr="00A93937">
        <w:rPr>
          <w:rFonts w:asciiTheme="majorHAnsi" w:hAnsiTheme="majorHAnsi" w:cstheme="majorHAnsi"/>
          <w:sz w:val="24"/>
          <w:szCs w:val="24"/>
          <w:lang w:val="ro-RO"/>
        </w:rPr>
        <w:t>”</w:t>
      </w:r>
      <w:r w:rsidRPr="00A93937">
        <w:rPr>
          <w:rFonts w:asciiTheme="majorHAnsi" w:hAnsiTheme="majorHAnsi" w:cstheme="majorHAnsi"/>
          <w:sz w:val="24"/>
          <w:szCs w:val="24"/>
          <w:lang w:val="ro-RO"/>
        </w:rPr>
        <w:t xml:space="preserve"> - на 3 822,2 млн. </w:t>
      </w:r>
      <w:r w:rsidR="00C81ADA" w:rsidRPr="00A93937">
        <w:rPr>
          <w:rFonts w:asciiTheme="majorHAnsi" w:hAnsiTheme="majorHAnsi" w:cstheme="majorHAnsi"/>
          <w:sz w:val="24"/>
          <w:szCs w:val="24"/>
          <w:lang w:val="ro-RO"/>
        </w:rPr>
        <w:t xml:space="preserve">леев </w:t>
      </w:r>
      <w:r w:rsidRPr="00A93937">
        <w:rPr>
          <w:rFonts w:asciiTheme="majorHAnsi" w:hAnsiTheme="majorHAnsi" w:cstheme="majorHAnsi"/>
          <w:sz w:val="24"/>
          <w:szCs w:val="24"/>
          <w:lang w:val="ro-RO"/>
        </w:rPr>
        <w:t>больше</w:t>
      </w:r>
      <w:r w:rsidR="00C81ADA">
        <w:rPr>
          <w:rFonts w:asciiTheme="majorHAnsi" w:hAnsiTheme="majorHAnsi" w:cstheme="majorHAnsi"/>
          <w:sz w:val="24"/>
          <w:szCs w:val="24"/>
          <w:lang w:val="ro-RO"/>
        </w:rPr>
        <w:t>, или на 16,5%</w:t>
      </w:r>
      <w:r w:rsidR="00C81ADA" w:rsidRPr="00C81ADA">
        <w:rPr>
          <w:rFonts w:asciiTheme="majorHAnsi" w:hAnsiTheme="majorHAnsi" w:cstheme="majorHAnsi"/>
          <w:sz w:val="24"/>
          <w:szCs w:val="24"/>
          <w:lang w:val="ro-RO"/>
        </w:rPr>
        <w:t>;</w:t>
      </w:r>
      <w:r w:rsidRPr="00A93937">
        <w:rPr>
          <w:rFonts w:asciiTheme="majorHAnsi" w:hAnsiTheme="majorHAnsi" w:cstheme="majorHAnsi"/>
          <w:sz w:val="24"/>
          <w:szCs w:val="24"/>
          <w:lang w:val="ro-RO"/>
        </w:rPr>
        <w:t xml:space="preserve"> </w:t>
      </w:r>
      <w:r w:rsidRPr="00C81ADA">
        <w:rPr>
          <w:rFonts w:asciiTheme="majorHAnsi" w:hAnsiTheme="majorHAnsi" w:cstheme="majorHAnsi"/>
          <w:i/>
          <w:sz w:val="24"/>
          <w:szCs w:val="24"/>
          <w:lang w:val="ro-RO"/>
        </w:rPr>
        <w:t>II)</w:t>
      </w:r>
      <w:r w:rsidRPr="00A93937">
        <w:rPr>
          <w:rFonts w:asciiTheme="majorHAnsi" w:hAnsiTheme="majorHAnsi" w:cstheme="majorHAnsi"/>
          <w:sz w:val="24"/>
          <w:szCs w:val="24"/>
          <w:lang w:val="ro-RO"/>
        </w:rPr>
        <w:t xml:space="preserve"> </w:t>
      </w:r>
      <w:r w:rsidR="00C81ADA" w:rsidRPr="00F55BA6">
        <w:rPr>
          <w:rFonts w:asciiTheme="majorHAnsi" w:eastAsiaTheme="minorEastAsia" w:hAnsiTheme="majorHAnsi" w:cstheme="majorHAnsi"/>
          <w:bCs/>
          <w:i/>
          <w:iCs/>
          <w:sz w:val="24"/>
          <w:szCs w:val="24"/>
          <w:lang w:val="ro-RO" w:eastAsia="ru-RU"/>
        </w:rPr>
        <w:t>„</w:t>
      </w:r>
      <w:r w:rsidR="00C81ADA" w:rsidRPr="00C81ADA">
        <w:rPr>
          <w:rFonts w:asciiTheme="majorHAnsi" w:eastAsiaTheme="minorEastAsia" w:hAnsiTheme="majorHAnsi" w:cstheme="majorHAnsi"/>
          <w:bCs/>
          <w:i/>
          <w:iCs/>
          <w:sz w:val="24"/>
          <w:szCs w:val="24"/>
          <w:lang w:val="ro-RO" w:eastAsia="ru-RU"/>
        </w:rPr>
        <w:t>С</w:t>
      </w:r>
      <w:r w:rsidRPr="00C81ADA">
        <w:rPr>
          <w:rFonts w:asciiTheme="majorHAnsi" w:hAnsiTheme="majorHAnsi" w:cstheme="majorHAnsi"/>
          <w:i/>
          <w:sz w:val="24"/>
          <w:szCs w:val="24"/>
          <w:lang w:val="ro-RO"/>
        </w:rPr>
        <w:t>убсидии</w:t>
      </w:r>
      <w:r w:rsidR="00C81ADA" w:rsidRPr="00A93937">
        <w:rPr>
          <w:rFonts w:asciiTheme="majorHAnsi" w:hAnsiTheme="majorHAnsi" w:cstheme="majorHAnsi"/>
          <w:sz w:val="24"/>
          <w:szCs w:val="24"/>
          <w:lang w:val="ro-RO"/>
        </w:rPr>
        <w:t>”</w:t>
      </w:r>
      <w:r w:rsidRPr="00A93937">
        <w:rPr>
          <w:rFonts w:asciiTheme="majorHAnsi" w:hAnsiTheme="majorHAnsi" w:cstheme="majorHAnsi"/>
          <w:sz w:val="24"/>
          <w:szCs w:val="24"/>
          <w:lang w:val="ro-RO"/>
        </w:rPr>
        <w:t xml:space="preserve"> - на 1 207,2 млн. леев</w:t>
      </w:r>
      <w:r w:rsidR="00C81ADA" w:rsidRPr="00C81ADA">
        <w:rPr>
          <w:rFonts w:asciiTheme="majorHAnsi" w:hAnsiTheme="majorHAnsi" w:cstheme="majorHAnsi"/>
          <w:sz w:val="24"/>
          <w:szCs w:val="24"/>
          <w:lang w:val="ro-RO"/>
        </w:rPr>
        <w:t xml:space="preserve"> </w:t>
      </w:r>
      <w:r w:rsidR="00C81ADA" w:rsidRPr="00A93937">
        <w:rPr>
          <w:rFonts w:asciiTheme="majorHAnsi" w:hAnsiTheme="majorHAnsi" w:cstheme="majorHAnsi"/>
          <w:sz w:val="24"/>
          <w:szCs w:val="24"/>
          <w:lang w:val="ro-RO"/>
        </w:rPr>
        <w:t>больше</w:t>
      </w:r>
      <w:r w:rsidRPr="00A93937">
        <w:rPr>
          <w:rFonts w:asciiTheme="majorHAnsi" w:hAnsiTheme="majorHAnsi" w:cstheme="majorHAnsi"/>
          <w:sz w:val="24"/>
          <w:szCs w:val="24"/>
          <w:lang w:val="ro-RO"/>
        </w:rPr>
        <w:t>, или на 31,0%</w:t>
      </w:r>
      <w:r w:rsidR="00C81ADA" w:rsidRPr="00C81ADA">
        <w:rPr>
          <w:rFonts w:asciiTheme="majorHAnsi" w:hAnsiTheme="majorHAnsi" w:cstheme="majorHAnsi"/>
          <w:sz w:val="24"/>
          <w:szCs w:val="24"/>
          <w:lang w:val="ro-RO"/>
        </w:rPr>
        <w:t>;</w:t>
      </w:r>
      <w:r w:rsidRPr="00A93937">
        <w:rPr>
          <w:rFonts w:asciiTheme="majorHAnsi" w:hAnsiTheme="majorHAnsi" w:cstheme="majorHAnsi"/>
          <w:sz w:val="24"/>
          <w:szCs w:val="24"/>
          <w:lang w:val="ro-RO"/>
        </w:rPr>
        <w:t xml:space="preserve"> </w:t>
      </w:r>
      <w:r w:rsidRPr="00C81ADA">
        <w:rPr>
          <w:rFonts w:asciiTheme="majorHAnsi" w:hAnsiTheme="majorHAnsi" w:cstheme="majorHAnsi"/>
          <w:i/>
          <w:sz w:val="24"/>
          <w:szCs w:val="24"/>
          <w:lang w:val="ro-RO"/>
        </w:rPr>
        <w:t>iii)</w:t>
      </w:r>
      <w:r w:rsidRPr="00A93937">
        <w:rPr>
          <w:rFonts w:asciiTheme="majorHAnsi" w:hAnsiTheme="majorHAnsi" w:cstheme="majorHAnsi"/>
          <w:sz w:val="24"/>
          <w:szCs w:val="24"/>
          <w:lang w:val="ro-RO"/>
        </w:rPr>
        <w:t xml:space="preserve"> </w:t>
      </w:r>
      <w:r w:rsidR="00C81ADA" w:rsidRPr="00F55BA6">
        <w:rPr>
          <w:rFonts w:asciiTheme="majorHAnsi" w:eastAsiaTheme="minorEastAsia" w:hAnsiTheme="majorHAnsi" w:cstheme="majorHAnsi"/>
          <w:bCs/>
          <w:i/>
          <w:iCs/>
          <w:sz w:val="24"/>
          <w:szCs w:val="24"/>
          <w:lang w:val="ro-RO" w:eastAsia="ru-RU"/>
        </w:rPr>
        <w:t>„</w:t>
      </w:r>
      <w:r w:rsidR="00C81ADA" w:rsidRPr="00C81ADA">
        <w:rPr>
          <w:rFonts w:asciiTheme="majorHAnsi" w:eastAsiaTheme="minorEastAsia" w:hAnsiTheme="majorHAnsi" w:cstheme="majorHAnsi"/>
          <w:bCs/>
          <w:i/>
          <w:iCs/>
          <w:sz w:val="24"/>
          <w:szCs w:val="24"/>
          <w:lang w:val="ro-RO" w:eastAsia="ru-RU"/>
        </w:rPr>
        <w:t>Р</w:t>
      </w:r>
      <w:r w:rsidRPr="00C81ADA">
        <w:rPr>
          <w:rFonts w:asciiTheme="majorHAnsi" w:hAnsiTheme="majorHAnsi" w:cstheme="majorHAnsi"/>
          <w:i/>
          <w:sz w:val="24"/>
          <w:szCs w:val="24"/>
          <w:lang w:val="ro-RO"/>
        </w:rPr>
        <w:t>асходы на персонал</w:t>
      </w:r>
      <w:r w:rsidR="00C81ADA" w:rsidRPr="00A93937">
        <w:rPr>
          <w:rFonts w:asciiTheme="majorHAnsi" w:hAnsiTheme="majorHAnsi" w:cstheme="majorHAnsi"/>
          <w:sz w:val="24"/>
          <w:szCs w:val="24"/>
          <w:lang w:val="ro-RO"/>
        </w:rPr>
        <w:t>”</w:t>
      </w:r>
      <w:r w:rsidRPr="00A93937">
        <w:rPr>
          <w:rFonts w:asciiTheme="majorHAnsi" w:hAnsiTheme="majorHAnsi" w:cstheme="majorHAnsi"/>
          <w:sz w:val="24"/>
          <w:szCs w:val="24"/>
          <w:lang w:val="ro-RO"/>
        </w:rPr>
        <w:t xml:space="preserve"> - на 575,3 млн. леев</w:t>
      </w:r>
      <w:r w:rsidR="00C81ADA" w:rsidRPr="00C81ADA">
        <w:rPr>
          <w:rFonts w:asciiTheme="majorHAnsi" w:hAnsiTheme="majorHAnsi" w:cstheme="majorHAnsi"/>
          <w:sz w:val="24"/>
          <w:szCs w:val="24"/>
          <w:lang w:val="ro-RO"/>
        </w:rPr>
        <w:t xml:space="preserve"> </w:t>
      </w:r>
      <w:r w:rsidR="00C81ADA" w:rsidRPr="00A93937">
        <w:rPr>
          <w:rFonts w:asciiTheme="majorHAnsi" w:hAnsiTheme="majorHAnsi" w:cstheme="majorHAnsi"/>
          <w:sz w:val="24"/>
          <w:szCs w:val="24"/>
          <w:lang w:val="ro-RO"/>
        </w:rPr>
        <w:t>больше</w:t>
      </w:r>
      <w:r w:rsidRPr="00A93937">
        <w:rPr>
          <w:rFonts w:asciiTheme="majorHAnsi" w:hAnsiTheme="majorHAnsi" w:cstheme="majorHAnsi"/>
          <w:sz w:val="24"/>
          <w:szCs w:val="24"/>
          <w:lang w:val="ro-RO"/>
        </w:rPr>
        <w:t>, или на 8,9%</w:t>
      </w:r>
      <w:r w:rsidR="00C81ADA" w:rsidRPr="00C81ADA">
        <w:rPr>
          <w:rFonts w:asciiTheme="majorHAnsi" w:hAnsiTheme="majorHAnsi" w:cstheme="majorHAnsi"/>
          <w:sz w:val="24"/>
          <w:szCs w:val="24"/>
          <w:lang w:val="ro-RO"/>
        </w:rPr>
        <w:t>;</w:t>
      </w:r>
      <w:r w:rsidRPr="00A93937">
        <w:rPr>
          <w:rFonts w:asciiTheme="majorHAnsi" w:hAnsiTheme="majorHAnsi" w:cstheme="majorHAnsi"/>
          <w:sz w:val="24"/>
          <w:szCs w:val="24"/>
          <w:lang w:val="ro-RO"/>
        </w:rPr>
        <w:t xml:space="preserve"> </w:t>
      </w:r>
      <w:r w:rsidRPr="00C81ADA">
        <w:rPr>
          <w:rFonts w:asciiTheme="majorHAnsi" w:hAnsiTheme="majorHAnsi" w:cstheme="majorHAnsi"/>
          <w:i/>
          <w:sz w:val="24"/>
          <w:szCs w:val="24"/>
          <w:lang w:val="ro-RO"/>
        </w:rPr>
        <w:t>iv)</w:t>
      </w:r>
      <w:r w:rsidRPr="00A93937">
        <w:rPr>
          <w:rFonts w:asciiTheme="majorHAnsi" w:hAnsiTheme="majorHAnsi" w:cstheme="majorHAnsi"/>
          <w:sz w:val="24"/>
          <w:szCs w:val="24"/>
          <w:lang w:val="ro-RO"/>
        </w:rPr>
        <w:t xml:space="preserve"> </w:t>
      </w:r>
      <w:r w:rsidR="00C81ADA" w:rsidRPr="00F55BA6">
        <w:rPr>
          <w:rFonts w:asciiTheme="majorHAnsi" w:eastAsiaTheme="minorEastAsia" w:hAnsiTheme="majorHAnsi" w:cstheme="majorHAnsi"/>
          <w:bCs/>
          <w:i/>
          <w:iCs/>
          <w:sz w:val="24"/>
          <w:szCs w:val="24"/>
          <w:lang w:val="ro-RO" w:eastAsia="ru-RU"/>
        </w:rPr>
        <w:t>„</w:t>
      </w:r>
      <w:r w:rsidR="00C81ADA" w:rsidRPr="00C81ADA">
        <w:rPr>
          <w:rFonts w:asciiTheme="majorHAnsi" w:eastAsiaTheme="minorEastAsia" w:hAnsiTheme="majorHAnsi" w:cstheme="majorHAnsi"/>
          <w:bCs/>
          <w:i/>
          <w:iCs/>
          <w:sz w:val="24"/>
          <w:szCs w:val="24"/>
          <w:lang w:val="ro-RO" w:eastAsia="ru-RU"/>
        </w:rPr>
        <w:t>П</w:t>
      </w:r>
      <w:r w:rsidRPr="00C81ADA">
        <w:rPr>
          <w:rFonts w:asciiTheme="majorHAnsi" w:hAnsiTheme="majorHAnsi" w:cstheme="majorHAnsi"/>
          <w:i/>
          <w:sz w:val="24"/>
          <w:szCs w:val="24"/>
          <w:lang w:val="ro-RO"/>
        </w:rPr>
        <w:t>редоставленные гранты</w:t>
      </w:r>
      <w:r w:rsidR="00C81ADA" w:rsidRPr="00A93937">
        <w:rPr>
          <w:rFonts w:asciiTheme="majorHAnsi" w:hAnsiTheme="majorHAnsi" w:cstheme="majorHAnsi"/>
          <w:sz w:val="24"/>
          <w:szCs w:val="24"/>
          <w:lang w:val="ro-RO"/>
        </w:rPr>
        <w:t>”</w:t>
      </w:r>
      <w:r w:rsidRPr="00A93937">
        <w:rPr>
          <w:rFonts w:asciiTheme="majorHAnsi" w:hAnsiTheme="majorHAnsi" w:cstheme="majorHAnsi"/>
          <w:sz w:val="24"/>
          <w:szCs w:val="24"/>
          <w:lang w:val="ro-RO"/>
        </w:rPr>
        <w:t xml:space="preserve">- на 215,6 млн. леев, или на 755,4%, </w:t>
      </w:r>
      <w:r w:rsidRPr="00C81ADA">
        <w:rPr>
          <w:rFonts w:asciiTheme="majorHAnsi" w:hAnsiTheme="majorHAnsi" w:cstheme="majorHAnsi"/>
          <w:i/>
          <w:sz w:val="24"/>
          <w:szCs w:val="24"/>
          <w:lang w:val="ro-RO"/>
        </w:rPr>
        <w:t>v)</w:t>
      </w:r>
      <w:r w:rsidRPr="00A93937">
        <w:rPr>
          <w:rFonts w:asciiTheme="majorHAnsi" w:hAnsiTheme="majorHAnsi" w:cstheme="majorHAnsi"/>
          <w:sz w:val="24"/>
          <w:szCs w:val="24"/>
          <w:lang w:val="ro-RO"/>
        </w:rPr>
        <w:t xml:space="preserve"> </w:t>
      </w:r>
      <w:r w:rsidRPr="00C81ADA">
        <w:rPr>
          <w:rFonts w:asciiTheme="majorHAnsi" w:hAnsiTheme="majorHAnsi" w:cstheme="majorHAnsi"/>
          <w:i/>
          <w:sz w:val="24"/>
          <w:szCs w:val="24"/>
          <w:lang w:val="ro-RO"/>
        </w:rPr>
        <w:t>„</w:t>
      </w:r>
      <w:r w:rsidR="00C81ADA" w:rsidRPr="00C81ADA">
        <w:rPr>
          <w:rFonts w:asciiTheme="majorHAnsi" w:hAnsiTheme="majorHAnsi" w:cstheme="majorHAnsi"/>
          <w:i/>
          <w:sz w:val="24"/>
          <w:szCs w:val="24"/>
          <w:lang w:val="ro-RO"/>
        </w:rPr>
        <w:t>С</w:t>
      </w:r>
      <w:r w:rsidRPr="00C81ADA">
        <w:rPr>
          <w:rFonts w:asciiTheme="majorHAnsi" w:hAnsiTheme="majorHAnsi" w:cstheme="majorHAnsi"/>
          <w:i/>
          <w:sz w:val="24"/>
          <w:szCs w:val="24"/>
          <w:lang w:val="ro-RO"/>
        </w:rPr>
        <w:t xml:space="preserve">оциальные </w:t>
      </w:r>
      <w:r w:rsidR="00C81ADA" w:rsidRPr="00C81ADA">
        <w:rPr>
          <w:rFonts w:asciiTheme="majorHAnsi" w:hAnsiTheme="majorHAnsi" w:cstheme="majorHAnsi"/>
          <w:i/>
          <w:sz w:val="24"/>
          <w:szCs w:val="24"/>
          <w:lang w:val="ro-RO"/>
        </w:rPr>
        <w:t>пособия</w:t>
      </w:r>
      <w:r w:rsidRPr="00A93937">
        <w:rPr>
          <w:rFonts w:asciiTheme="majorHAnsi" w:hAnsiTheme="majorHAnsi" w:cstheme="majorHAnsi"/>
          <w:sz w:val="24"/>
          <w:szCs w:val="24"/>
          <w:lang w:val="ro-RO"/>
        </w:rPr>
        <w:t xml:space="preserve">” – на 119,4 млн. </w:t>
      </w:r>
      <w:r w:rsidR="008E6894">
        <w:rPr>
          <w:rFonts w:asciiTheme="majorHAnsi" w:hAnsiTheme="majorHAnsi" w:cstheme="majorHAnsi"/>
          <w:sz w:val="24"/>
          <w:szCs w:val="24"/>
          <w:lang w:val="ro-RO"/>
        </w:rPr>
        <w:t>леев</w:t>
      </w:r>
      <w:r w:rsidRPr="00A93937">
        <w:rPr>
          <w:rFonts w:asciiTheme="majorHAnsi" w:hAnsiTheme="majorHAnsi" w:cstheme="majorHAnsi"/>
          <w:sz w:val="24"/>
          <w:szCs w:val="24"/>
          <w:lang w:val="ro-RO"/>
        </w:rPr>
        <w:t>, или на 29,9% и т.д.</w:t>
      </w:r>
      <w:r w:rsidR="00AC6703" w:rsidRPr="00F55BA6">
        <w:rPr>
          <w:rFonts w:asciiTheme="majorHAnsi" w:hAnsiTheme="majorHAnsi" w:cstheme="majorHAnsi"/>
          <w:sz w:val="24"/>
          <w:szCs w:val="24"/>
          <w:lang w:val="ro-RO"/>
        </w:rPr>
        <w:t xml:space="preserve"> </w:t>
      </w:r>
      <w:r w:rsidRPr="00A93937">
        <w:rPr>
          <w:rFonts w:asciiTheme="majorHAnsi" w:hAnsiTheme="majorHAnsi" w:cstheme="majorHAnsi"/>
          <w:sz w:val="24"/>
          <w:szCs w:val="24"/>
          <w:lang w:val="ro-RO"/>
        </w:rPr>
        <w:t xml:space="preserve">В 2020 году были предусмотрены программы расходов, направленные на смягчение негативного влияния пандемии COVID-19 на экономических агентов и населения, которые были реализованы через </w:t>
      </w:r>
      <w:r w:rsidR="006643AF">
        <w:rPr>
          <w:rFonts w:asciiTheme="majorHAnsi" w:hAnsiTheme="majorHAnsi" w:cstheme="majorHAnsi"/>
          <w:sz w:val="24"/>
          <w:szCs w:val="24"/>
          <w:lang w:val="ru-RU"/>
        </w:rPr>
        <w:t>БГСС</w:t>
      </w:r>
      <w:r w:rsidRPr="00A93937">
        <w:rPr>
          <w:rFonts w:asciiTheme="majorHAnsi" w:hAnsiTheme="majorHAnsi" w:cstheme="majorHAnsi"/>
          <w:sz w:val="24"/>
          <w:szCs w:val="24"/>
          <w:lang w:val="ro-RO"/>
        </w:rPr>
        <w:t xml:space="preserve">, а </w:t>
      </w:r>
      <w:r w:rsidR="008F632D">
        <w:rPr>
          <w:rFonts w:asciiTheme="majorHAnsi" w:hAnsiTheme="majorHAnsi" w:cstheme="majorHAnsi"/>
          <w:sz w:val="24"/>
          <w:szCs w:val="24"/>
          <w:lang w:val="ro-RO"/>
        </w:rPr>
        <w:t>ГБ</w:t>
      </w:r>
      <w:r w:rsidRPr="00A93937">
        <w:rPr>
          <w:rFonts w:asciiTheme="majorHAnsi" w:hAnsiTheme="majorHAnsi" w:cstheme="majorHAnsi"/>
          <w:sz w:val="24"/>
          <w:szCs w:val="24"/>
          <w:lang w:val="ro-RO"/>
        </w:rPr>
        <w:t xml:space="preserve"> понес расходы за счет увеличения </w:t>
      </w:r>
      <w:r w:rsidR="006643AF">
        <w:rPr>
          <w:rFonts w:asciiTheme="majorHAnsi" w:hAnsiTheme="majorHAnsi" w:cstheme="majorHAnsi"/>
          <w:sz w:val="24"/>
          <w:szCs w:val="24"/>
          <w:lang w:val="ru-RU"/>
        </w:rPr>
        <w:t>трансферт</w:t>
      </w:r>
      <w:r w:rsidRPr="00A93937">
        <w:rPr>
          <w:rFonts w:asciiTheme="majorHAnsi" w:hAnsiTheme="majorHAnsi" w:cstheme="majorHAnsi"/>
          <w:sz w:val="24"/>
          <w:szCs w:val="24"/>
          <w:lang w:val="ro-RO"/>
        </w:rPr>
        <w:t xml:space="preserve">ов в </w:t>
      </w:r>
      <w:r w:rsidR="006643AF">
        <w:rPr>
          <w:rFonts w:asciiTheme="majorHAnsi" w:hAnsiTheme="majorHAnsi" w:cstheme="majorHAnsi"/>
          <w:sz w:val="24"/>
          <w:szCs w:val="24"/>
          <w:lang w:val="ru-RU"/>
        </w:rPr>
        <w:t>БГСС</w:t>
      </w:r>
      <w:r w:rsidRPr="00A93937">
        <w:rPr>
          <w:rFonts w:asciiTheme="majorHAnsi" w:hAnsiTheme="majorHAnsi" w:cstheme="majorHAnsi"/>
          <w:sz w:val="24"/>
          <w:szCs w:val="24"/>
          <w:lang w:val="ro-RO"/>
        </w:rPr>
        <w:t xml:space="preserve">. </w:t>
      </w:r>
      <w:r w:rsidR="006643AF">
        <w:rPr>
          <w:rFonts w:asciiTheme="majorHAnsi" w:hAnsiTheme="majorHAnsi" w:cstheme="majorHAnsi"/>
          <w:sz w:val="24"/>
          <w:szCs w:val="24"/>
          <w:lang w:val="ru-RU"/>
        </w:rPr>
        <w:t>Одно</w:t>
      </w:r>
      <w:r w:rsidRPr="00A93937">
        <w:rPr>
          <w:rFonts w:asciiTheme="majorHAnsi" w:hAnsiTheme="majorHAnsi" w:cstheme="majorHAnsi"/>
          <w:sz w:val="24"/>
          <w:szCs w:val="24"/>
          <w:lang w:val="ro-RO"/>
        </w:rPr>
        <w:t>врем</w:t>
      </w:r>
      <w:r w:rsidR="006643AF">
        <w:rPr>
          <w:rFonts w:asciiTheme="majorHAnsi" w:hAnsiTheme="majorHAnsi" w:cstheme="majorHAnsi"/>
          <w:sz w:val="24"/>
          <w:szCs w:val="24"/>
          <w:lang w:val="ru-RU"/>
        </w:rPr>
        <w:t>енно,</w:t>
      </w:r>
      <w:r w:rsidRPr="00A93937">
        <w:rPr>
          <w:rFonts w:asciiTheme="majorHAnsi" w:hAnsiTheme="majorHAnsi" w:cstheme="majorHAnsi"/>
          <w:sz w:val="24"/>
          <w:szCs w:val="24"/>
          <w:lang w:val="ro-RO"/>
        </w:rPr>
        <w:t xml:space="preserve"> отмечается с</w:t>
      </w:r>
      <w:r w:rsidR="006643AF">
        <w:rPr>
          <w:rFonts w:asciiTheme="majorHAnsi" w:hAnsiTheme="majorHAnsi" w:cstheme="majorHAnsi"/>
          <w:sz w:val="24"/>
          <w:szCs w:val="24"/>
          <w:lang w:val="ru-RU"/>
        </w:rPr>
        <w:t>окращен</w:t>
      </w:r>
      <w:r w:rsidRPr="00A93937">
        <w:rPr>
          <w:rFonts w:asciiTheme="majorHAnsi" w:hAnsiTheme="majorHAnsi" w:cstheme="majorHAnsi"/>
          <w:sz w:val="24"/>
          <w:szCs w:val="24"/>
          <w:lang w:val="ro-RO"/>
        </w:rPr>
        <w:t>ие расходов на „</w:t>
      </w:r>
      <w:r w:rsidRPr="006643AF">
        <w:rPr>
          <w:rFonts w:asciiTheme="majorHAnsi" w:hAnsiTheme="majorHAnsi" w:cstheme="majorHAnsi"/>
          <w:i/>
          <w:sz w:val="24"/>
          <w:szCs w:val="24"/>
          <w:lang w:val="ro-RO"/>
        </w:rPr>
        <w:t>товары и услуги</w:t>
      </w:r>
      <w:r w:rsidRPr="00A93937">
        <w:rPr>
          <w:rFonts w:asciiTheme="majorHAnsi" w:hAnsiTheme="majorHAnsi" w:cstheme="majorHAnsi"/>
          <w:sz w:val="24"/>
          <w:szCs w:val="24"/>
          <w:lang w:val="ro-RO"/>
        </w:rPr>
        <w:t>” на 58,9 млн. леев, или на 3,4</w:t>
      </w:r>
      <w:proofErr w:type="gramStart"/>
      <w:r w:rsidRPr="00A93937">
        <w:rPr>
          <w:rFonts w:asciiTheme="majorHAnsi" w:hAnsiTheme="majorHAnsi" w:cstheme="majorHAnsi"/>
          <w:sz w:val="24"/>
          <w:szCs w:val="24"/>
          <w:lang w:val="ro-RO"/>
        </w:rPr>
        <w:t>% ,</w:t>
      </w:r>
      <w:proofErr w:type="gramEnd"/>
      <w:r w:rsidRPr="00A93937">
        <w:rPr>
          <w:rFonts w:asciiTheme="majorHAnsi" w:hAnsiTheme="majorHAnsi" w:cstheme="majorHAnsi"/>
          <w:sz w:val="24"/>
          <w:szCs w:val="24"/>
          <w:lang w:val="ro-RO"/>
        </w:rPr>
        <w:t xml:space="preserve"> и на </w:t>
      </w:r>
      <w:r w:rsidR="006643AF" w:rsidRPr="00A93937">
        <w:rPr>
          <w:rFonts w:asciiTheme="majorHAnsi" w:hAnsiTheme="majorHAnsi" w:cstheme="majorHAnsi"/>
          <w:sz w:val="24"/>
          <w:szCs w:val="24"/>
          <w:lang w:val="ro-RO"/>
        </w:rPr>
        <w:t>„</w:t>
      </w:r>
      <w:r w:rsidR="006643AF" w:rsidRPr="006643AF">
        <w:rPr>
          <w:rFonts w:asciiTheme="majorHAnsi" w:hAnsiTheme="majorHAnsi" w:cstheme="majorHAnsi"/>
          <w:i/>
          <w:sz w:val="24"/>
          <w:szCs w:val="24"/>
          <w:lang w:val="ro-RO"/>
        </w:rPr>
        <w:t>товары</w:t>
      </w:r>
      <w:r w:rsidRPr="00A93937">
        <w:rPr>
          <w:rFonts w:asciiTheme="majorHAnsi" w:hAnsiTheme="majorHAnsi" w:cstheme="majorHAnsi"/>
          <w:sz w:val="24"/>
          <w:szCs w:val="24"/>
          <w:lang w:val="ro-RO"/>
        </w:rPr>
        <w:t>” –</w:t>
      </w:r>
      <w:r>
        <w:rPr>
          <w:rFonts w:asciiTheme="majorHAnsi" w:hAnsiTheme="majorHAnsi" w:cstheme="majorHAnsi"/>
          <w:sz w:val="24"/>
          <w:szCs w:val="24"/>
          <w:lang w:val="ru-RU"/>
        </w:rPr>
        <w:t xml:space="preserve"> </w:t>
      </w:r>
      <w:r w:rsidRPr="00A93937">
        <w:rPr>
          <w:rFonts w:asciiTheme="majorHAnsi" w:hAnsiTheme="majorHAnsi" w:cstheme="majorHAnsi"/>
          <w:sz w:val="24"/>
          <w:szCs w:val="24"/>
          <w:lang w:val="ro-RO"/>
        </w:rPr>
        <w:t xml:space="preserve">на 17,3 млн. </w:t>
      </w:r>
      <w:r w:rsidR="00564C86">
        <w:rPr>
          <w:rFonts w:asciiTheme="majorHAnsi" w:hAnsiTheme="majorHAnsi" w:cstheme="majorHAnsi"/>
          <w:sz w:val="24"/>
          <w:szCs w:val="24"/>
          <w:lang w:val="ru-RU"/>
        </w:rPr>
        <w:t>л</w:t>
      </w:r>
      <w:r w:rsidR="0025764C">
        <w:rPr>
          <w:rFonts w:asciiTheme="majorHAnsi" w:hAnsiTheme="majorHAnsi" w:cstheme="majorHAnsi"/>
          <w:sz w:val="24"/>
          <w:szCs w:val="24"/>
          <w:lang w:val="ro-RO"/>
        </w:rPr>
        <w:t>еев</w:t>
      </w:r>
      <w:r w:rsidRPr="00A93937">
        <w:rPr>
          <w:rFonts w:asciiTheme="majorHAnsi" w:hAnsiTheme="majorHAnsi" w:cstheme="majorHAnsi"/>
          <w:sz w:val="24"/>
          <w:szCs w:val="24"/>
          <w:lang w:val="ro-RO"/>
        </w:rPr>
        <w:t xml:space="preserve">. </w:t>
      </w:r>
      <w:r w:rsidRPr="00564C86">
        <w:rPr>
          <w:rFonts w:asciiTheme="majorHAnsi" w:hAnsiTheme="majorHAnsi" w:cstheme="majorHAnsi"/>
          <w:i/>
          <w:sz w:val="24"/>
          <w:szCs w:val="24"/>
          <w:lang w:val="ro-RO"/>
        </w:rPr>
        <w:t xml:space="preserve">Анализ исполнения </w:t>
      </w:r>
      <w:r w:rsidR="00564C86">
        <w:rPr>
          <w:rFonts w:asciiTheme="majorHAnsi" w:hAnsiTheme="majorHAnsi" w:cstheme="majorHAnsi"/>
          <w:i/>
          <w:sz w:val="24"/>
          <w:szCs w:val="24"/>
          <w:lang w:val="ru-RU"/>
        </w:rPr>
        <w:t>за</w:t>
      </w:r>
      <w:r w:rsidRPr="00564C86">
        <w:rPr>
          <w:rFonts w:asciiTheme="majorHAnsi" w:hAnsiTheme="majorHAnsi" w:cstheme="majorHAnsi"/>
          <w:i/>
          <w:sz w:val="24"/>
          <w:szCs w:val="24"/>
          <w:lang w:val="ro-RO"/>
        </w:rPr>
        <w:t xml:space="preserve"> 2020 год кассовых расходов государственного бюджета</w:t>
      </w:r>
      <w:r w:rsidR="00564C86">
        <w:rPr>
          <w:rFonts w:asciiTheme="majorHAnsi" w:hAnsiTheme="majorHAnsi" w:cstheme="majorHAnsi"/>
          <w:i/>
          <w:sz w:val="24"/>
          <w:szCs w:val="24"/>
          <w:lang w:val="ru-RU"/>
        </w:rPr>
        <w:t>,</w:t>
      </w:r>
      <w:r w:rsidRPr="00564C86">
        <w:rPr>
          <w:rFonts w:asciiTheme="majorHAnsi" w:hAnsiTheme="majorHAnsi" w:cstheme="majorHAnsi"/>
          <w:i/>
          <w:sz w:val="24"/>
          <w:szCs w:val="24"/>
          <w:lang w:val="ro-RO"/>
        </w:rPr>
        <w:t xml:space="preserve"> в аспекте экономической классификации, по сравнению с 2019 годом, представлен в Приложении №10 </w:t>
      </w:r>
      <w:r w:rsidR="00997756" w:rsidRPr="00564C86">
        <w:rPr>
          <w:rFonts w:asciiTheme="majorHAnsi" w:hAnsiTheme="majorHAnsi" w:cstheme="majorHAnsi"/>
          <w:i/>
          <w:sz w:val="24"/>
          <w:szCs w:val="24"/>
          <w:lang w:val="ro-RO"/>
        </w:rPr>
        <w:t>к настоящему Отчету аудита</w:t>
      </w:r>
      <w:r w:rsidRPr="00A93937">
        <w:rPr>
          <w:rFonts w:asciiTheme="majorHAnsi" w:hAnsiTheme="majorHAnsi" w:cstheme="majorHAnsi"/>
          <w:sz w:val="24"/>
          <w:szCs w:val="24"/>
          <w:lang w:val="ro-RO"/>
        </w:rPr>
        <w:t>.</w:t>
      </w:r>
    </w:p>
    <w:p w:rsidR="00AC6703" w:rsidRPr="00F55BA6" w:rsidRDefault="00A93937" w:rsidP="00AC6703">
      <w:pPr>
        <w:spacing w:after="0" w:line="276" w:lineRule="auto"/>
        <w:rPr>
          <w:rFonts w:asciiTheme="majorHAnsi" w:hAnsiTheme="majorHAnsi" w:cstheme="majorHAnsi"/>
          <w:sz w:val="24"/>
          <w:szCs w:val="24"/>
          <w:lang w:val="ro-RO"/>
        </w:rPr>
      </w:pPr>
      <w:r w:rsidRPr="00A93937">
        <w:rPr>
          <w:rFonts w:ascii="Calibri Light" w:hAnsi="Calibri Light" w:cs="Calibri Light"/>
          <w:sz w:val="24"/>
          <w:szCs w:val="24"/>
          <w:lang w:val="ro-RO"/>
        </w:rPr>
        <w:t>Согласно ст.67 Закона</w:t>
      </w:r>
      <w:r w:rsidR="00564C86">
        <w:rPr>
          <w:rFonts w:ascii="Calibri Light" w:hAnsi="Calibri Light" w:cs="Calibri Light"/>
          <w:sz w:val="24"/>
          <w:szCs w:val="24"/>
          <w:lang w:val="ru-RU"/>
        </w:rPr>
        <w:t xml:space="preserve"> </w:t>
      </w:r>
      <w:r w:rsidRPr="00A93937">
        <w:rPr>
          <w:rFonts w:ascii="Calibri Light" w:hAnsi="Calibri Light" w:cs="Calibri Light"/>
          <w:sz w:val="24"/>
          <w:szCs w:val="24"/>
          <w:lang w:val="ro-RO"/>
        </w:rPr>
        <w:t xml:space="preserve">№181/2014, в процессе исполнения </w:t>
      </w:r>
      <w:r w:rsidR="008F632D">
        <w:rPr>
          <w:rFonts w:ascii="Calibri Light" w:hAnsi="Calibri Light" w:cs="Calibri Light"/>
          <w:sz w:val="24"/>
          <w:szCs w:val="24"/>
          <w:lang w:val="ro-RO"/>
        </w:rPr>
        <w:t>ГБ</w:t>
      </w:r>
      <w:r w:rsidRPr="00A93937">
        <w:rPr>
          <w:rFonts w:ascii="Calibri Light" w:hAnsi="Calibri Light" w:cs="Calibri Light"/>
          <w:sz w:val="24"/>
          <w:szCs w:val="24"/>
          <w:lang w:val="ro-RO"/>
        </w:rPr>
        <w:t xml:space="preserve"> бюджетные органы/учреждения осуществляют платежи в пределах утвержденных бюджетных ассигнований и в соответствии с прогнозами ликвидности бюджета. </w:t>
      </w:r>
      <w:r w:rsidR="00564C86">
        <w:rPr>
          <w:rFonts w:ascii="Calibri Light" w:hAnsi="Calibri Light" w:cs="Calibri Light"/>
          <w:sz w:val="24"/>
          <w:szCs w:val="24"/>
          <w:lang w:val="ru-RU"/>
        </w:rPr>
        <w:t>Учитывая</w:t>
      </w:r>
      <w:r w:rsidRPr="00A93937">
        <w:rPr>
          <w:rFonts w:ascii="Calibri Light" w:hAnsi="Calibri Light" w:cs="Calibri Light"/>
          <w:sz w:val="24"/>
          <w:szCs w:val="24"/>
          <w:lang w:val="ro-RO"/>
        </w:rPr>
        <w:t xml:space="preserve"> влияни</w:t>
      </w:r>
      <w:r w:rsidR="00564C86">
        <w:rPr>
          <w:rFonts w:ascii="Calibri Light" w:hAnsi="Calibri Light" w:cs="Calibri Light"/>
          <w:sz w:val="24"/>
          <w:szCs w:val="24"/>
          <w:lang w:val="ru-RU"/>
        </w:rPr>
        <w:t>е</w:t>
      </w:r>
      <w:r w:rsidRPr="00A93937">
        <w:rPr>
          <w:rFonts w:ascii="Calibri Light" w:hAnsi="Calibri Light" w:cs="Calibri Light"/>
          <w:sz w:val="24"/>
          <w:szCs w:val="24"/>
          <w:lang w:val="ro-RO"/>
        </w:rPr>
        <w:t xml:space="preserve"> эпидемиологической ситуации, МФ потребовал</w:t>
      </w:r>
      <w:r w:rsidR="00564C86" w:rsidRPr="00F55BA6">
        <w:rPr>
          <w:rStyle w:val="FootnoteReference"/>
          <w:rFonts w:asciiTheme="majorHAnsi" w:hAnsiTheme="majorHAnsi" w:cstheme="majorHAnsi"/>
          <w:sz w:val="24"/>
          <w:szCs w:val="24"/>
          <w:lang w:val="ro-RO"/>
        </w:rPr>
        <w:footnoteReference w:id="94"/>
      </w:r>
      <w:r w:rsidRPr="00A93937">
        <w:rPr>
          <w:rFonts w:ascii="Calibri Light" w:hAnsi="Calibri Light" w:cs="Calibri Light"/>
          <w:sz w:val="24"/>
          <w:szCs w:val="24"/>
          <w:lang w:val="ro-RO"/>
        </w:rPr>
        <w:t xml:space="preserve"> от ЦП</w:t>
      </w:r>
      <w:r w:rsidR="00564C86">
        <w:rPr>
          <w:rFonts w:ascii="Calibri Light" w:hAnsi="Calibri Light" w:cs="Calibri Light"/>
          <w:sz w:val="24"/>
          <w:szCs w:val="24"/>
          <w:lang w:val="ru-RU"/>
        </w:rPr>
        <w:t>О</w:t>
      </w:r>
      <w:r w:rsidRPr="00A93937">
        <w:rPr>
          <w:rFonts w:ascii="Calibri Light" w:hAnsi="Calibri Light" w:cs="Calibri Light"/>
          <w:sz w:val="24"/>
          <w:szCs w:val="24"/>
          <w:lang w:val="ro-RO"/>
        </w:rPr>
        <w:t xml:space="preserve"> пересмотр</w:t>
      </w:r>
      <w:r w:rsidR="00564C86">
        <w:rPr>
          <w:rFonts w:ascii="Calibri Light" w:hAnsi="Calibri Light" w:cs="Calibri Light"/>
          <w:sz w:val="24"/>
          <w:szCs w:val="24"/>
          <w:lang w:val="ru-RU"/>
        </w:rPr>
        <w:t>еть</w:t>
      </w:r>
      <w:r w:rsidRPr="00A93937">
        <w:rPr>
          <w:rFonts w:ascii="Calibri Light" w:hAnsi="Calibri Light" w:cs="Calibri Light"/>
          <w:sz w:val="24"/>
          <w:szCs w:val="24"/>
          <w:lang w:val="ro-RO"/>
        </w:rPr>
        <w:t xml:space="preserve"> бюджетны</w:t>
      </w:r>
      <w:r w:rsidR="00564C86">
        <w:rPr>
          <w:rFonts w:ascii="Calibri Light" w:hAnsi="Calibri Light" w:cs="Calibri Light"/>
          <w:sz w:val="24"/>
          <w:szCs w:val="24"/>
          <w:lang w:val="ru-RU"/>
        </w:rPr>
        <w:t>е</w:t>
      </w:r>
      <w:r w:rsidRPr="00A93937">
        <w:rPr>
          <w:rFonts w:ascii="Calibri Light" w:hAnsi="Calibri Light" w:cs="Calibri Light"/>
          <w:sz w:val="24"/>
          <w:szCs w:val="24"/>
          <w:lang w:val="ro-RO"/>
        </w:rPr>
        <w:t xml:space="preserve"> расход</w:t>
      </w:r>
      <w:r w:rsidR="00564C86">
        <w:rPr>
          <w:rFonts w:ascii="Calibri Light" w:hAnsi="Calibri Light" w:cs="Calibri Light"/>
          <w:sz w:val="24"/>
          <w:szCs w:val="24"/>
          <w:lang w:val="ru-RU"/>
        </w:rPr>
        <w:t>ы</w:t>
      </w:r>
      <w:r w:rsidRPr="00A93937">
        <w:rPr>
          <w:rFonts w:ascii="Calibri Light" w:hAnsi="Calibri Light" w:cs="Calibri Light"/>
          <w:sz w:val="24"/>
          <w:szCs w:val="24"/>
          <w:lang w:val="ro-RO"/>
        </w:rPr>
        <w:t>, утвержденны</w:t>
      </w:r>
      <w:r w:rsidR="00564C86">
        <w:rPr>
          <w:rFonts w:ascii="Calibri Light" w:hAnsi="Calibri Light" w:cs="Calibri Light"/>
          <w:sz w:val="24"/>
          <w:szCs w:val="24"/>
          <w:lang w:val="ru-RU"/>
        </w:rPr>
        <w:t>е</w:t>
      </w:r>
      <w:r w:rsidRPr="00A93937">
        <w:rPr>
          <w:rFonts w:ascii="Calibri Light" w:hAnsi="Calibri Light" w:cs="Calibri Light"/>
          <w:sz w:val="24"/>
          <w:szCs w:val="24"/>
          <w:lang w:val="ro-RO"/>
        </w:rPr>
        <w:t xml:space="preserve"> на 2020 год, с целью выявления финансовых ресурсов для покрытия острых потребностей, путем сокращения необоснованных расходов, но не ставших под угрозу функциональность учреждений.</w:t>
      </w:r>
      <w:r w:rsidR="00AC6703" w:rsidRPr="00F55BA6">
        <w:rPr>
          <w:rFonts w:asciiTheme="majorHAnsi" w:hAnsiTheme="majorHAnsi" w:cstheme="majorHAnsi"/>
          <w:sz w:val="24"/>
          <w:szCs w:val="24"/>
          <w:lang w:val="ro-RO"/>
        </w:rPr>
        <w:t xml:space="preserve"> </w:t>
      </w:r>
      <w:r w:rsidRPr="00A93937">
        <w:rPr>
          <w:rFonts w:asciiTheme="majorHAnsi" w:hAnsiTheme="majorHAnsi" w:cstheme="majorHAnsi"/>
          <w:sz w:val="24"/>
          <w:szCs w:val="24"/>
          <w:lang w:val="ro-RO"/>
        </w:rPr>
        <w:t xml:space="preserve">Таким образом, в соответствии с изменениями в годовом </w:t>
      </w:r>
      <w:r w:rsidR="002A5B72" w:rsidRPr="00A93937">
        <w:rPr>
          <w:rFonts w:asciiTheme="majorHAnsi" w:hAnsiTheme="majorHAnsi" w:cstheme="majorHAnsi"/>
          <w:sz w:val="24"/>
          <w:szCs w:val="24"/>
          <w:lang w:val="ro-RO"/>
        </w:rPr>
        <w:t>законе</w:t>
      </w:r>
      <w:r w:rsidR="002A5B72" w:rsidRPr="00A93937">
        <w:rPr>
          <w:rFonts w:asciiTheme="majorHAnsi" w:hAnsiTheme="majorHAnsi" w:cstheme="majorHAnsi"/>
          <w:sz w:val="24"/>
          <w:szCs w:val="24"/>
          <w:lang w:val="ro-RO"/>
        </w:rPr>
        <w:t xml:space="preserve"> </w:t>
      </w:r>
      <w:r w:rsidR="002A5B72">
        <w:rPr>
          <w:rFonts w:asciiTheme="majorHAnsi" w:hAnsiTheme="majorHAnsi" w:cstheme="majorHAnsi"/>
          <w:sz w:val="24"/>
          <w:szCs w:val="24"/>
          <w:lang w:val="ru-RU"/>
        </w:rPr>
        <w:t xml:space="preserve">о </w:t>
      </w:r>
      <w:r w:rsidR="002A5B72">
        <w:rPr>
          <w:rFonts w:asciiTheme="majorHAnsi" w:hAnsiTheme="majorHAnsi" w:cstheme="majorHAnsi"/>
          <w:sz w:val="24"/>
          <w:szCs w:val="24"/>
          <w:lang w:val="ro-RO"/>
        </w:rPr>
        <w:t>бюджет</w:t>
      </w:r>
      <w:r w:rsidR="002A5B72">
        <w:rPr>
          <w:rFonts w:asciiTheme="majorHAnsi" w:hAnsiTheme="majorHAnsi" w:cstheme="majorHAnsi"/>
          <w:sz w:val="24"/>
          <w:szCs w:val="24"/>
          <w:lang w:val="ru-RU"/>
        </w:rPr>
        <w:t>е</w:t>
      </w:r>
      <w:r w:rsidRPr="00A93937">
        <w:rPr>
          <w:rFonts w:asciiTheme="majorHAnsi" w:hAnsiTheme="majorHAnsi" w:cstheme="majorHAnsi"/>
          <w:sz w:val="24"/>
          <w:szCs w:val="24"/>
          <w:lang w:val="ro-RO"/>
        </w:rPr>
        <w:t xml:space="preserve">, в том числе за счет сокращения бюджетов </w:t>
      </w:r>
      <w:r w:rsidR="00564C86">
        <w:rPr>
          <w:rFonts w:asciiTheme="majorHAnsi" w:hAnsiTheme="majorHAnsi" w:cstheme="majorHAnsi"/>
          <w:sz w:val="24"/>
          <w:szCs w:val="24"/>
          <w:lang w:val="ru-RU"/>
        </w:rPr>
        <w:t>ЦПО</w:t>
      </w:r>
      <w:r w:rsidRPr="00A93937">
        <w:rPr>
          <w:rFonts w:asciiTheme="majorHAnsi" w:hAnsiTheme="majorHAnsi" w:cstheme="majorHAnsi"/>
          <w:sz w:val="24"/>
          <w:szCs w:val="24"/>
          <w:lang w:val="ro-RO"/>
        </w:rPr>
        <w:t xml:space="preserve"> на 2 112,4 млн. леев, расходы и нефинансовые активы органов, финансируемых из </w:t>
      </w:r>
      <w:r w:rsidR="008F632D">
        <w:rPr>
          <w:rFonts w:asciiTheme="majorHAnsi" w:hAnsiTheme="majorHAnsi" w:cstheme="majorHAnsi"/>
          <w:sz w:val="24"/>
          <w:szCs w:val="24"/>
          <w:lang w:val="ro-RO"/>
        </w:rPr>
        <w:t>ГБ</w:t>
      </w:r>
      <w:r w:rsidRPr="00A93937">
        <w:rPr>
          <w:rFonts w:asciiTheme="majorHAnsi" w:hAnsiTheme="majorHAnsi" w:cstheme="majorHAnsi"/>
          <w:sz w:val="24"/>
          <w:szCs w:val="24"/>
          <w:lang w:val="ro-RO"/>
        </w:rPr>
        <w:t>, были увеличены на 3 761,4 млн. леев, из которых в ЦП</w:t>
      </w:r>
      <w:r w:rsidR="00564C86">
        <w:rPr>
          <w:rFonts w:asciiTheme="majorHAnsi" w:hAnsiTheme="majorHAnsi" w:cstheme="majorHAnsi"/>
          <w:sz w:val="24"/>
          <w:szCs w:val="24"/>
          <w:lang w:val="ru-RU"/>
        </w:rPr>
        <w:t>О</w:t>
      </w:r>
      <w:r w:rsidRPr="00A93937">
        <w:rPr>
          <w:rFonts w:asciiTheme="majorHAnsi" w:hAnsiTheme="majorHAnsi" w:cstheme="majorHAnsi"/>
          <w:sz w:val="24"/>
          <w:szCs w:val="24"/>
          <w:lang w:val="ro-RO"/>
        </w:rPr>
        <w:t xml:space="preserve"> – </w:t>
      </w:r>
      <w:r w:rsidR="00564C86">
        <w:rPr>
          <w:rFonts w:asciiTheme="majorHAnsi" w:hAnsiTheme="majorHAnsi" w:cstheme="majorHAnsi"/>
          <w:sz w:val="24"/>
          <w:szCs w:val="24"/>
          <w:lang w:val="ru-RU"/>
        </w:rPr>
        <w:t xml:space="preserve">на </w:t>
      </w:r>
      <w:r w:rsidRPr="00A93937">
        <w:rPr>
          <w:rFonts w:asciiTheme="majorHAnsi" w:hAnsiTheme="majorHAnsi" w:cstheme="majorHAnsi"/>
          <w:sz w:val="24"/>
          <w:szCs w:val="24"/>
          <w:lang w:val="ro-RO"/>
        </w:rPr>
        <w:t xml:space="preserve">661,9 млн. </w:t>
      </w:r>
      <w:r w:rsidRPr="00A93937">
        <w:rPr>
          <w:rFonts w:asciiTheme="majorHAnsi" w:hAnsiTheme="majorHAnsi" w:cstheme="majorHAnsi"/>
          <w:sz w:val="24"/>
          <w:szCs w:val="24"/>
          <w:lang w:val="ro-RO"/>
        </w:rPr>
        <w:lastRenderedPageBreak/>
        <w:t xml:space="preserve">леев </w:t>
      </w:r>
      <w:r w:rsidR="00564C86" w:rsidRPr="00F55BA6">
        <w:rPr>
          <w:rFonts w:asciiTheme="majorHAnsi" w:hAnsiTheme="majorHAnsi" w:cstheme="majorHAnsi"/>
          <w:sz w:val="24"/>
          <w:szCs w:val="24"/>
          <w:lang w:val="ro-RO"/>
        </w:rPr>
        <w:t>(</w:t>
      </w:r>
      <w:r w:rsidR="00564C86">
        <w:rPr>
          <w:rFonts w:asciiTheme="majorHAnsi" w:hAnsiTheme="majorHAnsi" w:cstheme="majorHAnsi"/>
          <w:sz w:val="24"/>
          <w:szCs w:val="24"/>
          <w:lang w:val="ru-RU"/>
        </w:rPr>
        <w:t>МЗТСЗ</w:t>
      </w:r>
      <w:r w:rsidR="00564C86" w:rsidRPr="00F55BA6">
        <w:rPr>
          <w:rFonts w:asciiTheme="majorHAnsi" w:hAnsiTheme="majorHAnsi" w:cstheme="majorHAnsi"/>
          <w:sz w:val="24"/>
          <w:szCs w:val="24"/>
          <w:lang w:val="ro-RO"/>
        </w:rPr>
        <w:t xml:space="preserve"> – 579,8 </w:t>
      </w:r>
      <w:r w:rsidR="00564C86">
        <w:rPr>
          <w:rFonts w:asciiTheme="majorHAnsi" w:hAnsiTheme="majorHAnsi" w:cstheme="majorHAnsi"/>
          <w:sz w:val="24"/>
          <w:szCs w:val="24"/>
          <w:lang w:val="ru-RU"/>
        </w:rPr>
        <w:t>млн. леев,</w:t>
      </w:r>
      <w:r w:rsidR="00564C86" w:rsidRPr="00A93937">
        <w:rPr>
          <w:rFonts w:asciiTheme="majorHAnsi" w:hAnsiTheme="majorHAnsi" w:cstheme="majorHAnsi"/>
          <w:sz w:val="24"/>
          <w:szCs w:val="24"/>
          <w:lang w:val="ro-RO"/>
        </w:rPr>
        <w:t xml:space="preserve"> </w:t>
      </w:r>
      <w:r w:rsidRPr="00A93937">
        <w:rPr>
          <w:rFonts w:asciiTheme="majorHAnsi" w:hAnsiTheme="majorHAnsi" w:cstheme="majorHAnsi"/>
          <w:sz w:val="24"/>
          <w:szCs w:val="24"/>
          <w:lang w:val="ro-RO"/>
        </w:rPr>
        <w:t xml:space="preserve">Национальное агентство по исследованиям и разработкам – 80,1 млн. леев и т.д.), </w:t>
      </w:r>
      <w:r w:rsidR="00564C86">
        <w:rPr>
          <w:rFonts w:asciiTheme="majorHAnsi" w:hAnsiTheme="majorHAnsi" w:cstheme="majorHAnsi"/>
          <w:sz w:val="24"/>
          <w:szCs w:val="24"/>
          <w:lang w:val="ru-RU"/>
        </w:rPr>
        <w:t>а</w:t>
      </w:r>
      <w:r w:rsidRPr="00A93937">
        <w:rPr>
          <w:rFonts w:asciiTheme="majorHAnsi" w:hAnsiTheme="majorHAnsi" w:cstheme="majorHAnsi"/>
          <w:sz w:val="24"/>
          <w:szCs w:val="24"/>
          <w:lang w:val="ro-RO"/>
        </w:rPr>
        <w:t xml:space="preserve"> „</w:t>
      </w:r>
      <w:r w:rsidR="00564C86">
        <w:rPr>
          <w:rFonts w:asciiTheme="majorHAnsi" w:hAnsiTheme="majorHAnsi" w:cstheme="majorHAnsi"/>
          <w:sz w:val="24"/>
          <w:szCs w:val="24"/>
          <w:lang w:val="ru-RU"/>
        </w:rPr>
        <w:t>О</w:t>
      </w:r>
      <w:r w:rsidRPr="00A93937">
        <w:rPr>
          <w:rFonts w:asciiTheme="majorHAnsi" w:hAnsiTheme="majorHAnsi" w:cstheme="majorHAnsi"/>
          <w:sz w:val="24"/>
          <w:szCs w:val="24"/>
          <w:lang w:val="ro-RO"/>
        </w:rPr>
        <w:t xml:space="preserve">бщие действия” – на 3 099,5 млн. леев. В то же время, по сравнению с </w:t>
      </w:r>
      <w:r w:rsidR="001D6EB0">
        <w:rPr>
          <w:rFonts w:asciiTheme="majorHAnsi" w:hAnsiTheme="majorHAnsi" w:cstheme="majorHAnsi"/>
          <w:sz w:val="24"/>
          <w:szCs w:val="24"/>
          <w:lang w:val="ro-RO"/>
        </w:rPr>
        <w:t>уточне</w:t>
      </w:r>
      <w:r w:rsidRPr="00A93937">
        <w:rPr>
          <w:rFonts w:asciiTheme="majorHAnsi" w:hAnsiTheme="majorHAnsi" w:cstheme="majorHAnsi"/>
          <w:sz w:val="24"/>
          <w:szCs w:val="24"/>
          <w:lang w:val="ro-RO"/>
        </w:rPr>
        <w:t>нными ассигнованиями, в 2020 году не был</w:t>
      </w:r>
      <w:r w:rsidR="00564C86">
        <w:rPr>
          <w:rFonts w:asciiTheme="majorHAnsi" w:hAnsiTheme="majorHAnsi" w:cstheme="majorHAnsi"/>
          <w:sz w:val="24"/>
          <w:szCs w:val="24"/>
          <w:lang w:val="ru-RU"/>
        </w:rPr>
        <w:t>ы</w:t>
      </w:r>
      <w:r w:rsidRPr="00A93937">
        <w:rPr>
          <w:rFonts w:asciiTheme="majorHAnsi" w:hAnsiTheme="majorHAnsi" w:cstheme="majorHAnsi"/>
          <w:sz w:val="24"/>
          <w:szCs w:val="24"/>
          <w:lang w:val="ro-RO"/>
        </w:rPr>
        <w:t xml:space="preserve"> исполнен</w:t>
      </w:r>
      <w:r w:rsidR="00564C86">
        <w:rPr>
          <w:rFonts w:asciiTheme="majorHAnsi" w:hAnsiTheme="majorHAnsi" w:cstheme="majorHAnsi"/>
          <w:sz w:val="24"/>
          <w:szCs w:val="24"/>
          <w:lang w:val="ru-RU"/>
        </w:rPr>
        <w:t>ы</w:t>
      </w:r>
      <w:r w:rsidRPr="00A93937">
        <w:rPr>
          <w:rFonts w:asciiTheme="majorHAnsi" w:hAnsiTheme="majorHAnsi" w:cstheme="majorHAnsi"/>
          <w:sz w:val="24"/>
          <w:szCs w:val="24"/>
          <w:lang w:val="ro-RO"/>
        </w:rPr>
        <w:t xml:space="preserve"> ассигновани</w:t>
      </w:r>
      <w:r w:rsidR="00564C86">
        <w:rPr>
          <w:rFonts w:asciiTheme="majorHAnsi" w:hAnsiTheme="majorHAnsi" w:cstheme="majorHAnsi"/>
          <w:sz w:val="24"/>
          <w:szCs w:val="24"/>
          <w:lang w:val="ru-RU"/>
        </w:rPr>
        <w:t>я</w:t>
      </w:r>
      <w:r w:rsidRPr="00A93937">
        <w:rPr>
          <w:rFonts w:asciiTheme="majorHAnsi" w:hAnsiTheme="majorHAnsi" w:cstheme="majorHAnsi"/>
          <w:sz w:val="24"/>
          <w:szCs w:val="24"/>
          <w:lang w:val="ro-RO"/>
        </w:rPr>
        <w:t xml:space="preserve"> на общую сумму 3 645,2 млн. леев, из которых </w:t>
      </w:r>
      <w:r w:rsidR="00564C86">
        <w:rPr>
          <w:rFonts w:asciiTheme="majorHAnsi" w:hAnsiTheme="majorHAnsi" w:cstheme="majorHAnsi"/>
          <w:sz w:val="24"/>
          <w:szCs w:val="24"/>
          <w:lang w:val="ru-RU"/>
        </w:rPr>
        <w:t>субъекты</w:t>
      </w:r>
      <w:r w:rsidRPr="00A93937">
        <w:rPr>
          <w:rFonts w:asciiTheme="majorHAnsi" w:hAnsiTheme="majorHAnsi" w:cstheme="majorHAnsi"/>
          <w:sz w:val="24"/>
          <w:szCs w:val="24"/>
          <w:lang w:val="ro-RO"/>
        </w:rPr>
        <w:t xml:space="preserve"> не </w:t>
      </w:r>
      <w:r w:rsidR="00564C86">
        <w:rPr>
          <w:rFonts w:asciiTheme="majorHAnsi" w:hAnsiTheme="majorHAnsi" w:cstheme="majorHAnsi"/>
          <w:sz w:val="24"/>
          <w:szCs w:val="24"/>
          <w:lang w:val="ru-RU"/>
        </w:rPr>
        <w:t>ис</w:t>
      </w:r>
      <w:r w:rsidRPr="00A93937">
        <w:rPr>
          <w:rFonts w:asciiTheme="majorHAnsi" w:hAnsiTheme="majorHAnsi" w:cstheme="majorHAnsi"/>
          <w:sz w:val="24"/>
          <w:szCs w:val="24"/>
          <w:lang w:val="ro-RO"/>
        </w:rPr>
        <w:t xml:space="preserve">полнили расходы и нефинансовые активы </w:t>
      </w:r>
      <w:r w:rsidR="00564C86">
        <w:rPr>
          <w:rFonts w:asciiTheme="majorHAnsi" w:hAnsiTheme="majorHAnsi" w:cstheme="majorHAnsi"/>
          <w:sz w:val="24"/>
          <w:szCs w:val="24"/>
          <w:lang w:val="ru-RU"/>
        </w:rPr>
        <w:t>от</w:t>
      </w:r>
      <w:r w:rsidRPr="00A93937">
        <w:rPr>
          <w:rFonts w:asciiTheme="majorHAnsi" w:hAnsiTheme="majorHAnsi" w:cstheme="majorHAnsi"/>
          <w:sz w:val="24"/>
          <w:szCs w:val="24"/>
          <w:lang w:val="ro-RO"/>
        </w:rPr>
        <w:t xml:space="preserve"> </w:t>
      </w:r>
      <w:r w:rsidR="0066158B">
        <w:rPr>
          <w:rFonts w:asciiTheme="majorHAnsi" w:hAnsiTheme="majorHAnsi" w:cstheme="majorHAnsi"/>
          <w:sz w:val="24"/>
          <w:szCs w:val="24"/>
          <w:lang w:val="ro-RO"/>
        </w:rPr>
        <w:t>уточненных</w:t>
      </w:r>
      <w:r w:rsidRPr="00A93937">
        <w:rPr>
          <w:rFonts w:asciiTheme="majorHAnsi" w:hAnsiTheme="majorHAnsi" w:cstheme="majorHAnsi"/>
          <w:sz w:val="24"/>
          <w:szCs w:val="24"/>
          <w:lang w:val="ro-RO"/>
        </w:rPr>
        <w:t xml:space="preserve"> </w:t>
      </w:r>
      <w:r w:rsidR="00564C86">
        <w:rPr>
          <w:rFonts w:asciiTheme="majorHAnsi" w:hAnsiTheme="majorHAnsi" w:cstheme="majorHAnsi"/>
          <w:sz w:val="24"/>
          <w:szCs w:val="24"/>
          <w:lang w:val="ru-RU"/>
        </w:rPr>
        <w:t>ассигнован</w:t>
      </w:r>
      <w:r w:rsidRPr="00A93937">
        <w:rPr>
          <w:rFonts w:asciiTheme="majorHAnsi" w:hAnsiTheme="majorHAnsi" w:cstheme="majorHAnsi"/>
          <w:sz w:val="24"/>
          <w:szCs w:val="24"/>
          <w:lang w:val="ro-RO"/>
        </w:rPr>
        <w:t>ий в сумме 2 278,4 млн. леев, а от „</w:t>
      </w:r>
      <w:r w:rsidR="00564C86">
        <w:rPr>
          <w:rFonts w:asciiTheme="majorHAnsi" w:hAnsiTheme="majorHAnsi" w:cstheme="majorHAnsi"/>
          <w:sz w:val="24"/>
          <w:szCs w:val="24"/>
          <w:lang w:val="ru-RU"/>
        </w:rPr>
        <w:t>О</w:t>
      </w:r>
      <w:r w:rsidRPr="00A93937">
        <w:rPr>
          <w:rFonts w:asciiTheme="majorHAnsi" w:hAnsiTheme="majorHAnsi" w:cstheme="majorHAnsi"/>
          <w:sz w:val="24"/>
          <w:szCs w:val="24"/>
          <w:lang w:val="ro-RO"/>
        </w:rPr>
        <w:t xml:space="preserve">бщих действий” не </w:t>
      </w:r>
      <w:r w:rsidR="00564C86">
        <w:rPr>
          <w:rFonts w:asciiTheme="majorHAnsi" w:hAnsiTheme="majorHAnsi" w:cstheme="majorHAnsi"/>
          <w:sz w:val="24"/>
          <w:szCs w:val="24"/>
          <w:lang w:val="ru-RU"/>
        </w:rPr>
        <w:t xml:space="preserve">было </w:t>
      </w:r>
      <w:r w:rsidRPr="00A93937">
        <w:rPr>
          <w:rFonts w:asciiTheme="majorHAnsi" w:hAnsiTheme="majorHAnsi" w:cstheme="majorHAnsi"/>
          <w:sz w:val="24"/>
          <w:szCs w:val="24"/>
          <w:lang w:val="ro-RO"/>
        </w:rPr>
        <w:t>исполн</w:t>
      </w:r>
      <w:r w:rsidR="00564C86">
        <w:rPr>
          <w:rFonts w:asciiTheme="majorHAnsi" w:hAnsiTheme="majorHAnsi" w:cstheme="majorHAnsi"/>
          <w:sz w:val="24"/>
          <w:szCs w:val="24"/>
          <w:lang w:val="ru-RU"/>
        </w:rPr>
        <w:t>ено</w:t>
      </w:r>
      <w:r w:rsidRPr="00A93937">
        <w:rPr>
          <w:rFonts w:asciiTheme="majorHAnsi" w:hAnsiTheme="majorHAnsi" w:cstheme="majorHAnsi"/>
          <w:sz w:val="24"/>
          <w:szCs w:val="24"/>
          <w:lang w:val="ro-RO"/>
        </w:rPr>
        <w:t xml:space="preserve"> 1 366,8 млн. леев.</w:t>
      </w:r>
      <w:r w:rsidR="00AC6703" w:rsidRPr="00F55BA6">
        <w:rPr>
          <w:rFonts w:asciiTheme="majorHAnsi" w:hAnsiTheme="majorHAnsi" w:cstheme="majorHAnsi"/>
          <w:sz w:val="24"/>
          <w:szCs w:val="24"/>
          <w:lang w:val="ro-RO"/>
        </w:rPr>
        <w:t xml:space="preserve"> </w:t>
      </w:r>
    </w:p>
    <w:p w:rsidR="00AC6703" w:rsidRPr="00E4517B" w:rsidRDefault="00A93937" w:rsidP="00AC6703">
      <w:pPr>
        <w:spacing w:after="0" w:line="276" w:lineRule="auto"/>
        <w:contextualSpacing/>
        <w:rPr>
          <w:rFonts w:asciiTheme="majorHAnsi" w:eastAsiaTheme="minorEastAsia" w:hAnsiTheme="majorHAnsi" w:cstheme="majorHAnsi"/>
          <w:bCs/>
          <w:iCs/>
          <w:sz w:val="24"/>
          <w:szCs w:val="24"/>
          <w:lang w:val="ro-RO" w:eastAsia="ru-RU"/>
        </w:rPr>
      </w:pPr>
      <w:r w:rsidRPr="00A93937">
        <w:rPr>
          <w:rFonts w:asciiTheme="majorHAnsi" w:eastAsiaTheme="minorEastAsia" w:hAnsiTheme="majorHAnsi" w:cstheme="majorHAnsi"/>
          <w:bCs/>
          <w:iCs/>
          <w:sz w:val="24"/>
          <w:szCs w:val="24"/>
          <w:lang w:val="ro-RO" w:eastAsia="ru-RU"/>
        </w:rPr>
        <w:t xml:space="preserve">Аудит </w:t>
      </w:r>
      <w:r w:rsidR="00564C86">
        <w:rPr>
          <w:rFonts w:asciiTheme="majorHAnsi" w:eastAsiaTheme="minorEastAsia" w:hAnsiTheme="majorHAnsi" w:cstheme="majorHAnsi"/>
          <w:bCs/>
          <w:iCs/>
          <w:sz w:val="24"/>
          <w:szCs w:val="24"/>
          <w:lang w:val="ru-RU" w:eastAsia="ru-RU"/>
        </w:rPr>
        <w:t>отмеч</w:t>
      </w:r>
      <w:r w:rsidRPr="00A93937">
        <w:rPr>
          <w:rFonts w:asciiTheme="majorHAnsi" w:eastAsiaTheme="minorEastAsia" w:hAnsiTheme="majorHAnsi" w:cstheme="majorHAnsi"/>
          <w:bCs/>
          <w:iCs/>
          <w:sz w:val="24"/>
          <w:szCs w:val="24"/>
          <w:lang w:val="ro-RO" w:eastAsia="ru-RU"/>
        </w:rPr>
        <w:t xml:space="preserve">ает, что </w:t>
      </w:r>
      <w:r w:rsidR="00564C86">
        <w:rPr>
          <w:rFonts w:asciiTheme="majorHAnsi" w:eastAsiaTheme="minorEastAsia" w:hAnsiTheme="majorHAnsi" w:cstheme="majorHAnsi"/>
          <w:bCs/>
          <w:iCs/>
          <w:sz w:val="24"/>
          <w:szCs w:val="24"/>
          <w:lang w:val="ru-RU" w:eastAsia="ru-RU"/>
        </w:rPr>
        <w:t>наибольший удельный вес</w:t>
      </w:r>
      <w:r w:rsidRPr="00A93937">
        <w:rPr>
          <w:rFonts w:asciiTheme="majorHAnsi" w:eastAsiaTheme="minorEastAsia" w:hAnsiTheme="majorHAnsi" w:cstheme="majorHAnsi"/>
          <w:bCs/>
          <w:iCs/>
          <w:sz w:val="24"/>
          <w:szCs w:val="24"/>
          <w:lang w:val="ro-RO" w:eastAsia="ru-RU"/>
        </w:rPr>
        <w:t xml:space="preserve"> в общих расходах </w:t>
      </w:r>
      <w:r w:rsidR="008F632D">
        <w:rPr>
          <w:rFonts w:asciiTheme="majorHAnsi" w:eastAsiaTheme="minorEastAsia" w:hAnsiTheme="majorHAnsi" w:cstheme="majorHAnsi"/>
          <w:bCs/>
          <w:iCs/>
          <w:sz w:val="24"/>
          <w:szCs w:val="24"/>
          <w:lang w:val="ro-RO" w:eastAsia="ru-RU"/>
        </w:rPr>
        <w:t>ГБ</w:t>
      </w:r>
      <w:r w:rsidRPr="00A93937">
        <w:rPr>
          <w:rFonts w:asciiTheme="majorHAnsi" w:eastAsiaTheme="minorEastAsia" w:hAnsiTheme="majorHAnsi" w:cstheme="majorHAnsi"/>
          <w:bCs/>
          <w:iCs/>
          <w:sz w:val="24"/>
          <w:szCs w:val="24"/>
          <w:lang w:val="ro-RO" w:eastAsia="ru-RU"/>
        </w:rPr>
        <w:t xml:space="preserve">, согласно функциональной классификации, приходится на расходы, </w:t>
      </w:r>
      <w:r w:rsidR="005E3170">
        <w:rPr>
          <w:rFonts w:asciiTheme="majorHAnsi" w:eastAsiaTheme="minorEastAsia" w:hAnsiTheme="majorHAnsi" w:cstheme="majorHAnsi"/>
          <w:bCs/>
          <w:iCs/>
          <w:sz w:val="24"/>
          <w:szCs w:val="24"/>
          <w:lang w:val="ru-RU" w:eastAsia="ru-RU"/>
        </w:rPr>
        <w:t>исполн</w:t>
      </w:r>
      <w:r w:rsidRPr="00A93937">
        <w:rPr>
          <w:rFonts w:asciiTheme="majorHAnsi" w:eastAsiaTheme="minorEastAsia" w:hAnsiTheme="majorHAnsi" w:cstheme="majorHAnsi"/>
          <w:bCs/>
          <w:iCs/>
          <w:sz w:val="24"/>
          <w:szCs w:val="24"/>
          <w:lang w:val="ro-RO" w:eastAsia="ru-RU"/>
        </w:rPr>
        <w:t>енные на „</w:t>
      </w:r>
      <w:r w:rsidR="005E3170">
        <w:rPr>
          <w:rFonts w:asciiTheme="majorHAnsi" w:eastAsiaTheme="minorEastAsia" w:hAnsiTheme="majorHAnsi" w:cstheme="majorHAnsi"/>
          <w:bCs/>
          <w:iCs/>
          <w:sz w:val="24"/>
          <w:szCs w:val="24"/>
          <w:lang w:val="ru-RU" w:eastAsia="ru-RU"/>
        </w:rPr>
        <w:t>О</w:t>
      </w:r>
      <w:r w:rsidRPr="00A93937">
        <w:rPr>
          <w:rFonts w:asciiTheme="majorHAnsi" w:eastAsiaTheme="minorEastAsia" w:hAnsiTheme="majorHAnsi" w:cstheme="majorHAnsi"/>
          <w:bCs/>
          <w:iCs/>
          <w:sz w:val="24"/>
          <w:szCs w:val="24"/>
          <w:lang w:val="ro-RO" w:eastAsia="ru-RU"/>
        </w:rPr>
        <w:t xml:space="preserve">бразование” – 23,9% , или 11 887,0 млн. </w:t>
      </w:r>
      <w:r w:rsidR="005E3170">
        <w:rPr>
          <w:rFonts w:asciiTheme="majorHAnsi" w:eastAsiaTheme="minorEastAsia" w:hAnsiTheme="majorHAnsi" w:cstheme="majorHAnsi"/>
          <w:bCs/>
          <w:iCs/>
          <w:sz w:val="24"/>
          <w:szCs w:val="24"/>
          <w:lang w:val="ru-RU" w:eastAsia="ru-RU"/>
        </w:rPr>
        <w:t xml:space="preserve">леев, </w:t>
      </w:r>
      <w:r w:rsidRPr="00A93937">
        <w:rPr>
          <w:rFonts w:asciiTheme="majorHAnsi" w:eastAsiaTheme="minorEastAsia" w:hAnsiTheme="majorHAnsi" w:cstheme="majorHAnsi"/>
          <w:bCs/>
          <w:iCs/>
          <w:sz w:val="24"/>
          <w:szCs w:val="24"/>
          <w:lang w:val="ro-RO" w:eastAsia="ru-RU"/>
        </w:rPr>
        <w:t xml:space="preserve">за </w:t>
      </w:r>
      <w:r w:rsidR="005E3170">
        <w:rPr>
          <w:rFonts w:asciiTheme="majorHAnsi" w:eastAsiaTheme="minorEastAsia" w:hAnsiTheme="majorHAnsi" w:cstheme="majorHAnsi"/>
          <w:bCs/>
          <w:iCs/>
          <w:sz w:val="24"/>
          <w:szCs w:val="24"/>
          <w:lang w:val="ru-RU" w:eastAsia="ru-RU"/>
        </w:rPr>
        <w:t>ни</w:t>
      </w:r>
      <w:r w:rsidRPr="00A93937">
        <w:rPr>
          <w:rFonts w:asciiTheme="majorHAnsi" w:eastAsiaTheme="minorEastAsia" w:hAnsiTheme="majorHAnsi" w:cstheme="majorHAnsi"/>
          <w:bCs/>
          <w:iCs/>
          <w:sz w:val="24"/>
          <w:szCs w:val="24"/>
          <w:lang w:val="ro-RO" w:eastAsia="ru-RU"/>
        </w:rPr>
        <w:t xml:space="preserve">ми следуют </w:t>
      </w:r>
      <w:r w:rsidR="005E3170">
        <w:rPr>
          <w:rFonts w:asciiTheme="majorHAnsi" w:eastAsiaTheme="minorEastAsia" w:hAnsiTheme="majorHAnsi" w:cstheme="majorHAnsi"/>
          <w:bCs/>
          <w:iCs/>
          <w:sz w:val="24"/>
          <w:szCs w:val="24"/>
          <w:lang w:val="ru-RU" w:eastAsia="ru-RU"/>
        </w:rPr>
        <w:t xml:space="preserve">расходы на </w:t>
      </w:r>
      <w:r w:rsidR="005E3170" w:rsidRPr="00A93937">
        <w:rPr>
          <w:rFonts w:asciiTheme="majorHAnsi" w:eastAsiaTheme="minorEastAsia" w:hAnsiTheme="majorHAnsi" w:cstheme="majorHAnsi"/>
          <w:bCs/>
          <w:iCs/>
          <w:sz w:val="24"/>
          <w:szCs w:val="24"/>
          <w:lang w:val="ro-RO" w:eastAsia="ru-RU"/>
        </w:rPr>
        <w:t>„</w:t>
      </w:r>
      <w:r w:rsidRPr="00A93937">
        <w:rPr>
          <w:rFonts w:asciiTheme="majorHAnsi" w:eastAsiaTheme="minorEastAsia" w:hAnsiTheme="majorHAnsi" w:cstheme="majorHAnsi"/>
          <w:bCs/>
          <w:iCs/>
          <w:sz w:val="24"/>
          <w:szCs w:val="24"/>
          <w:lang w:val="ro-RO" w:eastAsia="ru-RU"/>
        </w:rPr>
        <w:t>Социальн</w:t>
      </w:r>
      <w:r w:rsidR="005E3170">
        <w:rPr>
          <w:rFonts w:asciiTheme="majorHAnsi" w:eastAsiaTheme="minorEastAsia" w:hAnsiTheme="majorHAnsi" w:cstheme="majorHAnsi"/>
          <w:bCs/>
          <w:iCs/>
          <w:sz w:val="24"/>
          <w:szCs w:val="24"/>
          <w:lang w:val="ru-RU" w:eastAsia="ru-RU"/>
        </w:rPr>
        <w:t>ая защита</w:t>
      </w:r>
      <w:r w:rsidR="005E3170" w:rsidRPr="00A93937">
        <w:rPr>
          <w:rFonts w:asciiTheme="majorHAnsi" w:eastAsiaTheme="minorEastAsia" w:hAnsiTheme="majorHAnsi" w:cstheme="majorHAnsi"/>
          <w:bCs/>
          <w:iCs/>
          <w:sz w:val="24"/>
          <w:szCs w:val="24"/>
          <w:lang w:val="ro-RO" w:eastAsia="ru-RU"/>
        </w:rPr>
        <w:t>”</w:t>
      </w:r>
      <w:r w:rsidRPr="00A93937">
        <w:rPr>
          <w:rFonts w:asciiTheme="majorHAnsi" w:eastAsiaTheme="minorEastAsia" w:hAnsiTheme="majorHAnsi" w:cstheme="majorHAnsi"/>
          <w:bCs/>
          <w:iCs/>
          <w:sz w:val="24"/>
          <w:szCs w:val="24"/>
          <w:lang w:val="ro-RO" w:eastAsia="ru-RU"/>
        </w:rPr>
        <w:t xml:space="preserve"> - 21,3</w:t>
      </w:r>
      <w:proofErr w:type="gramStart"/>
      <w:r w:rsidRPr="00A93937">
        <w:rPr>
          <w:rFonts w:asciiTheme="majorHAnsi" w:eastAsiaTheme="minorEastAsia" w:hAnsiTheme="majorHAnsi" w:cstheme="majorHAnsi"/>
          <w:bCs/>
          <w:iCs/>
          <w:sz w:val="24"/>
          <w:szCs w:val="24"/>
          <w:lang w:val="ro-RO" w:eastAsia="ru-RU"/>
        </w:rPr>
        <w:t>% ,</w:t>
      </w:r>
      <w:proofErr w:type="gramEnd"/>
      <w:r w:rsidRPr="00A93937">
        <w:rPr>
          <w:rFonts w:asciiTheme="majorHAnsi" w:eastAsiaTheme="minorEastAsia" w:hAnsiTheme="majorHAnsi" w:cstheme="majorHAnsi"/>
          <w:bCs/>
          <w:iCs/>
          <w:sz w:val="24"/>
          <w:szCs w:val="24"/>
          <w:lang w:val="ro-RO" w:eastAsia="ru-RU"/>
        </w:rPr>
        <w:t xml:space="preserve"> или 10 558,6 млн. леев и </w:t>
      </w:r>
      <w:r w:rsidR="005E3170" w:rsidRPr="00A93937">
        <w:rPr>
          <w:rFonts w:asciiTheme="majorHAnsi" w:eastAsiaTheme="minorEastAsia" w:hAnsiTheme="majorHAnsi" w:cstheme="majorHAnsi"/>
          <w:bCs/>
          <w:iCs/>
          <w:sz w:val="24"/>
          <w:szCs w:val="24"/>
          <w:lang w:val="ro-RO" w:eastAsia="ru-RU"/>
        </w:rPr>
        <w:t>„</w:t>
      </w:r>
      <w:r w:rsidR="005E3170">
        <w:rPr>
          <w:rFonts w:asciiTheme="majorHAnsi" w:eastAsiaTheme="minorEastAsia" w:hAnsiTheme="majorHAnsi" w:cstheme="majorHAnsi"/>
          <w:bCs/>
          <w:iCs/>
          <w:sz w:val="24"/>
          <w:szCs w:val="24"/>
          <w:lang w:val="ru-RU" w:eastAsia="ru-RU"/>
        </w:rPr>
        <w:t>У</w:t>
      </w:r>
      <w:r w:rsidRPr="00A93937">
        <w:rPr>
          <w:rFonts w:asciiTheme="majorHAnsi" w:eastAsiaTheme="minorEastAsia" w:hAnsiTheme="majorHAnsi" w:cstheme="majorHAnsi"/>
          <w:bCs/>
          <w:iCs/>
          <w:sz w:val="24"/>
          <w:szCs w:val="24"/>
          <w:lang w:val="ro-RO" w:eastAsia="ru-RU"/>
        </w:rPr>
        <w:t>слуги в области экономики</w:t>
      </w:r>
      <w:r w:rsidR="005E3170" w:rsidRPr="00A93937">
        <w:rPr>
          <w:rFonts w:asciiTheme="majorHAnsi" w:eastAsiaTheme="minorEastAsia" w:hAnsiTheme="majorHAnsi" w:cstheme="majorHAnsi"/>
          <w:bCs/>
          <w:iCs/>
          <w:sz w:val="24"/>
          <w:szCs w:val="24"/>
          <w:lang w:val="ro-RO" w:eastAsia="ru-RU"/>
        </w:rPr>
        <w:t>”</w:t>
      </w:r>
      <w:r w:rsidRPr="00A93937">
        <w:rPr>
          <w:rFonts w:asciiTheme="majorHAnsi" w:eastAsiaTheme="minorEastAsia" w:hAnsiTheme="majorHAnsi" w:cstheme="majorHAnsi"/>
          <w:bCs/>
          <w:iCs/>
          <w:sz w:val="24"/>
          <w:szCs w:val="24"/>
          <w:lang w:val="ro-RO" w:eastAsia="ru-RU"/>
        </w:rPr>
        <w:t xml:space="preserve"> - 15,8%, или 7 831,7 млн. </w:t>
      </w:r>
      <w:r w:rsidR="005E3170">
        <w:rPr>
          <w:rFonts w:asciiTheme="majorHAnsi" w:eastAsiaTheme="minorEastAsia" w:hAnsiTheme="majorHAnsi" w:cstheme="majorHAnsi"/>
          <w:bCs/>
          <w:iCs/>
          <w:sz w:val="24"/>
          <w:szCs w:val="24"/>
          <w:lang w:val="ru-RU" w:eastAsia="ru-RU"/>
        </w:rPr>
        <w:t>л</w:t>
      </w:r>
      <w:r w:rsidR="0025764C">
        <w:rPr>
          <w:rFonts w:asciiTheme="majorHAnsi" w:eastAsiaTheme="minorEastAsia" w:hAnsiTheme="majorHAnsi" w:cstheme="majorHAnsi"/>
          <w:bCs/>
          <w:iCs/>
          <w:sz w:val="24"/>
          <w:szCs w:val="24"/>
          <w:lang w:val="ro-RO" w:eastAsia="ru-RU"/>
        </w:rPr>
        <w:t>еев</w:t>
      </w:r>
      <w:r w:rsidRPr="00A93937">
        <w:rPr>
          <w:rFonts w:asciiTheme="majorHAnsi" w:eastAsiaTheme="minorEastAsia" w:hAnsiTheme="majorHAnsi" w:cstheme="majorHAnsi"/>
          <w:bCs/>
          <w:iCs/>
          <w:sz w:val="24"/>
          <w:szCs w:val="24"/>
          <w:lang w:val="ro-RO" w:eastAsia="ru-RU"/>
        </w:rPr>
        <w:t xml:space="preserve">. Самый низкий уровень реализации </w:t>
      </w:r>
      <w:r w:rsidR="0066158B">
        <w:rPr>
          <w:rFonts w:asciiTheme="majorHAnsi" w:eastAsiaTheme="minorEastAsia" w:hAnsiTheme="majorHAnsi" w:cstheme="majorHAnsi"/>
          <w:bCs/>
          <w:iCs/>
          <w:sz w:val="24"/>
          <w:szCs w:val="24"/>
          <w:lang w:val="ro-RO" w:eastAsia="ru-RU"/>
        </w:rPr>
        <w:t>уточненных</w:t>
      </w:r>
      <w:r w:rsidRPr="00A93937">
        <w:rPr>
          <w:rFonts w:asciiTheme="majorHAnsi" w:eastAsiaTheme="minorEastAsia" w:hAnsiTheme="majorHAnsi" w:cstheme="majorHAnsi"/>
          <w:bCs/>
          <w:iCs/>
          <w:sz w:val="24"/>
          <w:szCs w:val="24"/>
          <w:lang w:val="ro-RO" w:eastAsia="ru-RU"/>
        </w:rPr>
        <w:t xml:space="preserve"> расходов </w:t>
      </w:r>
      <w:r w:rsidR="005E3170">
        <w:rPr>
          <w:rFonts w:asciiTheme="majorHAnsi" w:eastAsiaTheme="minorEastAsia" w:hAnsiTheme="majorHAnsi" w:cstheme="majorHAnsi"/>
          <w:bCs/>
          <w:iCs/>
          <w:sz w:val="24"/>
          <w:szCs w:val="24"/>
          <w:lang w:val="ru-RU" w:eastAsia="ru-RU"/>
        </w:rPr>
        <w:t>за</w:t>
      </w:r>
      <w:r w:rsidRPr="00A93937">
        <w:rPr>
          <w:rFonts w:asciiTheme="majorHAnsi" w:eastAsiaTheme="minorEastAsia" w:hAnsiTheme="majorHAnsi" w:cstheme="majorHAnsi"/>
          <w:bCs/>
          <w:iCs/>
          <w:sz w:val="24"/>
          <w:szCs w:val="24"/>
          <w:lang w:val="ro-RO" w:eastAsia="ru-RU"/>
        </w:rPr>
        <w:t xml:space="preserve"> год отмечается в разделе </w:t>
      </w:r>
      <w:r w:rsidR="005E3170" w:rsidRPr="00A93937">
        <w:rPr>
          <w:rFonts w:asciiTheme="majorHAnsi" w:eastAsiaTheme="minorEastAsia" w:hAnsiTheme="majorHAnsi" w:cstheme="majorHAnsi"/>
          <w:bCs/>
          <w:iCs/>
          <w:sz w:val="24"/>
          <w:szCs w:val="24"/>
          <w:lang w:val="ro-RO" w:eastAsia="ru-RU"/>
        </w:rPr>
        <w:t>„</w:t>
      </w:r>
      <w:r w:rsidRPr="00A93937">
        <w:rPr>
          <w:rFonts w:asciiTheme="majorHAnsi" w:eastAsiaTheme="minorEastAsia" w:hAnsiTheme="majorHAnsi" w:cstheme="majorHAnsi"/>
          <w:bCs/>
          <w:iCs/>
          <w:sz w:val="24"/>
          <w:szCs w:val="24"/>
          <w:lang w:val="ro-RO" w:eastAsia="ru-RU"/>
        </w:rPr>
        <w:t>Охрана окружающей среды</w:t>
      </w:r>
      <w:r w:rsidR="005E3170" w:rsidRPr="00A93937">
        <w:rPr>
          <w:rFonts w:asciiTheme="majorHAnsi" w:eastAsiaTheme="minorEastAsia" w:hAnsiTheme="majorHAnsi" w:cstheme="majorHAnsi"/>
          <w:bCs/>
          <w:iCs/>
          <w:sz w:val="24"/>
          <w:szCs w:val="24"/>
          <w:lang w:val="ro-RO" w:eastAsia="ru-RU"/>
        </w:rPr>
        <w:t>”</w:t>
      </w:r>
      <w:r w:rsidRPr="00A93937">
        <w:rPr>
          <w:rFonts w:asciiTheme="majorHAnsi" w:eastAsiaTheme="minorEastAsia" w:hAnsiTheme="majorHAnsi" w:cstheme="majorHAnsi"/>
          <w:bCs/>
          <w:iCs/>
          <w:sz w:val="24"/>
          <w:szCs w:val="24"/>
          <w:lang w:val="ro-RO" w:eastAsia="ru-RU"/>
        </w:rPr>
        <w:t xml:space="preserve"> (81,3%), </w:t>
      </w:r>
      <w:r w:rsidR="005E3170" w:rsidRPr="00A93937">
        <w:rPr>
          <w:rFonts w:asciiTheme="majorHAnsi" w:eastAsiaTheme="minorEastAsia" w:hAnsiTheme="majorHAnsi" w:cstheme="majorHAnsi"/>
          <w:bCs/>
          <w:iCs/>
          <w:sz w:val="24"/>
          <w:szCs w:val="24"/>
          <w:lang w:val="ro-RO" w:eastAsia="ru-RU"/>
        </w:rPr>
        <w:t>„</w:t>
      </w:r>
      <w:r w:rsidR="005E3170">
        <w:rPr>
          <w:rFonts w:asciiTheme="majorHAnsi" w:eastAsiaTheme="minorEastAsia" w:hAnsiTheme="majorHAnsi" w:cstheme="majorHAnsi"/>
          <w:bCs/>
          <w:iCs/>
          <w:sz w:val="24"/>
          <w:szCs w:val="24"/>
          <w:lang w:val="ru-RU" w:eastAsia="ru-RU"/>
        </w:rPr>
        <w:t>Ж</w:t>
      </w:r>
      <w:r w:rsidRPr="00A93937">
        <w:rPr>
          <w:rFonts w:asciiTheme="majorHAnsi" w:eastAsiaTheme="minorEastAsia" w:hAnsiTheme="majorHAnsi" w:cstheme="majorHAnsi"/>
          <w:bCs/>
          <w:iCs/>
          <w:sz w:val="24"/>
          <w:szCs w:val="24"/>
          <w:lang w:val="ro-RO" w:eastAsia="ru-RU"/>
        </w:rPr>
        <w:t xml:space="preserve">илищное </w:t>
      </w:r>
      <w:r w:rsidR="005E3170" w:rsidRPr="00A93937">
        <w:rPr>
          <w:rFonts w:asciiTheme="majorHAnsi" w:eastAsiaTheme="minorEastAsia" w:hAnsiTheme="majorHAnsi" w:cstheme="majorHAnsi"/>
          <w:bCs/>
          <w:iCs/>
          <w:sz w:val="24"/>
          <w:szCs w:val="24"/>
          <w:lang w:val="ro-RO" w:eastAsia="ru-RU"/>
        </w:rPr>
        <w:t xml:space="preserve">хозяйство </w:t>
      </w:r>
      <w:r w:rsidRPr="00A93937">
        <w:rPr>
          <w:rFonts w:asciiTheme="majorHAnsi" w:eastAsiaTheme="minorEastAsia" w:hAnsiTheme="majorHAnsi" w:cstheme="majorHAnsi"/>
          <w:bCs/>
          <w:iCs/>
          <w:sz w:val="24"/>
          <w:szCs w:val="24"/>
          <w:lang w:val="ro-RO" w:eastAsia="ru-RU"/>
        </w:rPr>
        <w:t>и коммунальное хозяйство</w:t>
      </w:r>
      <w:r w:rsidR="005E3170" w:rsidRPr="00A93937">
        <w:rPr>
          <w:rFonts w:asciiTheme="majorHAnsi" w:eastAsiaTheme="minorEastAsia" w:hAnsiTheme="majorHAnsi" w:cstheme="majorHAnsi"/>
          <w:bCs/>
          <w:iCs/>
          <w:sz w:val="24"/>
          <w:szCs w:val="24"/>
          <w:lang w:val="ro-RO" w:eastAsia="ru-RU"/>
        </w:rPr>
        <w:t>”</w:t>
      </w:r>
      <w:r w:rsidR="005E3170">
        <w:rPr>
          <w:rFonts w:asciiTheme="majorHAnsi" w:eastAsiaTheme="minorEastAsia" w:hAnsiTheme="majorHAnsi" w:cstheme="majorHAnsi"/>
          <w:bCs/>
          <w:iCs/>
          <w:sz w:val="24"/>
          <w:szCs w:val="24"/>
          <w:lang w:val="ru-RU" w:eastAsia="ru-RU"/>
        </w:rPr>
        <w:t xml:space="preserve"> </w:t>
      </w:r>
      <w:r w:rsidRPr="00A93937">
        <w:rPr>
          <w:rFonts w:asciiTheme="majorHAnsi" w:eastAsiaTheme="minorEastAsia" w:hAnsiTheme="majorHAnsi" w:cstheme="majorHAnsi"/>
          <w:bCs/>
          <w:iCs/>
          <w:sz w:val="24"/>
          <w:szCs w:val="24"/>
          <w:lang w:val="ro-RO" w:eastAsia="ru-RU"/>
        </w:rPr>
        <w:t>(81,3%) и</w:t>
      </w:r>
      <w:r w:rsidR="005E3170">
        <w:rPr>
          <w:rFonts w:asciiTheme="majorHAnsi" w:eastAsiaTheme="minorEastAsia" w:hAnsiTheme="majorHAnsi" w:cstheme="majorHAnsi"/>
          <w:bCs/>
          <w:iCs/>
          <w:sz w:val="24"/>
          <w:szCs w:val="24"/>
          <w:lang w:val="ru-RU" w:eastAsia="ru-RU"/>
        </w:rPr>
        <w:t xml:space="preserve"> </w:t>
      </w:r>
      <w:r w:rsidR="005E3170" w:rsidRPr="00A93937">
        <w:rPr>
          <w:rFonts w:asciiTheme="majorHAnsi" w:eastAsiaTheme="minorEastAsia" w:hAnsiTheme="majorHAnsi" w:cstheme="majorHAnsi"/>
          <w:bCs/>
          <w:iCs/>
          <w:sz w:val="24"/>
          <w:szCs w:val="24"/>
          <w:lang w:val="ro-RO" w:eastAsia="ru-RU"/>
        </w:rPr>
        <w:t>„</w:t>
      </w:r>
      <w:r w:rsidR="005E3170">
        <w:rPr>
          <w:rFonts w:asciiTheme="majorHAnsi" w:eastAsiaTheme="minorEastAsia" w:hAnsiTheme="majorHAnsi" w:cstheme="majorHAnsi"/>
          <w:bCs/>
          <w:iCs/>
          <w:sz w:val="24"/>
          <w:szCs w:val="24"/>
          <w:lang w:val="ru-RU" w:eastAsia="ru-RU"/>
        </w:rPr>
        <w:t>З</w:t>
      </w:r>
      <w:r w:rsidRPr="00A93937">
        <w:rPr>
          <w:rFonts w:asciiTheme="majorHAnsi" w:eastAsiaTheme="minorEastAsia" w:hAnsiTheme="majorHAnsi" w:cstheme="majorHAnsi"/>
          <w:bCs/>
          <w:iCs/>
          <w:sz w:val="24"/>
          <w:szCs w:val="24"/>
          <w:lang w:val="ro-RO" w:eastAsia="ru-RU"/>
        </w:rPr>
        <w:t>дравоохранение</w:t>
      </w:r>
      <w:r w:rsidR="005E3170" w:rsidRPr="00A93937">
        <w:rPr>
          <w:rFonts w:asciiTheme="majorHAnsi" w:eastAsiaTheme="minorEastAsia" w:hAnsiTheme="majorHAnsi" w:cstheme="majorHAnsi"/>
          <w:bCs/>
          <w:iCs/>
          <w:sz w:val="24"/>
          <w:szCs w:val="24"/>
          <w:lang w:val="ro-RO" w:eastAsia="ru-RU"/>
        </w:rPr>
        <w:t>”</w:t>
      </w:r>
      <w:r w:rsidRPr="00A93937">
        <w:rPr>
          <w:rFonts w:asciiTheme="majorHAnsi" w:eastAsiaTheme="minorEastAsia" w:hAnsiTheme="majorHAnsi" w:cstheme="majorHAnsi"/>
          <w:bCs/>
          <w:iCs/>
          <w:sz w:val="24"/>
          <w:szCs w:val="24"/>
          <w:lang w:val="ro-RO" w:eastAsia="ru-RU"/>
        </w:rPr>
        <w:t xml:space="preserve"> (87,3%). Сравнивая расходы, </w:t>
      </w:r>
      <w:r w:rsidR="005E3170">
        <w:rPr>
          <w:rFonts w:asciiTheme="majorHAnsi" w:eastAsiaTheme="minorEastAsia" w:hAnsiTheme="majorHAnsi" w:cstheme="majorHAnsi"/>
          <w:bCs/>
          <w:iCs/>
          <w:sz w:val="24"/>
          <w:szCs w:val="24"/>
          <w:lang w:val="ru-RU" w:eastAsia="ru-RU"/>
        </w:rPr>
        <w:t>исполн</w:t>
      </w:r>
      <w:r w:rsidRPr="00A93937">
        <w:rPr>
          <w:rFonts w:asciiTheme="majorHAnsi" w:eastAsiaTheme="minorEastAsia" w:hAnsiTheme="majorHAnsi" w:cstheme="majorHAnsi"/>
          <w:bCs/>
          <w:iCs/>
          <w:sz w:val="24"/>
          <w:szCs w:val="24"/>
          <w:lang w:val="ro-RO" w:eastAsia="ru-RU"/>
        </w:rPr>
        <w:t xml:space="preserve">енные в 2020 году, по </w:t>
      </w:r>
      <w:r w:rsidR="005E3170">
        <w:rPr>
          <w:rFonts w:asciiTheme="majorHAnsi" w:eastAsiaTheme="minorEastAsia" w:hAnsiTheme="majorHAnsi" w:cstheme="majorHAnsi"/>
          <w:bCs/>
          <w:iCs/>
          <w:sz w:val="24"/>
          <w:szCs w:val="24"/>
          <w:lang w:val="ru-RU" w:eastAsia="ru-RU"/>
        </w:rPr>
        <w:t>отношению к</w:t>
      </w:r>
      <w:r w:rsidRPr="00A93937">
        <w:rPr>
          <w:rFonts w:asciiTheme="majorHAnsi" w:eastAsiaTheme="minorEastAsia" w:hAnsiTheme="majorHAnsi" w:cstheme="majorHAnsi"/>
          <w:bCs/>
          <w:iCs/>
          <w:sz w:val="24"/>
          <w:szCs w:val="24"/>
          <w:lang w:val="ro-RO" w:eastAsia="ru-RU"/>
        </w:rPr>
        <w:t xml:space="preserve"> 2019 год</w:t>
      </w:r>
      <w:r w:rsidR="005E3170">
        <w:rPr>
          <w:rFonts w:asciiTheme="majorHAnsi" w:eastAsiaTheme="minorEastAsia" w:hAnsiTheme="majorHAnsi" w:cstheme="majorHAnsi"/>
          <w:bCs/>
          <w:iCs/>
          <w:sz w:val="24"/>
          <w:szCs w:val="24"/>
          <w:lang w:val="ru-RU" w:eastAsia="ru-RU"/>
        </w:rPr>
        <w:t>у</w:t>
      </w:r>
      <w:r w:rsidRPr="00A93937">
        <w:rPr>
          <w:rFonts w:asciiTheme="majorHAnsi" w:eastAsiaTheme="minorEastAsia" w:hAnsiTheme="majorHAnsi" w:cstheme="majorHAnsi"/>
          <w:bCs/>
          <w:iCs/>
          <w:sz w:val="24"/>
          <w:szCs w:val="24"/>
          <w:lang w:val="ro-RO" w:eastAsia="ru-RU"/>
        </w:rPr>
        <w:t xml:space="preserve">, отмечается, что наибольший рост был </w:t>
      </w:r>
      <w:r w:rsidR="005E3170">
        <w:rPr>
          <w:rFonts w:asciiTheme="majorHAnsi" w:eastAsiaTheme="minorEastAsia" w:hAnsiTheme="majorHAnsi" w:cstheme="majorHAnsi"/>
          <w:bCs/>
          <w:iCs/>
          <w:sz w:val="24"/>
          <w:szCs w:val="24"/>
          <w:lang w:val="ru-RU" w:eastAsia="ru-RU"/>
        </w:rPr>
        <w:t>зарегистрирова</w:t>
      </w:r>
      <w:r w:rsidRPr="00A93937">
        <w:rPr>
          <w:rFonts w:asciiTheme="majorHAnsi" w:eastAsiaTheme="minorEastAsia" w:hAnsiTheme="majorHAnsi" w:cstheme="majorHAnsi"/>
          <w:bCs/>
          <w:iCs/>
          <w:sz w:val="24"/>
          <w:szCs w:val="24"/>
          <w:lang w:val="ro-RO" w:eastAsia="ru-RU"/>
        </w:rPr>
        <w:t xml:space="preserve">н </w:t>
      </w:r>
      <w:r w:rsidR="005E3170">
        <w:rPr>
          <w:rFonts w:asciiTheme="majorHAnsi" w:eastAsiaTheme="minorEastAsia" w:hAnsiTheme="majorHAnsi" w:cstheme="majorHAnsi"/>
          <w:bCs/>
          <w:iCs/>
          <w:sz w:val="24"/>
          <w:szCs w:val="24"/>
          <w:lang w:val="ru-RU" w:eastAsia="ru-RU"/>
        </w:rPr>
        <w:t>по</w:t>
      </w:r>
      <w:r w:rsidRPr="00A93937">
        <w:rPr>
          <w:rFonts w:asciiTheme="majorHAnsi" w:eastAsiaTheme="minorEastAsia" w:hAnsiTheme="majorHAnsi" w:cstheme="majorHAnsi"/>
          <w:bCs/>
          <w:iCs/>
          <w:sz w:val="24"/>
          <w:szCs w:val="24"/>
          <w:lang w:val="ro-RO" w:eastAsia="ru-RU"/>
        </w:rPr>
        <w:t xml:space="preserve"> </w:t>
      </w:r>
      <w:r w:rsidR="005E3170" w:rsidRPr="00A93937">
        <w:rPr>
          <w:rFonts w:asciiTheme="majorHAnsi" w:eastAsiaTheme="minorEastAsia" w:hAnsiTheme="majorHAnsi" w:cstheme="majorHAnsi"/>
          <w:bCs/>
          <w:iCs/>
          <w:sz w:val="24"/>
          <w:szCs w:val="24"/>
          <w:lang w:val="ro-RO" w:eastAsia="ru-RU"/>
        </w:rPr>
        <w:t>„</w:t>
      </w:r>
      <w:r w:rsidR="005E3170">
        <w:rPr>
          <w:rFonts w:asciiTheme="majorHAnsi" w:eastAsiaTheme="minorEastAsia" w:hAnsiTheme="majorHAnsi" w:cstheme="majorHAnsi"/>
          <w:bCs/>
          <w:iCs/>
          <w:sz w:val="24"/>
          <w:szCs w:val="24"/>
          <w:lang w:val="ru-RU" w:eastAsia="ru-RU"/>
        </w:rPr>
        <w:t>О</w:t>
      </w:r>
      <w:r w:rsidRPr="00A93937">
        <w:rPr>
          <w:rFonts w:asciiTheme="majorHAnsi" w:eastAsiaTheme="minorEastAsia" w:hAnsiTheme="majorHAnsi" w:cstheme="majorHAnsi"/>
          <w:bCs/>
          <w:iCs/>
          <w:sz w:val="24"/>
          <w:szCs w:val="24"/>
          <w:lang w:val="ro-RO" w:eastAsia="ru-RU"/>
        </w:rPr>
        <w:t>хране окружающей среды</w:t>
      </w:r>
      <w:r w:rsidR="005E3170" w:rsidRPr="00A93937">
        <w:rPr>
          <w:rFonts w:asciiTheme="majorHAnsi" w:eastAsiaTheme="minorEastAsia" w:hAnsiTheme="majorHAnsi" w:cstheme="majorHAnsi"/>
          <w:bCs/>
          <w:iCs/>
          <w:sz w:val="24"/>
          <w:szCs w:val="24"/>
          <w:lang w:val="ro-RO" w:eastAsia="ru-RU"/>
        </w:rPr>
        <w:t>”</w:t>
      </w:r>
      <w:r w:rsidRPr="00A93937">
        <w:rPr>
          <w:rFonts w:asciiTheme="majorHAnsi" w:eastAsiaTheme="minorEastAsia" w:hAnsiTheme="majorHAnsi" w:cstheme="majorHAnsi"/>
          <w:bCs/>
          <w:iCs/>
          <w:sz w:val="24"/>
          <w:szCs w:val="24"/>
          <w:lang w:val="ro-RO" w:eastAsia="ru-RU"/>
        </w:rPr>
        <w:t xml:space="preserve"> - на 73,7%, или </w:t>
      </w:r>
      <w:r w:rsidR="005E3170">
        <w:rPr>
          <w:rFonts w:asciiTheme="majorHAnsi" w:eastAsiaTheme="minorEastAsia" w:hAnsiTheme="majorHAnsi" w:cstheme="majorHAnsi"/>
          <w:bCs/>
          <w:iCs/>
          <w:sz w:val="24"/>
          <w:szCs w:val="24"/>
          <w:lang w:val="ru-RU" w:eastAsia="ru-RU"/>
        </w:rPr>
        <w:t xml:space="preserve">на </w:t>
      </w:r>
      <w:r w:rsidRPr="00A93937">
        <w:rPr>
          <w:rFonts w:asciiTheme="majorHAnsi" w:eastAsiaTheme="minorEastAsia" w:hAnsiTheme="majorHAnsi" w:cstheme="majorHAnsi"/>
          <w:bCs/>
          <w:iCs/>
          <w:sz w:val="24"/>
          <w:szCs w:val="24"/>
          <w:lang w:val="ro-RO" w:eastAsia="ru-RU"/>
        </w:rPr>
        <w:t>98,6 млн. леев, за которыми следуют „</w:t>
      </w:r>
      <w:r w:rsidR="005E3170">
        <w:rPr>
          <w:rFonts w:asciiTheme="majorHAnsi" w:eastAsiaTheme="minorEastAsia" w:hAnsiTheme="majorHAnsi" w:cstheme="majorHAnsi"/>
          <w:bCs/>
          <w:iCs/>
          <w:sz w:val="24"/>
          <w:szCs w:val="24"/>
          <w:lang w:val="ru-RU" w:eastAsia="ru-RU"/>
        </w:rPr>
        <w:t>З</w:t>
      </w:r>
      <w:r w:rsidRPr="00A93937">
        <w:rPr>
          <w:rFonts w:asciiTheme="majorHAnsi" w:eastAsiaTheme="minorEastAsia" w:hAnsiTheme="majorHAnsi" w:cstheme="majorHAnsi"/>
          <w:bCs/>
          <w:iCs/>
          <w:sz w:val="24"/>
          <w:szCs w:val="24"/>
          <w:lang w:val="ro-RO" w:eastAsia="ru-RU"/>
        </w:rPr>
        <w:t>дравоохранени</w:t>
      </w:r>
      <w:r w:rsidR="005E3170">
        <w:rPr>
          <w:rFonts w:asciiTheme="majorHAnsi" w:eastAsiaTheme="minorEastAsia" w:hAnsiTheme="majorHAnsi" w:cstheme="majorHAnsi"/>
          <w:bCs/>
          <w:iCs/>
          <w:sz w:val="24"/>
          <w:szCs w:val="24"/>
          <w:lang w:val="ru-RU" w:eastAsia="ru-RU"/>
        </w:rPr>
        <w:t>е</w:t>
      </w:r>
      <w:r w:rsidRPr="00A93937">
        <w:rPr>
          <w:rFonts w:asciiTheme="majorHAnsi" w:eastAsiaTheme="minorEastAsia" w:hAnsiTheme="majorHAnsi" w:cstheme="majorHAnsi"/>
          <w:bCs/>
          <w:iCs/>
          <w:sz w:val="24"/>
          <w:szCs w:val="24"/>
          <w:lang w:val="ro-RO" w:eastAsia="ru-RU"/>
        </w:rPr>
        <w:t xml:space="preserve">” – на 30,5%, или </w:t>
      </w:r>
      <w:r w:rsidR="005E3170">
        <w:rPr>
          <w:rFonts w:asciiTheme="majorHAnsi" w:eastAsiaTheme="minorEastAsia" w:hAnsiTheme="majorHAnsi" w:cstheme="majorHAnsi"/>
          <w:bCs/>
          <w:iCs/>
          <w:sz w:val="24"/>
          <w:szCs w:val="24"/>
          <w:lang w:val="ru-RU" w:eastAsia="ru-RU"/>
        </w:rPr>
        <w:t xml:space="preserve">на </w:t>
      </w:r>
      <w:r w:rsidRPr="00A93937">
        <w:rPr>
          <w:rFonts w:asciiTheme="majorHAnsi" w:eastAsiaTheme="minorEastAsia" w:hAnsiTheme="majorHAnsi" w:cstheme="majorHAnsi"/>
          <w:bCs/>
          <w:iCs/>
          <w:sz w:val="24"/>
          <w:szCs w:val="24"/>
          <w:lang w:val="ro-RO" w:eastAsia="ru-RU"/>
        </w:rPr>
        <w:t xml:space="preserve">1 156,6 млн. леев и </w:t>
      </w:r>
      <w:r w:rsidR="005E3170" w:rsidRPr="00A93937">
        <w:rPr>
          <w:rFonts w:asciiTheme="majorHAnsi" w:eastAsiaTheme="minorEastAsia" w:hAnsiTheme="majorHAnsi" w:cstheme="majorHAnsi"/>
          <w:bCs/>
          <w:iCs/>
          <w:sz w:val="24"/>
          <w:szCs w:val="24"/>
          <w:lang w:val="ro-RO" w:eastAsia="ru-RU"/>
        </w:rPr>
        <w:t>„</w:t>
      </w:r>
      <w:r w:rsidR="005E3170">
        <w:rPr>
          <w:rFonts w:asciiTheme="majorHAnsi" w:eastAsiaTheme="minorEastAsia" w:hAnsiTheme="majorHAnsi" w:cstheme="majorHAnsi"/>
          <w:bCs/>
          <w:iCs/>
          <w:sz w:val="24"/>
          <w:szCs w:val="24"/>
          <w:lang w:val="ru-RU" w:eastAsia="ru-RU"/>
        </w:rPr>
        <w:t>У</w:t>
      </w:r>
      <w:r w:rsidRPr="00A93937">
        <w:rPr>
          <w:rFonts w:asciiTheme="majorHAnsi" w:eastAsiaTheme="minorEastAsia" w:hAnsiTheme="majorHAnsi" w:cstheme="majorHAnsi"/>
          <w:bCs/>
          <w:iCs/>
          <w:sz w:val="24"/>
          <w:szCs w:val="24"/>
          <w:lang w:val="ro-RO" w:eastAsia="ru-RU"/>
        </w:rPr>
        <w:t>слуги в области экономики</w:t>
      </w:r>
      <w:r w:rsidR="005E3170">
        <w:rPr>
          <w:rFonts w:asciiTheme="majorHAnsi" w:eastAsiaTheme="minorEastAsia" w:hAnsiTheme="majorHAnsi" w:cstheme="majorHAnsi"/>
          <w:bCs/>
          <w:iCs/>
          <w:sz w:val="24"/>
          <w:szCs w:val="24"/>
          <w:lang w:val="ru-RU" w:eastAsia="ru-RU"/>
        </w:rPr>
        <w:t xml:space="preserve"> </w:t>
      </w:r>
      <w:r w:rsidRPr="00A93937">
        <w:rPr>
          <w:rFonts w:asciiTheme="majorHAnsi" w:eastAsiaTheme="minorEastAsia" w:hAnsiTheme="majorHAnsi" w:cstheme="majorHAnsi"/>
          <w:bCs/>
          <w:iCs/>
          <w:sz w:val="24"/>
          <w:szCs w:val="24"/>
          <w:lang w:val="ro-RO" w:eastAsia="ru-RU"/>
        </w:rPr>
        <w:t xml:space="preserve">- на 26,5% , или на 1 639,1 млн. </w:t>
      </w:r>
      <w:r w:rsidR="005E3170">
        <w:rPr>
          <w:rFonts w:asciiTheme="majorHAnsi" w:eastAsiaTheme="minorEastAsia" w:hAnsiTheme="majorHAnsi" w:cstheme="majorHAnsi"/>
          <w:bCs/>
          <w:iCs/>
          <w:sz w:val="24"/>
          <w:szCs w:val="24"/>
          <w:lang w:val="ru-RU" w:eastAsia="ru-RU"/>
        </w:rPr>
        <w:t>л</w:t>
      </w:r>
      <w:r w:rsidR="0025764C">
        <w:rPr>
          <w:rFonts w:asciiTheme="majorHAnsi" w:eastAsiaTheme="minorEastAsia" w:hAnsiTheme="majorHAnsi" w:cstheme="majorHAnsi"/>
          <w:bCs/>
          <w:iCs/>
          <w:sz w:val="24"/>
          <w:szCs w:val="24"/>
          <w:lang w:val="ro-RO" w:eastAsia="ru-RU"/>
        </w:rPr>
        <w:t>еев</w:t>
      </w:r>
      <w:r w:rsidRPr="00A93937">
        <w:rPr>
          <w:rFonts w:asciiTheme="majorHAnsi" w:eastAsiaTheme="minorEastAsia" w:hAnsiTheme="majorHAnsi" w:cstheme="majorHAnsi"/>
          <w:bCs/>
          <w:iCs/>
          <w:sz w:val="24"/>
          <w:szCs w:val="24"/>
          <w:lang w:val="ro-RO" w:eastAsia="ru-RU"/>
        </w:rPr>
        <w:t xml:space="preserve">. </w:t>
      </w:r>
      <w:r w:rsidRPr="0094048F">
        <w:rPr>
          <w:rFonts w:asciiTheme="majorHAnsi" w:eastAsiaTheme="minorEastAsia" w:hAnsiTheme="majorHAnsi" w:cstheme="majorHAnsi"/>
          <w:bCs/>
          <w:i/>
          <w:iCs/>
          <w:sz w:val="24"/>
          <w:szCs w:val="24"/>
          <w:lang w:val="ro-RO" w:eastAsia="ru-RU"/>
        </w:rPr>
        <w:t>А</w:t>
      </w:r>
      <w:r w:rsidR="0094048F" w:rsidRPr="0094048F">
        <w:rPr>
          <w:rFonts w:asciiTheme="majorHAnsi" w:eastAsiaTheme="minorEastAsia" w:hAnsiTheme="majorHAnsi" w:cstheme="majorHAnsi"/>
          <w:bCs/>
          <w:i/>
          <w:iCs/>
          <w:sz w:val="24"/>
          <w:szCs w:val="24"/>
          <w:lang w:val="ru-RU" w:eastAsia="ru-RU"/>
        </w:rPr>
        <w:t>удиторский анализ удельного</w:t>
      </w:r>
      <w:r w:rsidRPr="0094048F">
        <w:rPr>
          <w:rFonts w:asciiTheme="majorHAnsi" w:eastAsiaTheme="minorEastAsia" w:hAnsiTheme="majorHAnsi" w:cstheme="majorHAnsi"/>
          <w:bCs/>
          <w:i/>
          <w:iCs/>
          <w:sz w:val="24"/>
          <w:szCs w:val="24"/>
          <w:lang w:val="ro-RO" w:eastAsia="ru-RU"/>
        </w:rPr>
        <w:t xml:space="preserve"> вес</w:t>
      </w:r>
      <w:r w:rsidR="0094048F" w:rsidRPr="0094048F">
        <w:rPr>
          <w:rFonts w:asciiTheme="majorHAnsi" w:eastAsiaTheme="minorEastAsia" w:hAnsiTheme="majorHAnsi" w:cstheme="majorHAnsi"/>
          <w:bCs/>
          <w:i/>
          <w:iCs/>
          <w:sz w:val="24"/>
          <w:szCs w:val="24"/>
          <w:lang w:val="ru-RU" w:eastAsia="ru-RU"/>
        </w:rPr>
        <w:t>а</w:t>
      </w:r>
      <w:r w:rsidRPr="0094048F">
        <w:rPr>
          <w:rFonts w:asciiTheme="majorHAnsi" w:eastAsiaTheme="minorEastAsia" w:hAnsiTheme="majorHAnsi" w:cstheme="majorHAnsi"/>
          <w:bCs/>
          <w:i/>
          <w:iCs/>
          <w:sz w:val="24"/>
          <w:szCs w:val="24"/>
          <w:lang w:val="ro-RO" w:eastAsia="ru-RU"/>
        </w:rPr>
        <w:t xml:space="preserve"> расходов государственного бюджета</w:t>
      </w:r>
      <w:r w:rsidR="0094048F" w:rsidRPr="0094048F">
        <w:rPr>
          <w:rFonts w:asciiTheme="majorHAnsi" w:eastAsiaTheme="minorEastAsia" w:hAnsiTheme="majorHAnsi" w:cstheme="majorHAnsi"/>
          <w:bCs/>
          <w:i/>
          <w:iCs/>
          <w:sz w:val="24"/>
          <w:szCs w:val="24"/>
          <w:lang w:val="ru-RU" w:eastAsia="ru-RU"/>
        </w:rPr>
        <w:t>,</w:t>
      </w:r>
      <w:r w:rsidRPr="0094048F">
        <w:rPr>
          <w:rFonts w:asciiTheme="majorHAnsi" w:eastAsiaTheme="minorEastAsia" w:hAnsiTheme="majorHAnsi" w:cstheme="majorHAnsi"/>
          <w:bCs/>
          <w:i/>
          <w:iCs/>
          <w:sz w:val="24"/>
          <w:szCs w:val="24"/>
          <w:lang w:val="ro-RO" w:eastAsia="ru-RU"/>
        </w:rPr>
        <w:t xml:space="preserve"> в функциональном аспекте</w:t>
      </w:r>
      <w:r w:rsidR="0094048F" w:rsidRPr="0094048F">
        <w:rPr>
          <w:rFonts w:asciiTheme="majorHAnsi" w:eastAsiaTheme="minorEastAsia" w:hAnsiTheme="majorHAnsi" w:cstheme="majorHAnsi"/>
          <w:bCs/>
          <w:i/>
          <w:iCs/>
          <w:sz w:val="24"/>
          <w:szCs w:val="24"/>
          <w:lang w:val="ru-RU" w:eastAsia="ru-RU"/>
        </w:rPr>
        <w:t>,</w:t>
      </w:r>
      <w:r w:rsidR="0094048F" w:rsidRPr="0094048F">
        <w:rPr>
          <w:rFonts w:asciiTheme="majorHAnsi" w:eastAsiaTheme="minorEastAsia" w:hAnsiTheme="majorHAnsi" w:cstheme="majorHAnsi"/>
          <w:bCs/>
          <w:i/>
          <w:iCs/>
          <w:sz w:val="24"/>
          <w:szCs w:val="24"/>
          <w:lang w:val="ro-RO" w:eastAsia="ru-RU"/>
        </w:rPr>
        <w:t xml:space="preserve"> представлен в Приложении №</w:t>
      </w:r>
      <w:r w:rsidRPr="0094048F">
        <w:rPr>
          <w:rFonts w:asciiTheme="majorHAnsi" w:eastAsiaTheme="minorEastAsia" w:hAnsiTheme="majorHAnsi" w:cstheme="majorHAnsi"/>
          <w:bCs/>
          <w:i/>
          <w:iCs/>
          <w:sz w:val="24"/>
          <w:szCs w:val="24"/>
          <w:lang w:val="ro-RO" w:eastAsia="ru-RU"/>
        </w:rPr>
        <w:t xml:space="preserve">11 </w:t>
      </w:r>
      <w:r w:rsidR="00997756" w:rsidRPr="0094048F">
        <w:rPr>
          <w:rFonts w:asciiTheme="majorHAnsi" w:eastAsiaTheme="minorEastAsia" w:hAnsiTheme="majorHAnsi" w:cstheme="majorHAnsi"/>
          <w:bCs/>
          <w:i/>
          <w:iCs/>
          <w:sz w:val="24"/>
          <w:szCs w:val="24"/>
          <w:lang w:val="ro-RO" w:eastAsia="ru-RU"/>
        </w:rPr>
        <w:t>к настоящему Отчету аудита</w:t>
      </w:r>
      <w:r w:rsidRPr="00A93937">
        <w:rPr>
          <w:rFonts w:asciiTheme="majorHAnsi" w:eastAsiaTheme="minorEastAsia" w:hAnsiTheme="majorHAnsi" w:cstheme="majorHAnsi"/>
          <w:bCs/>
          <w:iCs/>
          <w:sz w:val="24"/>
          <w:szCs w:val="24"/>
          <w:lang w:val="ro-RO" w:eastAsia="ru-RU"/>
        </w:rPr>
        <w:t>.</w:t>
      </w:r>
      <w:r>
        <w:rPr>
          <w:rFonts w:asciiTheme="majorHAnsi" w:eastAsiaTheme="minorEastAsia" w:hAnsiTheme="majorHAnsi" w:cstheme="majorHAnsi"/>
          <w:bCs/>
          <w:iCs/>
          <w:sz w:val="24"/>
          <w:szCs w:val="24"/>
          <w:lang w:val="ru-RU" w:eastAsia="ru-RU"/>
        </w:rPr>
        <w:t xml:space="preserve"> </w:t>
      </w:r>
    </w:p>
    <w:p w:rsidR="006E2E6A" w:rsidRPr="00F55BA6" w:rsidRDefault="00A93937" w:rsidP="00854848">
      <w:pPr>
        <w:spacing w:after="0" w:line="276" w:lineRule="auto"/>
        <w:rPr>
          <w:rFonts w:asciiTheme="majorHAnsi" w:hAnsiTheme="majorHAnsi" w:cstheme="majorHAnsi"/>
          <w:sz w:val="24"/>
          <w:szCs w:val="24"/>
          <w:lang w:val="ro-RO"/>
        </w:rPr>
      </w:pPr>
      <w:r w:rsidRPr="00A93937">
        <w:rPr>
          <w:rFonts w:asciiTheme="majorHAnsi" w:hAnsiTheme="majorHAnsi" w:cstheme="majorHAnsi"/>
          <w:sz w:val="24"/>
          <w:szCs w:val="24"/>
          <w:lang w:val="ro-RO"/>
        </w:rPr>
        <w:t xml:space="preserve">Согласно ст.2 годового </w:t>
      </w:r>
      <w:r w:rsidR="00F03A4C" w:rsidRPr="00A93937">
        <w:rPr>
          <w:rFonts w:asciiTheme="majorHAnsi" w:hAnsiTheme="majorHAnsi" w:cstheme="majorHAnsi"/>
          <w:sz w:val="24"/>
          <w:szCs w:val="24"/>
          <w:lang w:val="ro-RO"/>
        </w:rPr>
        <w:t>закона</w:t>
      </w:r>
      <w:r w:rsidR="00F03A4C">
        <w:rPr>
          <w:rFonts w:asciiTheme="majorHAnsi" w:hAnsiTheme="majorHAnsi" w:cstheme="majorHAnsi"/>
          <w:sz w:val="24"/>
          <w:szCs w:val="24"/>
          <w:lang w:val="ru-RU"/>
        </w:rPr>
        <w:t xml:space="preserve"> о</w:t>
      </w:r>
      <w:r w:rsidR="00F03A4C" w:rsidRPr="00A93937">
        <w:rPr>
          <w:rFonts w:asciiTheme="majorHAnsi" w:hAnsiTheme="majorHAnsi" w:cstheme="majorHAnsi"/>
          <w:sz w:val="24"/>
          <w:szCs w:val="24"/>
          <w:lang w:val="ro-RO"/>
        </w:rPr>
        <w:t xml:space="preserve"> </w:t>
      </w:r>
      <w:r w:rsidR="00F03A4C">
        <w:rPr>
          <w:rFonts w:asciiTheme="majorHAnsi" w:hAnsiTheme="majorHAnsi" w:cstheme="majorHAnsi"/>
          <w:sz w:val="24"/>
          <w:szCs w:val="24"/>
          <w:lang w:val="ro-RO"/>
        </w:rPr>
        <w:t>бюджете</w:t>
      </w:r>
      <w:r w:rsidR="00936133">
        <w:rPr>
          <w:rFonts w:asciiTheme="majorHAnsi" w:hAnsiTheme="majorHAnsi" w:cstheme="majorHAnsi"/>
          <w:sz w:val="24"/>
          <w:szCs w:val="24"/>
          <w:lang w:val="ru-RU"/>
        </w:rPr>
        <w:t xml:space="preserve">, </w:t>
      </w:r>
      <w:r w:rsidRPr="00A93937">
        <w:rPr>
          <w:rFonts w:asciiTheme="majorHAnsi" w:hAnsiTheme="majorHAnsi" w:cstheme="majorHAnsi"/>
          <w:sz w:val="24"/>
          <w:szCs w:val="24"/>
          <w:lang w:val="ro-RO"/>
        </w:rPr>
        <w:t xml:space="preserve">в бюджетах некоторых бюджетных органов/учреждений, в соответствии с областями компетенции, </w:t>
      </w:r>
      <w:r w:rsidR="00936133" w:rsidRPr="00A93937">
        <w:rPr>
          <w:rFonts w:asciiTheme="majorHAnsi" w:hAnsiTheme="majorHAnsi" w:cstheme="majorHAnsi"/>
          <w:sz w:val="24"/>
          <w:szCs w:val="24"/>
          <w:lang w:val="ro-RO"/>
        </w:rPr>
        <w:t>первоначальн</w:t>
      </w:r>
      <w:r w:rsidR="00936133">
        <w:rPr>
          <w:rFonts w:asciiTheme="majorHAnsi" w:hAnsiTheme="majorHAnsi" w:cstheme="majorHAnsi"/>
          <w:sz w:val="24"/>
          <w:szCs w:val="24"/>
          <w:lang w:val="ru-RU"/>
        </w:rPr>
        <w:t>о</w:t>
      </w:r>
      <w:r w:rsidR="00936133" w:rsidRPr="00A93937">
        <w:rPr>
          <w:rFonts w:asciiTheme="majorHAnsi" w:hAnsiTheme="majorHAnsi" w:cstheme="majorHAnsi"/>
          <w:sz w:val="24"/>
          <w:szCs w:val="24"/>
          <w:lang w:val="ro-RO"/>
        </w:rPr>
        <w:t xml:space="preserve"> </w:t>
      </w:r>
      <w:r w:rsidRPr="00A93937">
        <w:rPr>
          <w:rFonts w:asciiTheme="majorHAnsi" w:hAnsiTheme="majorHAnsi" w:cstheme="majorHAnsi"/>
          <w:sz w:val="24"/>
          <w:szCs w:val="24"/>
          <w:lang w:val="ro-RO"/>
        </w:rPr>
        <w:t xml:space="preserve">были утверждены ассигнования </w:t>
      </w:r>
      <w:r w:rsidR="00936133">
        <w:rPr>
          <w:rFonts w:asciiTheme="majorHAnsi" w:hAnsiTheme="majorHAnsi" w:cstheme="majorHAnsi"/>
          <w:sz w:val="24"/>
          <w:szCs w:val="24"/>
          <w:lang w:val="ru-RU"/>
        </w:rPr>
        <w:t>в размере</w:t>
      </w:r>
      <w:r w:rsidRPr="00A93937">
        <w:rPr>
          <w:rFonts w:asciiTheme="majorHAnsi" w:hAnsiTheme="majorHAnsi" w:cstheme="majorHAnsi"/>
          <w:sz w:val="24"/>
          <w:szCs w:val="24"/>
          <w:lang w:val="ro-RO"/>
        </w:rPr>
        <w:t xml:space="preserve"> 3 963,3 млн. леев для конкретных целей, </w:t>
      </w:r>
      <w:r w:rsidR="00936133">
        <w:rPr>
          <w:rFonts w:asciiTheme="majorHAnsi" w:hAnsiTheme="majorHAnsi" w:cstheme="majorHAnsi"/>
          <w:sz w:val="24"/>
          <w:szCs w:val="24"/>
          <w:lang w:val="ru-RU"/>
        </w:rPr>
        <w:t>в</w:t>
      </w:r>
      <w:r w:rsidRPr="00A93937">
        <w:rPr>
          <w:rFonts w:asciiTheme="majorHAnsi" w:hAnsiTheme="majorHAnsi" w:cstheme="majorHAnsi"/>
          <w:sz w:val="24"/>
          <w:szCs w:val="24"/>
          <w:lang w:val="ro-RO"/>
        </w:rPr>
        <w:t>после</w:t>
      </w:r>
      <w:r w:rsidR="00F03A4C">
        <w:rPr>
          <w:rFonts w:asciiTheme="majorHAnsi" w:hAnsiTheme="majorHAnsi" w:cstheme="majorHAnsi"/>
          <w:sz w:val="24"/>
          <w:szCs w:val="24"/>
          <w:lang w:val="ru-RU"/>
        </w:rPr>
        <w:t>д</w:t>
      </w:r>
      <w:r w:rsidR="00936133">
        <w:rPr>
          <w:rFonts w:asciiTheme="majorHAnsi" w:hAnsiTheme="majorHAnsi" w:cstheme="majorHAnsi"/>
          <w:sz w:val="24"/>
          <w:szCs w:val="24"/>
          <w:lang w:val="ru-RU"/>
        </w:rPr>
        <w:t>ствии,</w:t>
      </w:r>
      <w:r w:rsidRPr="00A93937">
        <w:rPr>
          <w:rFonts w:asciiTheme="majorHAnsi" w:hAnsiTheme="majorHAnsi" w:cstheme="majorHAnsi"/>
          <w:sz w:val="24"/>
          <w:szCs w:val="24"/>
          <w:lang w:val="ro-RO"/>
        </w:rPr>
        <w:t xml:space="preserve"> </w:t>
      </w:r>
      <w:r w:rsidR="00936133">
        <w:rPr>
          <w:rFonts w:asciiTheme="majorHAnsi" w:hAnsiTheme="majorHAnsi" w:cstheme="majorHAnsi"/>
          <w:sz w:val="24"/>
          <w:szCs w:val="24"/>
          <w:lang w:val="ru-RU"/>
        </w:rPr>
        <w:t>при уточнении</w:t>
      </w:r>
      <w:r w:rsidRPr="00A93937">
        <w:rPr>
          <w:rFonts w:asciiTheme="majorHAnsi" w:hAnsiTheme="majorHAnsi" w:cstheme="majorHAnsi"/>
          <w:sz w:val="24"/>
          <w:szCs w:val="24"/>
          <w:lang w:val="ro-RO"/>
        </w:rPr>
        <w:t xml:space="preserve"> бюджета </w:t>
      </w:r>
      <w:r w:rsidR="00936133">
        <w:rPr>
          <w:rFonts w:asciiTheme="majorHAnsi" w:hAnsiTheme="majorHAnsi" w:cstheme="majorHAnsi"/>
          <w:sz w:val="24"/>
          <w:szCs w:val="24"/>
          <w:lang w:val="ru-RU"/>
        </w:rPr>
        <w:t xml:space="preserve">они </w:t>
      </w:r>
      <w:r w:rsidRPr="00A93937">
        <w:rPr>
          <w:rFonts w:asciiTheme="majorHAnsi" w:hAnsiTheme="majorHAnsi" w:cstheme="majorHAnsi"/>
          <w:sz w:val="24"/>
          <w:szCs w:val="24"/>
          <w:lang w:val="ro-RO"/>
        </w:rPr>
        <w:t>был</w:t>
      </w:r>
      <w:r w:rsidR="00936133">
        <w:rPr>
          <w:rFonts w:asciiTheme="majorHAnsi" w:hAnsiTheme="majorHAnsi" w:cstheme="majorHAnsi"/>
          <w:sz w:val="24"/>
          <w:szCs w:val="24"/>
          <w:lang w:val="ru-RU"/>
        </w:rPr>
        <w:t>и</w:t>
      </w:r>
      <w:r w:rsidRPr="00A93937">
        <w:rPr>
          <w:rFonts w:asciiTheme="majorHAnsi" w:hAnsiTheme="majorHAnsi" w:cstheme="majorHAnsi"/>
          <w:sz w:val="24"/>
          <w:szCs w:val="24"/>
          <w:lang w:val="ro-RO"/>
        </w:rPr>
        <w:t xml:space="preserve"> увеличен</w:t>
      </w:r>
      <w:r w:rsidR="00936133">
        <w:rPr>
          <w:rFonts w:asciiTheme="majorHAnsi" w:hAnsiTheme="majorHAnsi" w:cstheme="majorHAnsi"/>
          <w:sz w:val="24"/>
          <w:szCs w:val="24"/>
          <w:lang w:val="ru-RU"/>
        </w:rPr>
        <w:t>ы</w:t>
      </w:r>
      <w:r w:rsidRPr="00A93937">
        <w:rPr>
          <w:rFonts w:asciiTheme="majorHAnsi" w:hAnsiTheme="majorHAnsi" w:cstheme="majorHAnsi"/>
          <w:sz w:val="24"/>
          <w:szCs w:val="24"/>
          <w:lang w:val="ro-RO"/>
        </w:rPr>
        <w:t xml:space="preserve"> до 5 254,6 млн. леев, МФ уточни</w:t>
      </w:r>
      <w:r w:rsidR="00936133">
        <w:rPr>
          <w:rFonts w:asciiTheme="majorHAnsi" w:hAnsiTheme="majorHAnsi" w:cstheme="majorHAnsi"/>
          <w:sz w:val="24"/>
          <w:szCs w:val="24"/>
          <w:lang w:val="ru-RU"/>
        </w:rPr>
        <w:t>в</w:t>
      </w:r>
      <w:r w:rsidRPr="00A93937">
        <w:rPr>
          <w:rFonts w:asciiTheme="majorHAnsi" w:hAnsiTheme="majorHAnsi" w:cstheme="majorHAnsi"/>
          <w:sz w:val="24"/>
          <w:szCs w:val="24"/>
          <w:lang w:val="ro-RO"/>
        </w:rPr>
        <w:t xml:space="preserve"> на 78,2 млн. </w:t>
      </w:r>
      <w:r w:rsidR="00936133" w:rsidRPr="00A93937">
        <w:rPr>
          <w:rFonts w:asciiTheme="majorHAnsi" w:hAnsiTheme="majorHAnsi" w:cstheme="majorHAnsi"/>
          <w:sz w:val="24"/>
          <w:szCs w:val="24"/>
          <w:lang w:val="ro-RO"/>
        </w:rPr>
        <w:t xml:space="preserve">леев </w:t>
      </w:r>
      <w:r w:rsidRPr="00A93937">
        <w:rPr>
          <w:rFonts w:asciiTheme="majorHAnsi" w:hAnsiTheme="majorHAnsi" w:cstheme="majorHAnsi"/>
          <w:sz w:val="24"/>
          <w:szCs w:val="24"/>
          <w:lang w:val="ro-RO"/>
        </w:rPr>
        <w:t xml:space="preserve">больше, </w:t>
      </w:r>
      <w:r w:rsidR="00936133">
        <w:rPr>
          <w:rFonts w:asciiTheme="majorHAnsi" w:hAnsiTheme="majorHAnsi" w:cstheme="majorHAnsi"/>
          <w:sz w:val="24"/>
          <w:szCs w:val="24"/>
          <w:lang w:val="ru-RU"/>
        </w:rPr>
        <w:t>а</w:t>
      </w:r>
      <w:r w:rsidRPr="00A93937">
        <w:rPr>
          <w:rFonts w:asciiTheme="majorHAnsi" w:hAnsiTheme="majorHAnsi" w:cstheme="majorHAnsi"/>
          <w:sz w:val="24"/>
          <w:szCs w:val="24"/>
          <w:lang w:val="ro-RO"/>
        </w:rPr>
        <w:t xml:space="preserve"> 5 332,8 млн. </w:t>
      </w:r>
      <w:r w:rsidR="008E6894">
        <w:rPr>
          <w:rFonts w:asciiTheme="majorHAnsi" w:hAnsiTheme="majorHAnsi" w:cstheme="majorHAnsi"/>
          <w:sz w:val="24"/>
          <w:szCs w:val="24"/>
          <w:lang w:val="ro-RO"/>
        </w:rPr>
        <w:t>леев</w:t>
      </w:r>
      <w:r w:rsidRPr="00A93937">
        <w:rPr>
          <w:rFonts w:asciiTheme="majorHAnsi" w:hAnsiTheme="majorHAnsi" w:cstheme="majorHAnsi"/>
          <w:sz w:val="24"/>
          <w:szCs w:val="24"/>
          <w:lang w:val="ro-RO"/>
        </w:rPr>
        <w:t xml:space="preserve"> </w:t>
      </w:r>
      <w:r w:rsidR="00936133">
        <w:rPr>
          <w:rFonts w:asciiTheme="majorHAnsi" w:hAnsiTheme="majorHAnsi" w:cstheme="majorHAnsi"/>
          <w:sz w:val="24"/>
          <w:szCs w:val="24"/>
          <w:lang w:val="ru-RU"/>
        </w:rPr>
        <w:t xml:space="preserve">были </w:t>
      </w:r>
      <w:r w:rsidRPr="00A93937">
        <w:rPr>
          <w:rFonts w:asciiTheme="majorHAnsi" w:hAnsiTheme="majorHAnsi" w:cstheme="majorHAnsi"/>
          <w:sz w:val="24"/>
          <w:szCs w:val="24"/>
          <w:lang w:val="ro-RO"/>
        </w:rPr>
        <w:t>исполнен</w:t>
      </w:r>
      <w:r w:rsidR="00936133">
        <w:rPr>
          <w:rFonts w:asciiTheme="majorHAnsi" w:hAnsiTheme="majorHAnsi" w:cstheme="majorHAnsi"/>
          <w:sz w:val="24"/>
          <w:szCs w:val="24"/>
          <w:lang w:val="ru-RU"/>
        </w:rPr>
        <w:t>ы</w:t>
      </w:r>
      <w:r w:rsidRPr="00A93937">
        <w:rPr>
          <w:rFonts w:asciiTheme="majorHAnsi" w:hAnsiTheme="majorHAnsi" w:cstheme="majorHAnsi"/>
          <w:sz w:val="24"/>
          <w:szCs w:val="24"/>
          <w:lang w:val="ro-RO"/>
        </w:rPr>
        <w:t xml:space="preserve"> на уровне 92,5% (4 931,9 млн. </w:t>
      </w:r>
      <w:r w:rsidR="008E6894">
        <w:rPr>
          <w:rFonts w:asciiTheme="majorHAnsi" w:hAnsiTheme="majorHAnsi" w:cstheme="majorHAnsi"/>
          <w:sz w:val="24"/>
          <w:szCs w:val="24"/>
          <w:lang w:val="ro-RO"/>
        </w:rPr>
        <w:t>леев</w:t>
      </w:r>
      <w:r w:rsidRPr="00A93937">
        <w:rPr>
          <w:rFonts w:asciiTheme="majorHAnsi" w:hAnsiTheme="majorHAnsi" w:cstheme="majorHAnsi"/>
          <w:sz w:val="24"/>
          <w:szCs w:val="24"/>
          <w:lang w:val="ro-RO"/>
        </w:rPr>
        <w:t>). МФ изменил</w:t>
      </w:r>
      <w:r w:rsidR="00936133">
        <w:rPr>
          <w:rFonts w:asciiTheme="majorHAnsi" w:hAnsiTheme="majorHAnsi" w:cstheme="majorHAnsi"/>
          <w:sz w:val="24"/>
          <w:szCs w:val="24"/>
          <w:lang w:val="ru-RU"/>
        </w:rPr>
        <w:t>о</w:t>
      </w:r>
      <w:r w:rsidRPr="00A93937">
        <w:rPr>
          <w:rFonts w:asciiTheme="majorHAnsi" w:hAnsiTheme="majorHAnsi" w:cstheme="majorHAnsi"/>
          <w:sz w:val="24"/>
          <w:szCs w:val="24"/>
          <w:lang w:val="ro-RO"/>
        </w:rPr>
        <w:t xml:space="preserve"> сумму ассигнований </w:t>
      </w:r>
      <w:r w:rsidR="00936133">
        <w:rPr>
          <w:rFonts w:asciiTheme="majorHAnsi" w:hAnsiTheme="majorHAnsi" w:cstheme="majorHAnsi"/>
          <w:sz w:val="24"/>
          <w:szCs w:val="24"/>
          <w:lang w:val="ru-RU"/>
        </w:rPr>
        <w:t>в сторону</w:t>
      </w:r>
      <w:r w:rsidRPr="00A93937">
        <w:rPr>
          <w:rFonts w:asciiTheme="majorHAnsi" w:hAnsiTheme="majorHAnsi" w:cstheme="majorHAnsi"/>
          <w:sz w:val="24"/>
          <w:szCs w:val="24"/>
          <w:lang w:val="ro-RO"/>
        </w:rPr>
        <w:t xml:space="preserve"> уменьшени</w:t>
      </w:r>
      <w:r w:rsidR="00936133">
        <w:rPr>
          <w:rFonts w:asciiTheme="majorHAnsi" w:hAnsiTheme="majorHAnsi" w:cstheme="majorHAnsi"/>
          <w:sz w:val="24"/>
          <w:szCs w:val="24"/>
          <w:lang w:val="ru-RU"/>
        </w:rPr>
        <w:t>я, против</w:t>
      </w:r>
      <w:r w:rsidRPr="00A93937">
        <w:rPr>
          <w:rFonts w:asciiTheme="majorHAnsi" w:hAnsiTheme="majorHAnsi" w:cstheme="majorHAnsi"/>
          <w:sz w:val="24"/>
          <w:szCs w:val="24"/>
          <w:lang w:val="ro-RO"/>
        </w:rPr>
        <w:t xml:space="preserve"> ассигновани</w:t>
      </w:r>
      <w:r w:rsidR="00936133">
        <w:rPr>
          <w:rFonts w:asciiTheme="majorHAnsi" w:hAnsiTheme="majorHAnsi" w:cstheme="majorHAnsi"/>
          <w:sz w:val="24"/>
          <w:szCs w:val="24"/>
          <w:lang w:val="ru-RU"/>
        </w:rPr>
        <w:t>й</w:t>
      </w:r>
      <w:r w:rsidRPr="00A93937">
        <w:rPr>
          <w:rFonts w:asciiTheme="majorHAnsi" w:hAnsiTheme="majorHAnsi" w:cstheme="majorHAnsi"/>
          <w:sz w:val="24"/>
          <w:szCs w:val="24"/>
          <w:lang w:val="ro-RO"/>
        </w:rPr>
        <w:t>, утвержденны</w:t>
      </w:r>
      <w:r w:rsidR="00936133">
        <w:rPr>
          <w:rFonts w:asciiTheme="majorHAnsi" w:hAnsiTheme="majorHAnsi" w:cstheme="majorHAnsi"/>
          <w:sz w:val="24"/>
          <w:szCs w:val="24"/>
          <w:lang w:val="ru-RU"/>
        </w:rPr>
        <w:t xml:space="preserve">х </w:t>
      </w:r>
      <w:r w:rsidRPr="00A93937">
        <w:rPr>
          <w:rFonts w:asciiTheme="majorHAnsi" w:hAnsiTheme="majorHAnsi" w:cstheme="majorHAnsi"/>
          <w:sz w:val="24"/>
          <w:szCs w:val="24"/>
          <w:lang w:val="ro-RO"/>
        </w:rPr>
        <w:t xml:space="preserve">в годовом </w:t>
      </w:r>
      <w:r w:rsidR="00683656" w:rsidRPr="00A93937">
        <w:rPr>
          <w:rFonts w:asciiTheme="majorHAnsi" w:hAnsiTheme="majorHAnsi" w:cstheme="majorHAnsi"/>
          <w:sz w:val="24"/>
          <w:szCs w:val="24"/>
          <w:lang w:val="ro-RO"/>
        </w:rPr>
        <w:t>законе</w:t>
      </w:r>
      <w:r w:rsidR="00683656">
        <w:rPr>
          <w:rFonts w:asciiTheme="majorHAnsi" w:hAnsiTheme="majorHAnsi" w:cstheme="majorHAnsi"/>
          <w:sz w:val="24"/>
          <w:szCs w:val="24"/>
          <w:lang w:val="ru-RU"/>
        </w:rPr>
        <w:t xml:space="preserve"> о</w:t>
      </w:r>
      <w:r w:rsidR="00683656" w:rsidRPr="00A93937">
        <w:rPr>
          <w:rFonts w:asciiTheme="majorHAnsi" w:hAnsiTheme="majorHAnsi" w:cstheme="majorHAnsi"/>
          <w:sz w:val="24"/>
          <w:szCs w:val="24"/>
          <w:lang w:val="ro-RO"/>
        </w:rPr>
        <w:t xml:space="preserve"> </w:t>
      </w:r>
      <w:r w:rsidR="00683656">
        <w:rPr>
          <w:rFonts w:asciiTheme="majorHAnsi" w:hAnsiTheme="majorHAnsi" w:cstheme="majorHAnsi"/>
          <w:sz w:val="24"/>
          <w:szCs w:val="24"/>
          <w:lang w:val="ro-RO"/>
        </w:rPr>
        <w:t>бюджете</w:t>
      </w:r>
      <w:r w:rsidRPr="00A93937">
        <w:rPr>
          <w:rFonts w:asciiTheme="majorHAnsi" w:hAnsiTheme="majorHAnsi" w:cstheme="majorHAnsi"/>
          <w:sz w:val="24"/>
          <w:szCs w:val="24"/>
          <w:lang w:val="ro-RO"/>
        </w:rPr>
        <w:t xml:space="preserve">, </w:t>
      </w:r>
      <w:r w:rsidR="00936133">
        <w:rPr>
          <w:rFonts w:asciiTheme="majorHAnsi" w:hAnsiTheme="majorHAnsi" w:cstheme="majorHAnsi"/>
          <w:sz w:val="24"/>
          <w:szCs w:val="24"/>
          <w:lang w:val="ru-RU"/>
        </w:rPr>
        <w:t>на</w:t>
      </w:r>
      <w:r w:rsidRPr="00A93937">
        <w:rPr>
          <w:rFonts w:asciiTheme="majorHAnsi" w:hAnsiTheme="majorHAnsi" w:cstheme="majorHAnsi"/>
          <w:sz w:val="24"/>
          <w:szCs w:val="24"/>
          <w:lang w:val="ro-RO"/>
        </w:rPr>
        <w:t xml:space="preserve"> реализаци</w:t>
      </w:r>
      <w:r w:rsidR="00936133">
        <w:rPr>
          <w:rFonts w:asciiTheme="majorHAnsi" w:hAnsiTheme="majorHAnsi" w:cstheme="majorHAnsi"/>
          <w:sz w:val="24"/>
          <w:szCs w:val="24"/>
          <w:lang w:val="ru-RU"/>
        </w:rPr>
        <w:t>ю</w:t>
      </w:r>
      <w:r w:rsidRPr="00A93937">
        <w:rPr>
          <w:rFonts w:asciiTheme="majorHAnsi" w:hAnsiTheme="majorHAnsi" w:cstheme="majorHAnsi"/>
          <w:sz w:val="24"/>
          <w:szCs w:val="24"/>
          <w:lang w:val="ro-RO"/>
        </w:rPr>
        <w:t xml:space="preserve"> процесса приватизации имущества публичной собственности</w:t>
      </w:r>
      <w:r w:rsidR="00936133" w:rsidRPr="00936133">
        <w:rPr>
          <w:rFonts w:asciiTheme="majorHAnsi" w:hAnsiTheme="majorHAnsi" w:cstheme="majorHAnsi"/>
          <w:sz w:val="24"/>
          <w:szCs w:val="24"/>
          <w:lang w:val="ro-RO"/>
        </w:rPr>
        <w:t xml:space="preserve"> </w:t>
      </w:r>
      <w:r w:rsidR="00936133" w:rsidRPr="00A93937">
        <w:rPr>
          <w:rFonts w:asciiTheme="majorHAnsi" w:hAnsiTheme="majorHAnsi" w:cstheme="majorHAnsi"/>
          <w:sz w:val="24"/>
          <w:szCs w:val="24"/>
          <w:lang w:val="ro-RO"/>
        </w:rPr>
        <w:t>государств</w:t>
      </w:r>
      <w:r w:rsidR="00936133">
        <w:rPr>
          <w:rFonts w:asciiTheme="majorHAnsi" w:hAnsiTheme="majorHAnsi" w:cstheme="majorHAnsi"/>
          <w:sz w:val="24"/>
          <w:szCs w:val="24"/>
          <w:lang w:val="ru-RU"/>
        </w:rPr>
        <w:t>а</w:t>
      </w:r>
      <w:r w:rsidRPr="00A93937">
        <w:rPr>
          <w:rFonts w:asciiTheme="majorHAnsi" w:hAnsiTheme="majorHAnsi" w:cstheme="majorHAnsi"/>
          <w:sz w:val="24"/>
          <w:szCs w:val="24"/>
          <w:lang w:val="ro-RO"/>
        </w:rPr>
        <w:t xml:space="preserve">, в том числе на основе индивидуальных проектов (-2,2 млн. леев), </w:t>
      </w:r>
      <w:r w:rsidR="00936133">
        <w:rPr>
          <w:rFonts w:asciiTheme="majorHAnsi" w:hAnsiTheme="majorHAnsi" w:cstheme="majorHAnsi"/>
          <w:sz w:val="24"/>
          <w:szCs w:val="24"/>
          <w:lang w:val="ru-RU"/>
        </w:rPr>
        <w:t>для</w:t>
      </w:r>
      <w:r w:rsidRPr="00A93937">
        <w:rPr>
          <w:rFonts w:asciiTheme="majorHAnsi" w:hAnsiTheme="majorHAnsi" w:cstheme="majorHAnsi"/>
          <w:sz w:val="24"/>
          <w:szCs w:val="24"/>
          <w:lang w:val="ro-RO"/>
        </w:rPr>
        <w:t xml:space="preserve"> Национальн</w:t>
      </w:r>
      <w:r w:rsidR="00936133">
        <w:rPr>
          <w:rFonts w:asciiTheme="majorHAnsi" w:hAnsiTheme="majorHAnsi" w:cstheme="majorHAnsi"/>
          <w:sz w:val="24"/>
          <w:szCs w:val="24"/>
          <w:lang w:val="ru-RU"/>
        </w:rPr>
        <w:t>ого</w:t>
      </w:r>
      <w:r w:rsidRPr="00A93937">
        <w:rPr>
          <w:rFonts w:asciiTheme="majorHAnsi" w:hAnsiTheme="majorHAnsi" w:cstheme="majorHAnsi"/>
          <w:sz w:val="24"/>
          <w:szCs w:val="24"/>
          <w:lang w:val="ro-RO"/>
        </w:rPr>
        <w:t xml:space="preserve"> экологическ</w:t>
      </w:r>
      <w:r w:rsidR="00936133">
        <w:rPr>
          <w:rFonts w:asciiTheme="majorHAnsi" w:hAnsiTheme="majorHAnsi" w:cstheme="majorHAnsi"/>
          <w:sz w:val="24"/>
          <w:szCs w:val="24"/>
          <w:lang w:val="ru-RU"/>
        </w:rPr>
        <w:t>ого</w:t>
      </w:r>
      <w:r w:rsidRPr="00A93937">
        <w:rPr>
          <w:rFonts w:asciiTheme="majorHAnsi" w:hAnsiTheme="majorHAnsi" w:cstheme="majorHAnsi"/>
          <w:sz w:val="24"/>
          <w:szCs w:val="24"/>
          <w:lang w:val="ro-RO"/>
        </w:rPr>
        <w:t xml:space="preserve"> фонд</w:t>
      </w:r>
      <w:r w:rsidR="00936133">
        <w:rPr>
          <w:rFonts w:asciiTheme="majorHAnsi" w:hAnsiTheme="majorHAnsi" w:cstheme="majorHAnsi"/>
          <w:sz w:val="24"/>
          <w:szCs w:val="24"/>
          <w:lang w:val="ru-RU"/>
        </w:rPr>
        <w:t>а</w:t>
      </w:r>
      <w:r w:rsidRPr="00A93937">
        <w:rPr>
          <w:rFonts w:asciiTheme="majorHAnsi" w:hAnsiTheme="majorHAnsi" w:cstheme="majorHAnsi"/>
          <w:sz w:val="24"/>
          <w:szCs w:val="24"/>
          <w:lang w:val="ro-RO"/>
        </w:rPr>
        <w:t xml:space="preserve"> (-1,6 млн. леев) и Фонд</w:t>
      </w:r>
      <w:r w:rsidR="00936133">
        <w:rPr>
          <w:rFonts w:asciiTheme="majorHAnsi" w:hAnsiTheme="majorHAnsi" w:cstheme="majorHAnsi"/>
          <w:sz w:val="24"/>
          <w:szCs w:val="24"/>
          <w:lang w:val="ru-RU"/>
        </w:rPr>
        <w:t>а</w:t>
      </w:r>
      <w:r w:rsidRPr="00A93937">
        <w:rPr>
          <w:rFonts w:asciiTheme="majorHAnsi" w:hAnsiTheme="majorHAnsi" w:cstheme="majorHAnsi"/>
          <w:sz w:val="24"/>
          <w:szCs w:val="24"/>
          <w:lang w:val="ro-RO"/>
        </w:rPr>
        <w:t xml:space="preserve"> энергоэффективности (-0,2 млн. леев).</w:t>
      </w:r>
      <w:r w:rsidR="00AC6703" w:rsidRPr="00F55BA6">
        <w:rPr>
          <w:rFonts w:asciiTheme="majorHAnsi" w:hAnsiTheme="majorHAnsi" w:cstheme="majorHAnsi"/>
          <w:sz w:val="24"/>
          <w:szCs w:val="24"/>
          <w:lang w:val="ro-RO"/>
        </w:rPr>
        <w:t xml:space="preserve"> </w:t>
      </w:r>
      <w:r w:rsidRPr="00A93937">
        <w:rPr>
          <w:rFonts w:asciiTheme="majorHAnsi" w:hAnsiTheme="majorHAnsi" w:cstheme="majorHAnsi"/>
          <w:sz w:val="24"/>
          <w:szCs w:val="24"/>
          <w:lang w:val="ro-RO"/>
        </w:rPr>
        <w:t>Вместе с тем, МФ увеличил</w:t>
      </w:r>
      <w:r w:rsidR="00936133">
        <w:rPr>
          <w:rFonts w:asciiTheme="majorHAnsi" w:hAnsiTheme="majorHAnsi" w:cstheme="majorHAnsi"/>
          <w:sz w:val="24"/>
          <w:szCs w:val="24"/>
          <w:lang w:val="ru-RU"/>
        </w:rPr>
        <w:t>о</w:t>
      </w:r>
      <w:r w:rsidRPr="00A93937">
        <w:rPr>
          <w:rFonts w:asciiTheme="majorHAnsi" w:hAnsiTheme="majorHAnsi" w:cstheme="majorHAnsi"/>
          <w:sz w:val="24"/>
          <w:szCs w:val="24"/>
          <w:lang w:val="ro-RO"/>
        </w:rPr>
        <w:t xml:space="preserve"> ассигнования в Национальный </w:t>
      </w:r>
      <w:r w:rsidR="00936133">
        <w:rPr>
          <w:rFonts w:asciiTheme="majorHAnsi" w:hAnsiTheme="majorHAnsi" w:cstheme="majorHAnsi"/>
          <w:sz w:val="24"/>
          <w:szCs w:val="24"/>
          <w:lang w:val="ru-RU"/>
        </w:rPr>
        <w:t>ф</w:t>
      </w:r>
      <w:r w:rsidRPr="00A93937">
        <w:rPr>
          <w:rFonts w:asciiTheme="majorHAnsi" w:hAnsiTheme="majorHAnsi" w:cstheme="majorHAnsi"/>
          <w:sz w:val="24"/>
          <w:szCs w:val="24"/>
          <w:lang w:val="ro-RO"/>
        </w:rPr>
        <w:t xml:space="preserve">онд развития сельского хозяйства и сельской местности (+82,1 млн. леев) и для поддержки проектов/культурных программ некоммерческих организаций (+0,2 млн. </w:t>
      </w:r>
      <w:r w:rsidR="008E6894">
        <w:rPr>
          <w:rFonts w:asciiTheme="majorHAnsi" w:hAnsiTheme="majorHAnsi" w:cstheme="majorHAnsi"/>
          <w:sz w:val="24"/>
          <w:szCs w:val="24"/>
          <w:lang w:val="ro-RO"/>
        </w:rPr>
        <w:t>леев</w:t>
      </w:r>
      <w:r w:rsidRPr="00A93937">
        <w:rPr>
          <w:rFonts w:asciiTheme="majorHAnsi" w:hAnsiTheme="majorHAnsi" w:cstheme="majorHAnsi"/>
          <w:sz w:val="24"/>
          <w:szCs w:val="24"/>
          <w:lang w:val="ro-RO"/>
        </w:rPr>
        <w:t xml:space="preserve">). Самый низкий уровень исполнения ассигнований был зарегистрирован в </w:t>
      </w:r>
      <w:r w:rsidR="00936133">
        <w:rPr>
          <w:rFonts w:asciiTheme="majorHAnsi" w:hAnsiTheme="majorHAnsi" w:cstheme="majorHAnsi"/>
          <w:sz w:val="24"/>
          <w:szCs w:val="24"/>
          <w:lang w:val="ru-RU"/>
        </w:rPr>
        <w:t xml:space="preserve">АПС </w:t>
      </w:r>
      <w:r w:rsidRPr="00A93937">
        <w:rPr>
          <w:rFonts w:asciiTheme="majorHAnsi" w:hAnsiTheme="majorHAnsi" w:cstheme="majorHAnsi"/>
          <w:sz w:val="24"/>
          <w:szCs w:val="24"/>
          <w:lang w:val="ro-RO"/>
        </w:rPr>
        <w:t>-</w:t>
      </w:r>
      <w:r w:rsidR="00936133">
        <w:rPr>
          <w:rFonts w:asciiTheme="majorHAnsi" w:hAnsiTheme="majorHAnsi" w:cstheme="majorHAnsi"/>
          <w:sz w:val="24"/>
          <w:szCs w:val="24"/>
          <w:lang w:val="ru-RU"/>
        </w:rPr>
        <w:t xml:space="preserve"> </w:t>
      </w:r>
      <w:r w:rsidRPr="00A93937">
        <w:rPr>
          <w:rFonts w:asciiTheme="majorHAnsi" w:hAnsiTheme="majorHAnsi" w:cstheme="majorHAnsi"/>
          <w:sz w:val="24"/>
          <w:szCs w:val="24"/>
          <w:lang w:val="ro-RO"/>
        </w:rPr>
        <w:t>на 31,5% по сравнению с уточненным и на 18,5% по сравнению с первоначально утвержденным</w:t>
      </w:r>
      <w:r w:rsidR="00936133">
        <w:rPr>
          <w:rFonts w:asciiTheme="majorHAnsi" w:hAnsiTheme="majorHAnsi" w:cstheme="majorHAnsi"/>
          <w:sz w:val="24"/>
          <w:szCs w:val="24"/>
          <w:lang w:val="ru-RU"/>
        </w:rPr>
        <w:t>и ассигнованиями</w:t>
      </w:r>
      <w:r w:rsidRPr="00A93937">
        <w:rPr>
          <w:rFonts w:asciiTheme="majorHAnsi" w:hAnsiTheme="majorHAnsi" w:cstheme="majorHAnsi"/>
          <w:sz w:val="24"/>
          <w:szCs w:val="24"/>
          <w:lang w:val="ro-RO"/>
        </w:rPr>
        <w:t>, M</w:t>
      </w:r>
      <w:r w:rsidR="00936133">
        <w:rPr>
          <w:rFonts w:asciiTheme="majorHAnsi" w:hAnsiTheme="majorHAnsi" w:cstheme="majorHAnsi"/>
          <w:sz w:val="24"/>
          <w:szCs w:val="24"/>
          <w:lang w:val="ru-RU"/>
        </w:rPr>
        <w:t>ОКИ</w:t>
      </w:r>
      <w:r w:rsidRPr="00A93937">
        <w:rPr>
          <w:rFonts w:asciiTheme="majorHAnsi" w:hAnsiTheme="majorHAnsi" w:cstheme="majorHAnsi"/>
          <w:sz w:val="24"/>
          <w:szCs w:val="24"/>
          <w:lang w:val="ro-RO"/>
        </w:rPr>
        <w:t>-на 36,3% по сравнению с уточненным и на 32,4% по сравнению с первоначально утвержденным</w:t>
      </w:r>
      <w:r w:rsidR="00936133">
        <w:rPr>
          <w:rFonts w:asciiTheme="majorHAnsi" w:hAnsiTheme="majorHAnsi" w:cstheme="majorHAnsi"/>
          <w:sz w:val="24"/>
          <w:szCs w:val="24"/>
          <w:lang w:val="ru-RU"/>
        </w:rPr>
        <w:t>,</w:t>
      </w:r>
      <w:r w:rsidRPr="00A93937">
        <w:rPr>
          <w:rFonts w:asciiTheme="majorHAnsi" w:hAnsiTheme="majorHAnsi" w:cstheme="majorHAnsi"/>
          <w:sz w:val="24"/>
          <w:szCs w:val="24"/>
          <w:lang w:val="ro-RO"/>
        </w:rPr>
        <w:t xml:space="preserve"> и </w:t>
      </w:r>
      <w:r w:rsidR="00936133">
        <w:rPr>
          <w:rFonts w:asciiTheme="majorHAnsi" w:hAnsiTheme="majorHAnsi" w:cstheme="majorHAnsi"/>
          <w:sz w:val="24"/>
          <w:szCs w:val="24"/>
          <w:lang w:val="ru-RU"/>
        </w:rPr>
        <w:t>ПУ</w:t>
      </w:r>
      <w:r w:rsidRPr="00A93937">
        <w:rPr>
          <w:rFonts w:asciiTheme="majorHAnsi" w:hAnsiTheme="majorHAnsi" w:cstheme="majorHAnsi"/>
          <w:sz w:val="24"/>
          <w:szCs w:val="24"/>
          <w:lang w:val="ro-RO"/>
        </w:rPr>
        <w:t xml:space="preserve"> </w:t>
      </w:r>
      <w:r w:rsidR="00936133">
        <w:rPr>
          <w:rFonts w:asciiTheme="majorHAnsi" w:hAnsiTheme="majorHAnsi" w:cstheme="majorHAnsi"/>
          <w:sz w:val="24"/>
          <w:szCs w:val="24"/>
          <w:lang w:val="ro-RO"/>
        </w:rPr>
        <w:t>„</w:t>
      </w:r>
      <w:r w:rsidRPr="00A93937">
        <w:rPr>
          <w:rFonts w:asciiTheme="majorHAnsi" w:hAnsiTheme="majorHAnsi" w:cstheme="majorHAnsi"/>
          <w:sz w:val="24"/>
          <w:szCs w:val="24"/>
          <w:lang w:val="ro-RO"/>
        </w:rPr>
        <w:t>Национальное бюро винограда и вина</w:t>
      </w:r>
      <w:r w:rsidR="00390FD8" w:rsidRPr="00F55BA6">
        <w:rPr>
          <w:rFonts w:asciiTheme="majorHAnsi" w:hAnsiTheme="majorHAnsi" w:cstheme="majorHAnsi"/>
          <w:sz w:val="24"/>
          <w:szCs w:val="24"/>
          <w:lang w:val="ro-RO"/>
        </w:rPr>
        <w:t>”</w:t>
      </w:r>
      <w:r w:rsidRPr="00A93937">
        <w:rPr>
          <w:rFonts w:asciiTheme="majorHAnsi" w:hAnsiTheme="majorHAnsi" w:cstheme="majorHAnsi"/>
          <w:sz w:val="24"/>
          <w:szCs w:val="24"/>
          <w:lang w:val="ro-RO"/>
        </w:rPr>
        <w:t xml:space="preserve"> - на 51,9% по сравнению с уточненным и на 43,4% по сравнению с первоначально утвержденным</w:t>
      </w:r>
      <w:r w:rsidR="00CC3A2D">
        <w:rPr>
          <w:rFonts w:asciiTheme="majorHAnsi" w:hAnsiTheme="majorHAnsi" w:cstheme="majorHAnsi"/>
          <w:sz w:val="24"/>
          <w:szCs w:val="24"/>
          <w:lang w:val="ru-RU"/>
        </w:rPr>
        <w:t xml:space="preserve">и </w:t>
      </w:r>
      <w:r w:rsidR="00390FD8">
        <w:rPr>
          <w:rFonts w:asciiTheme="majorHAnsi" w:hAnsiTheme="majorHAnsi" w:cstheme="majorHAnsi"/>
          <w:sz w:val="24"/>
          <w:szCs w:val="24"/>
          <w:lang w:val="ru-RU"/>
        </w:rPr>
        <w:t>ассигнованиями</w:t>
      </w:r>
      <w:r w:rsidRPr="00A93937">
        <w:rPr>
          <w:rFonts w:asciiTheme="majorHAnsi" w:hAnsiTheme="majorHAnsi" w:cstheme="majorHAnsi"/>
          <w:sz w:val="24"/>
          <w:szCs w:val="24"/>
          <w:lang w:val="ro-RO"/>
        </w:rPr>
        <w:t>.</w:t>
      </w:r>
      <w:r>
        <w:rPr>
          <w:rFonts w:asciiTheme="majorHAnsi" w:hAnsiTheme="majorHAnsi" w:cstheme="majorHAnsi"/>
          <w:sz w:val="24"/>
          <w:szCs w:val="24"/>
          <w:lang w:val="ru-RU"/>
        </w:rPr>
        <w:t xml:space="preserve"> </w:t>
      </w:r>
    </w:p>
    <w:p w:rsidR="00D9349D" w:rsidRPr="00F55BA6" w:rsidRDefault="00071637" w:rsidP="00D9349D">
      <w:pPr>
        <w:spacing w:after="0"/>
        <w:rPr>
          <w:rFonts w:asciiTheme="majorHAnsi" w:eastAsia="Times New Roman" w:hAnsiTheme="majorHAnsi" w:cstheme="majorHAnsi"/>
          <w:b/>
          <w:sz w:val="24"/>
          <w:szCs w:val="24"/>
          <w:lang w:val="ro-RO"/>
        </w:rPr>
      </w:pPr>
      <w:r w:rsidRPr="00F55BA6">
        <w:rPr>
          <w:rFonts w:asciiTheme="majorHAnsi" w:eastAsia="Times New Roman" w:hAnsiTheme="majorHAnsi" w:cstheme="majorHAnsi"/>
          <w:b/>
          <w:sz w:val="24"/>
          <w:szCs w:val="24"/>
          <w:lang w:val="ro-RO"/>
        </w:rPr>
        <w:t xml:space="preserve">7.2.1 </w:t>
      </w:r>
      <w:r w:rsidR="00A93937" w:rsidRPr="00A93937">
        <w:rPr>
          <w:rFonts w:asciiTheme="majorHAnsi" w:eastAsia="Times New Roman" w:hAnsiTheme="majorHAnsi" w:cstheme="majorHAnsi"/>
          <w:b/>
          <w:sz w:val="24"/>
          <w:szCs w:val="24"/>
          <w:lang w:val="ro-RO"/>
        </w:rPr>
        <w:t xml:space="preserve">В 2020 году (1 154,3 млн. леев) были выплачены проценты по </w:t>
      </w:r>
      <w:r w:rsidR="00390FD8" w:rsidRPr="00A93937">
        <w:rPr>
          <w:rFonts w:asciiTheme="majorHAnsi" w:eastAsia="Times New Roman" w:hAnsiTheme="majorHAnsi" w:cstheme="majorHAnsi"/>
          <w:b/>
          <w:sz w:val="24"/>
          <w:szCs w:val="24"/>
          <w:lang w:val="ro-RO"/>
        </w:rPr>
        <w:t xml:space="preserve">выпущенным </w:t>
      </w:r>
      <w:r w:rsidR="00A93937" w:rsidRPr="00A93937">
        <w:rPr>
          <w:rFonts w:asciiTheme="majorHAnsi" w:eastAsia="Times New Roman" w:hAnsiTheme="majorHAnsi" w:cstheme="majorHAnsi"/>
          <w:b/>
          <w:sz w:val="24"/>
          <w:szCs w:val="24"/>
          <w:lang w:val="ro-RO"/>
        </w:rPr>
        <w:t xml:space="preserve">государственным облигациям, в сумме 21,9 млн. леев, а в последующие годы </w:t>
      </w:r>
      <w:r w:rsidR="00A3587B">
        <w:rPr>
          <w:rFonts w:asciiTheme="majorHAnsi" w:eastAsia="Times New Roman" w:hAnsiTheme="majorHAnsi" w:cstheme="majorHAnsi"/>
          <w:b/>
          <w:sz w:val="24"/>
          <w:szCs w:val="24"/>
          <w:lang w:val="ru-RU"/>
        </w:rPr>
        <w:t xml:space="preserve">при наступлении срока </w:t>
      </w:r>
      <w:r w:rsidR="00A93937" w:rsidRPr="00A93937">
        <w:rPr>
          <w:rFonts w:asciiTheme="majorHAnsi" w:eastAsia="Times New Roman" w:hAnsiTheme="majorHAnsi" w:cstheme="majorHAnsi"/>
          <w:b/>
          <w:sz w:val="24"/>
          <w:szCs w:val="24"/>
          <w:lang w:val="ro-RO"/>
        </w:rPr>
        <w:t>погашени</w:t>
      </w:r>
      <w:r w:rsidR="00A3587B">
        <w:rPr>
          <w:rFonts w:asciiTheme="majorHAnsi" w:eastAsia="Times New Roman" w:hAnsiTheme="majorHAnsi" w:cstheme="majorHAnsi"/>
          <w:b/>
          <w:sz w:val="24"/>
          <w:szCs w:val="24"/>
          <w:lang w:val="ru-RU"/>
        </w:rPr>
        <w:t>я</w:t>
      </w:r>
      <w:r w:rsidR="00A93937" w:rsidRPr="00A93937">
        <w:rPr>
          <w:rFonts w:asciiTheme="majorHAnsi" w:eastAsia="Times New Roman" w:hAnsiTheme="majorHAnsi" w:cstheme="majorHAnsi"/>
          <w:b/>
          <w:sz w:val="24"/>
          <w:szCs w:val="24"/>
          <w:lang w:val="ro-RO"/>
        </w:rPr>
        <w:t xml:space="preserve"> </w:t>
      </w:r>
      <w:r w:rsidR="00A3587B">
        <w:rPr>
          <w:rFonts w:asciiTheme="majorHAnsi" w:eastAsia="Times New Roman" w:hAnsiTheme="majorHAnsi" w:cstheme="majorHAnsi"/>
          <w:b/>
          <w:sz w:val="24"/>
          <w:szCs w:val="24"/>
          <w:lang w:val="ru-RU"/>
        </w:rPr>
        <w:t>из ГБ</w:t>
      </w:r>
      <w:r w:rsidR="00A3587B" w:rsidRPr="00A93937">
        <w:rPr>
          <w:rFonts w:asciiTheme="majorHAnsi" w:eastAsia="Times New Roman" w:hAnsiTheme="majorHAnsi" w:cstheme="majorHAnsi"/>
          <w:b/>
          <w:sz w:val="24"/>
          <w:szCs w:val="24"/>
          <w:lang w:val="ro-RO"/>
        </w:rPr>
        <w:t xml:space="preserve"> </w:t>
      </w:r>
      <w:r w:rsidR="00A93937" w:rsidRPr="00A93937">
        <w:rPr>
          <w:rFonts w:asciiTheme="majorHAnsi" w:eastAsia="Times New Roman" w:hAnsiTheme="majorHAnsi" w:cstheme="majorHAnsi"/>
          <w:b/>
          <w:sz w:val="24"/>
          <w:szCs w:val="24"/>
          <w:lang w:val="ro-RO"/>
        </w:rPr>
        <w:t xml:space="preserve">будут выплачены проценты на общую сумму 225,9 млн. леев. </w:t>
      </w:r>
    </w:p>
    <w:p w:rsidR="00D9349D" w:rsidRPr="00F55BA6" w:rsidRDefault="00390FD8" w:rsidP="00D9349D">
      <w:pPr>
        <w:spacing w:after="0" w:line="276" w:lineRule="auto"/>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u-RU"/>
        </w:rPr>
        <w:t>На обслуживание</w:t>
      </w:r>
      <w:r w:rsidR="00A93937" w:rsidRPr="00A93937">
        <w:rPr>
          <w:rFonts w:asciiTheme="majorHAnsi" w:eastAsia="Times New Roman" w:hAnsiTheme="majorHAnsi" w:cstheme="majorHAnsi"/>
          <w:sz w:val="24"/>
          <w:szCs w:val="24"/>
          <w:lang w:val="ro-RO"/>
        </w:rPr>
        <w:t xml:space="preserve"> внешнего государственного долга в 2020 году были </w:t>
      </w:r>
      <w:r w:rsidR="0066158B">
        <w:rPr>
          <w:rFonts w:asciiTheme="majorHAnsi" w:eastAsia="Times New Roman" w:hAnsiTheme="majorHAnsi" w:cstheme="majorHAnsi"/>
          <w:sz w:val="24"/>
          <w:szCs w:val="24"/>
          <w:lang w:val="ro-RO"/>
        </w:rPr>
        <w:t>исполнены</w:t>
      </w:r>
      <w:r w:rsidR="00A93937" w:rsidRPr="00A93937">
        <w:rPr>
          <w:rFonts w:asciiTheme="majorHAnsi" w:eastAsia="Times New Roman" w:hAnsiTheme="majorHAnsi" w:cstheme="majorHAnsi"/>
          <w:sz w:val="24"/>
          <w:szCs w:val="24"/>
          <w:lang w:val="ro-RO"/>
        </w:rPr>
        <w:t xml:space="preserve"> финансовые средства </w:t>
      </w:r>
      <w:r>
        <w:rPr>
          <w:rFonts w:asciiTheme="majorHAnsi" w:eastAsia="Times New Roman" w:hAnsiTheme="majorHAnsi" w:cstheme="majorHAnsi"/>
          <w:sz w:val="24"/>
          <w:szCs w:val="24"/>
          <w:lang w:val="ru-RU"/>
        </w:rPr>
        <w:t>из</w:t>
      </w:r>
      <w:r w:rsidR="00A93937" w:rsidRPr="00A93937">
        <w:rPr>
          <w:rFonts w:asciiTheme="majorHAnsi" w:eastAsia="Times New Roman" w:hAnsiTheme="majorHAnsi" w:cstheme="majorHAnsi"/>
          <w:sz w:val="24"/>
          <w:szCs w:val="24"/>
          <w:lang w:val="ro-RO"/>
        </w:rPr>
        <w:t xml:space="preserve"> </w:t>
      </w:r>
      <w:r w:rsidR="008F632D">
        <w:rPr>
          <w:rFonts w:asciiTheme="majorHAnsi" w:eastAsia="Times New Roman" w:hAnsiTheme="majorHAnsi" w:cstheme="majorHAnsi"/>
          <w:sz w:val="24"/>
          <w:szCs w:val="24"/>
          <w:lang w:val="ro-RO"/>
        </w:rPr>
        <w:t>ГБ</w:t>
      </w:r>
      <w:r w:rsidR="00A93937" w:rsidRPr="00A93937">
        <w:rPr>
          <w:rFonts w:asciiTheme="majorHAnsi" w:eastAsia="Times New Roman" w:hAnsiTheme="majorHAnsi" w:cstheme="majorHAnsi"/>
          <w:sz w:val="24"/>
          <w:szCs w:val="24"/>
          <w:lang w:val="ro-RO"/>
        </w:rPr>
        <w:t xml:space="preserve"> </w:t>
      </w:r>
      <w:r>
        <w:rPr>
          <w:rFonts w:asciiTheme="majorHAnsi" w:eastAsia="Times New Roman" w:hAnsiTheme="majorHAnsi" w:cstheme="majorHAnsi"/>
          <w:sz w:val="24"/>
          <w:szCs w:val="24"/>
          <w:lang w:val="ru-RU"/>
        </w:rPr>
        <w:t>в</w:t>
      </w:r>
      <w:r w:rsidR="00A93937" w:rsidRPr="00A93937">
        <w:rPr>
          <w:rFonts w:asciiTheme="majorHAnsi" w:eastAsia="Times New Roman" w:hAnsiTheme="majorHAnsi" w:cstheme="majorHAnsi"/>
          <w:sz w:val="24"/>
          <w:szCs w:val="24"/>
          <w:lang w:val="ro-RO"/>
        </w:rPr>
        <w:t xml:space="preserve"> сумм</w:t>
      </w:r>
      <w:r>
        <w:rPr>
          <w:rFonts w:asciiTheme="majorHAnsi" w:eastAsia="Times New Roman" w:hAnsiTheme="majorHAnsi" w:cstheme="majorHAnsi"/>
          <w:sz w:val="24"/>
          <w:szCs w:val="24"/>
          <w:lang w:val="ru-RU"/>
        </w:rPr>
        <w:t>е</w:t>
      </w:r>
      <w:r w:rsidR="00A93937" w:rsidRPr="00A93937">
        <w:rPr>
          <w:rFonts w:asciiTheme="majorHAnsi" w:eastAsia="Times New Roman" w:hAnsiTheme="majorHAnsi" w:cstheme="majorHAnsi"/>
          <w:sz w:val="24"/>
          <w:szCs w:val="24"/>
          <w:lang w:val="ro-RO"/>
        </w:rPr>
        <w:t xml:space="preserve"> 361,5 млн. леев, или 82,5% от </w:t>
      </w:r>
      <w:r w:rsidR="001D6EB0">
        <w:rPr>
          <w:rFonts w:asciiTheme="majorHAnsi" w:eastAsia="Times New Roman" w:hAnsiTheme="majorHAnsi" w:cstheme="majorHAnsi"/>
          <w:sz w:val="24"/>
          <w:szCs w:val="24"/>
          <w:lang w:val="ro-RO"/>
        </w:rPr>
        <w:t>уточне</w:t>
      </w:r>
      <w:r w:rsidR="00A93937" w:rsidRPr="00A93937">
        <w:rPr>
          <w:rFonts w:asciiTheme="majorHAnsi" w:eastAsia="Times New Roman" w:hAnsiTheme="majorHAnsi" w:cstheme="majorHAnsi"/>
          <w:sz w:val="24"/>
          <w:szCs w:val="24"/>
          <w:lang w:val="ro-RO"/>
        </w:rPr>
        <w:t xml:space="preserve">нной суммы </w:t>
      </w:r>
      <w:r>
        <w:rPr>
          <w:rFonts w:asciiTheme="majorHAnsi" w:eastAsia="Times New Roman" w:hAnsiTheme="majorHAnsi" w:cstheme="majorHAnsi"/>
          <w:sz w:val="24"/>
          <w:szCs w:val="24"/>
          <w:lang w:val="ru-RU"/>
        </w:rPr>
        <w:t>на</w:t>
      </w:r>
      <w:r w:rsidR="00A93937" w:rsidRPr="00A93937">
        <w:rPr>
          <w:rFonts w:asciiTheme="majorHAnsi" w:eastAsia="Times New Roman" w:hAnsiTheme="majorHAnsi" w:cstheme="majorHAnsi"/>
          <w:sz w:val="24"/>
          <w:szCs w:val="24"/>
          <w:lang w:val="ro-RO"/>
        </w:rPr>
        <w:t xml:space="preserve"> год, но на 50,6 млн. </w:t>
      </w:r>
      <w:r w:rsidR="00A93937" w:rsidRPr="00A93937">
        <w:rPr>
          <w:rFonts w:asciiTheme="majorHAnsi" w:eastAsia="Times New Roman" w:hAnsiTheme="majorHAnsi" w:cstheme="majorHAnsi"/>
          <w:sz w:val="24"/>
          <w:szCs w:val="24"/>
          <w:lang w:val="ro-RO"/>
        </w:rPr>
        <w:lastRenderedPageBreak/>
        <w:t>леев меньше по сравнению с 2019 годом. В то же время</w:t>
      </w:r>
      <w:r>
        <w:rPr>
          <w:rFonts w:asciiTheme="majorHAnsi" w:eastAsia="Times New Roman" w:hAnsiTheme="majorHAnsi" w:cstheme="majorHAnsi"/>
          <w:sz w:val="24"/>
          <w:szCs w:val="24"/>
          <w:lang w:val="ru-RU"/>
        </w:rPr>
        <w:t>, на обслуживание</w:t>
      </w:r>
      <w:r w:rsidR="00A93937" w:rsidRPr="00A93937">
        <w:rPr>
          <w:rFonts w:asciiTheme="majorHAnsi" w:eastAsia="Times New Roman" w:hAnsiTheme="majorHAnsi" w:cstheme="majorHAnsi"/>
          <w:sz w:val="24"/>
          <w:szCs w:val="24"/>
          <w:lang w:val="ro-RO"/>
        </w:rPr>
        <w:t xml:space="preserve"> внутреннего государственного долга в 2020 году были </w:t>
      </w:r>
      <w:r w:rsidR="0066158B">
        <w:rPr>
          <w:rFonts w:asciiTheme="majorHAnsi" w:eastAsia="Times New Roman" w:hAnsiTheme="majorHAnsi" w:cstheme="majorHAnsi"/>
          <w:sz w:val="24"/>
          <w:szCs w:val="24"/>
          <w:lang w:val="ro-RO"/>
        </w:rPr>
        <w:t>исполнены</w:t>
      </w:r>
      <w:r w:rsidR="00A93937" w:rsidRPr="00A93937">
        <w:rPr>
          <w:rFonts w:asciiTheme="majorHAnsi" w:eastAsia="Times New Roman" w:hAnsiTheme="majorHAnsi" w:cstheme="majorHAnsi"/>
          <w:sz w:val="24"/>
          <w:szCs w:val="24"/>
          <w:lang w:val="ro-RO"/>
        </w:rPr>
        <w:t xml:space="preserve"> финансовые средства </w:t>
      </w:r>
      <w:r>
        <w:rPr>
          <w:rFonts w:asciiTheme="majorHAnsi" w:eastAsia="Times New Roman" w:hAnsiTheme="majorHAnsi" w:cstheme="majorHAnsi"/>
          <w:sz w:val="24"/>
          <w:szCs w:val="24"/>
          <w:lang w:val="ru-RU"/>
        </w:rPr>
        <w:t>в</w:t>
      </w:r>
      <w:r w:rsidR="00A93937" w:rsidRPr="00A93937">
        <w:rPr>
          <w:rFonts w:asciiTheme="majorHAnsi" w:eastAsia="Times New Roman" w:hAnsiTheme="majorHAnsi" w:cstheme="majorHAnsi"/>
          <w:sz w:val="24"/>
          <w:szCs w:val="24"/>
          <w:lang w:val="ro-RO"/>
        </w:rPr>
        <w:t xml:space="preserve"> сумм</w:t>
      </w:r>
      <w:r>
        <w:rPr>
          <w:rFonts w:asciiTheme="majorHAnsi" w:eastAsia="Times New Roman" w:hAnsiTheme="majorHAnsi" w:cstheme="majorHAnsi"/>
          <w:sz w:val="24"/>
          <w:szCs w:val="24"/>
          <w:lang w:val="ru-RU"/>
        </w:rPr>
        <w:t>е</w:t>
      </w:r>
      <w:r w:rsidR="00A93937" w:rsidRPr="00A93937">
        <w:rPr>
          <w:rFonts w:asciiTheme="majorHAnsi" w:eastAsia="Times New Roman" w:hAnsiTheme="majorHAnsi" w:cstheme="majorHAnsi"/>
          <w:sz w:val="24"/>
          <w:szCs w:val="24"/>
          <w:lang w:val="ro-RO"/>
        </w:rPr>
        <w:t xml:space="preserve"> 1 322,7 млн. леев, или 99,6% от </w:t>
      </w:r>
      <w:r w:rsidR="001D6EB0">
        <w:rPr>
          <w:rFonts w:asciiTheme="majorHAnsi" w:eastAsia="Times New Roman" w:hAnsiTheme="majorHAnsi" w:cstheme="majorHAnsi"/>
          <w:sz w:val="24"/>
          <w:szCs w:val="24"/>
          <w:lang w:val="ro-RO"/>
        </w:rPr>
        <w:t>уточне</w:t>
      </w:r>
      <w:r w:rsidR="00A93937" w:rsidRPr="00A93937">
        <w:rPr>
          <w:rFonts w:asciiTheme="majorHAnsi" w:eastAsia="Times New Roman" w:hAnsiTheme="majorHAnsi" w:cstheme="majorHAnsi"/>
          <w:sz w:val="24"/>
          <w:szCs w:val="24"/>
          <w:lang w:val="ro-RO"/>
        </w:rPr>
        <w:t xml:space="preserve">нной суммы </w:t>
      </w:r>
      <w:r>
        <w:rPr>
          <w:rFonts w:asciiTheme="majorHAnsi" w:eastAsia="Times New Roman" w:hAnsiTheme="majorHAnsi" w:cstheme="majorHAnsi"/>
          <w:sz w:val="24"/>
          <w:szCs w:val="24"/>
          <w:lang w:val="ru-RU"/>
        </w:rPr>
        <w:t>на</w:t>
      </w:r>
      <w:r w:rsidR="00A93937" w:rsidRPr="00A93937">
        <w:rPr>
          <w:rFonts w:asciiTheme="majorHAnsi" w:eastAsia="Times New Roman" w:hAnsiTheme="majorHAnsi" w:cstheme="majorHAnsi"/>
          <w:sz w:val="24"/>
          <w:szCs w:val="24"/>
          <w:lang w:val="ro-RO"/>
        </w:rPr>
        <w:t xml:space="preserve"> год. Расходы на обслуживание внутреннего государственного долга увеличились на 115,3 млн. леев, или на 9,5% по сравнению с 2019 годом, </w:t>
      </w:r>
      <w:r>
        <w:rPr>
          <w:rFonts w:asciiTheme="majorHAnsi" w:eastAsia="Times New Roman" w:hAnsiTheme="majorHAnsi" w:cstheme="majorHAnsi"/>
          <w:sz w:val="24"/>
          <w:szCs w:val="24"/>
          <w:lang w:val="ru-RU"/>
        </w:rPr>
        <w:t xml:space="preserve">и </w:t>
      </w:r>
      <w:r w:rsidR="00A93937" w:rsidRPr="00A93937">
        <w:rPr>
          <w:rFonts w:asciiTheme="majorHAnsi" w:eastAsia="Times New Roman" w:hAnsiTheme="majorHAnsi" w:cstheme="majorHAnsi"/>
          <w:sz w:val="24"/>
          <w:szCs w:val="24"/>
          <w:lang w:val="ro-RO"/>
        </w:rPr>
        <w:t>это в значительной степени связано с обслуживанием бол</w:t>
      </w:r>
      <w:r>
        <w:rPr>
          <w:rFonts w:asciiTheme="majorHAnsi" w:eastAsia="Times New Roman" w:hAnsiTheme="majorHAnsi" w:cstheme="majorHAnsi"/>
          <w:sz w:val="24"/>
          <w:szCs w:val="24"/>
          <w:lang w:val="ru-RU"/>
        </w:rPr>
        <w:t>ее значительно</w:t>
      </w:r>
      <w:r w:rsidR="00A93937" w:rsidRPr="00A93937">
        <w:rPr>
          <w:rFonts w:asciiTheme="majorHAnsi" w:eastAsia="Times New Roman" w:hAnsiTheme="majorHAnsi" w:cstheme="majorHAnsi"/>
          <w:sz w:val="24"/>
          <w:szCs w:val="24"/>
          <w:lang w:val="ro-RO"/>
        </w:rPr>
        <w:t xml:space="preserve">го объема ГЦБ, выпущенных на первичном рынке в 2020 году, по сравнению с предыдущим годом. В течение 2020 года были </w:t>
      </w:r>
      <w:r w:rsidR="009822E6">
        <w:rPr>
          <w:rFonts w:asciiTheme="majorHAnsi" w:eastAsia="Times New Roman" w:hAnsiTheme="majorHAnsi" w:cstheme="majorHAnsi"/>
          <w:sz w:val="24"/>
          <w:szCs w:val="24"/>
          <w:lang w:val="ru-RU"/>
        </w:rPr>
        <w:t>о</w:t>
      </w:r>
      <w:r w:rsidR="00A93937" w:rsidRPr="00A93937">
        <w:rPr>
          <w:rFonts w:asciiTheme="majorHAnsi" w:eastAsia="Times New Roman" w:hAnsiTheme="majorHAnsi" w:cstheme="majorHAnsi"/>
          <w:sz w:val="24"/>
          <w:szCs w:val="24"/>
          <w:lang w:val="ro-RO"/>
        </w:rPr>
        <w:t xml:space="preserve">плачены проценты </w:t>
      </w:r>
      <w:r>
        <w:rPr>
          <w:rFonts w:asciiTheme="majorHAnsi" w:eastAsia="Times New Roman" w:hAnsiTheme="majorHAnsi" w:cstheme="majorHAnsi"/>
          <w:sz w:val="24"/>
          <w:szCs w:val="24"/>
          <w:lang w:val="ru-RU"/>
        </w:rPr>
        <w:t>по</w:t>
      </w:r>
      <w:r w:rsidR="00A93937" w:rsidRPr="00A93937">
        <w:rPr>
          <w:rFonts w:asciiTheme="majorHAnsi" w:eastAsia="Times New Roman" w:hAnsiTheme="majorHAnsi" w:cstheme="majorHAnsi"/>
          <w:sz w:val="24"/>
          <w:szCs w:val="24"/>
          <w:lang w:val="ro-RO"/>
        </w:rPr>
        <w:t xml:space="preserve"> ГЦБ, выпущенны</w:t>
      </w:r>
      <w:r>
        <w:rPr>
          <w:rFonts w:asciiTheme="majorHAnsi" w:eastAsia="Times New Roman" w:hAnsiTheme="majorHAnsi" w:cstheme="majorHAnsi"/>
          <w:sz w:val="24"/>
          <w:szCs w:val="24"/>
          <w:lang w:val="ru-RU"/>
        </w:rPr>
        <w:t>м</w:t>
      </w:r>
      <w:r w:rsidR="00A93937" w:rsidRPr="00A93937">
        <w:rPr>
          <w:rFonts w:asciiTheme="majorHAnsi" w:eastAsia="Times New Roman" w:hAnsiTheme="majorHAnsi" w:cstheme="majorHAnsi"/>
          <w:sz w:val="24"/>
          <w:szCs w:val="24"/>
          <w:lang w:val="ro-RO"/>
        </w:rPr>
        <w:t xml:space="preserve"> на первичном рынке на общую сумму 567,8 млн. леев, из которых 418,1 млн. леев </w:t>
      </w:r>
      <w:r>
        <w:rPr>
          <w:rFonts w:asciiTheme="majorHAnsi" w:eastAsia="Times New Roman" w:hAnsiTheme="majorHAnsi" w:cstheme="majorHAnsi"/>
          <w:sz w:val="24"/>
          <w:szCs w:val="24"/>
          <w:lang w:val="ru-RU"/>
        </w:rPr>
        <w:t>по</w:t>
      </w:r>
      <w:r w:rsidR="00A93937" w:rsidRPr="00A93937">
        <w:rPr>
          <w:rFonts w:asciiTheme="majorHAnsi" w:eastAsia="Times New Roman" w:hAnsiTheme="majorHAnsi" w:cstheme="majorHAnsi"/>
          <w:sz w:val="24"/>
          <w:szCs w:val="24"/>
          <w:lang w:val="ro-RO"/>
        </w:rPr>
        <w:t xml:space="preserve"> казначейски</w:t>
      </w:r>
      <w:r>
        <w:rPr>
          <w:rFonts w:asciiTheme="majorHAnsi" w:eastAsia="Times New Roman" w:hAnsiTheme="majorHAnsi" w:cstheme="majorHAnsi"/>
          <w:sz w:val="24"/>
          <w:szCs w:val="24"/>
          <w:lang w:val="ru-RU"/>
        </w:rPr>
        <w:t>м</w:t>
      </w:r>
      <w:r w:rsidR="00A93937" w:rsidRPr="00A93937">
        <w:rPr>
          <w:rFonts w:asciiTheme="majorHAnsi" w:eastAsia="Times New Roman" w:hAnsiTheme="majorHAnsi" w:cstheme="majorHAnsi"/>
          <w:sz w:val="24"/>
          <w:szCs w:val="24"/>
          <w:lang w:val="ro-RO"/>
        </w:rPr>
        <w:t xml:space="preserve"> в</w:t>
      </w:r>
      <w:r>
        <w:rPr>
          <w:rFonts w:asciiTheme="majorHAnsi" w:eastAsia="Times New Roman" w:hAnsiTheme="majorHAnsi" w:cstheme="majorHAnsi"/>
          <w:sz w:val="24"/>
          <w:szCs w:val="24"/>
          <w:lang w:val="ru-RU"/>
        </w:rPr>
        <w:t>екселям</w:t>
      </w:r>
      <w:r w:rsidR="00A93937" w:rsidRPr="00A93937">
        <w:rPr>
          <w:rFonts w:asciiTheme="majorHAnsi" w:eastAsia="Times New Roman" w:hAnsiTheme="majorHAnsi" w:cstheme="majorHAnsi"/>
          <w:sz w:val="24"/>
          <w:szCs w:val="24"/>
          <w:lang w:val="ro-RO"/>
        </w:rPr>
        <w:t xml:space="preserve"> и 149,7 млн. леев </w:t>
      </w:r>
      <w:r>
        <w:rPr>
          <w:rFonts w:asciiTheme="majorHAnsi" w:eastAsia="Times New Roman" w:hAnsiTheme="majorHAnsi" w:cstheme="majorHAnsi"/>
          <w:sz w:val="24"/>
          <w:szCs w:val="24"/>
          <w:lang w:val="ru-RU"/>
        </w:rPr>
        <w:t>по</w:t>
      </w:r>
      <w:r w:rsidR="00A93937" w:rsidRPr="00A93937">
        <w:rPr>
          <w:rFonts w:asciiTheme="majorHAnsi" w:eastAsia="Times New Roman" w:hAnsiTheme="majorHAnsi" w:cstheme="majorHAnsi"/>
          <w:sz w:val="24"/>
          <w:szCs w:val="24"/>
          <w:lang w:val="ro-RO"/>
        </w:rPr>
        <w:t xml:space="preserve"> государственны</w:t>
      </w:r>
      <w:r>
        <w:rPr>
          <w:rFonts w:asciiTheme="majorHAnsi" w:eastAsia="Times New Roman" w:hAnsiTheme="majorHAnsi" w:cstheme="majorHAnsi"/>
          <w:sz w:val="24"/>
          <w:szCs w:val="24"/>
          <w:lang w:val="ru-RU"/>
        </w:rPr>
        <w:t>м</w:t>
      </w:r>
      <w:r w:rsidR="00A93937" w:rsidRPr="00A93937">
        <w:rPr>
          <w:rFonts w:asciiTheme="majorHAnsi" w:eastAsia="Times New Roman" w:hAnsiTheme="majorHAnsi" w:cstheme="majorHAnsi"/>
          <w:sz w:val="24"/>
          <w:szCs w:val="24"/>
          <w:lang w:val="ro-RO"/>
        </w:rPr>
        <w:t xml:space="preserve"> облигаци</w:t>
      </w:r>
      <w:r>
        <w:rPr>
          <w:rFonts w:asciiTheme="majorHAnsi" w:eastAsia="Times New Roman" w:hAnsiTheme="majorHAnsi" w:cstheme="majorHAnsi"/>
          <w:sz w:val="24"/>
          <w:szCs w:val="24"/>
          <w:lang w:val="ru-RU"/>
        </w:rPr>
        <w:t>ям</w:t>
      </w:r>
      <w:r w:rsidR="00A93937" w:rsidRPr="00A93937">
        <w:rPr>
          <w:rFonts w:asciiTheme="majorHAnsi" w:eastAsia="Times New Roman" w:hAnsiTheme="majorHAnsi" w:cstheme="majorHAnsi"/>
          <w:sz w:val="24"/>
          <w:szCs w:val="24"/>
          <w:lang w:val="ro-RO"/>
        </w:rPr>
        <w:t>. Срок обращения ГЦБ составляет 91, 182 и 364 дня для казначейских векселей и от 1 года до 5 лет для государственных облигаций.</w:t>
      </w:r>
    </w:p>
    <w:p w:rsidR="00D9349D" w:rsidRPr="00A93937" w:rsidRDefault="00A93937" w:rsidP="00D9349D">
      <w:pPr>
        <w:spacing w:after="0" w:line="276" w:lineRule="auto"/>
        <w:rPr>
          <w:rFonts w:asciiTheme="majorHAnsi" w:eastAsia="Times New Roman" w:hAnsiTheme="majorHAnsi" w:cstheme="majorHAnsi"/>
          <w:sz w:val="24"/>
          <w:szCs w:val="24"/>
          <w:lang w:val="ro-RO"/>
        </w:rPr>
      </w:pPr>
      <w:r w:rsidRPr="00A93937">
        <w:rPr>
          <w:rFonts w:asciiTheme="majorHAnsi" w:eastAsia="Times New Roman" w:hAnsiTheme="majorHAnsi" w:cstheme="majorHAnsi"/>
          <w:sz w:val="24"/>
          <w:szCs w:val="24"/>
          <w:lang w:val="ro-RO"/>
        </w:rPr>
        <w:t>В 2020 году были вы</w:t>
      </w:r>
      <w:r w:rsidR="00390FD8">
        <w:rPr>
          <w:rFonts w:asciiTheme="majorHAnsi" w:eastAsia="Times New Roman" w:hAnsiTheme="majorHAnsi" w:cstheme="majorHAnsi"/>
          <w:sz w:val="24"/>
          <w:szCs w:val="24"/>
          <w:lang w:val="ru-RU"/>
        </w:rPr>
        <w:t>пуще</w:t>
      </w:r>
      <w:r w:rsidRPr="00A93937">
        <w:rPr>
          <w:rFonts w:asciiTheme="majorHAnsi" w:eastAsia="Times New Roman" w:hAnsiTheme="majorHAnsi" w:cstheme="majorHAnsi"/>
          <w:sz w:val="24"/>
          <w:szCs w:val="24"/>
          <w:lang w:val="ro-RO"/>
        </w:rPr>
        <w:t xml:space="preserve">ны казначейские </w:t>
      </w:r>
      <w:r w:rsidR="00390FD8">
        <w:rPr>
          <w:rFonts w:asciiTheme="majorHAnsi" w:eastAsia="Times New Roman" w:hAnsiTheme="majorHAnsi" w:cstheme="majorHAnsi"/>
          <w:sz w:val="24"/>
          <w:szCs w:val="24"/>
          <w:lang w:val="ru-RU"/>
        </w:rPr>
        <w:t>век</w:t>
      </w:r>
      <w:r w:rsidR="008501A5">
        <w:rPr>
          <w:rFonts w:asciiTheme="majorHAnsi" w:eastAsia="Times New Roman" w:hAnsiTheme="majorHAnsi" w:cstheme="majorHAnsi"/>
          <w:sz w:val="24"/>
          <w:szCs w:val="24"/>
          <w:lang w:val="ru-RU"/>
        </w:rPr>
        <w:t>с</w:t>
      </w:r>
      <w:bookmarkStart w:id="2" w:name="_GoBack"/>
      <w:bookmarkEnd w:id="2"/>
      <w:r w:rsidR="00390FD8">
        <w:rPr>
          <w:rFonts w:asciiTheme="majorHAnsi" w:eastAsia="Times New Roman" w:hAnsiTheme="majorHAnsi" w:cstheme="majorHAnsi"/>
          <w:sz w:val="24"/>
          <w:szCs w:val="24"/>
          <w:lang w:val="ru-RU"/>
        </w:rPr>
        <w:t>еля</w:t>
      </w:r>
      <w:r w:rsidRPr="00A93937">
        <w:rPr>
          <w:rFonts w:asciiTheme="majorHAnsi" w:eastAsia="Times New Roman" w:hAnsiTheme="majorHAnsi" w:cstheme="majorHAnsi"/>
          <w:sz w:val="24"/>
          <w:szCs w:val="24"/>
          <w:lang w:val="ro-RO"/>
        </w:rPr>
        <w:t xml:space="preserve"> на общую сумму 16 316,9 млн. леев </w:t>
      </w:r>
      <w:r w:rsidR="005E38A0">
        <w:rPr>
          <w:rFonts w:asciiTheme="majorHAnsi" w:eastAsia="Times New Roman" w:hAnsiTheme="majorHAnsi" w:cstheme="majorHAnsi"/>
          <w:sz w:val="24"/>
          <w:szCs w:val="24"/>
          <w:lang w:val="ru-RU"/>
        </w:rPr>
        <w:t xml:space="preserve">и </w:t>
      </w:r>
      <w:r w:rsidR="009822E6">
        <w:rPr>
          <w:rFonts w:asciiTheme="majorHAnsi" w:eastAsia="Times New Roman" w:hAnsiTheme="majorHAnsi" w:cstheme="majorHAnsi"/>
          <w:sz w:val="24"/>
          <w:szCs w:val="24"/>
          <w:lang w:val="ru-RU"/>
        </w:rPr>
        <w:t>о</w:t>
      </w:r>
      <w:r w:rsidRPr="00A93937">
        <w:rPr>
          <w:rFonts w:asciiTheme="majorHAnsi" w:eastAsia="Times New Roman" w:hAnsiTheme="majorHAnsi" w:cstheme="majorHAnsi"/>
          <w:sz w:val="24"/>
          <w:szCs w:val="24"/>
          <w:lang w:val="ro-RO"/>
        </w:rPr>
        <w:t>плач</w:t>
      </w:r>
      <w:r w:rsidR="005E38A0">
        <w:rPr>
          <w:rFonts w:asciiTheme="majorHAnsi" w:eastAsia="Times New Roman" w:hAnsiTheme="majorHAnsi" w:cstheme="majorHAnsi"/>
          <w:sz w:val="24"/>
          <w:szCs w:val="24"/>
          <w:lang w:val="ru-RU"/>
        </w:rPr>
        <w:t>ены</w:t>
      </w:r>
      <w:r w:rsidRPr="00A93937">
        <w:rPr>
          <w:rFonts w:asciiTheme="majorHAnsi" w:eastAsia="Times New Roman" w:hAnsiTheme="majorHAnsi" w:cstheme="majorHAnsi"/>
          <w:sz w:val="24"/>
          <w:szCs w:val="24"/>
          <w:lang w:val="ro-RO"/>
        </w:rPr>
        <w:t xml:space="preserve"> проценты </w:t>
      </w:r>
      <w:r w:rsidR="005E38A0">
        <w:rPr>
          <w:rFonts w:asciiTheme="majorHAnsi" w:eastAsia="Times New Roman" w:hAnsiTheme="majorHAnsi" w:cstheme="majorHAnsi"/>
          <w:sz w:val="24"/>
          <w:szCs w:val="24"/>
          <w:lang w:val="ru-RU"/>
        </w:rPr>
        <w:t>из</w:t>
      </w:r>
      <w:r w:rsidRPr="00A93937">
        <w:rPr>
          <w:rFonts w:asciiTheme="majorHAnsi" w:eastAsia="Times New Roman" w:hAnsiTheme="majorHAnsi" w:cstheme="majorHAnsi"/>
          <w:sz w:val="24"/>
          <w:szCs w:val="24"/>
          <w:lang w:val="ro-RO"/>
        </w:rPr>
        <w:t xml:space="preserve"> </w:t>
      </w:r>
      <w:r w:rsidR="008F632D">
        <w:rPr>
          <w:rFonts w:asciiTheme="majorHAnsi" w:eastAsia="Times New Roman" w:hAnsiTheme="majorHAnsi" w:cstheme="majorHAnsi"/>
          <w:sz w:val="24"/>
          <w:szCs w:val="24"/>
          <w:lang w:val="ro-RO"/>
        </w:rPr>
        <w:t>ГБ</w:t>
      </w:r>
      <w:r w:rsidRPr="00A93937">
        <w:rPr>
          <w:rFonts w:asciiTheme="majorHAnsi" w:eastAsia="Times New Roman" w:hAnsiTheme="majorHAnsi" w:cstheme="majorHAnsi"/>
          <w:sz w:val="24"/>
          <w:szCs w:val="24"/>
          <w:lang w:val="ro-RO"/>
        </w:rPr>
        <w:t xml:space="preserve"> на общую сумму 419,5 млн. леев, из которых 102,4 млн. леев </w:t>
      </w:r>
      <w:r w:rsidR="009822E6">
        <w:rPr>
          <w:rFonts w:asciiTheme="majorHAnsi" w:eastAsia="Times New Roman" w:hAnsiTheme="majorHAnsi" w:cstheme="majorHAnsi"/>
          <w:sz w:val="24"/>
          <w:szCs w:val="24"/>
          <w:lang w:val="ru-RU"/>
        </w:rPr>
        <w:t>по</w:t>
      </w:r>
      <w:r w:rsidRPr="00A93937">
        <w:rPr>
          <w:rFonts w:asciiTheme="majorHAnsi" w:eastAsia="Times New Roman" w:hAnsiTheme="majorHAnsi" w:cstheme="majorHAnsi"/>
          <w:sz w:val="24"/>
          <w:szCs w:val="24"/>
          <w:lang w:val="ro-RO"/>
        </w:rPr>
        <w:t xml:space="preserve"> казначейски</w:t>
      </w:r>
      <w:r w:rsidR="009822E6">
        <w:rPr>
          <w:rFonts w:asciiTheme="majorHAnsi" w:eastAsia="Times New Roman" w:hAnsiTheme="majorHAnsi" w:cstheme="majorHAnsi"/>
          <w:sz w:val="24"/>
          <w:szCs w:val="24"/>
          <w:lang w:val="ru-RU"/>
        </w:rPr>
        <w:t>м</w:t>
      </w:r>
      <w:r w:rsidRPr="00A93937">
        <w:rPr>
          <w:rFonts w:asciiTheme="majorHAnsi" w:eastAsia="Times New Roman" w:hAnsiTheme="majorHAnsi" w:cstheme="majorHAnsi"/>
          <w:sz w:val="24"/>
          <w:szCs w:val="24"/>
          <w:lang w:val="ro-RO"/>
        </w:rPr>
        <w:t xml:space="preserve"> в</w:t>
      </w:r>
      <w:r w:rsidR="00390FD8">
        <w:rPr>
          <w:rFonts w:asciiTheme="majorHAnsi" w:eastAsia="Times New Roman" w:hAnsiTheme="majorHAnsi" w:cstheme="majorHAnsi"/>
          <w:sz w:val="24"/>
          <w:szCs w:val="24"/>
          <w:lang w:val="ru-RU"/>
        </w:rPr>
        <w:t>екселя</w:t>
      </w:r>
      <w:r w:rsidR="009822E6">
        <w:rPr>
          <w:rFonts w:asciiTheme="majorHAnsi" w:eastAsia="Times New Roman" w:hAnsiTheme="majorHAnsi" w:cstheme="majorHAnsi"/>
          <w:sz w:val="24"/>
          <w:szCs w:val="24"/>
          <w:lang w:val="ru-RU"/>
        </w:rPr>
        <w:t>м</w:t>
      </w:r>
      <w:r w:rsidRPr="00A93937">
        <w:rPr>
          <w:rFonts w:asciiTheme="majorHAnsi" w:eastAsia="Times New Roman" w:hAnsiTheme="majorHAnsi" w:cstheme="majorHAnsi"/>
          <w:sz w:val="24"/>
          <w:szCs w:val="24"/>
          <w:lang w:val="ro-RO"/>
        </w:rPr>
        <w:t>, выпущенны</w:t>
      </w:r>
      <w:r w:rsidR="009822E6">
        <w:rPr>
          <w:rFonts w:asciiTheme="majorHAnsi" w:eastAsia="Times New Roman" w:hAnsiTheme="majorHAnsi" w:cstheme="majorHAnsi"/>
          <w:sz w:val="24"/>
          <w:szCs w:val="24"/>
          <w:lang w:val="ru-RU"/>
        </w:rPr>
        <w:t>м</w:t>
      </w:r>
      <w:r w:rsidRPr="00A93937">
        <w:rPr>
          <w:rFonts w:asciiTheme="majorHAnsi" w:eastAsia="Times New Roman" w:hAnsiTheme="majorHAnsi" w:cstheme="majorHAnsi"/>
          <w:sz w:val="24"/>
          <w:szCs w:val="24"/>
          <w:lang w:val="ro-RO"/>
        </w:rPr>
        <w:t xml:space="preserve"> в 2020 году и с</w:t>
      </w:r>
      <w:r w:rsidR="009822E6">
        <w:rPr>
          <w:rFonts w:asciiTheme="majorHAnsi" w:eastAsia="Times New Roman" w:hAnsiTheme="majorHAnsi" w:cstheme="majorHAnsi"/>
          <w:sz w:val="24"/>
          <w:szCs w:val="24"/>
          <w:lang w:val="ru-RU"/>
        </w:rPr>
        <w:t>о</w:t>
      </w:r>
      <w:r w:rsidRPr="00A93937">
        <w:rPr>
          <w:rFonts w:asciiTheme="majorHAnsi" w:eastAsia="Times New Roman" w:hAnsiTheme="majorHAnsi" w:cstheme="majorHAnsi"/>
          <w:sz w:val="24"/>
          <w:szCs w:val="24"/>
          <w:lang w:val="ro-RO"/>
        </w:rPr>
        <w:t xml:space="preserve"> сроком </w:t>
      </w:r>
      <w:r w:rsidR="009822E6">
        <w:rPr>
          <w:rFonts w:asciiTheme="majorHAnsi" w:eastAsia="Times New Roman" w:hAnsiTheme="majorHAnsi" w:cstheme="majorHAnsi"/>
          <w:sz w:val="24"/>
          <w:szCs w:val="24"/>
          <w:lang w:val="ru-RU"/>
        </w:rPr>
        <w:t>погашения</w:t>
      </w:r>
      <w:r w:rsidRPr="00A93937">
        <w:rPr>
          <w:rFonts w:asciiTheme="majorHAnsi" w:eastAsia="Times New Roman" w:hAnsiTheme="majorHAnsi" w:cstheme="majorHAnsi"/>
          <w:sz w:val="24"/>
          <w:szCs w:val="24"/>
          <w:lang w:val="ro-RO"/>
        </w:rPr>
        <w:t xml:space="preserve"> в текущем году</w:t>
      </w:r>
      <w:r w:rsidR="009822E6">
        <w:rPr>
          <w:rFonts w:asciiTheme="majorHAnsi" w:eastAsia="Times New Roman" w:hAnsiTheme="majorHAnsi" w:cstheme="majorHAnsi"/>
          <w:sz w:val="24"/>
          <w:szCs w:val="24"/>
          <w:lang w:val="ru-RU"/>
        </w:rPr>
        <w:t>,</w:t>
      </w:r>
      <w:r w:rsidRPr="00A93937">
        <w:rPr>
          <w:rFonts w:asciiTheme="majorHAnsi" w:eastAsia="Times New Roman" w:hAnsiTheme="majorHAnsi" w:cstheme="majorHAnsi"/>
          <w:sz w:val="24"/>
          <w:szCs w:val="24"/>
          <w:lang w:val="ro-RO"/>
        </w:rPr>
        <w:t xml:space="preserve"> и 317,1 млн. леев за </w:t>
      </w:r>
      <w:r w:rsidR="009822E6">
        <w:rPr>
          <w:rFonts w:asciiTheme="majorHAnsi" w:eastAsia="Times New Roman" w:hAnsiTheme="majorHAnsi" w:cstheme="majorHAnsi"/>
          <w:sz w:val="24"/>
          <w:szCs w:val="24"/>
          <w:lang w:val="ru-RU"/>
        </w:rPr>
        <w:t>КВ</w:t>
      </w:r>
      <w:r w:rsidRPr="00A93937">
        <w:rPr>
          <w:rFonts w:asciiTheme="majorHAnsi" w:eastAsia="Times New Roman" w:hAnsiTheme="majorHAnsi" w:cstheme="majorHAnsi"/>
          <w:sz w:val="24"/>
          <w:szCs w:val="24"/>
          <w:lang w:val="ro-RO"/>
        </w:rPr>
        <w:t xml:space="preserve">, выпущенные в предыдущем году. </w:t>
      </w:r>
      <w:r w:rsidR="009822E6">
        <w:rPr>
          <w:rFonts w:asciiTheme="majorHAnsi" w:eastAsia="Times New Roman" w:hAnsiTheme="majorHAnsi" w:cstheme="majorHAnsi"/>
          <w:sz w:val="24"/>
          <w:szCs w:val="24"/>
          <w:lang w:val="ru-RU"/>
        </w:rPr>
        <w:t>Одновременно</w:t>
      </w:r>
      <w:r w:rsidRPr="00A93937">
        <w:rPr>
          <w:rFonts w:asciiTheme="majorHAnsi" w:eastAsia="Times New Roman" w:hAnsiTheme="majorHAnsi" w:cstheme="majorHAnsi"/>
          <w:sz w:val="24"/>
          <w:szCs w:val="24"/>
          <w:lang w:val="ro-RO"/>
        </w:rPr>
        <w:t>, были сокращены расходы на обслуживание внутреннего государственного долга в 2020 году на 1,4 млн. леев из доходов, полученных от размещения государственных ценных бумаг в сумме, превышающей их номинальную стоимость</w:t>
      </w:r>
      <w:r w:rsidR="009822E6">
        <w:rPr>
          <w:rFonts w:asciiTheme="majorHAnsi" w:eastAsia="Times New Roman" w:hAnsiTheme="majorHAnsi" w:cstheme="majorHAnsi"/>
          <w:sz w:val="24"/>
          <w:szCs w:val="24"/>
          <w:lang w:val="ru-RU"/>
        </w:rPr>
        <w:t>,</w:t>
      </w:r>
      <w:r w:rsidRPr="00A93937">
        <w:rPr>
          <w:rFonts w:asciiTheme="majorHAnsi" w:eastAsia="Times New Roman" w:hAnsiTheme="majorHAnsi" w:cstheme="majorHAnsi"/>
          <w:sz w:val="24"/>
          <w:szCs w:val="24"/>
          <w:lang w:val="ro-RO"/>
        </w:rPr>
        <w:t xml:space="preserve"> в соответствии со ст.19 (4) Закона</w:t>
      </w:r>
      <w:r w:rsidR="009822E6">
        <w:rPr>
          <w:rFonts w:asciiTheme="majorHAnsi" w:eastAsia="Times New Roman" w:hAnsiTheme="majorHAnsi" w:cstheme="majorHAnsi"/>
          <w:sz w:val="24"/>
          <w:szCs w:val="24"/>
          <w:lang w:val="ru-RU"/>
        </w:rPr>
        <w:t xml:space="preserve"> </w:t>
      </w:r>
      <w:r w:rsidRPr="00A93937">
        <w:rPr>
          <w:rFonts w:asciiTheme="majorHAnsi" w:eastAsia="Times New Roman" w:hAnsiTheme="majorHAnsi" w:cstheme="majorHAnsi"/>
          <w:sz w:val="24"/>
          <w:szCs w:val="24"/>
          <w:lang w:val="ro-RO"/>
        </w:rPr>
        <w:t>№419 от 22.12.2006</w:t>
      </w:r>
      <w:r w:rsidR="009822E6" w:rsidRPr="00A93937">
        <w:rPr>
          <w:rFonts w:asciiTheme="majorHAnsi" w:eastAsia="Times New Roman" w:hAnsiTheme="majorHAnsi" w:cstheme="majorHAnsi"/>
          <w:sz w:val="24"/>
          <w:szCs w:val="24"/>
          <w:vertAlign w:val="superscript"/>
          <w:lang w:val="ro-RO"/>
        </w:rPr>
        <w:footnoteReference w:id="95"/>
      </w:r>
      <w:r w:rsidRPr="00A93937">
        <w:rPr>
          <w:rFonts w:asciiTheme="majorHAnsi" w:eastAsia="Times New Roman" w:hAnsiTheme="majorHAnsi" w:cstheme="majorHAnsi"/>
          <w:sz w:val="24"/>
          <w:szCs w:val="24"/>
          <w:lang w:val="ro-RO"/>
        </w:rPr>
        <w:t xml:space="preserve">, таким образом, </w:t>
      </w:r>
      <w:r w:rsidR="009822E6">
        <w:rPr>
          <w:rFonts w:asciiTheme="majorHAnsi" w:eastAsia="Times New Roman" w:hAnsiTheme="majorHAnsi" w:cstheme="majorHAnsi"/>
          <w:sz w:val="24"/>
          <w:szCs w:val="24"/>
          <w:lang w:val="ru-RU"/>
        </w:rPr>
        <w:t>о</w:t>
      </w:r>
      <w:r w:rsidRPr="00A93937">
        <w:rPr>
          <w:rFonts w:asciiTheme="majorHAnsi" w:eastAsia="Times New Roman" w:hAnsiTheme="majorHAnsi" w:cstheme="majorHAnsi"/>
          <w:sz w:val="24"/>
          <w:szCs w:val="24"/>
          <w:lang w:val="ro-RO"/>
        </w:rPr>
        <w:t xml:space="preserve">плаченные </w:t>
      </w:r>
      <w:r w:rsidR="009822E6">
        <w:rPr>
          <w:rFonts w:asciiTheme="majorHAnsi" w:eastAsia="Times New Roman" w:hAnsiTheme="majorHAnsi" w:cstheme="majorHAnsi"/>
          <w:sz w:val="24"/>
          <w:szCs w:val="24"/>
          <w:lang w:val="ru-RU"/>
        </w:rPr>
        <w:t>из</w:t>
      </w:r>
      <w:r w:rsidRPr="00A93937">
        <w:rPr>
          <w:rFonts w:asciiTheme="majorHAnsi" w:eastAsia="Times New Roman" w:hAnsiTheme="majorHAnsi" w:cstheme="majorHAnsi"/>
          <w:sz w:val="24"/>
          <w:szCs w:val="24"/>
          <w:lang w:val="ro-RO"/>
        </w:rPr>
        <w:t xml:space="preserve"> </w:t>
      </w:r>
      <w:r w:rsidR="008F632D">
        <w:rPr>
          <w:rFonts w:asciiTheme="majorHAnsi" w:eastAsia="Times New Roman" w:hAnsiTheme="majorHAnsi" w:cstheme="majorHAnsi"/>
          <w:sz w:val="24"/>
          <w:szCs w:val="24"/>
          <w:lang w:val="ro-RO"/>
        </w:rPr>
        <w:t>ГБ</w:t>
      </w:r>
      <w:r w:rsidR="009822E6" w:rsidRPr="009822E6">
        <w:rPr>
          <w:rFonts w:asciiTheme="majorHAnsi" w:eastAsia="Times New Roman" w:hAnsiTheme="majorHAnsi" w:cstheme="majorHAnsi"/>
          <w:sz w:val="24"/>
          <w:szCs w:val="24"/>
          <w:lang w:val="ro-RO"/>
        </w:rPr>
        <w:t xml:space="preserve"> </w:t>
      </w:r>
      <w:r w:rsidR="009822E6" w:rsidRPr="00A93937">
        <w:rPr>
          <w:rFonts w:asciiTheme="majorHAnsi" w:eastAsia="Times New Roman" w:hAnsiTheme="majorHAnsi" w:cstheme="majorHAnsi"/>
          <w:sz w:val="24"/>
          <w:szCs w:val="24"/>
          <w:lang w:val="ro-RO"/>
        </w:rPr>
        <w:t>проценты</w:t>
      </w:r>
      <w:r w:rsidRPr="00A93937">
        <w:rPr>
          <w:rFonts w:asciiTheme="majorHAnsi" w:eastAsia="Times New Roman" w:hAnsiTheme="majorHAnsi" w:cstheme="majorHAnsi"/>
          <w:sz w:val="24"/>
          <w:szCs w:val="24"/>
          <w:lang w:val="ro-RO"/>
        </w:rPr>
        <w:t xml:space="preserve"> состав</w:t>
      </w:r>
      <w:r w:rsidR="009822E6">
        <w:rPr>
          <w:rFonts w:asciiTheme="majorHAnsi" w:eastAsia="Times New Roman" w:hAnsiTheme="majorHAnsi" w:cstheme="majorHAnsi"/>
          <w:sz w:val="24"/>
          <w:szCs w:val="24"/>
          <w:lang w:val="ru-RU"/>
        </w:rPr>
        <w:t>или</w:t>
      </w:r>
      <w:r w:rsidRPr="00A93937">
        <w:rPr>
          <w:rFonts w:asciiTheme="majorHAnsi" w:eastAsia="Times New Roman" w:hAnsiTheme="majorHAnsi" w:cstheme="majorHAnsi"/>
          <w:sz w:val="24"/>
          <w:szCs w:val="24"/>
          <w:lang w:val="ro-RO"/>
        </w:rPr>
        <w:t xml:space="preserve"> 418,1 млн. </w:t>
      </w:r>
      <w:r w:rsidR="009822E6">
        <w:rPr>
          <w:rFonts w:asciiTheme="majorHAnsi" w:eastAsia="Times New Roman" w:hAnsiTheme="majorHAnsi" w:cstheme="majorHAnsi"/>
          <w:sz w:val="24"/>
          <w:szCs w:val="24"/>
          <w:lang w:val="ru-RU"/>
        </w:rPr>
        <w:t>л</w:t>
      </w:r>
      <w:r w:rsidR="0025764C">
        <w:rPr>
          <w:rFonts w:asciiTheme="majorHAnsi" w:eastAsia="Times New Roman" w:hAnsiTheme="majorHAnsi" w:cstheme="majorHAnsi"/>
          <w:sz w:val="24"/>
          <w:szCs w:val="24"/>
          <w:lang w:val="ro-RO"/>
        </w:rPr>
        <w:t>еев</w:t>
      </w:r>
      <w:r w:rsidRPr="00A93937">
        <w:rPr>
          <w:rFonts w:asciiTheme="majorHAnsi" w:eastAsia="Times New Roman" w:hAnsiTheme="majorHAnsi" w:cstheme="majorHAnsi"/>
          <w:sz w:val="24"/>
          <w:szCs w:val="24"/>
          <w:lang w:val="ro-RO"/>
        </w:rPr>
        <w:t>.</w:t>
      </w:r>
      <w:r w:rsidRPr="009822E6">
        <w:rPr>
          <w:rFonts w:asciiTheme="majorHAnsi" w:eastAsia="Times New Roman" w:hAnsiTheme="majorHAnsi" w:cstheme="majorHAnsi"/>
          <w:sz w:val="24"/>
          <w:szCs w:val="24"/>
          <w:lang w:val="ru-RU"/>
        </w:rPr>
        <w:t xml:space="preserve"> </w:t>
      </w:r>
    </w:p>
    <w:p w:rsidR="006F53B7" w:rsidRDefault="00A93937" w:rsidP="00854848">
      <w:pPr>
        <w:spacing w:after="0" w:line="276" w:lineRule="auto"/>
        <w:rPr>
          <w:rFonts w:asciiTheme="majorHAnsi" w:eastAsia="Times New Roman" w:hAnsiTheme="majorHAnsi" w:cstheme="majorHAnsi"/>
          <w:sz w:val="24"/>
          <w:szCs w:val="24"/>
          <w:lang w:val="ro-RO"/>
        </w:rPr>
      </w:pPr>
      <w:r w:rsidRPr="00A93937">
        <w:rPr>
          <w:rFonts w:asciiTheme="majorHAnsi" w:eastAsia="Times New Roman" w:hAnsiTheme="majorHAnsi" w:cstheme="majorHAnsi"/>
          <w:sz w:val="24"/>
          <w:szCs w:val="24"/>
          <w:lang w:val="ro-RO"/>
        </w:rPr>
        <w:t xml:space="preserve">В 2020 году были выпущены государственные облигации на общую сумму 1 154,4 млн. леев, </w:t>
      </w:r>
      <w:r w:rsidR="005E38A0">
        <w:rPr>
          <w:rFonts w:asciiTheme="majorHAnsi" w:eastAsia="Times New Roman" w:hAnsiTheme="majorHAnsi" w:cstheme="majorHAnsi"/>
          <w:sz w:val="24"/>
          <w:szCs w:val="24"/>
          <w:lang w:val="ru-RU"/>
        </w:rPr>
        <w:t>по</w:t>
      </w:r>
      <w:r w:rsidRPr="00A93937">
        <w:rPr>
          <w:rFonts w:asciiTheme="majorHAnsi" w:eastAsia="Times New Roman" w:hAnsiTheme="majorHAnsi" w:cstheme="majorHAnsi"/>
          <w:sz w:val="24"/>
          <w:szCs w:val="24"/>
          <w:lang w:val="ro-RO"/>
        </w:rPr>
        <w:t xml:space="preserve"> которы</w:t>
      </w:r>
      <w:r w:rsidR="005E38A0">
        <w:rPr>
          <w:rFonts w:asciiTheme="majorHAnsi" w:eastAsia="Times New Roman" w:hAnsiTheme="majorHAnsi" w:cstheme="majorHAnsi"/>
          <w:sz w:val="24"/>
          <w:szCs w:val="24"/>
          <w:lang w:val="ru-RU"/>
        </w:rPr>
        <w:t>м</w:t>
      </w:r>
      <w:r w:rsidRPr="00A93937">
        <w:rPr>
          <w:rFonts w:asciiTheme="majorHAnsi" w:eastAsia="Times New Roman" w:hAnsiTheme="majorHAnsi" w:cstheme="majorHAnsi"/>
          <w:sz w:val="24"/>
          <w:szCs w:val="24"/>
          <w:lang w:val="ro-RO"/>
        </w:rPr>
        <w:t xml:space="preserve"> в 2020 году </w:t>
      </w:r>
      <w:r w:rsidR="005E38A0" w:rsidRPr="00A93937">
        <w:rPr>
          <w:rFonts w:asciiTheme="majorHAnsi" w:eastAsia="Times New Roman" w:hAnsiTheme="majorHAnsi" w:cstheme="majorHAnsi"/>
          <w:sz w:val="24"/>
          <w:szCs w:val="24"/>
          <w:lang w:val="ro-RO"/>
        </w:rPr>
        <w:t xml:space="preserve">были выплачены проценты </w:t>
      </w:r>
      <w:r w:rsidRPr="00A93937">
        <w:rPr>
          <w:rFonts w:asciiTheme="majorHAnsi" w:eastAsia="Times New Roman" w:hAnsiTheme="majorHAnsi" w:cstheme="majorHAnsi"/>
          <w:sz w:val="24"/>
          <w:szCs w:val="24"/>
          <w:lang w:val="ro-RO"/>
        </w:rPr>
        <w:t xml:space="preserve">в сумме 21,9 млн. леев, а в последующие годы </w:t>
      </w:r>
      <w:r w:rsidR="005E38A0">
        <w:rPr>
          <w:rFonts w:asciiTheme="majorHAnsi" w:eastAsia="Times New Roman" w:hAnsiTheme="majorHAnsi" w:cstheme="majorHAnsi"/>
          <w:sz w:val="24"/>
          <w:szCs w:val="24"/>
          <w:lang w:val="ru-RU"/>
        </w:rPr>
        <w:t>при наступлении срока</w:t>
      </w:r>
      <w:r w:rsidRPr="00A93937">
        <w:rPr>
          <w:rFonts w:asciiTheme="majorHAnsi" w:eastAsia="Times New Roman" w:hAnsiTheme="majorHAnsi" w:cstheme="majorHAnsi"/>
          <w:sz w:val="24"/>
          <w:szCs w:val="24"/>
          <w:lang w:val="ro-RO"/>
        </w:rPr>
        <w:t xml:space="preserve"> погашени</w:t>
      </w:r>
      <w:r w:rsidR="005E38A0">
        <w:rPr>
          <w:rFonts w:asciiTheme="majorHAnsi" w:eastAsia="Times New Roman" w:hAnsiTheme="majorHAnsi" w:cstheme="majorHAnsi"/>
          <w:sz w:val="24"/>
          <w:szCs w:val="24"/>
          <w:lang w:val="ru-RU"/>
        </w:rPr>
        <w:t>я</w:t>
      </w:r>
      <w:r w:rsidRPr="00A93937">
        <w:rPr>
          <w:rFonts w:asciiTheme="majorHAnsi" w:eastAsia="Times New Roman" w:hAnsiTheme="majorHAnsi" w:cstheme="majorHAnsi"/>
          <w:sz w:val="24"/>
          <w:szCs w:val="24"/>
          <w:lang w:val="ro-RO"/>
        </w:rPr>
        <w:t xml:space="preserve"> будут выплачены проценты </w:t>
      </w:r>
      <w:r w:rsidR="005E38A0">
        <w:rPr>
          <w:rFonts w:asciiTheme="majorHAnsi" w:eastAsia="Times New Roman" w:hAnsiTheme="majorHAnsi" w:cstheme="majorHAnsi"/>
          <w:sz w:val="24"/>
          <w:szCs w:val="24"/>
          <w:lang w:val="ru-RU"/>
        </w:rPr>
        <w:t>из ГБ</w:t>
      </w:r>
      <w:r w:rsidR="005E38A0">
        <w:rPr>
          <w:rFonts w:asciiTheme="majorHAnsi" w:eastAsia="Times New Roman" w:hAnsiTheme="majorHAnsi" w:cstheme="majorHAnsi"/>
          <w:sz w:val="24"/>
          <w:szCs w:val="24"/>
          <w:lang w:val="ro-RO"/>
        </w:rPr>
        <w:t xml:space="preserve"> на общую сумму 225,9 млн. леев</w:t>
      </w:r>
      <w:r w:rsidR="00D9349D" w:rsidRPr="00A93937">
        <w:rPr>
          <w:rFonts w:asciiTheme="majorHAnsi" w:eastAsia="Times New Roman" w:hAnsiTheme="majorHAnsi" w:cstheme="majorHAnsi"/>
          <w:sz w:val="24"/>
          <w:szCs w:val="24"/>
          <w:lang w:val="ro-RO"/>
        </w:rPr>
        <w:t>.</w:t>
      </w:r>
    </w:p>
    <w:p w:rsidR="006F53B7" w:rsidRPr="00A77060" w:rsidRDefault="006F53B7" w:rsidP="006F53B7">
      <w:pPr>
        <w:spacing w:after="0"/>
        <w:rPr>
          <w:rFonts w:ascii="Calibri Light" w:hAnsi="Calibri Light" w:cstheme="majorHAnsi"/>
          <w:b/>
          <w:sz w:val="24"/>
          <w:szCs w:val="24"/>
          <w:lang w:val="ru-RU"/>
        </w:rPr>
      </w:pPr>
      <w:r w:rsidRPr="008F6325">
        <w:rPr>
          <w:rFonts w:ascii="Calibri Light" w:hAnsi="Calibri Light" w:cstheme="majorHAnsi"/>
          <w:b/>
          <w:sz w:val="24"/>
          <w:szCs w:val="24"/>
          <w:lang w:val="ru-RU"/>
        </w:rPr>
        <w:t>7.2.2</w:t>
      </w:r>
      <w:r w:rsidRPr="00A77060">
        <w:rPr>
          <w:rFonts w:ascii="Calibri Light" w:hAnsi="Calibri Light" w:cstheme="majorHAnsi"/>
          <w:b/>
          <w:sz w:val="24"/>
          <w:szCs w:val="24"/>
          <w:lang w:val="ru-RU"/>
        </w:rPr>
        <w:t xml:space="preserve"> Трансферты другим бюджетам составляют 54,2% от общих расходов ГБ, с ростом против предыдущего года на 3 822,2млн. леев. </w:t>
      </w:r>
    </w:p>
    <w:p w:rsidR="006F53B7" w:rsidRPr="00A77060" w:rsidRDefault="006F53B7" w:rsidP="006F53B7">
      <w:pPr>
        <w:spacing w:after="0" w:line="276" w:lineRule="auto"/>
        <w:rPr>
          <w:rFonts w:ascii="Calibri Light" w:eastAsia="MS Mincho" w:hAnsi="Calibri Light" w:cstheme="majorHAnsi"/>
          <w:sz w:val="24"/>
          <w:szCs w:val="24"/>
          <w:lang w:val="ru-RU" w:eastAsia="ja-JP"/>
        </w:rPr>
      </w:pPr>
      <w:r w:rsidRPr="00A77060">
        <w:rPr>
          <w:rFonts w:ascii="Calibri Light" w:eastAsia="MS Mincho" w:hAnsi="Calibri Light" w:cstheme="majorHAnsi"/>
          <w:sz w:val="24"/>
          <w:szCs w:val="24"/>
          <w:lang w:val="ru-RU" w:eastAsia="ja-JP"/>
        </w:rPr>
        <w:t>На 2020 год в государственном бюджете были утверждены трансферты</w:t>
      </w:r>
      <w:r w:rsidRPr="00A77060">
        <w:rPr>
          <w:rStyle w:val="FootnoteReference"/>
          <w:rFonts w:ascii="Calibri Light" w:eastAsia="MS Mincho" w:hAnsi="Calibri Light" w:cstheme="majorHAnsi"/>
          <w:sz w:val="24"/>
          <w:szCs w:val="24"/>
          <w:lang w:val="ru-RU" w:eastAsia="ja-JP"/>
        </w:rPr>
        <w:footnoteReference w:id="96"/>
      </w:r>
      <w:r w:rsidRPr="00A77060">
        <w:rPr>
          <w:rFonts w:ascii="Calibri Light" w:eastAsia="MS Mincho" w:hAnsi="Calibri Light" w:cstheme="majorHAnsi"/>
          <w:sz w:val="24"/>
          <w:szCs w:val="24"/>
          <w:lang w:val="ru-RU" w:eastAsia="ja-JP"/>
        </w:rPr>
        <w:t xml:space="preserve"> другим бюджетам на общую сумму 24 847,2 млн. леев, из которых в: БГСС – 8 560,5 млн. леев, ФОМС – 3 005,7 млн. леев, БАТЕ – 13 281,1 млн. леев. В результате уточнения бюджета, общий размер трансфертов увеличился на 3 093,7 млн. леев (27 941,0 млн. леев), в том числе трансферты БГСС – на 1 763,4 млн. леев (10 323,9 млн. леев), ФОМС – на 528,0 млн. леев (3 533,7 млн. леев) и БАТЕ – на 802,3 млн. леев (14 083,4 млн. леев), из которых 456,6 млн. леев были распределены ЦПО, в управлении которых находятся централизованные фонды.</w:t>
      </w:r>
    </w:p>
    <w:p w:rsidR="006F53B7" w:rsidRPr="00A77060" w:rsidRDefault="006F53B7" w:rsidP="006F53B7">
      <w:pPr>
        <w:spacing w:after="0" w:line="276" w:lineRule="auto"/>
        <w:rPr>
          <w:rFonts w:ascii="Calibri Light" w:eastAsia="MS Mincho" w:hAnsi="Calibri Light" w:cstheme="majorHAnsi"/>
          <w:sz w:val="24"/>
          <w:szCs w:val="24"/>
          <w:lang w:val="ru-RU" w:eastAsia="ja-JP"/>
        </w:rPr>
      </w:pPr>
      <w:r w:rsidRPr="00A77060">
        <w:rPr>
          <w:rFonts w:ascii="Calibri Light" w:eastAsia="MS Mincho" w:hAnsi="Calibri Light" w:cstheme="majorHAnsi"/>
          <w:sz w:val="24"/>
          <w:szCs w:val="24"/>
          <w:lang w:val="ru-RU" w:eastAsia="ja-JP"/>
        </w:rPr>
        <w:t xml:space="preserve">Объем исполненных трансфертов другим бюджетам из ГБ составили 26 921,0 млн. леев или 96,3% от уточненной суммы. Так, в БГСС трансферты были исполнены на уровне 94,6% (9 769,4 млн. леев), из которых для компенсации упущенных доходов – 2 554,6 млн. леев. Вместе с тем, в ФОМС трансферты были исполнены полностью в сумме 3 533,7 млн. леев, из которых для обязательного медицинского страхования со стороны государства – 3 379,7 млн. леев, для программ по здравоохранению специального назначения – 76,4 млн. леев, для укрепления </w:t>
      </w:r>
      <w:r w:rsidRPr="00A77060">
        <w:rPr>
          <w:rFonts w:ascii="Calibri Light" w:eastAsia="MS Mincho" w:hAnsi="Calibri Light" w:cstheme="majorHAnsi"/>
          <w:sz w:val="24"/>
          <w:szCs w:val="24"/>
          <w:lang w:val="ru-RU" w:eastAsia="ja-JP"/>
        </w:rPr>
        <w:lastRenderedPageBreak/>
        <w:t>материально-технической базы – 76,8 млн. леев и для компенсации упущенных доходов – 0,7 млн. леев.</w:t>
      </w:r>
      <w:r w:rsidRPr="00A77060">
        <w:rPr>
          <w:rFonts w:ascii="Calibri Light" w:eastAsia="MS Mincho" w:hAnsi="Calibri Light" w:cstheme="majorHAnsi"/>
          <w:i/>
          <w:sz w:val="24"/>
          <w:szCs w:val="24"/>
          <w:lang w:val="ru-RU" w:eastAsia="ja-JP"/>
        </w:rPr>
        <w:t xml:space="preserve">  </w:t>
      </w:r>
    </w:p>
    <w:p w:rsidR="006F53B7" w:rsidRPr="00A77060" w:rsidRDefault="006F53B7" w:rsidP="006F53B7">
      <w:pPr>
        <w:shd w:val="clear" w:color="auto" w:fill="FFFFFF" w:themeFill="background1"/>
        <w:spacing w:after="0" w:line="276" w:lineRule="auto"/>
        <w:ind w:right="1"/>
        <w:rPr>
          <w:rFonts w:ascii="Calibri Light" w:eastAsia="MS Mincho" w:hAnsi="Calibri Light" w:cstheme="majorHAnsi"/>
          <w:sz w:val="24"/>
          <w:szCs w:val="24"/>
          <w:lang w:val="ru-RU" w:eastAsia="ja-JP"/>
        </w:rPr>
      </w:pPr>
      <w:r w:rsidRPr="00A77060">
        <w:rPr>
          <w:rFonts w:ascii="Calibri Light" w:eastAsia="MS Mincho" w:hAnsi="Calibri Light" w:cstheme="majorHAnsi"/>
          <w:sz w:val="24"/>
          <w:szCs w:val="24"/>
          <w:lang w:val="ru-RU" w:eastAsia="ja-JP"/>
        </w:rPr>
        <w:t>Согласно Закону ГБ на 2020 год, в БАТЕ были уточнены трансферты общего назначения</w:t>
      </w:r>
      <w:r w:rsidRPr="00A77060">
        <w:rPr>
          <w:rFonts w:ascii="Calibri Light" w:eastAsia="MS Mincho" w:hAnsi="Calibri Light" w:cstheme="majorHAnsi"/>
          <w:sz w:val="24"/>
          <w:szCs w:val="24"/>
          <w:vertAlign w:val="superscript"/>
          <w:lang w:val="ru-RU" w:eastAsia="ja-JP"/>
        </w:rPr>
        <w:footnoteReference w:id="97"/>
      </w:r>
      <w:r w:rsidRPr="00A77060">
        <w:rPr>
          <w:rFonts w:ascii="Calibri Light" w:eastAsia="MS Mincho" w:hAnsi="Calibri Light" w:cstheme="majorHAnsi"/>
          <w:sz w:val="24"/>
          <w:szCs w:val="24"/>
          <w:lang w:val="ru-RU" w:eastAsia="ja-JP"/>
        </w:rPr>
        <w:t xml:space="preserve"> в сумме 2 098,6 млн. леев, трансферты специального назначения</w:t>
      </w:r>
      <w:r w:rsidRPr="00A77060">
        <w:rPr>
          <w:rFonts w:ascii="Calibri Light" w:eastAsia="MS Mincho" w:hAnsi="Calibri Light" w:cstheme="majorHAnsi"/>
          <w:sz w:val="24"/>
          <w:szCs w:val="24"/>
          <w:vertAlign w:val="superscript"/>
          <w:lang w:val="ru-RU" w:eastAsia="ja-JP"/>
        </w:rPr>
        <w:footnoteReference w:id="98"/>
      </w:r>
      <w:r w:rsidRPr="00A77060">
        <w:rPr>
          <w:rFonts w:ascii="Calibri Light" w:eastAsia="MS Mincho" w:hAnsi="Calibri Light" w:cstheme="majorHAnsi"/>
          <w:sz w:val="24"/>
          <w:szCs w:val="24"/>
          <w:lang w:val="ru-RU" w:eastAsia="ja-JP"/>
        </w:rPr>
        <w:t xml:space="preserve"> в сумме 11 212,8 млн. леев, ассигнования из компенсационного фонда – 116,3 млн. леев и другие трансферты общего назначения в сумме 199,1 млн. леев, распределенные по каждой административно-территориальной единице согласно приложению №7 к годовому Закону о бюджете</w:t>
      </w:r>
      <w:r w:rsidRPr="00A77060">
        <w:rPr>
          <w:rFonts w:ascii="Calibri Light" w:eastAsia="MS Mincho" w:hAnsi="Calibri Light" w:cstheme="majorHAnsi"/>
          <w:sz w:val="24"/>
          <w:szCs w:val="24"/>
          <w:vertAlign w:val="superscript"/>
          <w:lang w:val="ru-RU" w:eastAsia="ja-JP"/>
        </w:rPr>
        <w:footnoteReference w:id="99"/>
      </w:r>
      <w:r w:rsidRPr="00A77060">
        <w:rPr>
          <w:rFonts w:ascii="Calibri Light" w:eastAsia="MS Mincho" w:hAnsi="Calibri Light" w:cstheme="majorHAnsi"/>
          <w:sz w:val="24"/>
          <w:szCs w:val="24"/>
          <w:lang w:val="ru-RU" w:eastAsia="ja-JP"/>
        </w:rPr>
        <w:t xml:space="preserve">. Трансферты общего назначения были исполнены в сумме 2 098,6 млн. леев или 100,0%, трансферты специального назначения в сумме 10 770,4 млн. леев или 96,05%, а ассигнования из компенсационного фонда и другие трансферты общего назначения были полностью перечислены в ВАТЕ от уточненного объема в ГБ. Таким образом, МФ не исполнил в целом трансферты специального назначения, утвержденные в годовом Законе о бюджете, не были выделены средства в сумме </w:t>
      </w:r>
      <w:r w:rsidRPr="00A77060">
        <w:rPr>
          <w:rFonts w:ascii="Calibri Light" w:eastAsia="Times New Roman" w:hAnsi="Calibri Light" w:cstheme="majorHAnsi"/>
          <w:sz w:val="24"/>
          <w:szCs w:val="24"/>
          <w:lang w:val="ru-RU"/>
        </w:rPr>
        <w:t xml:space="preserve">442,4 </w:t>
      </w:r>
      <w:r w:rsidRPr="00A77060">
        <w:rPr>
          <w:rFonts w:ascii="Calibri Light" w:eastAsia="MS Mincho" w:hAnsi="Calibri Light" w:cstheme="majorHAnsi"/>
          <w:sz w:val="24"/>
          <w:szCs w:val="24"/>
          <w:lang w:val="ru-RU" w:eastAsia="ja-JP"/>
        </w:rPr>
        <w:t xml:space="preserve">млн. леев. Анализ неисполнения трансфертов специального назначения (442,4 млн. леев) свидетельствует, что из них не были перечислены для общего образования 281,0 млн. леев, для социальной помощи – 51,4 млн. леев и др. Причинами, названными МФ, были снижение числа бенефициаров и финансирование ассигнований при необходимости. </w:t>
      </w:r>
      <w:r w:rsidRPr="00A77060">
        <w:rPr>
          <w:rFonts w:ascii="Calibri Light" w:eastAsia="MS Mincho" w:hAnsi="Calibri Light" w:cstheme="majorHAnsi"/>
          <w:i/>
          <w:sz w:val="24"/>
          <w:szCs w:val="24"/>
          <w:lang w:val="ru-RU" w:eastAsia="ja-JP"/>
        </w:rPr>
        <w:t xml:space="preserve">Свод исполнения трансфертов специального назначения из ГБ в ВАТЕ в </w:t>
      </w:r>
      <w:r w:rsidRPr="00A77060">
        <w:rPr>
          <w:rFonts w:ascii="Calibri Light" w:eastAsia="Times New Roman" w:hAnsi="Calibri Light" w:cstheme="majorHAnsi"/>
          <w:i/>
          <w:sz w:val="24"/>
          <w:szCs w:val="24"/>
          <w:lang w:val="ru-RU"/>
        </w:rPr>
        <w:t xml:space="preserve">2020 году представлен в приложении №12 к настоящему Отчету аудита. </w:t>
      </w:r>
    </w:p>
    <w:p w:rsidR="006F53B7" w:rsidRPr="00A77060" w:rsidRDefault="006F53B7" w:rsidP="006F53B7">
      <w:pPr>
        <w:shd w:val="clear" w:color="auto" w:fill="FFFFFF" w:themeFill="background1"/>
        <w:spacing w:after="0" w:line="276" w:lineRule="auto"/>
        <w:ind w:right="1"/>
        <w:rPr>
          <w:rFonts w:ascii="Calibri Light" w:hAnsi="Calibri Light" w:cstheme="majorHAnsi"/>
          <w:sz w:val="24"/>
          <w:szCs w:val="24"/>
          <w:lang w:val="ru-RU"/>
        </w:rPr>
      </w:pPr>
      <w:r w:rsidRPr="00A77060">
        <w:rPr>
          <w:rFonts w:ascii="Calibri Light" w:eastAsia="MS Mincho" w:hAnsi="Calibri Light" w:cstheme="majorHAnsi"/>
          <w:sz w:val="24"/>
          <w:szCs w:val="24"/>
          <w:lang w:val="ru-RU" w:eastAsia="ja-JP"/>
        </w:rPr>
        <w:t xml:space="preserve">Вместе с тем, в </w:t>
      </w:r>
      <w:r w:rsidRPr="00A77060">
        <w:rPr>
          <w:rFonts w:ascii="Calibri Light" w:eastAsia="Times New Roman" w:hAnsi="Calibri Light" w:cstheme="majorHAnsi"/>
          <w:sz w:val="24"/>
          <w:szCs w:val="24"/>
          <w:lang w:val="ru-RU"/>
        </w:rPr>
        <w:t xml:space="preserve">2020 году были исполнены </w:t>
      </w:r>
      <w:r w:rsidRPr="00A77060">
        <w:rPr>
          <w:rFonts w:ascii="Calibri Light" w:eastAsia="MS Mincho" w:hAnsi="Calibri Light" w:cstheme="majorHAnsi"/>
          <w:sz w:val="24"/>
          <w:szCs w:val="24"/>
          <w:lang w:val="ru-RU" w:eastAsia="ja-JP"/>
        </w:rPr>
        <w:t xml:space="preserve">трансферты специального назначения, распределенные Постановлениями Правительства в общей сумме </w:t>
      </w:r>
      <w:r w:rsidRPr="00A77060">
        <w:rPr>
          <w:rFonts w:ascii="Calibri Light" w:eastAsia="Times New Roman" w:hAnsi="Calibri Light" w:cstheme="majorHAnsi"/>
          <w:sz w:val="24"/>
          <w:szCs w:val="24"/>
          <w:lang w:val="ru-RU"/>
        </w:rPr>
        <w:t xml:space="preserve">212,9 </w:t>
      </w:r>
      <w:r w:rsidRPr="00A77060">
        <w:rPr>
          <w:rFonts w:ascii="Calibri Light" w:eastAsia="MS Mincho" w:hAnsi="Calibri Light" w:cstheme="majorHAnsi"/>
          <w:sz w:val="24"/>
          <w:szCs w:val="24"/>
          <w:lang w:val="ru-RU" w:eastAsia="ja-JP"/>
        </w:rPr>
        <w:t xml:space="preserve">млн. леев, из которых: </w:t>
      </w:r>
      <w:r w:rsidRPr="00A77060">
        <w:rPr>
          <w:rFonts w:ascii="Calibri Light" w:eastAsia="Times New Roman" w:hAnsi="Calibri Light" w:cstheme="majorHAnsi"/>
          <w:i/>
          <w:sz w:val="24"/>
          <w:szCs w:val="24"/>
          <w:lang w:val="ru-RU"/>
        </w:rPr>
        <w:t xml:space="preserve">(i) </w:t>
      </w:r>
      <w:r w:rsidRPr="00A77060">
        <w:rPr>
          <w:rFonts w:ascii="Calibri Light" w:eastAsia="Times New Roman" w:hAnsi="Calibri Light" w:cstheme="majorHAnsi"/>
          <w:sz w:val="24"/>
          <w:szCs w:val="24"/>
          <w:lang w:val="ru-RU"/>
        </w:rPr>
        <w:t xml:space="preserve">из </w:t>
      </w:r>
      <w:r w:rsidRPr="00A77060">
        <w:rPr>
          <w:rFonts w:ascii="Calibri Light" w:eastAsia="Times New Roman" w:hAnsi="Calibri Light" w:cs="Times New Roman"/>
          <w:sz w:val="24"/>
          <w:szCs w:val="24"/>
          <w:lang w:val="ru-RU"/>
        </w:rPr>
        <w:t xml:space="preserve">чрезвычайных фондов </w:t>
      </w:r>
      <w:r w:rsidRPr="00A77060">
        <w:rPr>
          <w:rFonts w:ascii="Calibri Light" w:eastAsia="MS Mincho" w:hAnsi="Calibri Light" w:cstheme="majorHAnsi"/>
          <w:sz w:val="24"/>
          <w:szCs w:val="24"/>
          <w:lang w:val="ru-RU" w:eastAsia="ja-JP"/>
        </w:rPr>
        <w:t xml:space="preserve">Правительства – 86,7 млн. леев (в том числе 70,2 млн. леев для предоставления единовременных пособий работникам из медицинской системы, зараженных COVID-19), </w:t>
      </w:r>
      <w:r w:rsidRPr="00A77060">
        <w:rPr>
          <w:rFonts w:ascii="Calibri Light" w:eastAsia="MS Mincho" w:hAnsi="Calibri Light" w:cstheme="majorHAnsi"/>
          <w:i/>
          <w:sz w:val="24"/>
          <w:szCs w:val="24"/>
          <w:lang w:val="ru-RU" w:eastAsia="ja-JP"/>
        </w:rPr>
        <w:t xml:space="preserve">(ii) </w:t>
      </w:r>
      <w:r w:rsidRPr="00A77060">
        <w:rPr>
          <w:rFonts w:ascii="Calibri Light" w:eastAsia="MS Mincho" w:hAnsi="Calibri Light" w:cstheme="majorHAnsi"/>
          <w:sz w:val="24"/>
          <w:szCs w:val="24"/>
          <w:lang w:val="ru-RU" w:eastAsia="ja-JP"/>
        </w:rPr>
        <w:t xml:space="preserve">для внедрения единой системы оплаты труда в бюджетном секторе – 101,9 млн. леев, для программы Диаспора дома преуспевает „DAR 1+3” – 9,8 млн. леев; </w:t>
      </w:r>
      <w:r w:rsidRPr="00A77060">
        <w:rPr>
          <w:rFonts w:ascii="Calibri Light" w:eastAsia="MS Mincho" w:hAnsi="Calibri Light" w:cstheme="majorHAnsi"/>
          <w:i/>
          <w:sz w:val="24"/>
          <w:szCs w:val="24"/>
          <w:lang w:val="ru-RU" w:eastAsia="ja-JP"/>
        </w:rPr>
        <w:t xml:space="preserve">(iii) </w:t>
      </w:r>
      <w:r w:rsidRPr="00A77060">
        <w:rPr>
          <w:rFonts w:ascii="Calibri Light" w:eastAsia="MS Mincho" w:hAnsi="Calibri Light" w:cstheme="majorHAnsi"/>
          <w:sz w:val="24"/>
          <w:szCs w:val="24"/>
          <w:lang w:val="ru-RU" w:eastAsia="ja-JP"/>
        </w:rPr>
        <w:t xml:space="preserve">для Программы реинтеграции страны – 11,5 млн. леев и </w:t>
      </w:r>
      <w:r w:rsidRPr="00A77060">
        <w:rPr>
          <w:rFonts w:ascii="Calibri Light" w:eastAsia="MS Mincho" w:hAnsi="Calibri Light" w:cstheme="majorHAnsi"/>
          <w:i/>
          <w:sz w:val="24"/>
          <w:szCs w:val="24"/>
          <w:lang w:val="ru-RU" w:eastAsia="ja-JP"/>
        </w:rPr>
        <w:t>(iv)</w:t>
      </w:r>
      <w:r w:rsidRPr="00A77060">
        <w:rPr>
          <w:rFonts w:ascii="Calibri Light" w:eastAsia="MS Mincho" w:hAnsi="Calibri Light" w:cstheme="majorHAnsi"/>
          <w:sz w:val="24"/>
          <w:szCs w:val="24"/>
          <w:lang w:val="ru-RU" w:eastAsia="ja-JP"/>
        </w:rPr>
        <w:t xml:space="preserve"> для других видов деятельности </w:t>
      </w:r>
      <w:r w:rsidRPr="00A77060">
        <w:rPr>
          <w:rFonts w:ascii="Calibri Light" w:hAnsi="Calibri Light" w:cstheme="majorHAnsi"/>
          <w:sz w:val="24"/>
          <w:szCs w:val="24"/>
          <w:lang w:val="ru-RU"/>
        </w:rPr>
        <w:t xml:space="preserve">– 3,0 </w:t>
      </w:r>
      <w:r w:rsidRPr="00A77060">
        <w:rPr>
          <w:rFonts w:ascii="Calibri Light" w:eastAsia="MS Mincho" w:hAnsi="Calibri Light" w:cstheme="majorHAnsi"/>
          <w:sz w:val="24"/>
          <w:szCs w:val="24"/>
          <w:lang w:val="ru-RU" w:eastAsia="ja-JP"/>
        </w:rPr>
        <w:t>млн. леев</w:t>
      </w:r>
      <w:r w:rsidRPr="00A77060">
        <w:rPr>
          <w:rFonts w:ascii="Calibri Light" w:hAnsi="Calibri Light" w:cstheme="majorHAnsi"/>
          <w:sz w:val="24"/>
          <w:szCs w:val="24"/>
          <w:vertAlign w:val="superscript"/>
          <w:lang w:val="ru-RU"/>
        </w:rPr>
        <w:footnoteReference w:id="100"/>
      </w:r>
      <w:r w:rsidRPr="00A77060">
        <w:rPr>
          <w:rFonts w:ascii="Calibri Light" w:hAnsi="Calibri Light" w:cstheme="majorHAnsi"/>
          <w:sz w:val="24"/>
          <w:szCs w:val="24"/>
          <w:lang w:val="ru-RU"/>
        </w:rPr>
        <w:t>.</w:t>
      </w:r>
    </w:p>
    <w:p w:rsidR="006F53B7" w:rsidRPr="00A77060" w:rsidRDefault="006F53B7" w:rsidP="006F53B7">
      <w:pPr>
        <w:shd w:val="clear" w:color="auto" w:fill="FFFFFF" w:themeFill="background1"/>
        <w:spacing w:after="0" w:line="276" w:lineRule="auto"/>
        <w:ind w:right="1"/>
        <w:rPr>
          <w:rFonts w:ascii="Calibri Light" w:eastAsia="MS Mincho" w:hAnsi="Calibri Light" w:cstheme="majorHAnsi"/>
          <w:sz w:val="24"/>
          <w:szCs w:val="24"/>
          <w:lang w:val="ru-RU" w:eastAsia="ja-JP"/>
        </w:rPr>
      </w:pPr>
      <w:r w:rsidRPr="00A77060">
        <w:rPr>
          <w:rFonts w:ascii="Calibri Light" w:hAnsi="Calibri Light" w:cstheme="majorHAnsi"/>
          <w:sz w:val="24"/>
          <w:szCs w:val="24"/>
          <w:lang w:val="ru-RU"/>
        </w:rPr>
        <w:t xml:space="preserve">Также, бюджетные учреждения исполнили трансферты МПО в сумме </w:t>
      </w:r>
      <w:r w:rsidRPr="00A77060">
        <w:rPr>
          <w:rFonts w:ascii="Calibri Light" w:eastAsia="Times New Roman" w:hAnsi="Calibri Light" w:cstheme="majorHAnsi"/>
          <w:sz w:val="24"/>
          <w:szCs w:val="24"/>
          <w:lang w:val="ru-RU"/>
        </w:rPr>
        <w:t xml:space="preserve">286,1 </w:t>
      </w:r>
      <w:r w:rsidRPr="00A77060">
        <w:rPr>
          <w:rFonts w:ascii="Calibri Light" w:eastAsia="MS Mincho" w:hAnsi="Calibri Light" w:cstheme="majorHAnsi"/>
          <w:sz w:val="24"/>
          <w:szCs w:val="24"/>
          <w:lang w:val="ru-RU" w:eastAsia="ja-JP"/>
        </w:rPr>
        <w:t xml:space="preserve">млн. леев для специфических целей из: Национального экологического фонда </w:t>
      </w:r>
      <w:r w:rsidRPr="00A77060">
        <w:rPr>
          <w:rFonts w:ascii="Calibri Light" w:hAnsi="Calibri Light" w:cstheme="majorHAnsi"/>
          <w:sz w:val="24"/>
          <w:szCs w:val="24"/>
          <w:lang w:val="ru-RU"/>
        </w:rPr>
        <w:t xml:space="preserve">– 235,0 </w:t>
      </w:r>
      <w:r w:rsidRPr="00A77060">
        <w:rPr>
          <w:rFonts w:ascii="Calibri Light" w:eastAsia="MS Mincho" w:hAnsi="Calibri Light" w:cstheme="majorHAnsi"/>
          <w:sz w:val="24"/>
          <w:szCs w:val="24"/>
          <w:lang w:val="ru-RU" w:eastAsia="ja-JP"/>
        </w:rPr>
        <w:t xml:space="preserve">млн. леев, Фонда энергоэффективности </w:t>
      </w:r>
      <w:r w:rsidRPr="00A77060">
        <w:rPr>
          <w:rFonts w:ascii="Calibri Light" w:hAnsi="Calibri Light" w:cstheme="majorHAnsi"/>
          <w:sz w:val="24"/>
          <w:szCs w:val="24"/>
          <w:lang w:val="ru-RU"/>
        </w:rPr>
        <w:t xml:space="preserve">– 21,0 </w:t>
      </w:r>
      <w:r w:rsidRPr="00A77060">
        <w:rPr>
          <w:rFonts w:ascii="Calibri Light" w:eastAsia="MS Mincho" w:hAnsi="Calibri Light" w:cstheme="majorHAnsi"/>
          <w:sz w:val="24"/>
          <w:szCs w:val="24"/>
          <w:lang w:val="ru-RU" w:eastAsia="ja-JP"/>
        </w:rPr>
        <w:t xml:space="preserve">млн. леев, Национального фонда развития сельского хозяйства и сельской местности </w:t>
      </w:r>
      <w:r w:rsidRPr="00A77060">
        <w:rPr>
          <w:rFonts w:ascii="Calibri Light" w:hAnsi="Calibri Light" w:cstheme="majorHAnsi"/>
          <w:sz w:val="24"/>
          <w:szCs w:val="24"/>
          <w:lang w:val="ru-RU"/>
        </w:rPr>
        <w:t xml:space="preserve">– 25,4 </w:t>
      </w:r>
      <w:r w:rsidRPr="00A77060">
        <w:rPr>
          <w:rFonts w:ascii="Calibri Light" w:eastAsia="MS Mincho" w:hAnsi="Calibri Light" w:cstheme="majorHAnsi"/>
          <w:sz w:val="24"/>
          <w:szCs w:val="24"/>
          <w:lang w:val="ru-RU" w:eastAsia="ja-JP"/>
        </w:rPr>
        <w:t xml:space="preserve">млн. леев, </w:t>
      </w:r>
      <w:proofErr w:type="gramStart"/>
      <w:r w:rsidRPr="00A77060">
        <w:rPr>
          <w:rFonts w:ascii="Calibri Light" w:eastAsia="MS Mincho" w:hAnsi="Calibri Light" w:cstheme="majorHAnsi"/>
          <w:sz w:val="24"/>
          <w:szCs w:val="24"/>
          <w:lang w:val="ru-RU" w:eastAsia="ja-JP"/>
        </w:rPr>
        <w:t>проекта ,,Программа</w:t>
      </w:r>
      <w:proofErr w:type="gramEnd"/>
      <w:r w:rsidRPr="00A77060">
        <w:rPr>
          <w:rFonts w:ascii="Calibri Light" w:eastAsia="MS Mincho" w:hAnsi="Calibri Light" w:cstheme="majorHAnsi"/>
          <w:sz w:val="24"/>
          <w:szCs w:val="24"/>
          <w:lang w:val="ru-RU" w:eastAsia="ja-JP"/>
        </w:rPr>
        <w:t xml:space="preserve"> повышения устойчивости сельских районов </w:t>
      </w:r>
      <w:r w:rsidRPr="00A77060">
        <w:rPr>
          <w:rFonts w:ascii="Calibri Light" w:hAnsi="Calibri Light" w:cstheme="majorHAnsi"/>
          <w:sz w:val="24"/>
          <w:szCs w:val="24"/>
          <w:lang w:val="ru-RU"/>
        </w:rPr>
        <w:t xml:space="preserve">(IFAD VII)” – 0,1 </w:t>
      </w:r>
      <w:r w:rsidRPr="00A77060">
        <w:rPr>
          <w:rFonts w:ascii="Calibri Light" w:eastAsia="MS Mincho" w:hAnsi="Calibri Light" w:cstheme="majorHAnsi"/>
          <w:sz w:val="24"/>
          <w:szCs w:val="24"/>
          <w:lang w:val="ru-RU" w:eastAsia="ja-JP"/>
        </w:rPr>
        <w:t>млн. леев.</w:t>
      </w:r>
      <w:r w:rsidRPr="00A77060">
        <w:rPr>
          <w:rFonts w:ascii="Calibri Light" w:eastAsia="MS Mincho" w:hAnsi="Calibri Light" w:cstheme="majorHAnsi"/>
          <w:i/>
          <w:sz w:val="24"/>
          <w:szCs w:val="24"/>
          <w:lang w:val="ru-RU" w:eastAsia="ja-JP"/>
        </w:rPr>
        <w:t xml:space="preserve"> Свод исполнения трансфертов из государственного бюджета другим бюджетам </w:t>
      </w:r>
      <w:r w:rsidRPr="00A77060">
        <w:rPr>
          <w:rFonts w:ascii="Calibri Light" w:eastAsia="Times New Roman" w:hAnsi="Calibri Light" w:cstheme="majorHAnsi"/>
          <w:i/>
          <w:sz w:val="24"/>
          <w:szCs w:val="24"/>
          <w:lang w:val="ru-RU"/>
        </w:rPr>
        <w:t>представлен в приложении №13 к настоящему Отчету аудита.</w:t>
      </w:r>
    </w:p>
    <w:p w:rsidR="006F53B7" w:rsidRPr="00A77060" w:rsidRDefault="006F53B7" w:rsidP="006F53B7">
      <w:pPr>
        <w:spacing w:after="0" w:line="276" w:lineRule="auto"/>
        <w:rPr>
          <w:rFonts w:ascii="Calibri Light" w:eastAsia="MS Mincho" w:hAnsi="Calibri Light" w:cstheme="majorHAnsi"/>
          <w:sz w:val="24"/>
          <w:szCs w:val="24"/>
          <w:lang w:val="ru-RU" w:eastAsia="ja-JP"/>
        </w:rPr>
      </w:pPr>
      <w:r w:rsidRPr="00A77060">
        <w:rPr>
          <w:rFonts w:ascii="Calibri Light" w:eastAsia="Times New Roman" w:hAnsi="Calibri Light" w:cstheme="majorHAnsi"/>
          <w:sz w:val="24"/>
          <w:szCs w:val="24"/>
          <w:lang w:val="ru-RU"/>
        </w:rPr>
        <w:t xml:space="preserve">Относительно осуществления трансфертов из компенсационного фонда </w:t>
      </w:r>
      <w:r w:rsidRPr="00A77060">
        <w:rPr>
          <w:rFonts w:ascii="Calibri Light" w:eastAsia="MS Mincho" w:hAnsi="Calibri Light" w:cstheme="majorHAnsi"/>
          <w:sz w:val="24"/>
          <w:szCs w:val="24"/>
          <w:lang w:val="ru-RU" w:eastAsia="ja-JP"/>
        </w:rPr>
        <w:t xml:space="preserve">(116,3 млн. леев), который был создан для покрытия неотложных мер МПО, аудит отмечает, что они в эволюции </w:t>
      </w:r>
      <w:r w:rsidRPr="00A77060">
        <w:rPr>
          <w:rFonts w:ascii="Calibri Light" w:eastAsia="MS Mincho" w:hAnsi="Calibri Light" w:cstheme="majorHAnsi"/>
          <w:sz w:val="24"/>
          <w:szCs w:val="24"/>
          <w:lang w:val="ru-RU" w:eastAsia="ja-JP"/>
        </w:rPr>
        <w:lastRenderedPageBreak/>
        <w:t xml:space="preserve">увеличиваются, так, против </w:t>
      </w:r>
      <w:r w:rsidRPr="00A77060">
        <w:rPr>
          <w:rFonts w:ascii="Calibri Light" w:hAnsi="Calibri Light" w:cstheme="majorHAnsi"/>
          <w:color w:val="333333"/>
          <w:sz w:val="24"/>
          <w:szCs w:val="24"/>
          <w:shd w:val="clear" w:color="auto" w:fill="FFFFFF"/>
          <w:lang w:val="ru-RU"/>
        </w:rPr>
        <w:t xml:space="preserve">2019 года они </w:t>
      </w:r>
      <w:r w:rsidRPr="00A77060">
        <w:rPr>
          <w:rFonts w:ascii="Calibri Light" w:eastAsia="MS Mincho" w:hAnsi="Calibri Light" w:cstheme="majorHAnsi"/>
          <w:sz w:val="24"/>
          <w:szCs w:val="24"/>
          <w:lang w:val="ru-RU" w:eastAsia="ja-JP"/>
        </w:rPr>
        <w:t xml:space="preserve">возросли на </w:t>
      </w:r>
      <w:r w:rsidRPr="00A77060">
        <w:rPr>
          <w:rFonts w:ascii="Calibri Light" w:hAnsi="Calibri Light" w:cstheme="majorHAnsi"/>
          <w:color w:val="333333"/>
          <w:sz w:val="24"/>
          <w:szCs w:val="24"/>
          <w:shd w:val="clear" w:color="auto" w:fill="FFFFFF"/>
          <w:lang w:val="ru-RU"/>
        </w:rPr>
        <w:t xml:space="preserve">108,4 </w:t>
      </w:r>
      <w:r w:rsidRPr="00A77060">
        <w:rPr>
          <w:rFonts w:ascii="Calibri Light" w:eastAsia="MS Mincho" w:hAnsi="Calibri Light" w:cstheme="majorHAnsi"/>
          <w:sz w:val="24"/>
          <w:szCs w:val="24"/>
          <w:lang w:val="ru-RU" w:eastAsia="ja-JP"/>
        </w:rPr>
        <w:t xml:space="preserve">млн. леев, а против </w:t>
      </w:r>
      <w:r w:rsidRPr="00A77060">
        <w:rPr>
          <w:rFonts w:ascii="Calibri Light" w:hAnsi="Calibri Light" w:cstheme="majorHAnsi"/>
          <w:color w:val="333333"/>
          <w:sz w:val="24"/>
          <w:szCs w:val="24"/>
          <w:shd w:val="clear" w:color="auto" w:fill="FFFFFF"/>
          <w:lang w:val="ru-RU"/>
        </w:rPr>
        <w:t xml:space="preserve">2018 года </w:t>
      </w:r>
      <w:r w:rsidRPr="00A77060">
        <w:rPr>
          <w:rFonts w:ascii="Calibri Light" w:eastAsiaTheme="minorEastAsia" w:hAnsi="Calibri Light" w:cstheme="majorHAnsi"/>
          <w:bCs/>
          <w:iCs/>
          <w:sz w:val="24"/>
          <w:szCs w:val="24"/>
          <w:lang w:val="ru-RU" w:eastAsia="ru-RU"/>
        </w:rPr>
        <w:t>– на</w:t>
      </w:r>
      <w:r w:rsidRPr="00A77060">
        <w:rPr>
          <w:rFonts w:ascii="Calibri Light" w:hAnsi="Calibri Light" w:cstheme="majorHAnsi"/>
          <w:color w:val="333333"/>
          <w:sz w:val="24"/>
          <w:szCs w:val="24"/>
          <w:shd w:val="clear" w:color="auto" w:fill="FFFFFF"/>
          <w:lang w:val="ru-RU"/>
        </w:rPr>
        <w:t xml:space="preserve"> 107,7 </w:t>
      </w:r>
      <w:r w:rsidRPr="00A77060">
        <w:rPr>
          <w:rFonts w:ascii="Calibri Light" w:eastAsia="MS Mincho" w:hAnsi="Calibri Light" w:cstheme="majorHAnsi"/>
          <w:sz w:val="24"/>
          <w:szCs w:val="24"/>
          <w:lang w:val="ru-RU" w:eastAsia="ja-JP"/>
        </w:rPr>
        <w:t>млн. леев. МБ не может покрыть разрыв между произведенными расходами на заработную плату и пополнением доходной части из взносов от подоходного налога физических лиц и общих трансфертов.</w:t>
      </w:r>
    </w:p>
    <w:p w:rsidR="006F53B7" w:rsidRPr="00A77060" w:rsidRDefault="006F53B7" w:rsidP="006F53B7">
      <w:pPr>
        <w:spacing w:after="0" w:line="276" w:lineRule="auto"/>
        <w:rPr>
          <w:rFonts w:ascii="Calibri Light" w:eastAsia="Times New Roman" w:hAnsi="Calibri Light" w:cstheme="majorHAnsi"/>
          <w:sz w:val="24"/>
          <w:szCs w:val="24"/>
          <w:lang w:val="ru-RU"/>
        </w:rPr>
      </w:pPr>
      <w:r w:rsidRPr="00A77060">
        <w:rPr>
          <w:rFonts w:ascii="Calibri Light" w:hAnsi="Calibri Light" w:cstheme="majorHAnsi"/>
          <w:color w:val="333333"/>
          <w:sz w:val="24"/>
          <w:szCs w:val="24"/>
          <w:shd w:val="clear" w:color="auto" w:fill="FFFFFF"/>
          <w:lang w:val="ru-RU"/>
        </w:rPr>
        <w:t xml:space="preserve">Удельный вес исполненных </w:t>
      </w:r>
      <w:r w:rsidRPr="00A77060">
        <w:rPr>
          <w:rFonts w:ascii="Calibri Light" w:eastAsia="MS Mincho" w:hAnsi="Calibri Light" w:cstheme="majorHAnsi"/>
          <w:sz w:val="24"/>
          <w:szCs w:val="24"/>
          <w:lang w:val="ru-RU" w:eastAsia="ja-JP"/>
        </w:rPr>
        <w:t xml:space="preserve">трансфертов из ГБ в общих доходах бюджетов компонентов НПБ составил </w:t>
      </w:r>
      <w:r w:rsidRPr="00A77060">
        <w:rPr>
          <w:rFonts w:ascii="Calibri Light" w:eastAsia="MS Mincho" w:hAnsi="Calibri Light" w:cstheme="majorHAnsi"/>
          <w:sz w:val="24"/>
          <w:szCs w:val="24"/>
          <w:shd w:val="clear" w:color="auto" w:fill="FFFFFF" w:themeFill="background1"/>
          <w:lang w:val="ru-RU" w:eastAsia="ja-JP"/>
        </w:rPr>
        <w:t>40,2% в БГСС (с ростом на 3,6 п.п.</w:t>
      </w:r>
      <w:r>
        <w:rPr>
          <w:rFonts w:ascii="Calibri Light" w:eastAsia="MS Mincho" w:hAnsi="Calibri Light" w:cstheme="majorHAnsi"/>
          <w:sz w:val="24"/>
          <w:szCs w:val="24"/>
          <w:shd w:val="clear" w:color="auto" w:fill="FFFFFF" w:themeFill="background1"/>
          <w:lang w:val="ru-RU" w:eastAsia="ja-JP"/>
        </w:rPr>
        <w:t xml:space="preserve"> </w:t>
      </w:r>
      <w:r w:rsidRPr="00A77060">
        <w:rPr>
          <w:rFonts w:ascii="Calibri Light" w:eastAsia="MS Mincho" w:hAnsi="Calibri Light" w:cstheme="majorHAnsi"/>
          <w:sz w:val="24"/>
          <w:szCs w:val="24"/>
          <w:shd w:val="clear" w:color="auto" w:fill="FFFFFF" w:themeFill="background1"/>
          <w:lang w:val="ru-RU" w:eastAsia="ja-JP"/>
        </w:rPr>
        <w:t>против 2019 года), 41,4% в ФОМС (с ростом на 4,6 п.п. против 2019 года) и 74,6% в БАТЕ (с ростом на 0,9 п.п.</w:t>
      </w:r>
      <w:r>
        <w:rPr>
          <w:rFonts w:ascii="Calibri Light" w:eastAsia="MS Mincho" w:hAnsi="Calibri Light" w:cstheme="majorHAnsi"/>
          <w:sz w:val="24"/>
          <w:szCs w:val="24"/>
          <w:shd w:val="clear" w:color="auto" w:fill="FFFFFF" w:themeFill="background1"/>
          <w:lang w:val="ru-RU" w:eastAsia="ja-JP"/>
        </w:rPr>
        <w:t xml:space="preserve"> </w:t>
      </w:r>
      <w:r w:rsidRPr="00A77060">
        <w:rPr>
          <w:rFonts w:ascii="Calibri Light" w:eastAsia="MS Mincho" w:hAnsi="Calibri Light" w:cstheme="majorHAnsi"/>
          <w:sz w:val="24"/>
          <w:szCs w:val="24"/>
          <w:shd w:val="clear" w:color="auto" w:fill="FFFFFF" w:themeFill="background1"/>
          <w:lang w:val="ru-RU" w:eastAsia="ja-JP"/>
        </w:rPr>
        <w:t xml:space="preserve">против 2019 года). Несмотря на то, что общие собственные доходы БАТЕ зарегистрировали рост на </w:t>
      </w:r>
      <w:r w:rsidRPr="00A77060">
        <w:rPr>
          <w:rFonts w:ascii="Calibri Light" w:eastAsia="MS Mincho" w:hAnsi="Calibri Light" w:cstheme="majorHAnsi"/>
          <w:sz w:val="24"/>
          <w:szCs w:val="24"/>
          <w:lang w:val="ru-RU" w:eastAsia="ja-JP"/>
        </w:rPr>
        <w:t>250,2 млн. леев по сравнению с 2019 годом, они остались на уровне ниже уровня межбюджетных трансфертов. Так, аудит отмечает, что в 2020 году объем трансфертов из государственного бюджета для БАТЕ (13 617,9 млн. леев) обогнал примерно в 2,9 раза объем собственных поступивших доходов (4 646,4 млн. леев), что свидетельствует о высоком уровне зависимости БАТЕ от государственного бюджета.</w:t>
      </w:r>
    </w:p>
    <w:p w:rsidR="006F53B7" w:rsidRPr="00A77060" w:rsidRDefault="006F53B7" w:rsidP="006F53B7">
      <w:pPr>
        <w:spacing w:after="0" w:line="276" w:lineRule="auto"/>
        <w:rPr>
          <w:rFonts w:ascii="Calibri Light" w:eastAsia="MS Mincho" w:hAnsi="Calibri Light" w:cstheme="majorHAnsi"/>
          <w:i/>
          <w:sz w:val="24"/>
          <w:szCs w:val="24"/>
          <w:lang w:val="ru-RU" w:eastAsia="ja-JP"/>
        </w:rPr>
      </w:pPr>
      <w:r w:rsidRPr="00A77060">
        <w:rPr>
          <w:rFonts w:ascii="Calibri Light" w:eastAsia="MS Mincho" w:hAnsi="Calibri Light" w:cstheme="majorHAnsi"/>
          <w:sz w:val="24"/>
          <w:szCs w:val="24"/>
          <w:lang w:val="ru-RU" w:eastAsia="ja-JP"/>
        </w:rPr>
        <w:t xml:space="preserve">Остатки неиспользованных средств местных бюджетов, полученных за счет трансфертов специального назначения в конце 2020 года, были зарегистрированы на общую сумму 14,0 млн. леев, из которых: в АТО Гагаузия </w:t>
      </w:r>
      <w:r w:rsidRPr="00A77060">
        <w:rPr>
          <w:rFonts w:ascii="Calibri Light" w:eastAsiaTheme="minorEastAsia" w:hAnsi="Calibri Light" w:cstheme="majorHAnsi"/>
          <w:bCs/>
          <w:iCs/>
          <w:sz w:val="24"/>
          <w:szCs w:val="24"/>
          <w:lang w:val="ru-RU" w:eastAsia="ru-RU"/>
        </w:rPr>
        <w:t>–</w:t>
      </w:r>
      <w:r w:rsidRPr="00A77060">
        <w:rPr>
          <w:rFonts w:ascii="Calibri Light" w:eastAsia="MS Mincho" w:hAnsi="Calibri Light" w:cstheme="majorHAnsi"/>
          <w:sz w:val="24"/>
          <w:szCs w:val="24"/>
          <w:lang w:val="ru-RU" w:eastAsia="ja-JP"/>
        </w:rPr>
        <w:t xml:space="preserve"> 4,5 млн. леев, Дрокия – 1,4 млн. леев, Стрэшень - – 0,7 млн. леев, мун. Бэлць – 0,7 млн. леев и др., будучи с существенным удельным весом в образовании.</w:t>
      </w:r>
    </w:p>
    <w:p w:rsidR="006F53B7" w:rsidRPr="00A77060" w:rsidRDefault="006F53B7" w:rsidP="006F53B7">
      <w:pPr>
        <w:spacing w:after="0" w:line="276" w:lineRule="auto"/>
        <w:rPr>
          <w:rFonts w:ascii="Calibri Light" w:eastAsia="MS Mincho" w:hAnsi="Calibri Light" w:cstheme="majorHAnsi"/>
          <w:sz w:val="24"/>
          <w:szCs w:val="24"/>
          <w:lang w:val="ru-RU" w:eastAsia="ja-JP"/>
        </w:rPr>
      </w:pPr>
    </w:p>
    <w:p w:rsidR="006F53B7" w:rsidRPr="00A77060" w:rsidRDefault="006F53B7" w:rsidP="006F53B7">
      <w:pPr>
        <w:spacing w:after="0" w:line="276" w:lineRule="auto"/>
        <w:rPr>
          <w:rFonts w:ascii="Calibri Light" w:eastAsia="Times New Roman" w:hAnsi="Calibri Light" w:cstheme="majorHAnsi"/>
          <w:b/>
          <w:color w:val="000000" w:themeColor="text1"/>
          <w:sz w:val="24"/>
          <w:szCs w:val="24"/>
          <w:lang w:val="ru-RU"/>
        </w:rPr>
      </w:pPr>
      <w:r w:rsidRPr="00A77060">
        <w:rPr>
          <w:rFonts w:ascii="Calibri Light" w:eastAsia="Times New Roman" w:hAnsi="Calibri Light" w:cstheme="majorHAnsi"/>
          <w:b/>
          <w:color w:val="000000" w:themeColor="text1"/>
          <w:sz w:val="24"/>
          <w:szCs w:val="24"/>
          <w:lang w:val="ru-RU"/>
        </w:rPr>
        <w:t xml:space="preserve">7.2.3 Отмечается рост расходов по платежам, связанным с оплатой исполнительных документов </w:t>
      </w:r>
    </w:p>
    <w:p w:rsidR="006F53B7" w:rsidRPr="00A77060" w:rsidRDefault="006F53B7" w:rsidP="006F53B7">
      <w:pPr>
        <w:spacing w:after="0" w:line="276" w:lineRule="auto"/>
        <w:rPr>
          <w:rFonts w:ascii="Calibri Light" w:eastAsia="Times New Roman" w:hAnsi="Calibri Light"/>
          <w:color w:val="000000"/>
          <w:sz w:val="24"/>
          <w:szCs w:val="24"/>
          <w:lang w:val="ru-RU"/>
        </w:rPr>
      </w:pPr>
      <w:r w:rsidRPr="00A77060">
        <w:rPr>
          <w:rFonts w:ascii="Calibri Light" w:eastAsia="Times New Roman" w:hAnsi="Calibri Light"/>
          <w:color w:val="000000"/>
          <w:sz w:val="24"/>
          <w:szCs w:val="24"/>
          <w:lang w:val="ru-RU"/>
        </w:rPr>
        <w:t xml:space="preserve">Для исполнения исполнительных документов в 2020 году были утверждены средства из ГБ в сумме 24,2 </w:t>
      </w:r>
      <w:r w:rsidRPr="00A77060">
        <w:rPr>
          <w:rFonts w:ascii="Calibri Light" w:eastAsia="MS Mincho" w:hAnsi="Calibri Light" w:cstheme="majorHAnsi"/>
          <w:sz w:val="24"/>
          <w:szCs w:val="24"/>
          <w:lang w:val="ru-RU" w:eastAsia="ja-JP"/>
        </w:rPr>
        <w:t xml:space="preserve">млн. леев, впоследствии при уточнении бюджета были увеличены на </w:t>
      </w:r>
      <w:r w:rsidRPr="00A77060">
        <w:rPr>
          <w:rFonts w:ascii="Calibri Light" w:eastAsia="Times New Roman" w:hAnsi="Calibri Light"/>
          <w:color w:val="000000"/>
          <w:sz w:val="24"/>
          <w:szCs w:val="24"/>
          <w:lang w:val="ru-RU"/>
        </w:rPr>
        <w:t xml:space="preserve">72,8 </w:t>
      </w:r>
      <w:r w:rsidRPr="00A77060">
        <w:rPr>
          <w:rFonts w:ascii="Calibri Light" w:eastAsia="MS Mincho" w:hAnsi="Calibri Light" w:cstheme="majorHAnsi"/>
          <w:sz w:val="24"/>
          <w:szCs w:val="24"/>
          <w:lang w:val="ru-RU" w:eastAsia="ja-JP"/>
        </w:rPr>
        <w:t xml:space="preserve">млн. леев, будучи исполненными на уровне </w:t>
      </w:r>
      <w:r w:rsidRPr="00A77060">
        <w:rPr>
          <w:rFonts w:ascii="Calibri Light" w:eastAsia="Times New Roman" w:hAnsi="Calibri Light"/>
          <w:color w:val="000000"/>
          <w:sz w:val="24"/>
          <w:szCs w:val="24"/>
          <w:lang w:val="ru-RU"/>
        </w:rPr>
        <w:t xml:space="preserve">60,0% или в сумме 58,2 </w:t>
      </w:r>
      <w:r w:rsidRPr="00A77060">
        <w:rPr>
          <w:rFonts w:ascii="Calibri Light" w:eastAsia="MS Mincho" w:hAnsi="Calibri Light" w:cstheme="majorHAnsi"/>
          <w:sz w:val="24"/>
          <w:szCs w:val="24"/>
          <w:lang w:val="ru-RU" w:eastAsia="ja-JP"/>
        </w:rPr>
        <w:t xml:space="preserve">млн. леев. Анализ аудита свидетельствует о росте расходов </w:t>
      </w:r>
      <w:r w:rsidRPr="00A77060">
        <w:rPr>
          <w:rFonts w:ascii="Calibri Light" w:eastAsia="Times New Roman" w:hAnsi="Calibri Light" w:cstheme="majorHAnsi"/>
          <w:color w:val="000000" w:themeColor="text1"/>
          <w:sz w:val="24"/>
          <w:szCs w:val="24"/>
          <w:lang w:val="ru-RU"/>
        </w:rPr>
        <w:t xml:space="preserve">по платежам, связанным с оплатой исполнительных документов, по сравнению с предыдущим годом на </w:t>
      </w:r>
      <w:r w:rsidRPr="00A77060">
        <w:rPr>
          <w:rFonts w:ascii="Calibri Light" w:hAnsi="Calibri Light" w:cs="Times New Roman"/>
          <w:sz w:val="24"/>
          <w:szCs w:val="24"/>
          <w:lang w:val="ru-RU"/>
        </w:rPr>
        <w:t xml:space="preserve">24,7 </w:t>
      </w:r>
      <w:r w:rsidRPr="00A77060">
        <w:rPr>
          <w:rFonts w:ascii="Calibri Light" w:eastAsia="MS Mincho" w:hAnsi="Calibri Light" w:cstheme="majorHAnsi"/>
          <w:sz w:val="24"/>
          <w:szCs w:val="24"/>
          <w:lang w:val="ru-RU" w:eastAsia="ja-JP"/>
        </w:rPr>
        <w:t xml:space="preserve">млн. леев или на </w:t>
      </w:r>
      <w:r w:rsidRPr="00A77060">
        <w:rPr>
          <w:rFonts w:ascii="Calibri Light" w:hAnsi="Calibri Light" w:cs="Times New Roman"/>
          <w:sz w:val="24"/>
          <w:szCs w:val="24"/>
          <w:lang w:val="ru-RU"/>
        </w:rPr>
        <w:t>73,9%.</w:t>
      </w:r>
    </w:p>
    <w:p w:rsidR="006F53B7" w:rsidRPr="00A77060" w:rsidRDefault="006F53B7" w:rsidP="006F53B7">
      <w:pPr>
        <w:spacing w:after="0" w:line="276" w:lineRule="auto"/>
        <w:rPr>
          <w:rFonts w:ascii="Calibri Light" w:eastAsia="Times New Roman" w:hAnsi="Calibri Light" w:cs="Times New Roman"/>
          <w:sz w:val="24"/>
          <w:szCs w:val="24"/>
          <w:lang w:val="ru-RU"/>
        </w:rPr>
      </w:pPr>
      <w:r w:rsidRPr="00A77060">
        <w:rPr>
          <w:rFonts w:ascii="Calibri Light" w:eastAsia="Times New Roman" w:hAnsi="Calibri Light" w:cs="Times New Roman"/>
          <w:sz w:val="24"/>
          <w:szCs w:val="24"/>
          <w:lang w:val="ru-RU"/>
        </w:rPr>
        <w:t xml:space="preserve">В 2020 году из общих исполненных расходов в сумме 58,2 </w:t>
      </w:r>
      <w:r w:rsidRPr="00A77060">
        <w:rPr>
          <w:rFonts w:ascii="Calibri Light" w:eastAsia="MS Mincho" w:hAnsi="Calibri Light" w:cstheme="majorHAnsi"/>
          <w:sz w:val="24"/>
          <w:szCs w:val="24"/>
          <w:lang w:val="ru-RU" w:eastAsia="ja-JP"/>
        </w:rPr>
        <w:t xml:space="preserve">млн. леев, </w:t>
      </w:r>
      <w:r w:rsidRPr="00A77060">
        <w:rPr>
          <w:rFonts w:ascii="Calibri Light" w:eastAsia="Times New Roman" w:hAnsi="Calibri Light" w:cs="Times New Roman"/>
          <w:sz w:val="24"/>
          <w:szCs w:val="24"/>
          <w:lang w:val="ru-RU"/>
        </w:rPr>
        <w:t xml:space="preserve">51,4 </w:t>
      </w:r>
      <w:r w:rsidRPr="00A77060">
        <w:rPr>
          <w:rFonts w:ascii="Calibri Light" w:eastAsia="MS Mincho" w:hAnsi="Calibri Light" w:cstheme="majorHAnsi"/>
          <w:sz w:val="24"/>
          <w:szCs w:val="24"/>
          <w:lang w:val="ru-RU" w:eastAsia="ja-JP"/>
        </w:rPr>
        <w:t>млн. леев</w:t>
      </w:r>
      <w:r w:rsidRPr="00A77060">
        <w:rPr>
          <w:rFonts w:ascii="Calibri Light" w:eastAsia="Times New Roman" w:hAnsi="Calibri Light" w:cs="Times New Roman"/>
          <w:sz w:val="24"/>
          <w:szCs w:val="24"/>
          <w:lang w:val="ru-RU"/>
        </w:rPr>
        <w:t xml:space="preserve"> (88,3 %) были оплачены напрямую МФ, а 6,8 </w:t>
      </w:r>
      <w:r w:rsidRPr="00A77060">
        <w:rPr>
          <w:rFonts w:ascii="Calibri Light" w:eastAsia="MS Mincho" w:hAnsi="Calibri Light" w:cstheme="majorHAnsi"/>
          <w:sz w:val="24"/>
          <w:szCs w:val="24"/>
          <w:lang w:val="ru-RU" w:eastAsia="ja-JP"/>
        </w:rPr>
        <w:t>млн. леев</w:t>
      </w:r>
      <w:r w:rsidRPr="00A77060">
        <w:rPr>
          <w:rFonts w:ascii="Calibri Light" w:eastAsia="Times New Roman" w:hAnsi="Calibri Light" w:cs="Times New Roman"/>
          <w:sz w:val="24"/>
          <w:szCs w:val="24"/>
          <w:lang w:val="ru-RU"/>
        </w:rPr>
        <w:t xml:space="preserve"> (11,7%) – исполнителями бюджета.</w:t>
      </w:r>
    </w:p>
    <w:p w:rsidR="006F53B7" w:rsidRPr="00A77060" w:rsidRDefault="006F53B7" w:rsidP="006F53B7">
      <w:pPr>
        <w:shd w:val="clear" w:color="auto" w:fill="FFFFFF"/>
        <w:spacing w:after="0" w:line="276" w:lineRule="auto"/>
        <w:rPr>
          <w:rFonts w:ascii="Calibri Light" w:eastAsia="Times New Roman" w:hAnsi="Calibri Light" w:cs="Times New Roman"/>
          <w:sz w:val="24"/>
          <w:szCs w:val="24"/>
          <w:lang w:val="ru-RU"/>
        </w:rPr>
      </w:pPr>
      <w:r w:rsidRPr="00A77060">
        <w:rPr>
          <w:rFonts w:ascii="Calibri Light" w:eastAsia="Times New Roman" w:hAnsi="Calibri Light" w:cs="Times New Roman"/>
          <w:sz w:val="24"/>
          <w:szCs w:val="24"/>
          <w:lang w:val="ru-RU"/>
        </w:rPr>
        <w:t xml:space="preserve">Проверки аудита показывают, что в течение 2020 года в МФ были направлены для оплаты 230 </w:t>
      </w:r>
      <w:r w:rsidRPr="00A77060">
        <w:rPr>
          <w:rFonts w:ascii="Calibri Light" w:eastAsia="Times New Roman" w:hAnsi="Calibri Light" w:cstheme="majorHAnsi"/>
          <w:color w:val="000000" w:themeColor="text1"/>
          <w:sz w:val="24"/>
          <w:szCs w:val="24"/>
          <w:lang w:val="ru-RU"/>
        </w:rPr>
        <w:t xml:space="preserve">исполнительных документов, которые были исполнены в сумме </w:t>
      </w:r>
      <w:r w:rsidRPr="00A77060">
        <w:rPr>
          <w:rFonts w:ascii="Calibri Light" w:eastAsia="Times New Roman" w:hAnsi="Calibri Light" w:cs="Times New Roman"/>
          <w:sz w:val="24"/>
          <w:szCs w:val="24"/>
          <w:lang w:val="ru-RU"/>
        </w:rPr>
        <w:t xml:space="preserve">51,4 </w:t>
      </w:r>
      <w:r w:rsidRPr="00A77060">
        <w:rPr>
          <w:rFonts w:ascii="Calibri Light" w:eastAsia="MS Mincho" w:hAnsi="Calibri Light" w:cstheme="majorHAnsi"/>
          <w:sz w:val="24"/>
          <w:szCs w:val="24"/>
          <w:lang w:val="ru-RU" w:eastAsia="ja-JP"/>
        </w:rPr>
        <w:t>млн. леев, из которых:</w:t>
      </w:r>
      <w:r w:rsidRPr="00A77060">
        <w:rPr>
          <w:rFonts w:ascii="Calibri Light" w:eastAsia="Times New Roman" w:hAnsi="Calibri Light" w:cs="Times New Roman"/>
          <w:sz w:val="24"/>
          <w:szCs w:val="24"/>
          <w:lang w:val="ru-RU"/>
        </w:rPr>
        <w:t xml:space="preserve"> 183 </w:t>
      </w:r>
      <w:r w:rsidRPr="00A77060">
        <w:rPr>
          <w:rFonts w:ascii="Calibri Light" w:eastAsia="Times New Roman" w:hAnsi="Calibri Light" w:cstheme="majorHAnsi"/>
          <w:sz w:val="24"/>
          <w:szCs w:val="24"/>
          <w:lang w:val="ru-RU"/>
        </w:rPr>
        <w:t xml:space="preserve">исполнительных листа, выпущенных судебными инстанциями из РМ в размере </w:t>
      </w:r>
      <w:r w:rsidRPr="00A77060">
        <w:rPr>
          <w:rFonts w:ascii="Calibri Light" w:eastAsia="Times New Roman" w:hAnsi="Calibri Light" w:cs="Times New Roman"/>
          <w:sz w:val="24"/>
          <w:szCs w:val="24"/>
          <w:lang w:val="ru-RU"/>
        </w:rPr>
        <w:t xml:space="preserve">9,7 </w:t>
      </w:r>
      <w:r w:rsidRPr="00A77060">
        <w:rPr>
          <w:rFonts w:ascii="Calibri Light" w:eastAsia="MS Mincho" w:hAnsi="Calibri Light" w:cstheme="majorHAnsi"/>
          <w:sz w:val="24"/>
          <w:szCs w:val="24"/>
          <w:lang w:val="ru-RU" w:eastAsia="ja-JP"/>
        </w:rPr>
        <w:t xml:space="preserve">млн. леев, и </w:t>
      </w:r>
      <w:r w:rsidRPr="00A77060">
        <w:rPr>
          <w:rFonts w:ascii="Calibri Light" w:eastAsia="Times New Roman" w:hAnsi="Calibri Light" w:cs="Times New Roman"/>
          <w:sz w:val="24"/>
          <w:szCs w:val="24"/>
          <w:lang w:val="ru-RU"/>
        </w:rPr>
        <w:t xml:space="preserve">49 постановлений ЕСПЧ в размере 41,7 </w:t>
      </w:r>
      <w:r w:rsidRPr="00A77060">
        <w:rPr>
          <w:rFonts w:ascii="Calibri Light" w:eastAsia="MS Mincho" w:hAnsi="Calibri Light" w:cstheme="majorHAnsi"/>
          <w:sz w:val="24"/>
          <w:szCs w:val="24"/>
          <w:lang w:val="ru-RU" w:eastAsia="ja-JP"/>
        </w:rPr>
        <w:t xml:space="preserve">млн. леев или </w:t>
      </w:r>
      <w:r w:rsidRPr="00A77060">
        <w:rPr>
          <w:rFonts w:ascii="Calibri Light" w:eastAsia="Times New Roman" w:hAnsi="Calibri Light" w:cstheme="majorHAnsi"/>
          <w:color w:val="000000"/>
          <w:sz w:val="24"/>
          <w:szCs w:val="24"/>
          <w:lang w:val="ru-RU"/>
        </w:rPr>
        <w:t xml:space="preserve">71,6% от всех платежей, связанных с </w:t>
      </w:r>
      <w:r w:rsidRPr="00A77060">
        <w:rPr>
          <w:rFonts w:ascii="Calibri Light" w:eastAsia="Times New Roman" w:hAnsi="Calibri Light" w:cstheme="majorHAnsi"/>
          <w:color w:val="000000" w:themeColor="text1"/>
          <w:sz w:val="24"/>
          <w:szCs w:val="24"/>
          <w:lang w:val="ru-RU"/>
        </w:rPr>
        <w:t xml:space="preserve">исполнительными документами. Анализ аудита расходов из ГБ согласно </w:t>
      </w:r>
      <w:r w:rsidRPr="00A77060">
        <w:rPr>
          <w:rFonts w:ascii="Calibri Light" w:eastAsia="Times New Roman" w:hAnsi="Calibri Light" w:cs="Times New Roman"/>
          <w:sz w:val="24"/>
          <w:szCs w:val="24"/>
          <w:lang w:val="ru-RU"/>
        </w:rPr>
        <w:t xml:space="preserve">постановлениям ЕСПЧ </w:t>
      </w:r>
      <w:r w:rsidRPr="00A77060">
        <w:rPr>
          <w:rFonts w:ascii="Calibri Light" w:eastAsia="Times New Roman" w:hAnsi="Calibri Light" w:cstheme="majorHAnsi"/>
          <w:sz w:val="24"/>
          <w:szCs w:val="24"/>
          <w:lang w:val="ru-RU"/>
        </w:rPr>
        <w:t xml:space="preserve">(41,7 </w:t>
      </w:r>
      <w:r w:rsidRPr="00A77060">
        <w:rPr>
          <w:rFonts w:ascii="Calibri Light" w:eastAsia="MS Mincho" w:hAnsi="Calibri Light" w:cstheme="majorHAnsi"/>
          <w:sz w:val="24"/>
          <w:szCs w:val="24"/>
          <w:lang w:val="ru-RU" w:eastAsia="ja-JP"/>
        </w:rPr>
        <w:t>млн. леев</w:t>
      </w:r>
      <w:r w:rsidRPr="00A77060">
        <w:rPr>
          <w:rFonts w:ascii="Calibri Light" w:eastAsia="Times New Roman" w:hAnsi="Calibri Light" w:cstheme="majorHAnsi"/>
          <w:sz w:val="24"/>
          <w:szCs w:val="24"/>
          <w:lang w:val="ru-RU"/>
        </w:rPr>
        <w:t>)</w:t>
      </w:r>
      <w:r w:rsidRPr="00A77060">
        <w:rPr>
          <w:rFonts w:ascii="Calibri Light" w:eastAsia="MS Mincho" w:hAnsi="Calibri Light" w:cstheme="majorHAnsi"/>
          <w:sz w:val="24"/>
          <w:szCs w:val="24"/>
          <w:lang w:val="ru-RU" w:eastAsia="ja-JP"/>
        </w:rPr>
        <w:t xml:space="preserve"> свидетельствует о том, что значительный удельный вес в общих платежах, произведенных в течение </w:t>
      </w:r>
      <w:r w:rsidRPr="00A77060">
        <w:rPr>
          <w:rFonts w:ascii="Calibri Light" w:eastAsia="Times New Roman" w:hAnsi="Calibri Light" w:cstheme="majorHAnsi"/>
          <w:sz w:val="24"/>
          <w:szCs w:val="24"/>
          <w:lang w:val="ru-RU"/>
        </w:rPr>
        <w:t xml:space="preserve">2020 года, занимает оплата убытков согласно </w:t>
      </w:r>
      <w:r w:rsidRPr="00A77060">
        <w:rPr>
          <w:rFonts w:ascii="Calibri Light" w:eastAsia="Times New Roman" w:hAnsi="Calibri Light" w:cs="Times New Roman"/>
          <w:sz w:val="24"/>
          <w:szCs w:val="24"/>
          <w:lang w:val="ru-RU"/>
        </w:rPr>
        <w:t>постановлению ЕСПЧ №</w:t>
      </w:r>
      <w:r w:rsidRPr="00A77060">
        <w:rPr>
          <w:rFonts w:ascii="Calibri Light" w:eastAsia="Times New Roman" w:hAnsi="Calibri Light" w:cstheme="majorHAnsi"/>
          <w:sz w:val="24"/>
          <w:szCs w:val="24"/>
          <w:lang w:val="ru-RU"/>
        </w:rPr>
        <w:t>06/2804 от 24.03.2020</w:t>
      </w:r>
      <w:r w:rsidRPr="00A77060">
        <w:rPr>
          <w:rStyle w:val="FootnoteReference"/>
          <w:rFonts w:ascii="Calibri Light" w:eastAsia="Times New Roman" w:hAnsi="Calibri Light" w:cstheme="majorHAnsi"/>
          <w:sz w:val="24"/>
          <w:szCs w:val="24"/>
          <w:lang w:val="ru-RU"/>
        </w:rPr>
        <w:footnoteReference w:id="101"/>
      </w:r>
      <w:r w:rsidRPr="00A77060">
        <w:rPr>
          <w:rFonts w:ascii="Calibri Light" w:eastAsia="Times New Roman" w:hAnsi="Calibri Light" w:cstheme="majorHAnsi"/>
          <w:sz w:val="24"/>
          <w:szCs w:val="24"/>
          <w:lang w:val="ru-RU"/>
        </w:rPr>
        <w:t xml:space="preserve">, которые составляют 29,6 </w:t>
      </w:r>
      <w:r w:rsidRPr="00A77060">
        <w:rPr>
          <w:rFonts w:ascii="Calibri Light" w:eastAsia="MS Mincho" w:hAnsi="Calibri Light" w:cstheme="majorHAnsi"/>
          <w:sz w:val="24"/>
          <w:szCs w:val="24"/>
          <w:lang w:val="ru-RU" w:eastAsia="ja-JP"/>
        </w:rPr>
        <w:t>млн. леев или примерно</w:t>
      </w:r>
      <w:r w:rsidRPr="00A77060">
        <w:rPr>
          <w:rFonts w:ascii="Calibri Light" w:eastAsia="Times New Roman" w:hAnsi="Calibri Light" w:cstheme="majorHAnsi"/>
          <w:sz w:val="24"/>
          <w:szCs w:val="24"/>
          <w:lang w:val="ru-RU"/>
        </w:rPr>
        <w:t xml:space="preserve"> 71,0 %.</w:t>
      </w:r>
    </w:p>
    <w:p w:rsidR="006F53B7" w:rsidRPr="00A77060" w:rsidRDefault="006F53B7" w:rsidP="006F53B7">
      <w:pPr>
        <w:shd w:val="clear" w:color="auto" w:fill="FFFFFF"/>
        <w:spacing w:line="276" w:lineRule="auto"/>
        <w:rPr>
          <w:rFonts w:ascii="Calibri Light" w:eastAsia="Times New Roman" w:hAnsi="Calibri Light" w:cstheme="majorHAnsi"/>
          <w:color w:val="000000"/>
          <w:sz w:val="24"/>
          <w:szCs w:val="24"/>
          <w:lang w:val="ru-RU"/>
        </w:rPr>
      </w:pPr>
      <w:r w:rsidRPr="00A77060">
        <w:rPr>
          <w:rFonts w:ascii="Calibri Light" w:eastAsia="Times New Roman" w:hAnsi="Calibri Light" w:cs="Times New Roman"/>
          <w:sz w:val="24"/>
          <w:szCs w:val="24"/>
          <w:lang w:val="ru-RU"/>
        </w:rPr>
        <w:t xml:space="preserve">Проверки аудита отмечают то, что регистрируются дебиторские задолженности с истекшим сроком оплаты, связанные с постановлениями судебных инстанций, оставшимися окончательными, на общую сумму </w:t>
      </w:r>
      <w:r w:rsidRPr="00A77060">
        <w:rPr>
          <w:rFonts w:ascii="Calibri Light" w:eastAsia="Times New Roman" w:hAnsi="Calibri Light" w:cstheme="majorHAnsi"/>
          <w:color w:val="000000"/>
          <w:sz w:val="24"/>
          <w:szCs w:val="24"/>
          <w:lang w:val="ru-RU"/>
        </w:rPr>
        <w:t xml:space="preserve">20,1 </w:t>
      </w:r>
      <w:r w:rsidRPr="00A77060">
        <w:rPr>
          <w:rFonts w:ascii="Calibri Light" w:eastAsia="MS Mincho" w:hAnsi="Calibri Light" w:cstheme="majorHAnsi"/>
          <w:sz w:val="24"/>
          <w:szCs w:val="24"/>
          <w:lang w:val="ru-RU" w:eastAsia="ja-JP"/>
        </w:rPr>
        <w:t xml:space="preserve">млн. леев по 3 экономическим агентам и одному физическому лицу, из которых по 2 экономическим агентам зарегистрированы с </w:t>
      </w:r>
      <w:r w:rsidRPr="00A77060">
        <w:rPr>
          <w:rFonts w:ascii="Calibri Light" w:eastAsia="Times New Roman" w:hAnsi="Calibri Light" w:cstheme="majorHAnsi"/>
          <w:color w:val="000000"/>
          <w:sz w:val="24"/>
          <w:szCs w:val="24"/>
          <w:lang w:val="ru-RU"/>
        </w:rPr>
        <w:t xml:space="preserve">2000 года (3,8 </w:t>
      </w:r>
      <w:r w:rsidRPr="00A77060">
        <w:rPr>
          <w:rFonts w:ascii="Calibri Light" w:eastAsia="MS Mincho" w:hAnsi="Calibri Light" w:cstheme="majorHAnsi"/>
          <w:sz w:val="24"/>
          <w:szCs w:val="24"/>
          <w:lang w:val="ru-RU" w:eastAsia="ja-JP"/>
        </w:rPr>
        <w:lastRenderedPageBreak/>
        <w:t xml:space="preserve">млн. леев) и по одному экономическому агенту с </w:t>
      </w:r>
      <w:r w:rsidRPr="00A77060">
        <w:rPr>
          <w:rFonts w:ascii="Calibri Light" w:eastAsia="Times New Roman" w:hAnsi="Calibri Light" w:cstheme="majorHAnsi"/>
          <w:color w:val="000000"/>
          <w:sz w:val="24"/>
          <w:szCs w:val="24"/>
          <w:lang w:val="ru-RU"/>
        </w:rPr>
        <w:t xml:space="preserve">2009 года (8,3 </w:t>
      </w:r>
      <w:r w:rsidRPr="00A77060">
        <w:rPr>
          <w:rFonts w:ascii="Calibri Light" w:eastAsia="MS Mincho" w:hAnsi="Calibri Light" w:cstheme="majorHAnsi"/>
          <w:sz w:val="24"/>
          <w:szCs w:val="24"/>
          <w:lang w:val="ru-RU" w:eastAsia="ja-JP"/>
        </w:rPr>
        <w:t xml:space="preserve">млн. леев) и по одному физическому лицу с </w:t>
      </w:r>
      <w:r w:rsidRPr="00A77060">
        <w:rPr>
          <w:rFonts w:ascii="Calibri Light" w:eastAsia="Times New Roman" w:hAnsi="Calibri Light" w:cstheme="majorHAnsi"/>
          <w:color w:val="000000"/>
          <w:sz w:val="24"/>
          <w:szCs w:val="24"/>
          <w:lang w:val="ru-RU"/>
        </w:rPr>
        <w:t>2012 года (8,0</w:t>
      </w:r>
      <w:r w:rsidRPr="00A77060">
        <w:rPr>
          <w:rFonts w:ascii="Calibri Light" w:eastAsia="MS Mincho" w:hAnsi="Calibri Light" w:cstheme="majorHAnsi"/>
          <w:sz w:val="24"/>
          <w:szCs w:val="24"/>
          <w:lang w:val="ru-RU" w:eastAsia="ja-JP"/>
        </w:rPr>
        <w:t xml:space="preserve"> млн. леев</w:t>
      </w:r>
      <w:r w:rsidRPr="00A77060">
        <w:rPr>
          <w:rFonts w:ascii="Calibri Light" w:eastAsia="Times New Roman" w:hAnsi="Calibri Light" w:cstheme="majorHAnsi"/>
          <w:color w:val="000000"/>
          <w:sz w:val="24"/>
          <w:szCs w:val="24"/>
          <w:lang w:val="ru-RU"/>
        </w:rPr>
        <w:t>).</w:t>
      </w:r>
    </w:p>
    <w:p w:rsidR="006F53B7" w:rsidRPr="00A77060" w:rsidRDefault="006F53B7" w:rsidP="006F53B7">
      <w:pPr>
        <w:shd w:val="clear" w:color="auto" w:fill="FFFFFF"/>
        <w:spacing w:line="276" w:lineRule="auto"/>
        <w:rPr>
          <w:rFonts w:ascii="Calibri Light" w:eastAsia="Times New Roman" w:hAnsi="Calibri Light" w:cs="Times New Roman"/>
          <w:sz w:val="24"/>
          <w:szCs w:val="24"/>
          <w:lang w:val="ru-RU"/>
        </w:rPr>
      </w:pPr>
    </w:p>
    <w:p w:rsidR="006F53B7" w:rsidRPr="00A77060" w:rsidRDefault="006F53B7" w:rsidP="006F53B7">
      <w:pPr>
        <w:spacing w:after="0" w:line="276" w:lineRule="auto"/>
        <w:rPr>
          <w:rFonts w:ascii="Calibri Light" w:eastAsia="Times New Roman" w:hAnsi="Calibri Light" w:cstheme="majorHAnsi"/>
          <w:b/>
          <w:iCs/>
          <w:sz w:val="24"/>
          <w:szCs w:val="24"/>
          <w:lang w:val="ru-RU"/>
        </w:rPr>
      </w:pPr>
      <w:r w:rsidRPr="00A77060">
        <w:rPr>
          <w:rFonts w:ascii="Calibri Light" w:eastAsia="Times New Roman" w:hAnsi="Calibri Light" w:cstheme="majorHAnsi"/>
          <w:b/>
          <w:iCs/>
          <w:sz w:val="24"/>
          <w:szCs w:val="24"/>
          <w:lang w:val="ru-RU"/>
        </w:rPr>
        <w:t>7.3 НПБ является сводом бюджетов, созданных в рамках бюджетной системы, с исключением межбюджетных трансфертов.</w:t>
      </w:r>
    </w:p>
    <w:p w:rsidR="006F53B7" w:rsidRPr="00A77060" w:rsidRDefault="006F53B7" w:rsidP="006F53B7">
      <w:pPr>
        <w:spacing w:after="0" w:line="276" w:lineRule="auto"/>
        <w:rPr>
          <w:rFonts w:ascii="Calibri Light" w:eastAsia="Times New Roman" w:hAnsi="Calibri Light" w:cstheme="majorHAnsi"/>
          <w:iCs/>
          <w:sz w:val="24"/>
          <w:szCs w:val="24"/>
          <w:lang w:val="ru-RU"/>
        </w:rPr>
      </w:pPr>
      <w:r w:rsidRPr="00A77060">
        <w:rPr>
          <w:rFonts w:ascii="Calibri Light" w:eastAsia="Times New Roman" w:hAnsi="Calibri Light" w:cstheme="majorHAnsi"/>
          <w:iCs/>
          <w:sz w:val="24"/>
          <w:szCs w:val="24"/>
          <w:lang w:val="ru-RU"/>
        </w:rPr>
        <w:t>Компоненты НПБ охватывают ГБ</w:t>
      </w:r>
      <w:r w:rsidRPr="00A77060">
        <w:rPr>
          <w:rFonts w:ascii="Calibri Light" w:hAnsi="Calibri Light" w:cstheme="majorHAnsi"/>
          <w:sz w:val="24"/>
          <w:szCs w:val="24"/>
          <w:vertAlign w:val="superscript"/>
          <w:lang w:val="ru-RU"/>
        </w:rPr>
        <w:footnoteReference w:id="102"/>
      </w:r>
      <w:r w:rsidRPr="00A77060">
        <w:rPr>
          <w:rFonts w:ascii="Calibri Light" w:hAnsi="Calibri Light" w:cstheme="majorHAnsi"/>
          <w:sz w:val="24"/>
          <w:szCs w:val="24"/>
          <w:lang w:val="ru-RU"/>
        </w:rPr>
        <w:t>, БГСС, ФОМС и МБ, из которых центральный консолидированный бюджет формируется из ГБ, БГСС и ФОМС, а местные бюджеты первого уровня и второго уровня формируют в целом консолидированный местный бюджет</w:t>
      </w:r>
      <w:r w:rsidRPr="00A77060">
        <w:rPr>
          <w:rFonts w:ascii="Calibri Light" w:hAnsi="Calibri Light" w:cstheme="majorHAnsi"/>
          <w:sz w:val="24"/>
          <w:szCs w:val="24"/>
          <w:vertAlign w:val="superscript"/>
          <w:lang w:val="ru-RU"/>
        </w:rPr>
        <w:footnoteReference w:id="103"/>
      </w:r>
      <w:r w:rsidRPr="00A77060">
        <w:rPr>
          <w:rFonts w:ascii="Calibri Light" w:hAnsi="Calibri Light" w:cstheme="majorHAnsi"/>
          <w:sz w:val="24"/>
          <w:szCs w:val="24"/>
          <w:lang w:val="ru-RU"/>
        </w:rPr>
        <w:t>. МФ ежегодно составляет и размещает на официальной странице Консолидированный бухгалтерский баланс центрального Правительства, который включает консолидированный бухгалтерский баланс ЦПО, НКСС и НКМС. Государственное казначейство и региональные казначейства МФ обеспечивают бухгалтерский учет кассового исполнения средств НПБ. Согласно Отчету об исполнении национального публичного бюджета за 2020 год</w:t>
      </w:r>
      <w:r w:rsidRPr="00A77060">
        <w:rPr>
          <w:rFonts w:ascii="Calibri Light" w:hAnsi="Calibri Light" w:cstheme="majorHAnsi"/>
          <w:sz w:val="24"/>
          <w:szCs w:val="24"/>
          <w:vertAlign w:val="superscript"/>
          <w:lang w:val="ru-RU"/>
        </w:rPr>
        <w:footnoteReference w:id="104"/>
      </w:r>
      <w:r w:rsidRPr="00A77060">
        <w:rPr>
          <w:rFonts w:ascii="Calibri Light" w:hAnsi="Calibri Light" w:cstheme="majorHAnsi"/>
          <w:sz w:val="24"/>
          <w:szCs w:val="24"/>
          <w:lang w:val="ru-RU"/>
        </w:rPr>
        <w:t xml:space="preserve">, поступили доходы на общую сумму 62 650,0 </w:t>
      </w:r>
      <w:r w:rsidRPr="00A77060">
        <w:rPr>
          <w:rFonts w:ascii="Calibri Light" w:eastAsia="MS Mincho" w:hAnsi="Calibri Light" w:cstheme="majorHAnsi"/>
          <w:sz w:val="24"/>
          <w:szCs w:val="24"/>
          <w:lang w:val="ru-RU" w:eastAsia="ja-JP"/>
        </w:rPr>
        <w:t xml:space="preserve">млн. леев, что составляет </w:t>
      </w:r>
      <w:r w:rsidRPr="00A77060">
        <w:rPr>
          <w:rFonts w:ascii="Calibri Light" w:hAnsi="Calibri Light" w:cstheme="majorHAnsi"/>
          <w:sz w:val="24"/>
          <w:szCs w:val="24"/>
          <w:lang w:val="ru-RU"/>
        </w:rPr>
        <w:t xml:space="preserve">30,4% от ВВП. Доходы НПБ по сравнению с уточненными показателями зарегистрировали рост на 2,3%, эквивалентный 1422,9 </w:t>
      </w:r>
      <w:r w:rsidRPr="00A77060">
        <w:rPr>
          <w:rFonts w:ascii="Calibri Light" w:eastAsia="MS Mincho" w:hAnsi="Calibri Light" w:cstheme="majorHAnsi"/>
          <w:sz w:val="24"/>
          <w:szCs w:val="24"/>
          <w:lang w:val="ru-RU" w:eastAsia="ja-JP"/>
        </w:rPr>
        <w:t xml:space="preserve">млн. леев. Вместе с тем, по сравнению с 2019 годом поступившие в НПБ доходы снизились на </w:t>
      </w:r>
      <w:r w:rsidRPr="00A77060">
        <w:rPr>
          <w:rFonts w:ascii="Calibri Light" w:hAnsi="Calibri Light" w:cstheme="majorHAnsi"/>
          <w:sz w:val="24"/>
          <w:szCs w:val="24"/>
          <w:lang w:val="ru-RU"/>
        </w:rPr>
        <w:t xml:space="preserve">0,5% или на 299,2 </w:t>
      </w:r>
      <w:r w:rsidRPr="00A77060">
        <w:rPr>
          <w:rFonts w:ascii="Calibri Light" w:eastAsia="MS Mincho" w:hAnsi="Calibri Light" w:cstheme="majorHAnsi"/>
          <w:sz w:val="24"/>
          <w:szCs w:val="24"/>
          <w:lang w:val="ru-RU" w:eastAsia="ja-JP"/>
        </w:rPr>
        <w:t xml:space="preserve">млн. леев. Бюджетное исполнение за </w:t>
      </w:r>
      <w:r w:rsidRPr="00A77060">
        <w:rPr>
          <w:rFonts w:ascii="Calibri Light" w:eastAsia="Times New Roman" w:hAnsi="Calibri Light" w:cstheme="majorHAnsi"/>
          <w:color w:val="000000"/>
          <w:spacing w:val="-1"/>
          <w:sz w:val="24"/>
          <w:szCs w:val="24"/>
          <w:lang w:val="ru-RU" w:eastAsia="ru-RU"/>
        </w:rPr>
        <w:t xml:space="preserve">2020 год завершилось бюджетным остатком (дефицитом) на уровне 5,1% от ВВП по сравнению с 1,44% в 2019 году. Общее налоговое правило, установленное в ст.15 </w:t>
      </w:r>
      <w:r w:rsidRPr="00A77060">
        <w:rPr>
          <w:rFonts w:ascii="Calibri Light" w:hAnsi="Calibri Light" w:cstheme="majorHAnsi"/>
          <w:sz w:val="24"/>
          <w:szCs w:val="24"/>
          <w:lang w:val="ru-RU"/>
        </w:rPr>
        <w:t>(1) Закона №181, не было соблюдено, однако в основе положений части (3) этой же статьи допускается отклонение от правила в случае чрезвычайных ситуаций, угрожающих национальной без</w:t>
      </w:r>
      <w:r>
        <w:rPr>
          <w:rFonts w:ascii="Calibri Light" w:hAnsi="Calibri Light" w:cstheme="majorHAnsi"/>
          <w:sz w:val="24"/>
          <w:szCs w:val="24"/>
          <w:lang w:val="ru-RU"/>
        </w:rPr>
        <w:t>о</w:t>
      </w:r>
      <w:r w:rsidRPr="00A77060">
        <w:rPr>
          <w:rFonts w:ascii="Calibri Light" w:hAnsi="Calibri Light" w:cstheme="majorHAnsi"/>
          <w:sz w:val="24"/>
          <w:szCs w:val="24"/>
          <w:lang w:val="ru-RU"/>
        </w:rPr>
        <w:t xml:space="preserve">пасности, и спад экономической деятельности. </w:t>
      </w:r>
      <w:r w:rsidRPr="00A77060">
        <w:rPr>
          <w:rFonts w:ascii="Calibri Light" w:hAnsi="Calibri Light" w:cstheme="majorHAnsi"/>
          <w:i/>
          <w:sz w:val="24"/>
          <w:szCs w:val="24"/>
          <w:lang w:val="ru-RU"/>
        </w:rPr>
        <w:t>Исполнение основных показателей НПБ за</w:t>
      </w:r>
      <w:r w:rsidRPr="00A77060">
        <w:rPr>
          <w:rFonts w:ascii="Calibri Light" w:hAnsi="Calibri Light" w:cstheme="majorHAnsi"/>
          <w:sz w:val="24"/>
          <w:szCs w:val="24"/>
          <w:lang w:val="ru-RU"/>
        </w:rPr>
        <w:t xml:space="preserve"> </w:t>
      </w:r>
      <w:r w:rsidRPr="00A77060">
        <w:rPr>
          <w:rFonts w:ascii="Calibri Light" w:eastAsia="Times New Roman" w:hAnsi="Calibri Light" w:cstheme="majorHAnsi"/>
          <w:i/>
          <w:color w:val="000000"/>
          <w:spacing w:val="-1"/>
          <w:sz w:val="24"/>
          <w:szCs w:val="24"/>
          <w:lang w:val="ru-RU" w:eastAsia="ru-RU"/>
        </w:rPr>
        <w:t>2020 год представлено в приложении №14 к настоящему Отчету аудита.</w:t>
      </w:r>
    </w:p>
    <w:p w:rsidR="006F53B7" w:rsidRPr="00A77060" w:rsidRDefault="006F53B7" w:rsidP="006F53B7">
      <w:pPr>
        <w:spacing w:after="0"/>
        <w:rPr>
          <w:rFonts w:ascii="Calibri Light" w:hAnsi="Calibri Light" w:cstheme="majorHAnsi"/>
          <w:sz w:val="24"/>
          <w:szCs w:val="24"/>
          <w:lang w:val="ru-RU"/>
        </w:rPr>
      </w:pPr>
    </w:p>
    <w:p w:rsidR="006F53B7" w:rsidRPr="00A77060" w:rsidRDefault="006F53B7" w:rsidP="006F53B7">
      <w:pPr>
        <w:numPr>
          <w:ilvl w:val="0"/>
          <w:numId w:val="1"/>
        </w:numPr>
        <w:tabs>
          <w:tab w:val="left" w:pos="284"/>
        </w:tabs>
        <w:spacing w:after="0" w:line="276" w:lineRule="auto"/>
        <w:ind w:left="0" w:firstLine="0"/>
        <w:contextualSpacing/>
        <w:jc w:val="left"/>
        <w:outlineLvl w:val="0"/>
        <w:rPr>
          <w:rFonts w:ascii="Calibri Light" w:hAnsi="Calibri Light" w:cstheme="majorHAnsi"/>
          <w:b/>
          <w:szCs w:val="28"/>
          <w:lang w:val="ru-RU"/>
        </w:rPr>
      </w:pPr>
      <w:r w:rsidRPr="00A77060">
        <w:rPr>
          <w:rFonts w:ascii="Calibri Light" w:hAnsi="Calibri Light" w:cstheme="majorHAnsi"/>
          <w:b/>
          <w:szCs w:val="28"/>
          <w:lang w:val="ru-RU"/>
        </w:rPr>
        <w:t xml:space="preserve">РЕКОМЕНДАЦИИ МИНИСТЕРСТВУ ФИНАНСОВ  </w:t>
      </w:r>
    </w:p>
    <w:p w:rsidR="006F53B7" w:rsidRPr="00A77060" w:rsidRDefault="006F53B7" w:rsidP="006F53B7">
      <w:pPr>
        <w:pStyle w:val="ListParagraph"/>
        <w:numPr>
          <w:ilvl w:val="0"/>
          <w:numId w:val="19"/>
        </w:numPr>
        <w:tabs>
          <w:tab w:val="left" w:pos="426"/>
        </w:tabs>
        <w:spacing w:after="0"/>
        <w:ind w:left="0" w:firstLine="0"/>
        <w:rPr>
          <w:rFonts w:ascii="Calibri Light" w:hAnsi="Calibri Light" w:cstheme="majorHAnsi"/>
          <w:sz w:val="24"/>
          <w:szCs w:val="24"/>
          <w:lang w:val="ru-RU"/>
        </w:rPr>
      </w:pPr>
      <w:r w:rsidRPr="00A77060">
        <w:rPr>
          <w:rFonts w:ascii="Calibri Light" w:eastAsia="Times New Roman" w:hAnsi="Calibri Light" w:cstheme="majorHAnsi"/>
          <w:iCs/>
          <w:sz w:val="24"/>
          <w:szCs w:val="24"/>
          <w:lang w:val="ru-RU"/>
        </w:rPr>
        <w:t xml:space="preserve">Внести изменения </w:t>
      </w:r>
      <w:proofErr w:type="gramStart"/>
      <w:r w:rsidRPr="00A77060">
        <w:rPr>
          <w:rFonts w:ascii="Calibri Light" w:eastAsia="Times New Roman" w:hAnsi="Calibri Light" w:cstheme="majorHAnsi"/>
          <w:iCs/>
          <w:sz w:val="24"/>
          <w:szCs w:val="24"/>
          <w:lang w:val="ru-RU"/>
        </w:rPr>
        <w:t>в ,,Методологические</w:t>
      </w:r>
      <w:proofErr w:type="gramEnd"/>
      <w:r w:rsidRPr="00A77060">
        <w:rPr>
          <w:rFonts w:ascii="Calibri Light" w:eastAsia="Times New Roman" w:hAnsi="Calibri Light" w:cstheme="majorHAnsi"/>
          <w:iCs/>
          <w:sz w:val="24"/>
          <w:szCs w:val="24"/>
          <w:lang w:val="ru-RU"/>
        </w:rPr>
        <w:t xml:space="preserve"> нормы по разработке, утверждению и изменению бюджета” с целью отражения положений действующей законодательной базы, а также регламентирования допустимых отклонений между лимитами, установленными в ССПБ, и проектом годовых законов о бюджете </w:t>
      </w:r>
      <w:r w:rsidRPr="00A77060">
        <w:rPr>
          <w:rFonts w:ascii="Calibri Light" w:hAnsi="Calibri Light" w:cstheme="majorHAnsi"/>
          <w:b/>
          <w:sz w:val="24"/>
          <w:szCs w:val="24"/>
          <w:lang w:val="ru-RU"/>
        </w:rPr>
        <w:t>(Раздел VI, п.6.4).</w:t>
      </w:r>
    </w:p>
    <w:p w:rsidR="006F53B7" w:rsidRPr="00A77060" w:rsidRDefault="006F53B7" w:rsidP="006F53B7">
      <w:pPr>
        <w:pStyle w:val="ListParagraph"/>
        <w:numPr>
          <w:ilvl w:val="0"/>
          <w:numId w:val="19"/>
        </w:numPr>
        <w:tabs>
          <w:tab w:val="left" w:pos="426"/>
        </w:tabs>
        <w:spacing w:after="0"/>
        <w:ind w:left="0" w:firstLine="0"/>
        <w:rPr>
          <w:rFonts w:ascii="Calibri Light" w:hAnsi="Calibri Light" w:cstheme="majorHAnsi"/>
          <w:sz w:val="24"/>
          <w:szCs w:val="24"/>
          <w:lang w:val="ru-RU"/>
        </w:rPr>
      </w:pPr>
      <w:r w:rsidRPr="00A77060">
        <w:rPr>
          <w:rFonts w:ascii="Calibri Light" w:hAnsi="Calibri Light" w:cstheme="majorHAnsi"/>
          <w:sz w:val="24"/>
          <w:szCs w:val="24"/>
          <w:lang w:val="ru-RU"/>
        </w:rPr>
        <w:t xml:space="preserve">Улучшить управление публичными финансами, в том числе путем обеспечения качества ведения бухгалтерского учета при исполнении и отчетности ГБ согласно нормативной базе </w:t>
      </w:r>
      <w:r w:rsidRPr="00A77060">
        <w:rPr>
          <w:rFonts w:ascii="Calibri Light" w:hAnsi="Calibri Light" w:cstheme="majorHAnsi"/>
          <w:b/>
          <w:sz w:val="24"/>
          <w:szCs w:val="24"/>
          <w:lang w:val="ru-RU"/>
        </w:rPr>
        <w:t>(Раздел VI, п.6.5, Раздел III).</w:t>
      </w:r>
    </w:p>
    <w:p w:rsidR="006F53B7" w:rsidRPr="00A77060" w:rsidRDefault="006F53B7" w:rsidP="006F53B7">
      <w:pPr>
        <w:pStyle w:val="ListParagraph"/>
        <w:numPr>
          <w:ilvl w:val="0"/>
          <w:numId w:val="19"/>
        </w:numPr>
        <w:tabs>
          <w:tab w:val="left" w:pos="284"/>
        </w:tabs>
        <w:spacing w:after="0" w:line="276" w:lineRule="auto"/>
        <w:ind w:left="0" w:firstLine="0"/>
        <w:rPr>
          <w:rFonts w:ascii="Calibri Light" w:hAnsi="Calibri Light" w:cstheme="majorHAnsi"/>
          <w:sz w:val="24"/>
          <w:szCs w:val="24"/>
          <w:lang w:val="ru-RU"/>
        </w:rPr>
      </w:pPr>
      <w:r w:rsidRPr="00A77060">
        <w:rPr>
          <w:rFonts w:ascii="Calibri Light" w:hAnsi="Calibri Light" w:cstheme="majorHAnsi"/>
          <w:sz w:val="24"/>
          <w:szCs w:val="24"/>
          <w:lang w:val="ru-RU"/>
        </w:rPr>
        <w:t xml:space="preserve">Обеспечить укрепление внутреннего управленческого контроля процессов, связанных с исполнением ГБ посредством казначейской системы, с выявлением и описанием процессов по </w:t>
      </w:r>
      <w:r w:rsidRPr="00A77060">
        <w:rPr>
          <w:rFonts w:ascii="Calibri Light" w:hAnsi="Calibri Light" w:cstheme="majorHAnsi"/>
          <w:sz w:val="24"/>
          <w:szCs w:val="24"/>
          <w:lang w:val="ru-RU"/>
        </w:rPr>
        <w:lastRenderedPageBreak/>
        <w:t xml:space="preserve">консолидации отчетов Государственным казначейством и региональными казначействами </w:t>
      </w:r>
      <w:r w:rsidRPr="00A77060">
        <w:rPr>
          <w:rFonts w:ascii="Calibri Light" w:hAnsi="Calibri Light" w:cstheme="majorHAnsi"/>
          <w:b/>
          <w:sz w:val="24"/>
          <w:szCs w:val="24"/>
          <w:lang w:val="ru-RU"/>
        </w:rPr>
        <w:t>(Раздел VI, п.6.5).</w:t>
      </w:r>
      <w:r w:rsidRPr="00A77060">
        <w:rPr>
          <w:rFonts w:ascii="Calibri Light" w:hAnsi="Calibri Light" w:cstheme="majorHAnsi"/>
          <w:sz w:val="24"/>
          <w:szCs w:val="24"/>
          <w:lang w:val="ru-RU"/>
        </w:rPr>
        <w:t xml:space="preserve"> </w:t>
      </w:r>
    </w:p>
    <w:p w:rsidR="006F53B7" w:rsidRPr="00A77060" w:rsidRDefault="006F53B7" w:rsidP="006F53B7">
      <w:pPr>
        <w:pStyle w:val="ListParagraph"/>
        <w:numPr>
          <w:ilvl w:val="0"/>
          <w:numId w:val="19"/>
        </w:numPr>
        <w:tabs>
          <w:tab w:val="left" w:pos="284"/>
        </w:tabs>
        <w:spacing w:after="0" w:line="276" w:lineRule="auto"/>
        <w:ind w:left="0" w:firstLine="0"/>
        <w:rPr>
          <w:rFonts w:ascii="Calibri Light" w:hAnsi="Calibri Light" w:cstheme="majorHAnsi"/>
          <w:sz w:val="24"/>
          <w:szCs w:val="24"/>
          <w:lang w:val="ru-RU"/>
        </w:rPr>
      </w:pPr>
      <w:r w:rsidRPr="00A77060">
        <w:rPr>
          <w:rFonts w:ascii="Calibri Light" w:hAnsi="Calibri Light" w:cstheme="majorHAnsi"/>
          <w:b/>
          <w:i/>
          <w:sz w:val="24"/>
          <w:szCs w:val="24"/>
          <w:lang w:val="ru-RU"/>
        </w:rPr>
        <w:t>Совместно с центральными публичными органами:</w:t>
      </w:r>
      <w:r w:rsidRPr="00A77060">
        <w:rPr>
          <w:rFonts w:ascii="Calibri Light" w:hAnsi="Calibri Light" w:cstheme="majorHAnsi"/>
          <w:sz w:val="24"/>
          <w:szCs w:val="24"/>
          <w:lang w:val="ru-RU"/>
        </w:rPr>
        <w:t xml:space="preserve"> осуществлять мониторинг планирования и исполнения ЦПО расходов на персонал с целью обеспечения лимита, установленного в Годовом законе о бюджете </w:t>
      </w:r>
      <w:r w:rsidRPr="00A77060">
        <w:rPr>
          <w:rFonts w:ascii="Calibri Light" w:hAnsi="Calibri Light" w:cstheme="majorHAnsi"/>
          <w:b/>
          <w:sz w:val="24"/>
          <w:szCs w:val="24"/>
          <w:lang w:val="ru-RU"/>
        </w:rPr>
        <w:t>(Раздел VI, п.6.7).</w:t>
      </w:r>
    </w:p>
    <w:p w:rsidR="006F53B7" w:rsidRPr="00A77060" w:rsidRDefault="006F53B7" w:rsidP="006F53B7">
      <w:pPr>
        <w:pStyle w:val="ListParagraph"/>
        <w:numPr>
          <w:ilvl w:val="0"/>
          <w:numId w:val="19"/>
        </w:numPr>
        <w:tabs>
          <w:tab w:val="left" w:pos="284"/>
        </w:tabs>
        <w:spacing w:after="0" w:line="276" w:lineRule="auto"/>
        <w:ind w:left="0" w:firstLine="0"/>
        <w:rPr>
          <w:rFonts w:ascii="Calibri Light" w:hAnsi="Calibri Light" w:cstheme="majorHAnsi"/>
          <w:sz w:val="24"/>
          <w:szCs w:val="24"/>
          <w:lang w:val="ru-RU"/>
        </w:rPr>
      </w:pPr>
      <w:r w:rsidRPr="00A77060">
        <w:rPr>
          <w:rFonts w:ascii="Calibri Light" w:hAnsi="Calibri Light" w:cstheme="majorHAnsi"/>
          <w:sz w:val="24"/>
          <w:szCs w:val="24"/>
          <w:lang w:val="ru-RU"/>
        </w:rPr>
        <w:t xml:space="preserve">Улучшить порядок управления/ осуществления мониторинга и отчетности инвестиционного процесса для повышения уровня исполнения ассигнований для капитальных инвестиций из внешних финансовых средств, предоставляемых РМ, и из внутренних источников </w:t>
      </w:r>
      <w:r w:rsidRPr="00A77060">
        <w:rPr>
          <w:rFonts w:ascii="Calibri Light" w:hAnsi="Calibri Light" w:cstheme="majorHAnsi"/>
          <w:b/>
          <w:sz w:val="24"/>
          <w:szCs w:val="24"/>
          <w:lang w:val="ru-RU"/>
        </w:rPr>
        <w:t>(Раздел VI, п.6.9</w:t>
      </w:r>
      <w:proofErr w:type="gramStart"/>
      <w:r w:rsidRPr="00A77060">
        <w:rPr>
          <w:rFonts w:ascii="Calibri Light" w:hAnsi="Calibri Light" w:cstheme="majorHAnsi"/>
          <w:b/>
          <w:sz w:val="24"/>
          <w:szCs w:val="24"/>
          <w:lang w:val="ru-RU"/>
        </w:rPr>
        <w:t>)</w:t>
      </w:r>
      <w:r w:rsidRPr="00A77060">
        <w:rPr>
          <w:rFonts w:ascii="Calibri Light" w:hAnsi="Calibri Light" w:cstheme="majorHAnsi"/>
          <w:sz w:val="24"/>
          <w:szCs w:val="24"/>
          <w:lang w:val="ru-RU"/>
        </w:rPr>
        <w:t xml:space="preserve"> .</w:t>
      </w:r>
      <w:proofErr w:type="gramEnd"/>
      <w:r w:rsidRPr="00A77060">
        <w:rPr>
          <w:rFonts w:ascii="Calibri Light" w:hAnsi="Calibri Light" w:cstheme="majorHAnsi"/>
          <w:sz w:val="24"/>
          <w:szCs w:val="24"/>
          <w:lang w:val="ru-RU"/>
        </w:rPr>
        <w:t xml:space="preserve"> </w:t>
      </w:r>
    </w:p>
    <w:p w:rsidR="006F53B7" w:rsidRPr="00A77060" w:rsidRDefault="006F53B7" w:rsidP="006F53B7">
      <w:pPr>
        <w:pStyle w:val="ListParagraph"/>
        <w:numPr>
          <w:ilvl w:val="0"/>
          <w:numId w:val="19"/>
        </w:numPr>
        <w:tabs>
          <w:tab w:val="left" w:pos="284"/>
        </w:tabs>
        <w:spacing w:after="0" w:line="276" w:lineRule="auto"/>
        <w:ind w:left="0" w:firstLine="0"/>
        <w:rPr>
          <w:rFonts w:ascii="Calibri Light" w:hAnsi="Calibri Light" w:cstheme="majorHAnsi"/>
          <w:sz w:val="24"/>
          <w:szCs w:val="24"/>
          <w:lang w:val="ru-RU"/>
        </w:rPr>
      </w:pPr>
      <w:r w:rsidRPr="00A77060">
        <w:rPr>
          <w:rFonts w:ascii="Calibri Light" w:hAnsi="Calibri Light" w:cstheme="majorHAnsi"/>
          <w:sz w:val="24"/>
          <w:szCs w:val="24"/>
          <w:lang w:val="ru-RU"/>
        </w:rPr>
        <w:t xml:space="preserve">Осуществлять эффективный мониторинг, переоценку и утверждение инвестиционных проектов, по которым первоначально оцененные стоимости были изменены свыше 15%, и/или внедрение превышает запланированные сроки в отсутствие активной рабочей группы </w:t>
      </w:r>
      <w:r w:rsidRPr="00A77060">
        <w:rPr>
          <w:rFonts w:ascii="Calibri Light" w:hAnsi="Calibri Light" w:cstheme="majorHAnsi"/>
          <w:b/>
          <w:sz w:val="24"/>
          <w:szCs w:val="24"/>
          <w:lang w:val="ru-RU"/>
        </w:rPr>
        <w:t xml:space="preserve">(Раздел </w:t>
      </w:r>
      <w:proofErr w:type="gramStart"/>
      <w:r w:rsidRPr="00A77060">
        <w:rPr>
          <w:rFonts w:ascii="Calibri Light" w:hAnsi="Calibri Light" w:cstheme="majorHAnsi"/>
          <w:b/>
          <w:sz w:val="24"/>
          <w:szCs w:val="24"/>
          <w:lang w:val="ru-RU"/>
        </w:rPr>
        <w:t>VI,п.</w:t>
      </w:r>
      <w:proofErr w:type="gramEnd"/>
      <w:r w:rsidRPr="00A77060">
        <w:rPr>
          <w:rFonts w:ascii="Calibri Light" w:hAnsi="Calibri Light" w:cstheme="majorHAnsi"/>
          <w:b/>
          <w:sz w:val="24"/>
          <w:szCs w:val="24"/>
          <w:lang w:val="ru-RU"/>
        </w:rPr>
        <w:t>6.9).</w:t>
      </w:r>
    </w:p>
    <w:p w:rsidR="006F53B7" w:rsidRPr="00A77060" w:rsidRDefault="006F53B7" w:rsidP="006F53B7">
      <w:pPr>
        <w:pStyle w:val="ListParagraph"/>
        <w:numPr>
          <w:ilvl w:val="0"/>
          <w:numId w:val="19"/>
        </w:numPr>
        <w:tabs>
          <w:tab w:val="left" w:pos="426"/>
        </w:tabs>
        <w:spacing w:after="0"/>
        <w:ind w:left="0" w:firstLine="0"/>
        <w:rPr>
          <w:rFonts w:ascii="Calibri Light" w:hAnsi="Calibri Light" w:cstheme="majorHAnsi"/>
          <w:sz w:val="24"/>
          <w:szCs w:val="24"/>
          <w:lang w:val="ru-RU"/>
        </w:rPr>
      </w:pPr>
      <w:r w:rsidRPr="00A77060">
        <w:rPr>
          <w:rFonts w:ascii="Calibri Light" w:hAnsi="Calibri Light" w:cstheme="majorHAnsi"/>
          <w:b/>
          <w:i/>
          <w:sz w:val="24"/>
          <w:szCs w:val="24"/>
          <w:lang w:val="ru-RU"/>
        </w:rPr>
        <w:t xml:space="preserve">Совместно с центральными публичными органами: </w:t>
      </w:r>
      <w:r w:rsidRPr="00A77060">
        <w:rPr>
          <w:rFonts w:ascii="Calibri Light" w:hAnsi="Calibri Light" w:cstheme="majorHAnsi"/>
          <w:sz w:val="24"/>
          <w:szCs w:val="24"/>
          <w:lang w:val="ru-RU"/>
        </w:rPr>
        <w:t xml:space="preserve">развивать/повышать способности ЦПО и среды внутреннего контроля при разработке инвестиционных бюджетов в соответствии с секторными стратегиями и в отношении с объемом выделенных ресурсов из </w:t>
      </w:r>
      <w:r w:rsidRPr="00A77060">
        <w:rPr>
          <w:rFonts w:ascii="Calibri Light" w:eastAsia="MS Mincho" w:hAnsi="Calibri Light" w:cstheme="majorHAnsi"/>
          <w:sz w:val="24"/>
          <w:szCs w:val="24"/>
          <w:lang w:val="ru-RU" w:eastAsia="ja-JP"/>
        </w:rPr>
        <w:t xml:space="preserve">государственного бюджета для укрепления и эффективного управления </w:t>
      </w:r>
      <w:r w:rsidRPr="00A77060">
        <w:rPr>
          <w:rFonts w:ascii="Calibri Light" w:hAnsi="Calibri Light" w:cstheme="majorHAnsi"/>
          <w:sz w:val="24"/>
          <w:szCs w:val="24"/>
          <w:lang w:val="ru-RU"/>
        </w:rPr>
        <w:t>инвестиционными финансовыми средствами из внутренних и внешних источников</w:t>
      </w:r>
      <w:r w:rsidRPr="00A77060">
        <w:rPr>
          <w:rFonts w:ascii="Calibri Light" w:hAnsi="Calibri Light" w:cstheme="majorHAnsi"/>
          <w:b/>
          <w:sz w:val="24"/>
          <w:szCs w:val="24"/>
          <w:lang w:val="ru-RU"/>
        </w:rPr>
        <w:t xml:space="preserve"> (Раздел </w:t>
      </w:r>
      <w:proofErr w:type="gramStart"/>
      <w:r w:rsidRPr="00A77060">
        <w:rPr>
          <w:rFonts w:ascii="Calibri Light" w:hAnsi="Calibri Light" w:cstheme="majorHAnsi"/>
          <w:b/>
          <w:sz w:val="24"/>
          <w:szCs w:val="24"/>
          <w:lang w:val="ru-RU"/>
        </w:rPr>
        <w:t>VI,п.</w:t>
      </w:r>
      <w:proofErr w:type="gramEnd"/>
      <w:r w:rsidRPr="00A77060">
        <w:rPr>
          <w:rFonts w:ascii="Calibri Light" w:hAnsi="Calibri Light" w:cstheme="majorHAnsi"/>
          <w:b/>
          <w:sz w:val="24"/>
          <w:szCs w:val="24"/>
          <w:lang w:val="ru-RU"/>
        </w:rPr>
        <w:t xml:space="preserve"> 6.6, 6.9).</w:t>
      </w:r>
    </w:p>
    <w:p w:rsidR="006F53B7" w:rsidRPr="00A77060" w:rsidRDefault="006F53B7" w:rsidP="006F53B7">
      <w:pPr>
        <w:pStyle w:val="ListParagraph"/>
        <w:numPr>
          <w:ilvl w:val="0"/>
          <w:numId w:val="19"/>
        </w:numPr>
        <w:tabs>
          <w:tab w:val="left" w:pos="426"/>
        </w:tabs>
        <w:spacing w:after="0"/>
        <w:ind w:left="0" w:firstLine="0"/>
        <w:rPr>
          <w:rFonts w:ascii="Calibri Light" w:hAnsi="Calibri Light" w:cstheme="majorHAnsi"/>
          <w:sz w:val="24"/>
          <w:szCs w:val="24"/>
          <w:lang w:val="ru-RU"/>
        </w:rPr>
      </w:pPr>
      <w:r w:rsidRPr="00A77060">
        <w:rPr>
          <w:rFonts w:ascii="Calibri Light" w:hAnsi="Calibri Light" w:cstheme="majorHAnsi"/>
          <w:sz w:val="24"/>
          <w:szCs w:val="24"/>
          <w:lang w:val="ru-RU"/>
        </w:rPr>
        <w:t xml:space="preserve">Обеспечить соблюдение положений нормативной базы при финансировании/отчетности расходов в рамках Программы деятельности по реинтеграции страны, с обеспечением перечисления МПО на счет ГБ неиспользованных сумм </w:t>
      </w:r>
      <w:r w:rsidRPr="00A77060">
        <w:rPr>
          <w:rFonts w:ascii="Calibri Light" w:hAnsi="Calibri Light" w:cstheme="majorHAnsi"/>
          <w:b/>
          <w:sz w:val="24"/>
          <w:szCs w:val="24"/>
          <w:lang w:val="ru-RU"/>
        </w:rPr>
        <w:t>(Раздел VI, п.6.10).</w:t>
      </w:r>
    </w:p>
    <w:p w:rsidR="006F53B7" w:rsidRPr="00A77060" w:rsidRDefault="006F53B7" w:rsidP="006F53B7">
      <w:pPr>
        <w:pStyle w:val="ListParagraph"/>
        <w:numPr>
          <w:ilvl w:val="0"/>
          <w:numId w:val="19"/>
        </w:numPr>
        <w:tabs>
          <w:tab w:val="left" w:pos="426"/>
        </w:tabs>
        <w:spacing w:after="0"/>
        <w:ind w:left="0" w:firstLine="0"/>
        <w:rPr>
          <w:rFonts w:ascii="Calibri Light" w:hAnsi="Calibri Light" w:cstheme="majorHAnsi"/>
          <w:sz w:val="24"/>
          <w:szCs w:val="24"/>
          <w:lang w:val="ru-RU"/>
        </w:rPr>
      </w:pPr>
      <w:r w:rsidRPr="00A77060">
        <w:rPr>
          <w:rFonts w:ascii="Calibri Light" w:hAnsi="Calibri Light" w:cstheme="majorHAnsi"/>
          <w:bCs/>
          <w:iCs/>
          <w:sz w:val="24"/>
          <w:szCs w:val="24"/>
          <w:lang w:val="ru-RU"/>
        </w:rPr>
        <w:t xml:space="preserve">Дополнить Форму №9 к Отчету об исполнении ГБ обязательствами и задолженностями по доходам, сформированными в бюджетных органах/учреждениях, финансируемых из ГБ </w:t>
      </w:r>
      <w:r w:rsidRPr="00A77060">
        <w:rPr>
          <w:rFonts w:ascii="Calibri Light" w:hAnsi="Calibri Light" w:cstheme="majorHAnsi"/>
          <w:b/>
          <w:sz w:val="24"/>
          <w:szCs w:val="24"/>
          <w:lang w:val="ru-RU"/>
        </w:rPr>
        <w:t>(Раздел VI, п.6.12)</w:t>
      </w:r>
      <w:r w:rsidRPr="00A77060">
        <w:rPr>
          <w:rFonts w:ascii="Calibri Light" w:hAnsi="Calibri Light" w:cstheme="majorHAnsi"/>
          <w:bCs/>
          <w:iCs/>
          <w:sz w:val="24"/>
          <w:szCs w:val="24"/>
          <w:lang w:val="ru-RU"/>
        </w:rPr>
        <w:t>.</w:t>
      </w:r>
      <w:r w:rsidRPr="00A77060">
        <w:rPr>
          <w:rFonts w:ascii="Calibri Light" w:hAnsi="Calibri Light" w:cstheme="majorHAnsi"/>
          <w:b/>
          <w:sz w:val="24"/>
          <w:szCs w:val="24"/>
          <w:lang w:val="ru-RU"/>
        </w:rPr>
        <w:t xml:space="preserve"> </w:t>
      </w:r>
    </w:p>
    <w:p w:rsidR="006F53B7" w:rsidRPr="00A77060" w:rsidRDefault="006F53B7" w:rsidP="006F53B7">
      <w:pPr>
        <w:pStyle w:val="ListParagraph"/>
        <w:numPr>
          <w:ilvl w:val="0"/>
          <w:numId w:val="19"/>
        </w:numPr>
        <w:tabs>
          <w:tab w:val="left" w:pos="426"/>
        </w:tabs>
        <w:spacing w:after="0"/>
        <w:ind w:left="0" w:firstLine="0"/>
        <w:rPr>
          <w:rFonts w:ascii="Calibri Light" w:hAnsi="Calibri Light" w:cstheme="majorHAnsi"/>
          <w:b/>
          <w:i/>
          <w:sz w:val="24"/>
          <w:szCs w:val="24"/>
          <w:lang w:val="ru-RU"/>
        </w:rPr>
      </w:pPr>
      <w:r w:rsidRPr="00A77060">
        <w:rPr>
          <w:rFonts w:ascii="Calibri Light" w:hAnsi="Calibri Light" w:cstheme="majorHAnsi"/>
          <w:b/>
          <w:i/>
          <w:sz w:val="24"/>
          <w:szCs w:val="24"/>
          <w:lang w:val="ru-RU"/>
        </w:rPr>
        <w:t xml:space="preserve">Совместно с </w:t>
      </w:r>
      <w:proofErr w:type="gramStart"/>
      <w:r w:rsidRPr="00A77060">
        <w:rPr>
          <w:rFonts w:ascii="Calibri Light" w:hAnsi="Calibri Light" w:cstheme="majorHAnsi"/>
          <w:b/>
          <w:i/>
          <w:sz w:val="24"/>
          <w:szCs w:val="24"/>
          <w:lang w:val="ru-RU"/>
        </w:rPr>
        <w:t>ПУ ,,</w:t>
      </w:r>
      <w:r w:rsidRPr="00A77060">
        <w:rPr>
          <w:rFonts w:ascii="Calibri Light" w:hAnsi="Calibri Light"/>
          <w:b/>
          <w:i/>
          <w:sz w:val="24"/>
          <w:szCs w:val="24"/>
          <w:lang w:val="ru-RU"/>
        </w:rPr>
        <w:t>Офис</w:t>
      </w:r>
      <w:proofErr w:type="gramEnd"/>
      <w:r w:rsidRPr="00A77060">
        <w:rPr>
          <w:rFonts w:ascii="Calibri Light" w:hAnsi="Calibri Light"/>
          <w:b/>
          <w:i/>
          <w:sz w:val="24"/>
          <w:szCs w:val="24"/>
          <w:lang w:val="ru-RU"/>
        </w:rPr>
        <w:t xml:space="preserve"> по управлению программами внешней помощи</w:t>
      </w:r>
      <w:r w:rsidRPr="00A77060">
        <w:rPr>
          <w:rFonts w:ascii="Calibri Light" w:hAnsi="Calibri Light"/>
          <w:b/>
          <w:bCs/>
          <w:i/>
          <w:iCs/>
          <w:sz w:val="24"/>
          <w:szCs w:val="24"/>
          <w:lang w:val="ru-RU"/>
        </w:rPr>
        <w:t xml:space="preserve">” </w:t>
      </w:r>
      <w:r w:rsidRPr="00A77060">
        <w:rPr>
          <w:rFonts w:ascii="Calibri Light" w:hAnsi="Calibri Light"/>
          <w:bCs/>
          <w:iCs/>
          <w:sz w:val="24"/>
          <w:szCs w:val="24"/>
          <w:lang w:val="ru-RU"/>
        </w:rPr>
        <w:t xml:space="preserve">развивать нормативную базу в аспекте положений, связанных с порядком </w:t>
      </w:r>
      <w:r w:rsidRPr="00A77060">
        <w:rPr>
          <w:rFonts w:ascii="Calibri Light" w:hAnsi="Calibri Light" w:cstheme="majorHAnsi"/>
          <w:sz w:val="24"/>
          <w:szCs w:val="24"/>
          <w:lang w:val="ru-RU"/>
        </w:rPr>
        <w:t xml:space="preserve">перечисления части доходов в ГБ </w:t>
      </w:r>
      <w:r w:rsidRPr="00A77060">
        <w:rPr>
          <w:rFonts w:ascii="Calibri Light" w:hAnsi="Calibri Light" w:cstheme="majorHAnsi"/>
          <w:b/>
          <w:sz w:val="24"/>
          <w:szCs w:val="24"/>
          <w:lang w:val="ru-RU"/>
        </w:rPr>
        <w:t>(Раздел VI, п.6.13).</w:t>
      </w:r>
    </w:p>
    <w:p w:rsidR="006F53B7" w:rsidRPr="00A77060" w:rsidRDefault="006F53B7" w:rsidP="006F53B7">
      <w:pPr>
        <w:pStyle w:val="ListParagraph"/>
        <w:tabs>
          <w:tab w:val="left" w:pos="426"/>
        </w:tabs>
        <w:spacing w:after="0"/>
        <w:ind w:left="0"/>
        <w:rPr>
          <w:rFonts w:ascii="Calibri Light" w:hAnsi="Calibri Light" w:cstheme="majorHAnsi"/>
          <w:sz w:val="24"/>
          <w:szCs w:val="24"/>
          <w:lang w:val="ru-RU"/>
        </w:rPr>
      </w:pPr>
    </w:p>
    <w:p w:rsidR="006F53B7" w:rsidRPr="00A77060" w:rsidRDefault="006F53B7" w:rsidP="006F53B7">
      <w:pPr>
        <w:numPr>
          <w:ilvl w:val="0"/>
          <w:numId w:val="1"/>
        </w:numPr>
        <w:tabs>
          <w:tab w:val="left" w:pos="426"/>
        </w:tabs>
        <w:spacing w:after="0" w:line="276" w:lineRule="auto"/>
        <w:ind w:left="0" w:firstLine="0"/>
        <w:contextualSpacing/>
        <w:outlineLvl w:val="0"/>
        <w:rPr>
          <w:rFonts w:ascii="Calibri Light" w:hAnsi="Calibri Light" w:cstheme="majorHAnsi"/>
          <w:b/>
          <w:szCs w:val="28"/>
          <w:lang w:val="ru-RU"/>
        </w:rPr>
      </w:pPr>
      <w:r w:rsidRPr="00A77060">
        <w:rPr>
          <w:rFonts w:ascii="Calibri Light" w:hAnsi="Calibri Light" w:cstheme="majorHAnsi"/>
          <w:b/>
          <w:szCs w:val="28"/>
          <w:lang w:val="ru-RU"/>
        </w:rPr>
        <w:t xml:space="preserve">ОТВЕТСТВЕННОСТЬ ОРГАНОВ, НАДЕЛЕННЫХ ПОЛНОМОЧИЯМИ ЗА СОСТАВЛЕНИЕ ОТЧЕТНОСТИ ПРАВИТЕЛЬСТВУ </w:t>
      </w:r>
    </w:p>
    <w:p w:rsidR="006F53B7" w:rsidRPr="00A77060" w:rsidRDefault="006F53B7" w:rsidP="006F53B7">
      <w:pPr>
        <w:rPr>
          <w:rFonts w:ascii="Calibri Light" w:hAnsi="Calibri Light" w:cstheme="majorHAnsi"/>
          <w:b/>
          <w:sz w:val="24"/>
          <w:szCs w:val="24"/>
          <w:lang w:val="ru-RU"/>
        </w:rPr>
      </w:pPr>
      <w:r w:rsidRPr="00A77060">
        <w:rPr>
          <w:rFonts w:ascii="Calibri Light" w:eastAsia="Times New Roman" w:hAnsi="Calibri Light" w:cstheme="majorHAnsi"/>
          <w:b/>
          <w:sz w:val="24"/>
          <w:szCs w:val="24"/>
          <w:lang w:val="ru-RU"/>
        </w:rPr>
        <w:t xml:space="preserve">Ответственность Правительства </w:t>
      </w:r>
      <w:r w:rsidRPr="00A77060">
        <w:rPr>
          <w:rFonts w:ascii="Calibri Light" w:eastAsia="Times New Roman" w:hAnsi="Calibri Light" w:cstheme="majorHAnsi"/>
          <w:sz w:val="24"/>
          <w:szCs w:val="24"/>
          <w:lang w:val="ru-RU"/>
        </w:rPr>
        <w:t>в области публичных финансов заключается в осуществлении общего руководства исполнительной деятельностью в области управления публичными финансами в соответствии с установленными принципами и правилами и представлении Отчета об исполнении ГБ Парламенту</w:t>
      </w:r>
      <w:r w:rsidRPr="00A77060">
        <w:rPr>
          <w:rFonts w:ascii="Calibri Light" w:hAnsi="Calibri Light" w:cstheme="majorHAnsi"/>
          <w:sz w:val="24"/>
          <w:szCs w:val="24"/>
          <w:vertAlign w:val="superscript"/>
          <w:lang w:val="ru-RU"/>
        </w:rPr>
        <w:footnoteReference w:id="105"/>
      </w:r>
      <w:r w:rsidRPr="00A77060">
        <w:rPr>
          <w:rFonts w:ascii="Calibri Light" w:hAnsi="Calibri Light" w:cstheme="majorHAnsi"/>
          <w:sz w:val="24"/>
          <w:szCs w:val="24"/>
          <w:lang w:val="ru-RU"/>
        </w:rPr>
        <w:t>.</w:t>
      </w:r>
    </w:p>
    <w:p w:rsidR="006F53B7" w:rsidRPr="00A77060" w:rsidRDefault="006F53B7" w:rsidP="006F53B7">
      <w:pPr>
        <w:rPr>
          <w:rFonts w:ascii="Calibri Light" w:hAnsi="Calibri Light" w:cstheme="majorHAnsi"/>
          <w:sz w:val="24"/>
          <w:szCs w:val="24"/>
          <w:lang w:val="ru-RU"/>
        </w:rPr>
      </w:pPr>
      <w:r w:rsidRPr="00A77060">
        <w:rPr>
          <w:rFonts w:ascii="Calibri Light" w:eastAsia="Times New Roman" w:hAnsi="Calibri Light" w:cstheme="majorHAnsi"/>
          <w:b/>
          <w:sz w:val="24"/>
          <w:szCs w:val="24"/>
          <w:lang w:val="ru-RU"/>
        </w:rPr>
        <w:t>Ответственность Министерства финансов</w:t>
      </w:r>
      <w:r w:rsidRPr="00A77060">
        <w:rPr>
          <w:rFonts w:ascii="Calibri Light" w:eastAsia="Calibri" w:hAnsi="Calibri Light" w:cstheme="majorHAnsi"/>
          <w:sz w:val="24"/>
          <w:szCs w:val="24"/>
          <w:vertAlign w:val="superscript"/>
          <w:lang w:val="ru-RU" w:eastAsia="ru-RU"/>
        </w:rPr>
        <w:footnoteReference w:id="106"/>
      </w:r>
      <w:r w:rsidRPr="00A77060">
        <w:rPr>
          <w:rFonts w:ascii="Calibri Light" w:eastAsia="Times New Roman" w:hAnsi="Calibri Light" w:cstheme="majorHAnsi"/>
          <w:b/>
          <w:sz w:val="24"/>
          <w:szCs w:val="24"/>
          <w:lang w:val="ru-RU"/>
        </w:rPr>
        <w:t xml:space="preserve"> </w:t>
      </w:r>
      <w:r w:rsidRPr="00A77060">
        <w:rPr>
          <w:rFonts w:ascii="Calibri Light" w:eastAsia="Times New Roman" w:hAnsi="Calibri Light" w:cstheme="majorHAnsi"/>
          <w:sz w:val="24"/>
          <w:szCs w:val="24"/>
          <w:lang w:val="ru-RU"/>
        </w:rPr>
        <w:t xml:space="preserve">заключается в подготовке и достоверном представлении Правительству Отчета об исполнении ГБ в сроки, предусмотренные бюджетным </w:t>
      </w:r>
      <w:r w:rsidRPr="00A77060">
        <w:rPr>
          <w:rFonts w:ascii="Calibri Light" w:eastAsia="Times New Roman" w:hAnsi="Calibri Light" w:cstheme="majorHAnsi"/>
          <w:sz w:val="24"/>
          <w:szCs w:val="24"/>
          <w:lang w:val="ru-RU"/>
        </w:rPr>
        <w:lastRenderedPageBreak/>
        <w:t>календарем, в соответствии с применяемой базой по составлению отчетности и обеспечении его публикации</w:t>
      </w:r>
      <w:r w:rsidRPr="00A77060">
        <w:rPr>
          <w:rFonts w:ascii="Calibri Light" w:hAnsi="Calibri Light" w:cstheme="majorHAnsi"/>
          <w:sz w:val="24"/>
          <w:szCs w:val="24"/>
          <w:vertAlign w:val="superscript"/>
          <w:lang w:val="ru-RU" w:eastAsia="ro-RO"/>
        </w:rPr>
        <w:footnoteReference w:id="107"/>
      </w:r>
      <w:r w:rsidRPr="00A77060">
        <w:rPr>
          <w:rFonts w:ascii="Calibri Light" w:hAnsi="Calibri Light" w:cstheme="majorHAnsi"/>
          <w:sz w:val="24"/>
          <w:szCs w:val="24"/>
          <w:lang w:val="ru-RU"/>
        </w:rPr>
        <w:t xml:space="preserve">. </w:t>
      </w:r>
      <w:r w:rsidRPr="00A77060">
        <w:rPr>
          <w:rFonts w:ascii="Calibri Light" w:eastAsia="Times New Roman" w:hAnsi="Calibri Light" w:cstheme="majorHAnsi"/>
          <w:sz w:val="24"/>
          <w:szCs w:val="24"/>
          <w:lang w:val="ru-RU"/>
        </w:rPr>
        <w:t>Вместе с тем, в качестве центрального публичного органа в области публичных финансов, МФ несет ответственность за:</w:t>
      </w:r>
      <w:r w:rsidRPr="00A77060">
        <w:rPr>
          <w:rFonts w:ascii="Calibri Light" w:eastAsia="Calibri" w:hAnsi="Calibri Light" w:cstheme="majorHAnsi"/>
          <w:b/>
          <w:sz w:val="24"/>
          <w:szCs w:val="24"/>
          <w:lang w:val="ru-RU" w:eastAsia="ru-RU"/>
        </w:rPr>
        <w:t xml:space="preserve"> (i) </w:t>
      </w:r>
      <w:r w:rsidRPr="00A77060">
        <w:rPr>
          <w:rFonts w:ascii="Calibri Light" w:eastAsia="Calibri" w:hAnsi="Calibri Light" w:cstheme="majorHAnsi"/>
          <w:sz w:val="24"/>
          <w:szCs w:val="24"/>
          <w:lang w:val="ru-RU" w:eastAsia="ru-RU"/>
        </w:rPr>
        <w:t>определение промежуточной деятельности бюджетного календаря и осуществление мониторинга его внедрения, а также обеспечение общего координирования бюджетного процесса;</w:t>
      </w:r>
      <w:r w:rsidRPr="00A77060">
        <w:rPr>
          <w:rFonts w:ascii="Calibri Light" w:eastAsia="Times New Roman" w:hAnsi="Calibri Light" w:cstheme="majorHAnsi"/>
          <w:b/>
          <w:sz w:val="24"/>
          <w:szCs w:val="24"/>
          <w:lang w:val="ru-RU"/>
        </w:rPr>
        <w:t xml:space="preserve"> (ii)</w:t>
      </w:r>
      <w:r w:rsidRPr="00A77060">
        <w:rPr>
          <w:rFonts w:ascii="Calibri Light" w:eastAsia="Times New Roman" w:hAnsi="Calibri Light" w:cstheme="majorHAnsi"/>
          <w:sz w:val="24"/>
          <w:szCs w:val="24"/>
          <w:lang w:val="ru-RU"/>
        </w:rPr>
        <w:t xml:space="preserve"> разработку и обеспечение внедрения налогово-бюджетной политики в соответствии с установленными налогово-бюджетными принципами и правилами; </w:t>
      </w:r>
      <w:r w:rsidRPr="00A77060">
        <w:rPr>
          <w:rFonts w:ascii="Calibri Light" w:eastAsia="Times New Roman" w:hAnsi="Calibri Light" w:cstheme="majorHAnsi"/>
          <w:b/>
          <w:sz w:val="24"/>
          <w:szCs w:val="24"/>
          <w:lang w:val="ru-RU"/>
        </w:rPr>
        <w:t>(iii)</w:t>
      </w:r>
      <w:r w:rsidRPr="00A77060">
        <w:rPr>
          <w:rFonts w:ascii="Calibri Light" w:eastAsia="Times New Roman" w:hAnsi="Calibri Light" w:cstheme="majorHAnsi"/>
          <w:sz w:val="24"/>
          <w:szCs w:val="24"/>
          <w:lang w:val="ru-RU"/>
        </w:rPr>
        <w:t xml:space="preserve"> разработку и представление Правительству для утверждения ССПБ и др.</w:t>
      </w:r>
    </w:p>
    <w:p w:rsidR="006F53B7" w:rsidRPr="00A77060" w:rsidRDefault="006F53B7" w:rsidP="006F53B7">
      <w:pPr>
        <w:spacing w:after="0" w:line="276" w:lineRule="auto"/>
        <w:rPr>
          <w:rFonts w:ascii="Calibri Light" w:eastAsia="Times New Roman" w:hAnsi="Calibri Light" w:cstheme="majorHAnsi"/>
          <w:b/>
          <w:sz w:val="24"/>
          <w:szCs w:val="24"/>
          <w:lang w:val="ru-RU"/>
        </w:rPr>
      </w:pPr>
      <w:r w:rsidRPr="00A77060">
        <w:rPr>
          <w:rFonts w:ascii="Calibri Light" w:eastAsia="Times New Roman" w:hAnsi="Calibri Light" w:cstheme="majorHAnsi"/>
          <w:b/>
          <w:sz w:val="24"/>
          <w:szCs w:val="24"/>
          <w:lang w:val="ru-RU"/>
        </w:rPr>
        <w:t xml:space="preserve">Ответственность бюджетных органов/учреждений </w:t>
      </w:r>
      <w:r w:rsidRPr="00A77060">
        <w:rPr>
          <w:rFonts w:ascii="Calibri Light" w:eastAsia="Times New Roman" w:hAnsi="Calibri Light" w:cstheme="majorHAnsi"/>
          <w:sz w:val="24"/>
          <w:szCs w:val="24"/>
          <w:lang w:val="ru-RU"/>
        </w:rPr>
        <w:t>состоит в составлении и представлении финансовых отчетов на основании Закона о бухгалтерском учете и в соответствии со сроками и требованиями, установленными Министерством финансов</w:t>
      </w:r>
      <w:r w:rsidRPr="00A77060">
        <w:rPr>
          <w:rFonts w:ascii="Calibri Light" w:eastAsia="Times New Roman" w:hAnsi="Calibri Light" w:cstheme="majorHAnsi"/>
          <w:sz w:val="24"/>
          <w:szCs w:val="24"/>
          <w:vertAlign w:val="superscript"/>
          <w:lang w:val="ru-RU"/>
        </w:rPr>
        <w:footnoteReference w:id="108"/>
      </w:r>
      <w:r w:rsidRPr="00A77060">
        <w:rPr>
          <w:rFonts w:ascii="Calibri Light" w:eastAsia="Times New Roman" w:hAnsi="Calibri Light" w:cstheme="majorHAnsi"/>
          <w:sz w:val="24"/>
          <w:szCs w:val="24"/>
          <w:lang w:val="ru-RU"/>
        </w:rPr>
        <w:t>.</w:t>
      </w:r>
    </w:p>
    <w:p w:rsidR="006F53B7" w:rsidRPr="00A77060" w:rsidRDefault="006F53B7" w:rsidP="006F53B7">
      <w:pPr>
        <w:tabs>
          <w:tab w:val="left" w:pos="1134"/>
        </w:tabs>
        <w:spacing w:after="0" w:line="276" w:lineRule="auto"/>
        <w:rPr>
          <w:rFonts w:ascii="Calibri Light" w:eastAsia="Calibri" w:hAnsi="Calibri Light" w:cstheme="majorHAnsi"/>
          <w:sz w:val="16"/>
          <w:szCs w:val="16"/>
          <w:lang w:val="ru-RU" w:eastAsia="ru-RU"/>
        </w:rPr>
      </w:pPr>
    </w:p>
    <w:p w:rsidR="006F53B7" w:rsidRPr="00A77060" w:rsidRDefault="006F53B7" w:rsidP="006F53B7">
      <w:pPr>
        <w:numPr>
          <w:ilvl w:val="0"/>
          <w:numId w:val="1"/>
        </w:numPr>
        <w:tabs>
          <w:tab w:val="left" w:pos="0"/>
          <w:tab w:val="left" w:pos="426"/>
        </w:tabs>
        <w:spacing w:after="0" w:line="276" w:lineRule="auto"/>
        <w:ind w:left="0" w:firstLine="0"/>
        <w:contextualSpacing/>
        <w:outlineLvl w:val="0"/>
        <w:rPr>
          <w:rFonts w:ascii="Calibri Light" w:hAnsi="Calibri Light" w:cstheme="majorHAnsi"/>
          <w:b/>
          <w:szCs w:val="28"/>
          <w:lang w:val="ru-RU"/>
        </w:rPr>
      </w:pPr>
      <w:bookmarkStart w:id="3" w:name="_Toc9324231"/>
      <w:r w:rsidRPr="00A77060">
        <w:rPr>
          <w:rFonts w:ascii="Calibri Light" w:hAnsi="Calibri Light" w:cstheme="majorHAnsi"/>
          <w:b/>
          <w:szCs w:val="28"/>
          <w:lang w:val="ru-RU"/>
        </w:rPr>
        <w:t xml:space="preserve">ОТВЕТСТВЕННОСТЬ АУДИТОРА В АУДИТЕ ОТЧЕТОВ ПРАВИТЕЛЬСТВА </w:t>
      </w:r>
    </w:p>
    <w:bookmarkEnd w:id="3"/>
    <w:p w:rsidR="006F53B7" w:rsidRPr="00A77060" w:rsidRDefault="006F53B7" w:rsidP="006F53B7">
      <w:pPr>
        <w:tabs>
          <w:tab w:val="left" w:pos="720"/>
        </w:tabs>
        <w:spacing w:after="0" w:line="276" w:lineRule="auto"/>
        <w:rPr>
          <w:rFonts w:ascii="Calibri Light" w:hAnsi="Calibri Light" w:cstheme="majorHAnsi"/>
          <w:sz w:val="24"/>
          <w:szCs w:val="24"/>
          <w:lang w:val="ru-RU"/>
        </w:rPr>
      </w:pPr>
      <w:r w:rsidRPr="00A77060">
        <w:rPr>
          <w:rFonts w:ascii="Calibri Light" w:hAnsi="Calibri Light" w:cstheme="majorHAnsi"/>
          <w:sz w:val="24"/>
          <w:szCs w:val="24"/>
          <w:lang w:val="ru-RU"/>
        </w:rPr>
        <w:t>Аудитор несет ответственность за планирование и проведение аудиторской миссии, с получением достаточных и адекватных доказательств для подтверждения основания для аудиторского мнения.</w:t>
      </w:r>
    </w:p>
    <w:p w:rsidR="006F53B7" w:rsidRPr="00A77060" w:rsidRDefault="006F53B7" w:rsidP="006F53B7">
      <w:pPr>
        <w:tabs>
          <w:tab w:val="left" w:pos="720"/>
        </w:tabs>
        <w:spacing w:after="0" w:line="276" w:lineRule="auto"/>
        <w:contextualSpacing/>
        <w:rPr>
          <w:rFonts w:ascii="Calibri Light" w:hAnsi="Calibri Light" w:cstheme="majorHAnsi"/>
          <w:sz w:val="24"/>
          <w:szCs w:val="24"/>
          <w:lang w:val="ru-RU"/>
        </w:rPr>
      </w:pPr>
      <w:r w:rsidRPr="00A77060">
        <w:rPr>
          <w:rFonts w:ascii="Calibri Light" w:hAnsi="Calibri Light" w:cstheme="majorHAnsi"/>
          <w:sz w:val="24"/>
          <w:szCs w:val="24"/>
          <w:lang w:val="ru-RU"/>
        </w:rPr>
        <w:t>Целями аудитора являются: получение разумного подтверждения того, что на Отчет Правительства об исполнении государственного бюджета не повлияли существенные искажения, связанные с мошенничеством или ошибками, а также составление заключения.</w:t>
      </w:r>
    </w:p>
    <w:p w:rsidR="006F53B7" w:rsidRPr="00A77060" w:rsidRDefault="006F53B7" w:rsidP="006F53B7">
      <w:pPr>
        <w:tabs>
          <w:tab w:val="left" w:pos="720"/>
        </w:tabs>
        <w:spacing w:after="0" w:line="276" w:lineRule="auto"/>
        <w:contextualSpacing/>
        <w:rPr>
          <w:rFonts w:ascii="Calibri Light" w:hAnsi="Calibri Light" w:cstheme="majorHAnsi"/>
          <w:sz w:val="24"/>
          <w:szCs w:val="24"/>
          <w:lang w:val="ru-RU"/>
        </w:rPr>
      </w:pPr>
      <w:r w:rsidRPr="00A77060">
        <w:rPr>
          <w:rFonts w:ascii="Calibri Light" w:hAnsi="Calibri Light" w:cstheme="majorHAnsi"/>
          <w:sz w:val="24"/>
          <w:szCs w:val="24"/>
          <w:lang w:val="ru-RU"/>
        </w:rPr>
        <w:t xml:space="preserve">Разумным подтверждением является высокий уровень подтверждения, но он не является гарантией того, что аудит, проведенный в соответствии с SIA, всегда обнаружит существенное искажение тогда, когда оно существует. Искажения могут быть следствием мошенничества или ошибок. Вместе с тем, искажения могут считаться существенными, если индивидуально или в целом могут повлиять на экономические решения пользователей этих финансовых отчетов. </w:t>
      </w:r>
    </w:p>
    <w:p w:rsidR="006F53B7" w:rsidRPr="00A77060" w:rsidRDefault="006F53B7" w:rsidP="006F53B7">
      <w:pPr>
        <w:tabs>
          <w:tab w:val="left" w:pos="0"/>
        </w:tabs>
        <w:spacing w:after="0" w:line="276" w:lineRule="auto"/>
        <w:contextualSpacing/>
        <w:rPr>
          <w:rFonts w:ascii="Calibri Light" w:hAnsi="Calibri Light" w:cstheme="majorHAnsi"/>
          <w:sz w:val="24"/>
          <w:szCs w:val="24"/>
          <w:lang w:val="ru-RU"/>
        </w:rPr>
      </w:pPr>
      <w:r w:rsidRPr="00A77060">
        <w:rPr>
          <w:rFonts w:ascii="Calibri Light" w:hAnsi="Calibri Light" w:cstheme="majorHAnsi"/>
          <w:i/>
          <w:sz w:val="24"/>
          <w:szCs w:val="24"/>
          <w:lang w:val="ru-RU"/>
        </w:rPr>
        <w:t xml:space="preserve">Более подробна информация об ответственности аудитора представлена на </w:t>
      </w:r>
      <w:r w:rsidRPr="00A77060">
        <w:rPr>
          <w:rFonts w:ascii="Calibri Light" w:eastAsia="SimSun" w:hAnsi="Calibri Light" w:cstheme="majorHAnsi"/>
          <w:i/>
          <w:sz w:val="24"/>
          <w:szCs w:val="24"/>
          <w:lang w:val="ru-RU"/>
        </w:rPr>
        <w:t xml:space="preserve">web странице </w:t>
      </w:r>
      <w:r w:rsidRPr="00A77060">
        <w:rPr>
          <w:rFonts w:ascii="Calibri Light" w:hAnsi="Calibri Light" w:cstheme="majorHAnsi"/>
          <w:i/>
          <w:sz w:val="24"/>
          <w:szCs w:val="24"/>
          <w:lang w:val="ru-RU"/>
        </w:rPr>
        <w:t xml:space="preserve">Счетной палаты по адресу: </w:t>
      </w:r>
      <w:hyperlink r:id="rId12" w:history="1">
        <w:r w:rsidRPr="00A77060">
          <w:rPr>
            <w:rStyle w:val="Hyperlink"/>
            <w:rFonts w:ascii="Calibri Light" w:hAnsi="Calibri Light" w:cstheme="majorHAnsi"/>
            <w:sz w:val="24"/>
            <w:szCs w:val="24"/>
            <w:lang w:val="ru-RU"/>
          </w:rPr>
          <w:t>http://www.ccrm.md/activitatea-curtii-de-conturi-1-25</w:t>
        </w:r>
      </w:hyperlink>
      <w:r w:rsidRPr="00A77060">
        <w:rPr>
          <w:rFonts w:ascii="Calibri Light" w:hAnsi="Calibri Light" w:cstheme="majorHAnsi"/>
          <w:i/>
          <w:sz w:val="24"/>
          <w:szCs w:val="24"/>
          <w:lang w:val="ru-RU"/>
        </w:rPr>
        <w:t>.</w:t>
      </w:r>
    </w:p>
    <w:p w:rsidR="006F53B7" w:rsidRPr="00A77060" w:rsidRDefault="006F53B7" w:rsidP="006F53B7">
      <w:pPr>
        <w:spacing w:after="0" w:line="276" w:lineRule="auto"/>
        <w:rPr>
          <w:rFonts w:ascii="Calibri Light" w:hAnsi="Calibri Light"/>
          <w:sz w:val="24"/>
          <w:szCs w:val="28"/>
          <w:lang w:val="ru-RU"/>
        </w:rPr>
      </w:pPr>
    </w:p>
    <w:p w:rsidR="006F53B7" w:rsidRPr="00A77060" w:rsidRDefault="006F53B7" w:rsidP="006F53B7">
      <w:pPr>
        <w:tabs>
          <w:tab w:val="left" w:pos="993"/>
        </w:tabs>
        <w:spacing w:after="0" w:line="276" w:lineRule="auto"/>
        <w:rPr>
          <w:rFonts w:ascii="Calibri Light" w:hAnsi="Calibri Light" w:cstheme="majorHAnsi"/>
          <w:b/>
          <w:szCs w:val="28"/>
          <w:lang w:val="ru-RU"/>
        </w:rPr>
      </w:pPr>
      <w:r w:rsidRPr="00A77060">
        <w:rPr>
          <w:rFonts w:ascii="Calibri Light" w:hAnsi="Calibri Light" w:cstheme="majorHAnsi"/>
          <w:b/>
          <w:szCs w:val="28"/>
          <w:lang w:val="ru-RU"/>
        </w:rPr>
        <w:t xml:space="preserve">ПОДПИСИ АУДИТОРОВ </w:t>
      </w:r>
    </w:p>
    <w:p w:rsidR="006F53B7" w:rsidRPr="00A77060" w:rsidRDefault="006F53B7" w:rsidP="006F53B7">
      <w:pPr>
        <w:spacing w:after="0" w:line="276" w:lineRule="auto"/>
        <w:rPr>
          <w:rFonts w:ascii="Calibri Light" w:eastAsia="Times New Roman" w:hAnsi="Calibri Light" w:cstheme="majorHAnsi"/>
          <w:bCs/>
          <w:sz w:val="24"/>
          <w:szCs w:val="24"/>
          <w:lang w:val="ru-RU" w:eastAsia="ru-RU"/>
        </w:rPr>
      </w:pPr>
      <w:r w:rsidRPr="00A77060">
        <w:rPr>
          <w:rFonts w:ascii="Calibri Light" w:eastAsia="Times New Roman" w:hAnsi="Calibri Light" w:cstheme="majorHAnsi"/>
          <w:iCs/>
          <w:sz w:val="24"/>
          <w:szCs w:val="24"/>
          <w:lang w:val="ru-RU" w:eastAsia="ru-RU"/>
        </w:rPr>
        <w:t>Руководитель аудиторской группы,</w:t>
      </w:r>
      <w:r w:rsidRPr="00A77060">
        <w:rPr>
          <w:rFonts w:ascii="Calibri Light" w:eastAsia="Times New Roman" w:hAnsi="Calibri Light" w:cstheme="majorHAnsi"/>
          <w:bCs/>
          <w:sz w:val="24"/>
          <w:szCs w:val="24"/>
          <w:lang w:val="ru-RU" w:eastAsia="ru-RU"/>
        </w:rPr>
        <w:t xml:space="preserve"> </w:t>
      </w:r>
    </w:p>
    <w:p w:rsidR="006F53B7" w:rsidRPr="00A77060" w:rsidRDefault="006F53B7" w:rsidP="006F53B7">
      <w:pPr>
        <w:spacing w:after="0" w:line="276" w:lineRule="auto"/>
        <w:rPr>
          <w:rFonts w:ascii="Calibri Light" w:eastAsia="Times New Roman" w:hAnsi="Calibri Light" w:cstheme="majorHAnsi"/>
          <w:iCs/>
          <w:sz w:val="24"/>
          <w:szCs w:val="24"/>
          <w:lang w:val="ru-RU" w:eastAsia="ru-RU"/>
        </w:rPr>
      </w:pPr>
      <w:r w:rsidRPr="00A77060">
        <w:rPr>
          <w:rFonts w:ascii="Calibri Light" w:hAnsi="Calibri Light" w:cstheme="majorHAnsi"/>
          <w:sz w:val="24"/>
          <w:szCs w:val="24"/>
          <w:lang w:val="ru-RU"/>
        </w:rPr>
        <w:t xml:space="preserve">главный публичный аудитор                                     </w:t>
      </w:r>
      <w:r w:rsidRPr="00A77060">
        <w:rPr>
          <w:rFonts w:ascii="Calibri Light" w:eastAsia="Times New Roman" w:hAnsi="Calibri Light" w:cstheme="majorHAnsi"/>
          <w:iCs/>
          <w:sz w:val="24"/>
          <w:szCs w:val="24"/>
          <w:lang w:val="ru-RU" w:eastAsia="ru-RU"/>
        </w:rPr>
        <w:t xml:space="preserve">                                                    Майя Савва</w:t>
      </w:r>
    </w:p>
    <w:p w:rsidR="006F53B7" w:rsidRPr="00A77060" w:rsidRDefault="006F53B7" w:rsidP="006F53B7">
      <w:pPr>
        <w:tabs>
          <w:tab w:val="left" w:pos="993"/>
        </w:tabs>
        <w:spacing w:after="0" w:line="276" w:lineRule="auto"/>
        <w:rPr>
          <w:rFonts w:ascii="Calibri Light" w:hAnsi="Calibri Light" w:cstheme="majorHAnsi"/>
          <w:sz w:val="24"/>
          <w:szCs w:val="24"/>
          <w:lang w:val="ru-RU"/>
        </w:rPr>
      </w:pPr>
    </w:p>
    <w:p w:rsidR="006F53B7" w:rsidRPr="00A77060" w:rsidRDefault="006F53B7" w:rsidP="006F53B7">
      <w:pPr>
        <w:tabs>
          <w:tab w:val="left" w:pos="993"/>
        </w:tabs>
        <w:spacing w:after="0" w:line="276" w:lineRule="auto"/>
        <w:rPr>
          <w:rFonts w:ascii="Calibri Light" w:hAnsi="Calibri Light" w:cstheme="majorHAnsi"/>
          <w:sz w:val="24"/>
          <w:szCs w:val="24"/>
          <w:lang w:val="ru-RU"/>
        </w:rPr>
      </w:pPr>
      <w:r w:rsidRPr="00A77060">
        <w:rPr>
          <w:rFonts w:ascii="Calibri Light" w:hAnsi="Calibri Light" w:cstheme="majorHAnsi"/>
          <w:sz w:val="24"/>
          <w:szCs w:val="24"/>
          <w:lang w:val="ru-RU"/>
        </w:rPr>
        <w:t>Главный публичный аудитор                                                                                        Ульяна Негру</w:t>
      </w:r>
    </w:p>
    <w:p w:rsidR="006F53B7" w:rsidRPr="00A77060" w:rsidRDefault="006F53B7" w:rsidP="006F53B7">
      <w:pPr>
        <w:tabs>
          <w:tab w:val="left" w:pos="993"/>
        </w:tabs>
        <w:spacing w:after="0" w:line="276" w:lineRule="auto"/>
        <w:rPr>
          <w:rFonts w:ascii="Calibri Light" w:hAnsi="Calibri Light" w:cstheme="majorHAnsi"/>
          <w:sz w:val="24"/>
          <w:szCs w:val="24"/>
          <w:lang w:val="ru-RU"/>
        </w:rPr>
      </w:pPr>
    </w:p>
    <w:p w:rsidR="006F53B7" w:rsidRPr="00A77060" w:rsidRDefault="006F53B7" w:rsidP="006F53B7">
      <w:pPr>
        <w:tabs>
          <w:tab w:val="left" w:pos="993"/>
        </w:tabs>
        <w:spacing w:after="0" w:line="276" w:lineRule="auto"/>
        <w:rPr>
          <w:rFonts w:ascii="Calibri Light" w:hAnsi="Calibri Light" w:cstheme="majorHAnsi"/>
          <w:sz w:val="24"/>
          <w:szCs w:val="24"/>
          <w:lang w:val="ru-RU"/>
        </w:rPr>
      </w:pPr>
      <w:r w:rsidRPr="00A77060">
        <w:rPr>
          <w:rFonts w:ascii="Calibri Light" w:hAnsi="Calibri Light" w:cstheme="majorHAnsi"/>
          <w:sz w:val="24"/>
          <w:szCs w:val="24"/>
          <w:lang w:val="ru-RU"/>
        </w:rPr>
        <w:t>Старший публичный аудитор                                                                                         Вера Боршевски</w:t>
      </w:r>
    </w:p>
    <w:p w:rsidR="006F53B7" w:rsidRPr="00A77060" w:rsidRDefault="006F53B7" w:rsidP="006F53B7">
      <w:pPr>
        <w:tabs>
          <w:tab w:val="left" w:pos="993"/>
        </w:tabs>
        <w:spacing w:after="0" w:line="276" w:lineRule="auto"/>
        <w:rPr>
          <w:rFonts w:ascii="Calibri Light" w:hAnsi="Calibri Light" w:cstheme="majorHAnsi"/>
          <w:sz w:val="24"/>
          <w:szCs w:val="24"/>
          <w:lang w:val="ru-RU"/>
        </w:rPr>
      </w:pPr>
    </w:p>
    <w:p w:rsidR="006F53B7" w:rsidRPr="00A77060" w:rsidRDefault="006F53B7" w:rsidP="006F53B7">
      <w:pPr>
        <w:spacing w:after="0" w:line="240" w:lineRule="auto"/>
        <w:rPr>
          <w:rFonts w:ascii="Calibri Light" w:eastAsia="Times New Roman" w:hAnsi="Calibri Light" w:cstheme="majorHAnsi"/>
          <w:b/>
          <w:bCs/>
          <w:i/>
          <w:iCs/>
          <w:sz w:val="24"/>
          <w:szCs w:val="24"/>
          <w:lang w:val="ru-RU"/>
        </w:rPr>
      </w:pPr>
      <w:r w:rsidRPr="00A77060">
        <w:rPr>
          <w:rFonts w:ascii="Calibri Light" w:eastAsia="Times New Roman" w:hAnsi="Calibri Light" w:cstheme="majorHAnsi"/>
          <w:b/>
          <w:bCs/>
          <w:i/>
          <w:iCs/>
          <w:sz w:val="24"/>
          <w:szCs w:val="24"/>
          <w:lang w:val="ru-RU"/>
        </w:rPr>
        <w:t xml:space="preserve">Ответственный за аудит: </w:t>
      </w:r>
    </w:p>
    <w:p w:rsidR="006F53B7" w:rsidRPr="00A77060" w:rsidRDefault="006F53B7" w:rsidP="006F53B7">
      <w:pPr>
        <w:tabs>
          <w:tab w:val="left" w:pos="1080"/>
        </w:tabs>
        <w:spacing w:line="240" w:lineRule="auto"/>
        <w:contextualSpacing/>
        <w:rPr>
          <w:rFonts w:ascii="Calibri Light" w:eastAsia="Times New Roman" w:hAnsi="Calibri Light" w:cstheme="majorHAnsi"/>
          <w:sz w:val="24"/>
          <w:szCs w:val="24"/>
          <w:lang w:val="ru-RU"/>
        </w:rPr>
      </w:pPr>
      <w:r w:rsidRPr="00A77060">
        <w:rPr>
          <w:rFonts w:ascii="Calibri Light" w:eastAsia="Times New Roman" w:hAnsi="Calibri Light" w:cstheme="majorHAnsi"/>
          <w:sz w:val="24"/>
          <w:szCs w:val="24"/>
          <w:lang w:val="ru-RU"/>
        </w:rPr>
        <w:t xml:space="preserve">Начальник главного управления аудита </w:t>
      </w:r>
      <w:proofErr w:type="gramStart"/>
      <w:r w:rsidRPr="00A77060">
        <w:rPr>
          <w:rFonts w:ascii="Calibri Light" w:eastAsia="Times New Roman" w:hAnsi="Calibri Light" w:cstheme="majorHAnsi"/>
          <w:sz w:val="24"/>
          <w:szCs w:val="24"/>
          <w:lang w:val="ru-RU"/>
        </w:rPr>
        <w:t xml:space="preserve">I,   </w:t>
      </w:r>
      <w:proofErr w:type="gramEnd"/>
      <w:r w:rsidRPr="00A77060">
        <w:rPr>
          <w:rFonts w:ascii="Calibri Light" w:eastAsia="Times New Roman" w:hAnsi="Calibri Light" w:cstheme="majorHAnsi"/>
          <w:sz w:val="24"/>
          <w:szCs w:val="24"/>
          <w:lang w:val="ru-RU"/>
        </w:rPr>
        <w:t xml:space="preserve">                                                              Наталья Трофим</w:t>
      </w:r>
    </w:p>
    <w:p w:rsidR="006F53B7" w:rsidRPr="00A77060" w:rsidRDefault="006F53B7" w:rsidP="006F53B7">
      <w:pPr>
        <w:tabs>
          <w:tab w:val="left" w:pos="993"/>
        </w:tabs>
        <w:spacing w:after="0" w:line="276" w:lineRule="auto"/>
        <w:rPr>
          <w:rFonts w:ascii="Calibri Light" w:hAnsi="Calibri Light" w:cstheme="majorHAnsi"/>
          <w:sz w:val="24"/>
          <w:szCs w:val="24"/>
          <w:lang w:val="ru-RU"/>
        </w:rPr>
      </w:pPr>
    </w:p>
    <w:p w:rsidR="006F53B7" w:rsidRPr="00A77060" w:rsidRDefault="006F53B7" w:rsidP="006F53B7">
      <w:pPr>
        <w:tabs>
          <w:tab w:val="left" w:pos="8229"/>
        </w:tabs>
        <w:rPr>
          <w:rFonts w:ascii="Calibri Light" w:eastAsia="Times New Roman" w:hAnsi="Calibri Light" w:cstheme="majorHAnsi"/>
          <w:sz w:val="24"/>
          <w:szCs w:val="24"/>
          <w:lang w:val="ru-RU"/>
        </w:rPr>
        <w:sectPr w:rsidR="006F53B7" w:rsidRPr="00A77060" w:rsidSect="0091215A">
          <w:footerReference w:type="default" r:id="rId13"/>
          <w:pgSz w:w="12240" w:h="15840"/>
          <w:pgMar w:top="851" w:right="851" w:bottom="851" w:left="1701" w:header="709" w:footer="709" w:gutter="0"/>
          <w:cols w:space="708"/>
          <w:docGrid w:linePitch="360"/>
        </w:sectPr>
      </w:pPr>
    </w:p>
    <w:p w:rsidR="006F53B7" w:rsidRPr="00A77060" w:rsidRDefault="006F53B7" w:rsidP="006F53B7">
      <w:pPr>
        <w:pStyle w:val="ListParagraph"/>
        <w:numPr>
          <w:ilvl w:val="0"/>
          <w:numId w:val="1"/>
        </w:numPr>
        <w:tabs>
          <w:tab w:val="left" w:pos="426"/>
        </w:tabs>
        <w:ind w:left="0" w:firstLine="0"/>
        <w:rPr>
          <w:rFonts w:ascii="Calibri Light" w:hAnsi="Calibri Light" w:cstheme="majorHAnsi"/>
          <w:b/>
          <w:lang w:val="ru-RU"/>
        </w:rPr>
      </w:pPr>
      <w:r w:rsidRPr="00A77060">
        <w:rPr>
          <w:rFonts w:ascii="Calibri Light" w:eastAsia="Times New Roman" w:hAnsi="Calibri Light" w:cstheme="majorHAnsi"/>
          <w:b/>
          <w:sz w:val="24"/>
          <w:szCs w:val="24"/>
          <w:lang w:val="ru-RU"/>
        </w:rPr>
        <w:lastRenderedPageBreak/>
        <w:t>ПРИЛОЖЕНИЯ</w:t>
      </w:r>
    </w:p>
    <w:p w:rsidR="006F53B7" w:rsidRPr="00A77060" w:rsidRDefault="006F53B7" w:rsidP="006F53B7">
      <w:pPr>
        <w:jc w:val="right"/>
        <w:rPr>
          <w:rFonts w:ascii="Calibri Light" w:hAnsi="Calibri Light" w:cstheme="majorHAnsi"/>
          <w:b/>
          <w:sz w:val="24"/>
          <w:szCs w:val="24"/>
          <w:lang w:val="ru-RU"/>
        </w:rPr>
      </w:pPr>
      <w:r w:rsidRPr="00A77060">
        <w:rPr>
          <w:rFonts w:ascii="Calibri Light" w:eastAsia="Times New Roman" w:hAnsi="Calibri Light" w:cstheme="majorHAnsi"/>
          <w:b/>
          <w:sz w:val="24"/>
          <w:szCs w:val="24"/>
          <w:lang w:val="ru-RU"/>
        </w:rPr>
        <w:t>Приложение №</w:t>
      </w:r>
      <w:r w:rsidRPr="00A77060">
        <w:rPr>
          <w:rFonts w:ascii="Calibri Light" w:hAnsi="Calibri Light" w:cstheme="majorHAnsi"/>
          <w:b/>
          <w:sz w:val="24"/>
          <w:szCs w:val="24"/>
          <w:lang w:val="ru-RU"/>
        </w:rPr>
        <w:t>1</w:t>
      </w:r>
    </w:p>
    <w:p w:rsidR="006F53B7" w:rsidRDefault="006F53B7" w:rsidP="006F53B7">
      <w:pPr>
        <w:spacing w:after="0"/>
        <w:jc w:val="center"/>
        <w:rPr>
          <w:rFonts w:ascii="Calibri Light" w:hAnsi="Calibri Light" w:cstheme="majorHAnsi"/>
          <w:b/>
          <w:sz w:val="24"/>
          <w:szCs w:val="24"/>
          <w:lang w:val="ru-RU"/>
        </w:rPr>
      </w:pPr>
      <w:r w:rsidRPr="00A77060">
        <w:rPr>
          <w:rFonts w:ascii="Calibri Light" w:hAnsi="Calibri Light" w:cstheme="majorHAnsi"/>
          <w:b/>
          <w:sz w:val="24"/>
          <w:szCs w:val="24"/>
          <w:lang w:val="ru-RU"/>
        </w:rPr>
        <w:t>Состав и формат форм к Годовому отчету об исполнении государственного бюджета</w:t>
      </w:r>
    </w:p>
    <w:p w:rsidR="006F53B7" w:rsidRPr="00A77060" w:rsidRDefault="006F53B7" w:rsidP="006F53B7">
      <w:pPr>
        <w:spacing w:after="0"/>
        <w:jc w:val="center"/>
        <w:rPr>
          <w:rFonts w:ascii="Calibri Light" w:hAnsi="Calibri Light" w:cstheme="majorHAnsi"/>
          <w:b/>
          <w:sz w:val="24"/>
          <w:szCs w:val="24"/>
          <w:lang w:val="ru-RU"/>
        </w:rPr>
      </w:pPr>
      <w:r w:rsidRPr="00A77060">
        <w:rPr>
          <w:rFonts w:ascii="Calibri Light" w:hAnsi="Calibri Light" w:cstheme="majorHAnsi"/>
          <w:b/>
          <w:sz w:val="24"/>
          <w:szCs w:val="24"/>
          <w:lang w:val="ru-RU"/>
        </w:rPr>
        <w:t xml:space="preserve"> за 2020 год </w:t>
      </w:r>
    </w:p>
    <w:p w:rsidR="006F53B7" w:rsidRPr="00A77060" w:rsidRDefault="006F53B7" w:rsidP="006F53B7">
      <w:pPr>
        <w:spacing w:after="0"/>
        <w:jc w:val="center"/>
        <w:rPr>
          <w:rFonts w:ascii="Calibri Light" w:hAnsi="Calibri Light" w:cstheme="majorHAnsi"/>
          <w:b/>
          <w:sz w:val="24"/>
          <w:szCs w:val="24"/>
          <w:lang w:val="ru-RU"/>
        </w:rPr>
      </w:pPr>
    </w:p>
    <w:tbl>
      <w:tblPr>
        <w:tblStyle w:val="TableGrid2"/>
        <w:tblW w:w="11199" w:type="dxa"/>
        <w:tblInd w:w="-998" w:type="dxa"/>
        <w:tblLayout w:type="fixed"/>
        <w:tblLook w:val="04A0" w:firstRow="1" w:lastRow="0" w:firstColumn="1" w:lastColumn="0" w:noHBand="0" w:noVBand="1"/>
      </w:tblPr>
      <w:tblGrid>
        <w:gridCol w:w="1985"/>
        <w:gridCol w:w="9214"/>
      </w:tblGrid>
      <w:tr w:rsidR="006F53B7" w:rsidRPr="007071A4" w:rsidTr="004D2946">
        <w:trPr>
          <w:trHeight w:val="405"/>
        </w:trPr>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
                <w:bCs/>
                <w:iCs/>
                <w:sz w:val="20"/>
                <w:szCs w:val="20"/>
                <w:lang w:val="ru-RU" w:eastAsia="ru-RU"/>
              </w:rPr>
            </w:pPr>
            <w:r w:rsidRPr="00A77060">
              <w:rPr>
                <w:rFonts w:ascii="Calibri Light" w:eastAsia="Times New Roman" w:hAnsi="Calibri Light" w:cstheme="majorHAnsi"/>
                <w:b/>
                <w:bCs/>
                <w:iCs/>
                <w:sz w:val="20"/>
                <w:szCs w:val="20"/>
                <w:lang w:val="ru-RU" w:eastAsia="ru-RU"/>
              </w:rPr>
              <w:t xml:space="preserve">№ формы </w:t>
            </w:r>
          </w:p>
        </w:tc>
        <w:tc>
          <w:tcPr>
            <w:tcW w:w="9214" w:type="dxa"/>
            <w:tcBorders>
              <w:left w:val="single" w:sz="12" w:space="0" w:color="auto"/>
              <w:right w:val="single" w:sz="12" w:space="0" w:color="auto"/>
            </w:tcBorders>
          </w:tcPr>
          <w:p w:rsidR="006F53B7" w:rsidRPr="00A77060" w:rsidRDefault="006F53B7" w:rsidP="004D2946">
            <w:pPr>
              <w:jc w:val="center"/>
              <w:rPr>
                <w:rFonts w:ascii="Calibri Light" w:eastAsia="Times New Roman" w:hAnsi="Calibri Light" w:cstheme="majorHAnsi"/>
                <w:b/>
                <w:bCs/>
                <w:iCs/>
                <w:sz w:val="20"/>
                <w:szCs w:val="20"/>
                <w:lang w:val="ru-RU" w:eastAsia="ru-RU"/>
              </w:rPr>
            </w:pPr>
            <w:r w:rsidRPr="00A77060">
              <w:rPr>
                <w:rFonts w:ascii="Calibri Light" w:eastAsia="Times New Roman" w:hAnsi="Calibri Light" w:cstheme="majorHAnsi"/>
                <w:b/>
                <w:bCs/>
                <w:iCs/>
                <w:sz w:val="20"/>
                <w:szCs w:val="20"/>
                <w:lang w:val="ru-RU" w:eastAsia="ru-RU"/>
              </w:rPr>
              <w:t>Название согласно Приказу МФ №18 от 27.01.2020</w:t>
            </w:r>
          </w:p>
        </w:tc>
      </w:tr>
      <w:tr w:rsidR="006F53B7" w:rsidRPr="00A77060"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№1*</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Отчет об исполнении общих показателей и источников финансирования государственного бюджета за 2020 год (согласно Приложению №1 к Закону о государственном бюджете)</w:t>
            </w:r>
          </w:p>
        </w:tc>
      </w:tr>
      <w:tr w:rsidR="006F53B7" w:rsidRPr="00A77060"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№2*</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Отчет об исполнении доходов государственного бюджета и источников финансирования бюджетного сальдо за 2020 год (согласно Приложению №2 к Закону о государственном бюджете)</w:t>
            </w:r>
          </w:p>
        </w:tc>
      </w:tr>
      <w:tr w:rsidR="006F53B7" w:rsidRPr="00A77060"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№3*</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Отчет об исполнении бюджетов органов, финансируемых из государственного бюджета в части расходов за 2020 год (согласно Приложению №3 к Закону о государственном бюджете)</w:t>
            </w:r>
          </w:p>
        </w:tc>
      </w:tr>
      <w:tr w:rsidR="006F53B7" w:rsidRPr="00A77060"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№3.1</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 xml:space="preserve">Отчет об исполнении бюджетов органов, финансируемых из государственного бюджета в части общих ресурсов за 2020 год (согласно Приложению №3 к Закону о государственном бюджете) </w:t>
            </w:r>
          </w:p>
        </w:tc>
      </w:tr>
      <w:tr w:rsidR="006F53B7" w:rsidRPr="00A77060"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№3.2</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 xml:space="preserve">Отчет об исполнении бюджетов органов, финансируемых из государственного бюджета в части общих ресурсов за 2020 год (согласно Приложению №3 к Закону о государственном бюджете) </w:t>
            </w:r>
          </w:p>
        </w:tc>
      </w:tr>
      <w:tr w:rsidR="006F53B7" w:rsidRPr="00A77060"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№3.3</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 xml:space="preserve">Отчет об исполнении бюджетов органов, финансируемых из государственного бюджета в части собираемых доходов за 2020 год (согласно Приложению №3 к Закону о государственном бюджете) </w:t>
            </w:r>
          </w:p>
        </w:tc>
      </w:tr>
      <w:tr w:rsidR="006F53B7" w:rsidRPr="00A77060"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№3.4</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Отчет об исполнении бюджетов органов, финансируемых из государственного бюджета в части ресурсов проектов, финансируемых из внешних источников за 2020 год (согласно Приложению №3 к Закону о государственном бюджете)</w:t>
            </w:r>
          </w:p>
        </w:tc>
      </w:tr>
      <w:tr w:rsidR="006F53B7" w:rsidRPr="00A77060"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№4*</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Отчет об исполнении расходов государственного бюджета согласно функциональной классификации за 2020 год (согласно Приложению №4 к Закону о государственном бюджете)</w:t>
            </w:r>
          </w:p>
        </w:tc>
      </w:tr>
      <w:tr w:rsidR="006F53B7" w:rsidRPr="00A77060"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№5*</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Отчет об исполнении расходов на персонал по центральным органам публичной власти за 2020 год (согласно Приложению №5 к Закону о государственном бюджете)</w:t>
            </w:r>
          </w:p>
        </w:tc>
      </w:tr>
      <w:tr w:rsidR="006F53B7" w:rsidRPr="00A77060" w:rsidTr="004D2946">
        <w:trPr>
          <w:trHeight w:val="488"/>
        </w:trPr>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№6*</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Отчет об исполнении капитальных вложений по центральным органам публичной власти, всего за 2020 год (согласно Приложению №6 к Закону о государственном бюджете)</w:t>
            </w:r>
          </w:p>
        </w:tc>
      </w:tr>
      <w:tr w:rsidR="006F53B7" w:rsidRPr="00A77060"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№6.1</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Отчет об исполнении капитальных вложений по центральным органам публичной власти за счет общих ресурсов и собираемых доходов за 2020 год (согласно Приложению №6 к Закону о государственном бюджете)</w:t>
            </w:r>
          </w:p>
        </w:tc>
      </w:tr>
      <w:tr w:rsidR="006F53B7" w:rsidRPr="00A77060"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№6.2</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Отчет об исполнении капитальных вложений по центральным органам публичной власти за счет проектов, финансируемых из внешних источников, за 2020 год (согласно Приложению №6 к Закону о государственном бюджете)</w:t>
            </w:r>
          </w:p>
        </w:tc>
      </w:tr>
      <w:tr w:rsidR="006F53B7" w:rsidRPr="00A77060"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№7*</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Отчет о трансфертах из государственного бюджета местным бюджетам за 2020 год (согласно Приложению №7 к Закону о государственном бюджете)</w:t>
            </w:r>
          </w:p>
        </w:tc>
      </w:tr>
      <w:tr w:rsidR="006F53B7" w:rsidRPr="00A77060"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№7.1</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Отчет о трансфертах специального назначения из государственного бюджета местным бюджетам за 2020 год (согласно Приложению №7 к Закону о государственном бюджете)</w:t>
            </w:r>
          </w:p>
        </w:tc>
      </w:tr>
      <w:tr w:rsidR="006F53B7" w:rsidRPr="00A77060"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№7.1.1</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Отчет о трансфертах специального назначения на социальную помощь из государственного бюджета местным бюджетам за 2020 год (согласно Приложению №7 к Закону о государственном бюджете)</w:t>
            </w:r>
          </w:p>
        </w:tc>
      </w:tr>
      <w:tr w:rsidR="006F53B7" w:rsidRPr="007071A4"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№8*</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Отчет об исполнении расходов и нефинансовых активов государственного бюджета в аспекте экономической классификации за 2020 год</w:t>
            </w:r>
          </w:p>
        </w:tc>
      </w:tr>
      <w:tr w:rsidR="006F53B7" w:rsidRPr="007071A4"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№9*</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 xml:space="preserve">Отчет об обязательствах и долгах по расходам и нефинансовым активам, сформированным в бюджетных органах/учреждениях, финансируемых из государственного бюджета, согласно экономической классификации за 2020 год </w:t>
            </w:r>
          </w:p>
        </w:tc>
      </w:tr>
      <w:tr w:rsidR="006F53B7" w:rsidRPr="007071A4"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№10*</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 xml:space="preserve">Отчет о распределении и использовании средств резервного фонда Правительства за 2020 год </w:t>
            </w:r>
          </w:p>
        </w:tc>
      </w:tr>
      <w:tr w:rsidR="006F53B7" w:rsidRPr="007071A4"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№11*</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Отчет о распределении и использовании средств интервенционного фонда Правительства за 2020 год</w:t>
            </w:r>
          </w:p>
        </w:tc>
      </w:tr>
      <w:tr w:rsidR="006F53B7" w:rsidRPr="007071A4"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№12*</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Отчет о распределении и использовании средств Программы по реинтеграции страны за 2020 год</w:t>
            </w:r>
          </w:p>
        </w:tc>
      </w:tr>
      <w:tr w:rsidR="006F53B7" w:rsidRPr="007071A4"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№13*</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Бухгалтерский баланс по исполнению государственного бюджета за 2020 год,</w:t>
            </w:r>
          </w:p>
        </w:tc>
      </w:tr>
      <w:tr w:rsidR="006F53B7" w:rsidRPr="007071A4" w:rsidTr="004D2946">
        <w:tc>
          <w:tcPr>
            <w:tcW w:w="1985" w:type="dxa"/>
            <w:tcBorders>
              <w:right w:val="single" w:sz="12" w:space="0" w:color="auto"/>
            </w:tcBorders>
          </w:tcPr>
          <w:p w:rsidR="006F53B7" w:rsidRPr="00A77060" w:rsidRDefault="006F53B7" w:rsidP="004D2946">
            <w:pPr>
              <w:jc w:val="center"/>
              <w:rPr>
                <w:rFonts w:ascii="Calibri Light" w:eastAsia="Times New Roman" w:hAnsi="Calibri Light" w:cstheme="majorHAnsi"/>
                <w:bCs/>
                <w:i/>
                <w:iCs/>
                <w:sz w:val="20"/>
                <w:szCs w:val="20"/>
                <w:lang w:val="ru-RU" w:eastAsia="ru-RU"/>
              </w:rPr>
            </w:pPr>
            <w:r w:rsidRPr="00A77060">
              <w:rPr>
                <w:rFonts w:ascii="Calibri Light" w:eastAsia="Times New Roman" w:hAnsi="Calibri Light" w:cstheme="majorHAnsi"/>
                <w:bCs/>
                <w:i/>
                <w:iCs/>
                <w:sz w:val="20"/>
                <w:szCs w:val="20"/>
                <w:lang w:val="ru-RU" w:eastAsia="ru-RU"/>
              </w:rPr>
              <w:t>Форма №14</w:t>
            </w:r>
          </w:p>
        </w:tc>
        <w:tc>
          <w:tcPr>
            <w:tcW w:w="9214" w:type="dxa"/>
            <w:tcBorders>
              <w:left w:val="single" w:sz="12" w:space="0" w:color="auto"/>
              <w:right w:val="single" w:sz="12" w:space="0" w:color="auto"/>
            </w:tcBorders>
          </w:tcPr>
          <w:p w:rsidR="006F53B7" w:rsidRPr="00A77060" w:rsidRDefault="006F53B7" w:rsidP="004D2946">
            <w:pPr>
              <w:rPr>
                <w:rFonts w:ascii="Calibri Light" w:eastAsia="Times New Roman" w:hAnsi="Calibri Light" w:cstheme="majorHAnsi"/>
                <w:bCs/>
                <w:iCs/>
                <w:sz w:val="20"/>
                <w:szCs w:val="20"/>
                <w:lang w:val="ru-RU" w:eastAsia="ru-RU"/>
              </w:rPr>
            </w:pPr>
            <w:r w:rsidRPr="00A77060">
              <w:rPr>
                <w:rFonts w:ascii="Calibri Light" w:eastAsia="Times New Roman" w:hAnsi="Calibri Light" w:cstheme="majorHAnsi"/>
                <w:bCs/>
                <w:iCs/>
                <w:sz w:val="20"/>
                <w:szCs w:val="20"/>
                <w:lang w:val="ru-RU" w:eastAsia="ru-RU"/>
              </w:rPr>
              <w:t>Отчет об исполнении национального публичного бюджета за 2020 год</w:t>
            </w:r>
          </w:p>
        </w:tc>
      </w:tr>
    </w:tbl>
    <w:p w:rsidR="006F53B7" w:rsidRPr="00A77060" w:rsidRDefault="006F53B7" w:rsidP="006F53B7">
      <w:pPr>
        <w:ind w:left="-993"/>
        <w:rPr>
          <w:rFonts w:ascii="Calibri Light" w:hAnsi="Calibri Light" w:cstheme="majorHAnsi"/>
          <w:i/>
          <w:sz w:val="20"/>
          <w:szCs w:val="20"/>
          <w:lang w:val="ru-RU"/>
        </w:rPr>
      </w:pPr>
      <w:r w:rsidRPr="00A77060">
        <w:rPr>
          <w:rFonts w:ascii="Calibri Light" w:hAnsi="Calibri Light" w:cstheme="majorHAnsi"/>
          <w:b/>
          <w:i/>
          <w:sz w:val="20"/>
          <w:szCs w:val="20"/>
          <w:lang w:val="ru-RU"/>
        </w:rPr>
        <w:t>Справка:</w:t>
      </w:r>
      <w:r w:rsidRPr="00A77060">
        <w:rPr>
          <w:rFonts w:ascii="Calibri Light" w:hAnsi="Calibri Light" w:cstheme="majorHAnsi"/>
          <w:i/>
          <w:sz w:val="20"/>
          <w:szCs w:val="20"/>
          <w:lang w:val="ru-RU"/>
        </w:rPr>
        <w:t xml:space="preserve"> Со звездочкой (*) отмечены формы Отчетов, являющиеся составной частью Отчета об исполнении государственного бюджета на 2020 год, тестированные аудитом в финансовом и нормативном аспекте.</w:t>
      </w:r>
    </w:p>
    <w:p w:rsidR="006F53B7" w:rsidRPr="00A77060" w:rsidRDefault="006F53B7" w:rsidP="006F53B7">
      <w:pPr>
        <w:jc w:val="right"/>
        <w:rPr>
          <w:rFonts w:ascii="Calibri Light" w:hAnsi="Calibri Light" w:cstheme="majorHAnsi"/>
          <w:b/>
          <w:sz w:val="24"/>
          <w:szCs w:val="24"/>
          <w:lang w:val="ru-RU"/>
        </w:rPr>
      </w:pPr>
      <w:r w:rsidRPr="00A77060">
        <w:rPr>
          <w:rFonts w:ascii="Calibri Light" w:eastAsia="Times New Roman" w:hAnsi="Calibri Light" w:cstheme="majorHAnsi"/>
          <w:b/>
          <w:sz w:val="24"/>
          <w:szCs w:val="24"/>
          <w:lang w:val="ru-RU"/>
        </w:rPr>
        <w:lastRenderedPageBreak/>
        <w:t>Приложение №</w:t>
      </w:r>
      <w:r w:rsidRPr="00A77060">
        <w:rPr>
          <w:rFonts w:ascii="Calibri Light" w:hAnsi="Calibri Light" w:cstheme="majorHAnsi"/>
          <w:b/>
          <w:sz w:val="24"/>
          <w:szCs w:val="24"/>
          <w:lang w:val="ru-RU"/>
        </w:rPr>
        <w:t>2</w:t>
      </w:r>
    </w:p>
    <w:p w:rsidR="006F53B7" w:rsidRPr="00A77060" w:rsidRDefault="006F53B7" w:rsidP="006F53B7">
      <w:pPr>
        <w:pStyle w:val="ListParagraph"/>
        <w:jc w:val="center"/>
        <w:rPr>
          <w:rFonts w:ascii="Calibri Light" w:hAnsi="Calibri Light" w:cstheme="majorHAnsi"/>
          <w:b/>
          <w:sz w:val="22"/>
          <w:lang w:val="ru-RU" w:bidi="ro-RO"/>
        </w:rPr>
      </w:pPr>
      <w:r w:rsidRPr="00A77060">
        <w:rPr>
          <w:rFonts w:ascii="Calibri Light" w:hAnsi="Calibri Light" w:cstheme="majorHAnsi"/>
          <w:b/>
          <w:sz w:val="22"/>
          <w:lang w:val="ru-RU" w:bidi="ro-RO"/>
        </w:rPr>
        <w:t xml:space="preserve">Информация о субсидировании налогоплательщиков за расходы, связанные с выплатой заработной платы/пособий в случае технической безработицы/ остановки более </w:t>
      </w:r>
      <w:r w:rsidRPr="00A77060">
        <w:rPr>
          <w:rFonts w:ascii="Calibri Light" w:hAnsi="Calibri Light" w:cstheme="majorHAnsi"/>
          <w:b/>
          <w:sz w:val="22"/>
          <w:lang w:val="ru-RU"/>
        </w:rPr>
        <w:t>1,0 млн. леев</w:t>
      </w:r>
    </w:p>
    <w:p w:rsidR="006F53B7" w:rsidRPr="00A77060" w:rsidRDefault="006F53B7" w:rsidP="006F53B7">
      <w:pPr>
        <w:pStyle w:val="ListParagraph"/>
        <w:tabs>
          <w:tab w:val="left" w:pos="426"/>
          <w:tab w:val="left" w:pos="851"/>
          <w:tab w:val="left" w:pos="993"/>
        </w:tabs>
        <w:spacing w:after="0" w:line="276" w:lineRule="auto"/>
        <w:ind w:left="0" w:right="1466"/>
        <w:jc w:val="right"/>
        <w:rPr>
          <w:rFonts w:ascii="Calibri Light" w:eastAsia="Times New Roman" w:hAnsi="Calibri Light" w:cstheme="majorHAnsi"/>
          <w:b/>
          <w:color w:val="000000" w:themeColor="text1"/>
          <w:sz w:val="20"/>
          <w:szCs w:val="20"/>
          <w:lang w:val="ru-RU" w:bidi="ro-RO"/>
        </w:rPr>
      </w:pPr>
    </w:p>
    <w:p w:rsidR="006F53B7" w:rsidRPr="00A77060" w:rsidRDefault="006F53B7" w:rsidP="006F53B7">
      <w:pPr>
        <w:pStyle w:val="ListParagraph"/>
        <w:tabs>
          <w:tab w:val="left" w:pos="426"/>
          <w:tab w:val="left" w:pos="851"/>
          <w:tab w:val="left" w:pos="993"/>
        </w:tabs>
        <w:spacing w:after="0" w:line="276" w:lineRule="auto"/>
        <w:ind w:left="0" w:right="1466"/>
        <w:jc w:val="right"/>
        <w:rPr>
          <w:rFonts w:ascii="Calibri Light" w:eastAsia="Times New Roman" w:hAnsi="Calibri Light" w:cstheme="majorHAnsi"/>
          <w:b/>
          <w:color w:val="000000" w:themeColor="text1"/>
          <w:sz w:val="20"/>
          <w:szCs w:val="20"/>
          <w:lang w:val="ru-RU" w:bidi="ro-RO"/>
        </w:rPr>
      </w:pPr>
      <w:r w:rsidRPr="00A77060">
        <w:rPr>
          <w:rFonts w:ascii="Calibri Light" w:eastAsia="Times New Roman" w:hAnsi="Calibri Light" w:cstheme="majorHAnsi"/>
          <w:b/>
          <w:color w:val="000000" w:themeColor="text1"/>
          <w:sz w:val="20"/>
          <w:szCs w:val="20"/>
          <w:lang w:val="ru-RU" w:bidi="ro-RO"/>
        </w:rPr>
        <w:t>(млн. леев)</w:t>
      </w:r>
    </w:p>
    <w:tbl>
      <w:tblPr>
        <w:tblW w:w="6780" w:type="dxa"/>
        <w:jc w:val="center"/>
        <w:tblLook w:val="04A0" w:firstRow="1" w:lastRow="0" w:firstColumn="1" w:lastColumn="0" w:noHBand="0" w:noVBand="1"/>
      </w:tblPr>
      <w:tblGrid>
        <w:gridCol w:w="562"/>
        <w:gridCol w:w="4820"/>
        <w:gridCol w:w="1398"/>
      </w:tblGrid>
      <w:tr w:rsidR="006F53B7" w:rsidRPr="00A77060" w:rsidTr="004D2946">
        <w:trPr>
          <w:trHeight w:val="782"/>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lef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п/п</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xml:space="preserve">Название налогоплательщика  </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xml:space="preserve">Исполненная сумма субсидии </w:t>
            </w:r>
          </w:p>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p>
        </w:tc>
      </w:tr>
      <w:tr w:rsidR="006F53B7" w:rsidRPr="00A77060" w:rsidTr="004D2946">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color w:val="000000"/>
                <w:sz w:val="20"/>
                <w:szCs w:val="20"/>
                <w:lang w:val="ru-RU"/>
              </w:rPr>
            </w:pPr>
            <w:r w:rsidRPr="00A77060">
              <w:rPr>
                <w:rFonts w:ascii="Calibri Light" w:eastAsia="Times New Roman" w:hAnsi="Calibri Light" w:cstheme="majorHAnsi"/>
                <w:b/>
                <w:color w:val="000000"/>
                <w:sz w:val="20"/>
                <w:szCs w:val="20"/>
                <w:lang w:val="ru-RU"/>
              </w:rPr>
              <w:t>1</w:t>
            </w:r>
          </w:p>
        </w:tc>
        <w:tc>
          <w:tcPr>
            <w:tcW w:w="482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SE BORDNETZE ООО</w:t>
            </w:r>
          </w:p>
        </w:tc>
        <w:tc>
          <w:tcPr>
            <w:tcW w:w="139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7,81</w:t>
            </w:r>
          </w:p>
        </w:tc>
      </w:tr>
      <w:tr w:rsidR="006F53B7" w:rsidRPr="00A77060" w:rsidTr="004D2946">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color w:val="000000"/>
                <w:sz w:val="20"/>
                <w:szCs w:val="20"/>
                <w:lang w:val="ru-RU"/>
              </w:rPr>
            </w:pPr>
            <w:r w:rsidRPr="00A77060">
              <w:rPr>
                <w:rFonts w:ascii="Calibri Light" w:eastAsia="Times New Roman" w:hAnsi="Calibri Light" w:cstheme="majorHAnsi"/>
                <w:b/>
                <w:color w:val="000000"/>
                <w:sz w:val="20"/>
                <w:szCs w:val="20"/>
                <w:lang w:val="ru-RU"/>
              </w:rPr>
              <w:t>2</w:t>
            </w:r>
          </w:p>
        </w:tc>
        <w:tc>
          <w:tcPr>
            <w:tcW w:w="482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КО AIR MOLDOVA ООО</w:t>
            </w:r>
          </w:p>
        </w:tc>
        <w:tc>
          <w:tcPr>
            <w:tcW w:w="139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4,22</w:t>
            </w:r>
          </w:p>
        </w:tc>
      </w:tr>
      <w:tr w:rsidR="006F53B7" w:rsidRPr="00A77060" w:rsidTr="004D2946">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color w:val="000000"/>
                <w:sz w:val="20"/>
                <w:szCs w:val="20"/>
                <w:lang w:val="ru-RU"/>
              </w:rPr>
            </w:pPr>
            <w:r w:rsidRPr="00A77060">
              <w:rPr>
                <w:rFonts w:ascii="Calibri Light" w:eastAsia="Times New Roman" w:hAnsi="Calibri Light" w:cstheme="majorHAnsi"/>
                <w:b/>
                <w:color w:val="000000"/>
                <w:sz w:val="20"/>
                <w:szCs w:val="20"/>
                <w:lang w:val="ru-RU"/>
              </w:rPr>
              <w:t>3</w:t>
            </w:r>
          </w:p>
        </w:tc>
        <w:tc>
          <w:tcPr>
            <w:tcW w:w="4820" w:type="dxa"/>
            <w:tcBorders>
              <w:top w:val="nil"/>
              <w:left w:val="nil"/>
              <w:bottom w:val="single" w:sz="4" w:space="0" w:color="auto"/>
              <w:right w:val="single" w:sz="4" w:space="0" w:color="auto"/>
            </w:tcBorders>
            <w:shd w:val="clear" w:color="auto" w:fill="auto"/>
            <w:noWrap/>
            <w:vAlign w:val="center"/>
            <w:hideMark/>
          </w:tcPr>
          <w:p w:rsidR="006F53B7" w:rsidRPr="00A1707B" w:rsidRDefault="006F53B7" w:rsidP="004D2946">
            <w:pPr>
              <w:spacing w:after="0" w:line="240" w:lineRule="auto"/>
              <w:jc w:val="left"/>
              <w:rPr>
                <w:rFonts w:ascii="Calibri Light" w:eastAsia="Times New Roman" w:hAnsi="Calibri Light" w:cstheme="majorHAnsi"/>
                <w:color w:val="000000"/>
                <w:sz w:val="20"/>
                <w:szCs w:val="20"/>
                <w:lang w:val="en-US"/>
              </w:rPr>
            </w:pPr>
            <w:r w:rsidRPr="00A77060">
              <w:rPr>
                <w:rFonts w:ascii="Calibri Light" w:eastAsia="Times New Roman" w:hAnsi="Calibri Light" w:cstheme="majorHAnsi"/>
                <w:color w:val="000000"/>
                <w:sz w:val="20"/>
                <w:szCs w:val="20"/>
                <w:lang w:val="ru-RU"/>
              </w:rPr>
              <w:t>ПИК</w:t>
            </w:r>
            <w:r w:rsidRPr="00A1707B">
              <w:rPr>
                <w:rFonts w:ascii="Calibri Light" w:eastAsia="Times New Roman" w:hAnsi="Calibri Light" w:cstheme="majorHAnsi"/>
                <w:color w:val="000000"/>
                <w:sz w:val="20"/>
                <w:szCs w:val="20"/>
                <w:lang w:val="en-US"/>
              </w:rPr>
              <w:t xml:space="preserve"> DRA DRAEXLMAIER AUTOMOTIVE </w:t>
            </w:r>
            <w:r w:rsidRPr="00A77060">
              <w:rPr>
                <w:rFonts w:ascii="Calibri Light" w:eastAsia="Times New Roman" w:hAnsi="Calibri Light" w:cstheme="majorHAnsi"/>
                <w:color w:val="000000"/>
                <w:sz w:val="20"/>
                <w:szCs w:val="20"/>
                <w:lang w:val="ru-RU"/>
              </w:rPr>
              <w:t>ООО</w:t>
            </w:r>
          </w:p>
        </w:tc>
        <w:tc>
          <w:tcPr>
            <w:tcW w:w="139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3,46</w:t>
            </w:r>
          </w:p>
        </w:tc>
      </w:tr>
      <w:tr w:rsidR="006F53B7" w:rsidRPr="00A77060" w:rsidTr="004D2946">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color w:val="000000"/>
                <w:sz w:val="20"/>
                <w:szCs w:val="20"/>
                <w:lang w:val="ru-RU"/>
              </w:rPr>
            </w:pPr>
            <w:r w:rsidRPr="00A77060">
              <w:rPr>
                <w:rFonts w:ascii="Calibri Light" w:eastAsia="Times New Roman" w:hAnsi="Calibri Light" w:cstheme="majorHAnsi"/>
                <w:b/>
                <w:color w:val="000000"/>
                <w:sz w:val="20"/>
                <w:szCs w:val="20"/>
                <w:lang w:val="ru-RU"/>
              </w:rPr>
              <w:t>4</w:t>
            </w:r>
          </w:p>
        </w:tc>
        <w:tc>
          <w:tcPr>
            <w:tcW w:w="482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ГП ЖЕЛЕЗНАЯ ДОРОГА МОЛДОВЫ </w:t>
            </w:r>
          </w:p>
        </w:tc>
        <w:tc>
          <w:tcPr>
            <w:tcW w:w="139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3,05</w:t>
            </w:r>
          </w:p>
        </w:tc>
      </w:tr>
      <w:tr w:rsidR="006F53B7" w:rsidRPr="00A77060" w:rsidTr="004D2946">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color w:val="000000"/>
                <w:sz w:val="20"/>
                <w:szCs w:val="20"/>
                <w:lang w:val="ru-RU"/>
              </w:rPr>
            </w:pPr>
            <w:r w:rsidRPr="00A77060">
              <w:rPr>
                <w:rFonts w:ascii="Calibri Light" w:eastAsia="Times New Roman" w:hAnsi="Calibri Light" w:cstheme="majorHAnsi"/>
                <w:b/>
                <w:color w:val="000000"/>
                <w:sz w:val="20"/>
                <w:szCs w:val="20"/>
                <w:lang w:val="ru-RU"/>
              </w:rPr>
              <w:t>5</w:t>
            </w:r>
          </w:p>
        </w:tc>
        <w:tc>
          <w:tcPr>
            <w:tcW w:w="482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DFM ООО</w:t>
            </w:r>
          </w:p>
        </w:tc>
        <w:tc>
          <w:tcPr>
            <w:tcW w:w="139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1,88</w:t>
            </w:r>
          </w:p>
        </w:tc>
      </w:tr>
      <w:tr w:rsidR="006F53B7" w:rsidRPr="00A77060" w:rsidTr="004D2946">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color w:val="000000"/>
                <w:sz w:val="20"/>
                <w:szCs w:val="20"/>
                <w:lang w:val="ru-RU"/>
              </w:rPr>
            </w:pPr>
            <w:r w:rsidRPr="00A77060">
              <w:rPr>
                <w:rFonts w:ascii="Calibri Light" w:eastAsia="Times New Roman" w:hAnsi="Calibri Light" w:cstheme="majorHAnsi"/>
                <w:b/>
                <w:color w:val="000000"/>
                <w:sz w:val="20"/>
                <w:szCs w:val="20"/>
                <w:lang w:val="ru-RU"/>
              </w:rPr>
              <w:t>6</w:t>
            </w:r>
          </w:p>
        </w:tc>
        <w:tc>
          <w:tcPr>
            <w:tcW w:w="482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APĂ-CANAL CHIȘINĂU АО</w:t>
            </w:r>
          </w:p>
        </w:tc>
        <w:tc>
          <w:tcPr>
            <w:tcW w:w="139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1,85</w:t>
            </w:r>
          </w:p>
        </w:tc>
      </w:tr>
      <w:tr w:rsidR="006F53B7" w:rsidRPr="00A77060" w:rsidTr="004D2946">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color w:val="000000"/>
                <w:sz w:val="20"/>
                <w:szCs w:val="20"/>
                <w:lang w:val="ru-RU"/>
              </w:rPr>
            </w:pPr>
            <w:r w:rsidRPr="00A77060">
              <w:rPr>
                <w:rFonts w:ascii="Calibri Light" w:eastAsia="Times New Roman" w:hAnsi="Calibri Light" w:cstheme="majorHAnsi"/>
                <w:b/>
                <w:color w:val="000000"/>
                <w:sz w:val="20"/>
                <w:szCs w:val="20"/>
                <w:lang w:val="ru-RU"/>
              </w:rPr>
              <w:t>7</w:t>
            </w:r>
          </w:p>
        </w:tc>
        <w:tc>
          <w:tcPr>
            <w:tcW w:w="482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TERMOELECTRICA АО</w:t>
            </w:r>
          </w:p>
        </w:tc>
        <w:tc>
          <w:tcPr>
            <w:tcW w:w="139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1,61</w:t>
            </w:r>
          </w:p>
        </w:tc>
      </w:tr>
      <w:tr w:rsidR="006F53B7" w:rsidRPr="00A77060" w:rsidTr="004D2946">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color w:val="000000"/>
                <w:sz w:val="20"/>
                <w:szCs w:val="20"/>
                <w:lang w:val="ru-RU"/>
              </w:rPr>
            </w:pPr>
            <w:r w:rsidRPr="00A77060">
              <w:rPr>
                <w:rFonts w:ascii="Calibri Light" w:eastAsia="Times New Roman" w:hAnsi="Calibri Light" w:cstheme="majorHAnsi"/>
                <w:b/>
                <w:color w:val="000000"/>
                <w:sz w:val="20"/>
                <w:szCs w:val="20"/>
                <w:lang w:val="ru-RU"/>
              </w:rPr>
              <w:t>8</w:t>
            </w:r>
          </w:p>
        </w:tc>
        <w:tc>
          <w:tcPr>
            <w:tcW w:w="482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ТЕОРЕТИЧЕСКИЙ ЛИЦЕЙ „ORIZONT”</w:t>
            </w:r>
          </w:p>
        </w:tc>
        <w:tc>
          <w:tcPr>
            <w:tcW w:w="139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1,52</w:t>
            </w:r>
          </w:p>
        </w:tc>
      </w:tr>
      <w:tr w:rsidR="006F53B7" w:rsidRPr="00A77060" w:rsidTr="004D2946">
        <w:trPr>
          <w:trHeight w:val="288"/>
          <w:jc w:val="cent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color w:val="000000"/>
                <w:sz w:val="20"/>
                <w:szCs w:val="20"/>
                <w:lang w:val="ru-RU"/>
              </w:rPr>
            </w:pPr>
            <w:r w:rsidRPr="00A77060">
              <w:rPr>
                <w:rFonts w:ascii="Calibri Light" w:eastAsia="Times New Roman" w:hAnsi="Calibri Light" w:cstheme="majorHAnsi"/>
                <w:b/>
                <w:color w:val="000000"/>
                <w:sz w:val="20"/>
                <w:szCs w:val="20"/>
                <w:lang w:val="ru-RU"/>
              </w:rPr>
              <w:t>9</w:t>
            </w:r>
          </w:p>
        </w:tc>
        <w:tc>
          <w:tcPr>
            <w:tcW w:w="482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АЭРОПОРТ HANDLING ООО</w:t>
            </w:r>
          </w:p>
        </w:tc>
        <w:tc>
          <w:tcPr>
            <w:tcW w:w="139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1,08</w:t>
            </w:r>
          </w:p>
        </w:tc>
      </w:tr>
      <w:tr w:rsidR="006F53B7" w:rsidRPr="00A77060" w:rsidTr="004D2946">
        <w:trPr>
          <w:trHeight w:val="288"/>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color w:val="000000"/>
                <w:sz w:val="20"/>
                <w:szCs w:val="20"/>
                <w:lang w:val="ru-RU"/>
              </w:rPr>
            </w:pPr>
            <w:r w:rsidRPr="00A77060">
              <w:rPr>
                <w:rFonts w:ascii="Calibri Light" w:eastAsia="Times New Roman" w:hAnsi="Calibri Light" w:cstheme="majorHAnsi"/>
                <w:b/>
                <w:color w:val="000000"/>
                <w:sz w:val="20"/>
                <w:szCs w:val="20"/>
                <w:lang w:val="ru-RU"/>
              </w:rPr>
              <w:t>10</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FUJIKURA AUTOMOTIVE MLD ООО</w:t>
            </w:r>
          </w:p>
        </w:tc>
        <w:tc>
          <w:tcPr>
            <w:tcW w:w="1391"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1,05</w:t>
            </w:r>
          </w:p>
        </w:tc>
      </w:tr>
      <w:tr w:rsidR="006F53B7" w:rsidRPr="00A77060" w:rsidTr="004D2946">
        <w:trPr>
          <w:trHeight w:val="288"/>
          <w:jc w:val="center"/>
        </w:trPr>
        <w:tc>
          <w:tcPr>
            <w:tcW w:w="53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F53B7" w:rsidRPr="00A77060" w:rsidRDefault="006F53B7" w:rsidP="004D2946">
            <w:pPr>
              <w:spacing w:after="0" w:line="240" w:lineRule="auto"/>
              <w:jc w:val="center"/>
              <w:rPr>
                <w:rFonts w:ascii="Calibri Light" w:eastAsia="Times New Roman" w:hAnsi="Calibri Light" w:cstheme="majorHAnsi"/>
                <w:b/>
                <w:color w:val="000000"/>
                <w:sz w:val="20"/>
                <w:szCs w:val="20"/>
                <w:lang w:val="ru-RU"/>
              </w:rPr>
            </w:pPr>
            <w:r w:rsidRPr="00A77060">
              <w:rPr>
                <w:rFonts w:ascii="Calibri Light" w:eastAsia="Times New Roman" w:hAnsi="Calibri Light" w:cstheme="majorHAnsi"/>
                <w:b/>
                <w:color w:val="000000"/>
                <w:sz w:val="20"/>
                <w:szCs w:val="20"/>
                <w:lang w:val="ru-RU"/>
              </w:rPr>
              <w:t>ВСЕГО</w:t>
            </w:r>
          </w:p>
        </w:tc>
        <w:tc>
          <w:tcPr>
            <w:tcW w:w="1398" w:type="dxa"/>
            <w:tcBorders>
              <w:top w:val="single" w:sz="4" w:space="0" w:color="auto"/>
              <w:left w:val="nil"/>
              <w:bottom w:val="single" w:sz="4" w:space="0" w:color="auto"/>
              <w:right w:val="single" w:sz="4" w:space="0" w:color="auto"/>
            </w:tcBorders>
            <w:shd w:val="clear" w:color="auto" w:fill="auto"/>
            <w:noWrap/>
            <w:vAlign w:val="center"/>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27,53</w:t>
            </w:r>
          </w:p>
        </w:tc>
      </w:tr>
    </w:tbl>
    <w:p w:rsidR="006F53B7" w:rsidRPr="00A77060" w:rsidRDefault="006F53B7" w:rsidP="006F53B7">
      <w:pPr>
        <w:rPr>
          <w:rFonts w:ascii="Calibri Light" w:hAnsi="Calibri Light" w:cstheme="majorHAnsi"/>
          <w:i/>
          <w:sz w:val="20"/>
          <w:szCs w:val="20"/>
          <w:lang w:val="ru-RU"/>
        </w:rPr>
      </w:pPr>
      <w:r w:rsidRPr="00A77060">
        <w:rPr>
          <w:rFonts w:ascii="Calibri Light" w:hAnsi="Calibri Light" w:cstheme="majorHAnsi"/>
          <w:b/>
          <w:i/>
          <w:sz w:val="20"/>
          <w:szCs w:val="20"/>
          <w:lang w:val="ru-RU"/>
        </w:rPr>
        <w:t xml:space="preserve">Источник: </w:t>
      </w:r>
      <w:r w:rsidRPr="00A77060">
        <w:rPr>
          <w:rFonts w:ascii="Calibri Light" w:hAnsi="Calibri Light" w:cstheme="majorHAnsi"/>
          <w:i/>
          <w:sz w:val="20"/>
          <w:szCs w:val="20"/>
          <w:lang w:val="ru-RU"/>
        </w:rPr>
        <w:t xml:space="preserve">Информация выбрана аудиторской группой согласно платежным документам, исполненным в 2020 году. </w:t>
      </w:r>
    </w:p>
    <w:p w:rsidR="006F53B7" w:rsidRPr="00A77060" w:rsidRDefault="006F53B7" w:rsidP="006F53B7">
      <w:pPr>
        <w:spacing w:after="0" w:line="276" w:lineRule="auto"/>
        <w:jc w:val="center"/>
        <w:rPr>
          <w:rFonts w:ascii="Calibri Light" w:eastAsia="Times New Roman" w:hAnsi="Calibri Light" w:cstheme="majorHAnsi"/>
          <w:b/>
          <w:sz w:val="24"/>
          <w:szCs w:val="24"/>
          <w:lang w:val="ru-RU" w:eastAsia="ru-RU"/>
        </w:rPr>
      </w:pPr>
    </w:p>
    <w:p w:rsidR="006F53B7" w:rsidRPr="00A77060" w:rsidRDefault="006F53B7" w:rsidP="006F53B7">
      <w:pPr>
        <w:spacing w:after="0" w:line="276" w:lineRule="auto"/>
        <w:jc w:val="center"/>
        <w:rPr>
          <w:rFonts w:ascii="Calibri Light" w:eastAsia="Times New Roman" w:hAnsi="Calibri Light" w:cstheme="majorHAnsi"/>
          <w:b/>
          <w:sz w:val="24"/>
          <w:szCs w:val="24"/>
          <w:lang w:val="ru-RU" w:eastAsia="ru-RU"/>
        </w:rPr>
        <w:sectPr w:rsidR="006F53B7" w:rsidRPr="00A77060" w:rsidSect="002317E9">
          <w:footerReference w:type="default" r:id="rId14"/>
          <w:pgSz w:w="12240" w:h="15840"/>
          <w:pgMar w:top="851" w:right="851" w:bottom="851" w:left="1701" w:header="709" w:footer="709" w:gutter="0"/>
          <w:cols w:space="708"/>
          <w:docGrid w:linePitch="360"/>
        </w:sectPr>
      </w:pPr>
    </w:p>
    <w:p w:rsidR="006F53B7" w:rsidRPr="00A77060" w:rsidRDefault="006F53B7" w:rsidP="006F53B7">
      <w:pPr>
        <w:spacing w:after="0" w:line="276" w:lineRule="auto"/>
        <w:rPr>
          <w:rFonts w:ascii="Calibri Light" w:eastAsia="Times New Roman" w:hAnsi="Calibri Light" w:cstheme="majorHAnsi"/>
          <w:b/>
          <w:sz w:val="24"/>
          <w:szCs w:val="24"/>
          <w:lang w:val="ru-RU" w:eastAsia="ru-RU"/>
        </w:rPr>
      </w:pPr>
    </w:p>
    <w:p w:rsidR="006F53B7" w:rsidRPr="00A77060" w:rsidRDefault="006F53B7" w:rsidP="006F53B7">
      <w:pPr>
        <w:spacing w:after="0" w:line="276" w:lineRule="auto"/>
        <w:jc w:val="right"/>
        <w:rPr>
          <w:rFonts w:ascii="Calibri Light" w:eastAsia="Times New Roman" w:hAnsi="Calibri Light" w:cstheme="majorHAnsi"/>
          <w:b/>
          <w:sz w:val="24"/>
          <w:szCs w:val="24"/>
          <w:lang w:val="ru-RU" w:eastAsia="ru-RU"/>
        </w:rPr>
      </w:pPr>
      <w:r w:rsidRPr="00A77060">
        <w:rPr>
          <w:rFonts w:ascii="Calibri Light" w:eastAsia="Times New Roman" w:hAnsi="Calibri Light" w:cstheme="majorHAnsi"/>
          <w:b/>
          <w:sz w:val="24"/>
          <w:szCs w:val="24"/>
          <w:lang w:val="ru-RU"/>
        </w:rPr>
        <w:t>Приложение №</w:t>
      </w:r>
      <w:r w:rsidRPr="00A77060">
        <w:rPr>
          <w:rFonts w:ascii="Calibri Light" w:eastAsia="Times New Roman" w:hAnsi="Calibri Light" w:cstheme="majorHAnsi"/>
          <w:b/>
          <w:sz w:val="24"/>
          <w:szCs w:val="24"/>
          <w:lang w:val="ru-RU" w:eastAsia="ru-RU"/>
        </w:rPr>
        <w:t>3</w:t>
      </w:r>
    </w:p>
    <w:p w:rsidR="006F53B7" w:rsidRPr="00A77060" w:rsidRDefault="006F53B7" w:rsidP="006F53B7">
      <w:pPr>
        <w:spacing w:after="0" w:line="276" w:lineRule="auto"/>
        <w:jc w:val="center"/>
        <w:rPr>
          <w:rFonts w:ascii="Calibri Light" w:eastAsia="Times New Roman" w:hAnsi="Calibri Light" w:cs="Times New Roman"/>
          <w:b/>
          <w:bCs/>
          <w:sz w:val="24"/>
          <w:szCs w:val="24"/>
          <w:lang w:val="ru-RU" w:eastAsia="ru-RU"/>
        </w:rPr>
      </w:pPr>
      <w:r w:rsidRPr="00A77060">
        <w:rPr>
          <w:rFonts w:ascii="Calibri Light" w:eastAsia="Times New Roman" w:hAnsi="Calibri Light" w:cstheme="majorHAnsi"/>
          <w:b/>
          <w:bCs/>
          <w:iCs/>
          <w:sz w:val="24"/>
          <w:szCs w:val="24"/>
          <w:lang w:val="ru-RU" w:eastAsia="ru-RU"/>
        </w:rPr>
        <w:t xml:space="preserve">Внедрение требований и рекомендаций, изложенных в предыдущих постановлениях Счетной палаты (Постановление Счетной палаты №38 от 28 июля </w:t>
      </w:r>
      <w:r w:rsidRPr="00A77060">
        <w:rPr>
          <w:rFonts w:ascii="Calibri Light" w:eastAsia="Times New Roman" w:hAnsi="Calibri Light" w:cstheme="majorHAnsi"/>
          <w:b/>
          <w:bCs/>
          <w:iCs/>
          <w:sz w:val="22"/>
          <w:lang w:val="ru-RU" w:eastAsia="ru-RU"/>
        </w:rPr>
        <w:t>2020 года „</w:t>
      </w:r>
      <w:r w:rsidRPr="00A77060">
        <w:rPr>
          <w:rFonts w:ascii="Calibri Light" w:eastAsia="Times New Roman" w:hAnsi="Calibri Light" w:cs="Times New Roman"/>
          <w:b/>
          <w:bCs/>
          <w:sz w:val="24"/>
          <w:szCs w:val="24"/>
          <w:lang w:val="ru-RU" w:eastAsia="ru-RU"/>
        </w:rPr>
        <w:t xml:space="preserve">По </w:t>
      </w:r>
      <w:r w:rsidRPr="00A77060">
        <w:rPr>
          <w:rFonts w:ascii="Calibri Light" w:eastAsia="Times New Roman" w:hAnsi="Calibri Light" w:cstheme="majorHAnsi"/>
          <w:b/>
          <w:bCs/>
          <w:sz w:val="24"/>
          <w:szCs w:val="24"/>
          <w:lang w:val="ru-RU" w:eastAsia="ru-RU"/>
        </w:rPr>
        <w:t xml:space="preserve">Отчету финансового аудита по Отчету Правительства об исполнении государственного бюджета за </w:t>
      </w:r>
      <w:r w:rsidRPr="00A77060">
        <w:rPr>
          <w:rFonts w:ascii="Calibri Light" w:eastAsia="Times New Roman" w:hAnsi="Calibri Light" w:cs="Times New Roman"/>
          <w:b/>
          <w:bCs/>
          <w:sz w:val="24"/>
          <w:szCs w:val="24"/>
          <w:lang w:val="ru-RU" w:eastAsia="ru-RU"/>
        </w:rPr>
        <w:t>2019 год</w:t>
      </w:r>
      <w:r w:rsidRPr="00A77060">
        <w:rPr>
          <w:rFonts w:ascii="Calibri Light" w:eastAsia="Times New Roman" w:hAnsi="Calibri Light" w:cstheme="majorHAnsi"/>
          <w:b/>
          <w:bCs/>
          <w:iCs/>
          <w:sz w:val="22"/>
          <w:lang w:val="ru-RU" w:eastAsia="ru-RU"/>
        </w:rPr>
        <w:t>”)</w:t>
      </w:r>
    </w:p>
    <w:p w:rsidR="006F53B7" w:rsidRPr="00A77060" w:rsidRDefault="006F53B7" w:rsidP="006F53B7">
      <w:pPr>
        <w:spacing w:after="0" w:line="240" w:lineRule="auto"/>
        <w:rPr>
          <w:rFonts w:ascii="Calibri Light" w:eastAsia="Times New Roman" w:hAnsi="Calibri Light" w:cstheme="majorHAnsi"/>
          <w:b/>
          <w:bCs/>
          <w:iCs/>
          <w:sz w:val="24"/>
          <w:szCs w:val="24"/>
          <w:lang w:val="ru-RU" w:eastAsia="ru-RU"/>
        </w:rPr>
      </w:pPr>
    </w:p>
    <w:tbl>
      <w:tblPr>
        <w:tblW w:w="14892" w:type="dxa"/>
        <w:tblInd w:w="-294" w:type="dxa"/>
        <w:tblLayout w:type="fixed"/>
        <w:tblLook w:val="04A0" w:firstRow="1" w:lastRow="0" w:firstColumn="1" w:lastColumn="0" w:noHBand="0" w:noVBand="1"/>
      </w:tblPr>
      <w:tblGrid>
        <w:gridCol w:w="5671"/>
        <w:gridCol w:w="6378"/>
        <w:gridCol w:w="850"/>
        <w:gridCol w:w="992"/>
        <w:gridCol w:w="992"/>
        <w:gridCol w:w="9"/>
      </w:tblGrid>
      <w:tr w:rsidR="006F53B7" w:rsidRPr="00A77060" w:rsidTr="004D2946">
        <w:trPr>
          <w:trHeight w:val="269"/>
        </w:trPr>
        <w:tc>
          <w:tcPr>
            <w:tcW w:w="5671" w:type="dxa"/>
            <w:vMerge w:val="restart"/>
            <w:tcBorders>
              <w:top w:val="single" w:sz="8" w:space="0" w:color="auto"/>
              <w:left w:val="single" w:sz="8" w:space="0" w:color="auto"/>
              <w:right w:val="single" w:sz="8"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xml:space="preserve">Рекомендация </w:t>
            </w:r>
          </w:p>
        </w:tc>
        <w:tc>
          <w:tcPr>
            <w:tcW w:w="6378" w:type="dxa"/>
            <w:vMerge w:val="restart"/>
            <w:tcBorders>
              <w:top w:val="single" w:sz="8" w:space="0" w:color="auto"/>
              <w:left w:val="nil"/>
              <w:right w:val="single" w:sz="8"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hAnsi="Calibri Light" w:cstheme="majorHAnsi"/>
                <w:b/>
                <w:sz w:val="20"/>
                <w:szCs w:val="20"/>
                <w:lang w:val="ru-RU"/>
              </w:rPr>
              <w:t>Принятые меры</w:t>
            </w:r>
          </w:p>
        </w:tc>
        <w:tc>
          <w:tcPr>
            <w:tcW w:w="2843" w:type="dxa"/>
            <w:gridSpan w:val="4"/>
            <w:tcBorders>
              <w:top w:val="single" w:sz="8"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hAnsi="Calibri Light" w:cstheme="majorHAnsi"/>
                <w:b/>
                <w:sz w:val="20"/>
                <w:szCs w:val="20"/>
                <w:lang w:val="ru-RU"/>
              </w:rPr>
              <w:t xml:space="preserve">Статус внедрения рекомендации </w:t>
            </w:r>
          </w:p>
        </w:tc>
      </w:tr>
      <w:tr w:rsidR="006F53B7" w:rsidRPr="00A77060" w:rsidTr="004D2946">
        <w:trPr>
          <w:gridAfter w:val="1"/>
          <w:wAfter w:w="9" w:type="dxa"/>
          <w:trHeight w:val="57"/>
        </w:trPr>
        <w:tc>
          <w:tcPr>
            <w:tcW w:w="5671" w:type="dxa"/>
            <w:vMerge/>
            <w:tcBorders>
              <w:left w:val="single" w:sz="8" w:space="0" w:color="auto"/>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sz w:val="20"/>
                <w:szCs w:val="20"/>
                <w:lang w:val="ru-RU"/>
              </w:rPr>
            </w:pPr>
          </w:p>
        </w:tc>
        <w:tc>
          <w:tcPr>
            <w:tcW w:w="6378" w:type="dxa"/>
            <w:vMerge/>
            <w:tcBorders>
              <w:left w:val="nil"/>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sz w:val="20"/>
                <w:szCs w:val="20"/>
                <w:lang w:val="ru-RU"/>
              </w:rPr>
            </w:pPr>
          </w:p>
        </w:tc>
        <w:tc>
          <w:tcPr>
            <w:tcW w:w="850" w:type="dxa"/>
            <w:tcBorders>
              <w:top w:val="single" w:sz="4" w:space="0" w:color="auto"/>
              <w:left w:val="single" w:sz="8" w:space="0" w:color="auto"/>
              <w:bottom w:val="single" w:sz="4" w:space="0" w:color="auto"/>
              <w:right w:val="single" w:sz="4" w:space="0" w:color="auto"/>
            </w:tcBorders>
            <w:shd w:val="clear" w:color="auto" w:fill="auto"/>
            <w:vAlign w:val="center"/>
          </w:tcPr>
          <w:p w:rsidR="006F53B7" w:rsidRPr="00A77060" w:rsidRDefault="006F53B7" w:rsidP="004D2946">
            <w:pPr>
              <w:tabs>
                <w:tab w:val="left" w:pos="720"/>
              </w:tabs>
              <w:spacing w:after="0" w:line="240" w:lineRule="auto"/>
              <w:jc w:val="center"/>
              <w:rPr>
                <w:rFonts w:ascii="Calibri Light" w:hAnsi="Calibri Light" w:cstheme="majorHAnsi"/>
                <w:b/>
                <w:sz w:val="20"/>
                <w:szCs w:val="20"/>
                <w:lang w:val="ru-RU"/>
              </w:rPr>
            </w:pPr>
            <w:r w:rsidRPr="00A77060">
              <w:rPr>
                <w:rFonts w:ascii="Calibri Light" w:hAnsi="Calibri Light" w:cstheme="majorHAnsi"/>
                <w:b/>
                <w:sz w:val="20"/>
                <w:szCs w:val="20"/>
                <w:lang w:val="ru-RU"/>
              </w:rPr>
              <w:t>выпол-нена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3B7" w:rsidRPr="00A77060" w:rsidRDefault="006F53B7" w:rsidP="004D2946">
            <w:pPr>
              <w:tabs>
                <w:tab w:val="left" w:pos="862"/>
              </w:tabs>
              <w:spacing w:after="0" w:line="240" w:lineRule="auto"/>
              <w:ind w:left="-131"/>
              <w:jc w:val="center"/>
              <w:rPr>
                <w:rFonts w:ascii="Calibri Light" w:hAnsi="Calibri Light" w:cstheme="majorHAnsi"/>
                <w:b/>
                <w:sz w:val="20"/>
                <w:szCs w:val="20"/>
                <w:lang w:val="ru-RU"/>
              </w:rPr>
            </w:pPr>
            <w:r w:rsidRPr="00A77060">
              <w:rPr>
                <w:rFonts w:ascii="Calibri Light" w:hAnsi="Calibri Light" w:cstheme="majorHAnsi"/>
                <w:b/>
                <w:sz w:val="20"/>
                <w:szCs w:val="20"/>
                <w:lang w:val="ru-RU"/>
              </w:rPr>
              <w:t xml:space="preserve">частично выполне-на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3B7" w:rsidRPr="00A77060" w:rsidRDefault="006F53B7" w:rsidP="004D2946">
            <w:pPr>
              <w:tabs>
                <w:tab w:val="left" w:pos="720"/>
              </w:tabs>
              <w:spacing w:after="0" w:line="240" w:lineRule="auto"/>
              <w:ind w:left="-145" w:right="-105" w:firstLine="39"/>
              <w:jc w:val="center"/>
              <w:rPr>
                <w:rFonts w:ascii="Calibri Light" w:hAnsi="Calibri Light" w:cstheme="majorHAnsi"/>
                <w:b/>
                <w:sz w:val="20"/>
                <w:szCs w:val="20"/>
                <w:lang w:val="ru-RU"/>
              </w:rPr>
            </w:pPr>
            <w:r w:rsidRPr="00A77060">
              <w:rPr>
                <w:rFonts w:ascii="Calibri Light" w:hAnsi="Calibri Light" w:cstheme="majorHAnsi"/>
                <w:b/>
                <w:sz w:val="20"/>
                <w:szCs w:val="20"/>
                <w:lang w:val="ru-RU"/>
              </w:rPr>
              <w:t xml:space="preserve">не выполнена </w:t>
            </w:r>
          </w:p>
        </w:tc>
      </w:tr>
      <w:tr w:rsidR="006F53B7" w:rsidRPr="00A77060" w:rsidTr="004D2946">
        <w:trPr>
          <w:gridAfter w:val="1"/>
          <w:wAfter w:w="9" w:type="dxa"/>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sz w:val="20"/>
                <w:szCs w:val="20"/>
                <w:lang w:val="ru-RU"/>
              </w:rPr>
            </w:pPr>
            <w:r w:rsidRPr="00A77060">
              <w:rPr>
                <w:rFonts w:ascii="Calibri Light" w:hAnsi="Calibri Light" w:cstheme="majorHAnsi"/>
                <w:sz w:val="20"/>
                <w:szCs w:val="20"/>
                <w:lang w:val="ru-RU"/>
              </w:rPr>
              <w:t>2.1.</w:t>
            </w:r>
            <w:r w:rsidRPr="00A77060">
              <w:rPr>
                <w:lang w:val="ru-RU"/>
              </w:rPr>
              <w:t xml:space="preserve"> </w:t>
            </w:r>
            <w:r w:rsidRPr="00A77060">
              <w:rPr>
                <w:rFonts w:ascii="Calibri Light" w:hAnsi="Calibri Light"/>
                <w:sz w:val="20"/>
                <w:szCs w:val="20"/>
                <w:lang w:val="ru-RU"/>
              </w:rPr>
              <w:t>Рассмотреть</w:t>
            </w:r>
            <w:r w:rsidRPr="00A77060">
              <w:rPr>
                <w:lang w:val="ru-RU"/>
              </w:rPr>
              <w:t xml:space="preserve"> </w:t>
            </w:r>
            <w:r w:rsidRPr="00A77060">
              <w:rPr>
                <w:rFonts w:ascii="Calibri Light" w:hAnsi="Calibri Light" w:cstheme="majorHAnsi"/>
                <w:sz w:val="20"/>
                <w:szCs w:val="20"/>
                <w:lang w:val="ru-RU"/>
              </w:rPr>
              <w:t>результаты финансового аудита по Отчету Правительства об исполнении государственного бюджета за 2019 год, с занятием позиции в отношении установленных ситуаций и утверждением плана мероприятий по внедрению рекомендаций, содержащихся в Отчете аудита, а также повторяющихся</w:t>
            </w: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sz w:val="20"/>
                <w:szCs w:val="20"/>
                <w:lang w:val="ru-RU"/>
              </w:rPr>
            </w:pPr>
            <w:r w:rsidRPr="00A77060">
              <w:rPr>
                <w:rFonts w:ascii="Calibri Light" w:hAnsi="Calibri Light" w:cstheme="majorHAnsi"/>
                <w:sz w:val="20"/>
                <w:szCs w:val="20"/>
                <w:lang w:val="ru-RU"/>
              </w:rPr>
              <w:t xml:space="preserve">План мероприятий по внедрению рекомендаций, содержащихся в Постановлении Счетной палаты №38 от 28 июля 2020 года „По Отчету финансового аудита по Отчету Правительства об исполнении государственного бюджета за 2019 год” был утвержден </w:t>
            </w:r>
            <w:r w:rsidRPr="00A77060">
              <w:rPr>
                <w:rFonts w:ascii="Calibri Light" w:hAnsi="Calibri Light" w:cstheme="majorHAnsi"/>
                <w:i/>
                <w:sz w:val="20"/>
                <w:szCs w:val="20"/>
                <w:lang w:val="ru-RU"/>
              </w:rPr>
              <w:t>Приказом министра финансов №138 от 29 октября 2020 года</w:t>
            </w:r>
          </w:p>
        </w:tc>
        <w:tc>
          <w:tcPr>
            <w:tcW w:w="850"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r w:rsidRPr="00A77060">
              <w:rPr>
                <w:rFonts w:ascii="Calibri Light" w:hAnsi="Calibri Light" w:cstheme="majorHAnsi"/>
                <w:sz w:val="20"/>
                <w:szCs w:val="20"/>
                <w:lang w:val="ru-RU"/>
              </w:rPr>
              <w:t>v</w:t>
            </w: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rPr>
                <w:rFonts w:ascii="Calibri Light" w:hAnsi="Calibri Light" w:cstheme="majorHAnsi"/>
                <w:sz w:val="20"/>
                <w:szCs w:val="20"/>
                <w:lang w:val="ru-RU"/>
              </w:rPr>
            </w:pP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rPr>
                <w:rFonts w:ascii="Calibri Light" w:hAnsi="Calibri Light" w:cstheme="majorHAnsi"/>
                <w:sz w:val="20"/>
                <w:szCs w:val="20"/>
                <w:lang w:val="ru-RU"/>
              </w:rPr>
            </w:pPr>
          </w:p>
        </w:tc>
      </w:tr>
      <w:tr w:rsidR="006F53B7" w:rsidRPr="00A77060" w:rsidTr="004D2946">
        <w:trPr>
          <w:gridAfter w:val="1"/>
          <w:wAfter w:w="9" w:type="dxa"/>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pStyle w:val="NormalWeb"/>
              <w:spacing w:after="0" w:line="276" w:lineRule="auto"/>
              <w:rPr>
                <w:rFonts w:ascii="Calibri Light" w:hAnsi="Calibri Light"/>
                <w:sz w:val="20"/>
                <w:szCs w:val="20"/>
                <w:lang w:val="ru-RU"/>
              </w:rPr>
            </w:pPr>
            <w:r w:rsidRPr="00A77060">
              <w:rPr>
                <w:rFonts w:ascii="Calibri Light" w:eastAsia="Times New Roman" w:hAnsi="Calibri Light" w:cstheme="majorHAnsi"/>
                <w:bCs/>
                <w:color w:val="000000"/>
                <w:sz w:val="20"/>
                <w:szCs w:val="20"/>
                <w:lang w:val="ru-RU"/>
              </w:rPr>
              <w:t>2.1.1. Р</w:t>
            </w:r>
            <w:r w:rsidRPr="00A77060">
              <w:rPr>
                <w:rFonts w:ascii="Calibri Light" w:hAnsi="Calibri Light"/>
                <w:sz w:val="20"/>
                <w:szCs w:val="20"/>
                <w:lang w:val="ru-RU"/>
              </w:rPr>
              <w:t>азвивать/дополнить нормативную базу положениями относительно исполнения и выплаты средств внешнего финансирования, поступающих исключительно посредством казначейской системы (</w:t>
            </w:r>
            <w:r w:rsidRPr="00A77060">
              <w:rPr>
                <w:rFonts w:ascii="Calibri Light" w:hAnsi="Calibri Light" w:cs="Calibri Light"/>
                <w:b/>
                <w:i/>
                <w:sz w:val="20"/>
                <w:szCs w:val="20"/>
                <w:lang w:val="ru-RU"/>
              </w:rPr>
              <w:t>рекомендация повторяется</w:t>
            </w:r>
            <w:r w:rsidRPr="00A77060">
              <w:rPr>
                <w:rFonts w:ascii="Calibri Light" w:hAnsi="Calibri Light" w:cs="Calibri Light"/>
                <w:sz w:val="20"/>
                <w:szCs w:val="20"/>
                <w:lang w:val="ru-RU"/>
              </w:rPr>
              <w:t>)</w:t>
            </w:r>
            <w:r w:rsidRPr="00A77060">
              <w:rPr>
                <w:rFonts w:ascii="Calibri Light" w:hAnsi="Calibri Light"/>
                <w:sz w:val="20"/>
                <w:szCs w:val="20"/>
                <w:lang w:val="ru-RU"/>
              </w:rPr>
              <w:t xml:space="preserve"> </w:t>
            </w:r>
          </w:p>
          <w:p w:rsidR="006F53B7" w:rsidRPr="00A77060" w:rsidRDefault="006F53B7" w:rsidP="004D2946">
            <w:pPr>
              <w:spacing w:after="0" w:line="240" w:lineRule="auto"/>
              <w:rPr>
                <w:rFonts w:ascii="Calibri Light" w:eastAsia="Times New Roman" w:hAnsi="Calibri Light" w:cstheme="majorHAnsi"/>
                <w:bCs/>
                <w:color w:val="000000"/>
                <w:sz w:val="20"/>
                <w:szCs w:val="20"/>
                <w:lang w:val="ru-RU"/>
              </w:rPr>
            </w:pP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tabs>
                <w:tab w:val="left" w:pos="1392"/>
                <w:tab w:val="left" w:pos="3197"/>
              </w:tabs>
              <w:spacing w:after="0" w:line="240" w:lineRule="auto"/>
              <w:rPr>
                <w:rFonts w:ascii="Calibri Light" w:hAnsi="Calibri Light" w:cstheme="majorHAnsi"/>
                <w:i/>
                <w:sz w:val="20"/>
                <w:szCs w:val="20"/>
                <w:lang w:val="ru-RU" w:bidi="ro-RO"/>
              </w:rPr>
            </w:pPr>
            <w:r w:rsidRPr="00A77060">
              <w:rPr>
                <w:rFonts w:ascii="Calibri Light" w:hAnsi="Calibri Light" w:cstheme="majorHAnsi"/>
                <w:sz w:val="20"/>
                <w:szCs w:val="20"/>
                <w:lang w:val="ru-RU" w:bidi="ro-RO"/>
              </w:rPr>
              <w:t xml:space="preserve">Проект приказа по дополнению Приказа МФ №215/2016 положениями относительно исполнения и </w:t>
            </w:r>
            <w:r w:rsidRPr="00A77060">
              <w:rPr>
                <w:rFonts w:ascii="Calibri Light" w:hAnsi="Calibri Light"/>
                <w:sz w:val="20"/>
                <w:szCs w:val="20"/>
                <w:lang w:val="ru-RU"/>
              </w:rPr>
              <w:t>выплаты</w:t>
            </w:r>
            <w:r w:rsidRPr="00A77060">
              <w:rPr>
                <w:rFonts w:ascii="Calibri Light" w:hAnsi="Calibri Light" w:cstheme="majorHAnsi"/>
                <w:sz w:val="20"/>
                <w:szCs w:val="20"/>
                <w:lang w:val="ru-RU" w:bidi="ro-RO"/>
              </w:rPr>
              <w:t xml:space="preserve"> </w:t>
            </w:r>
            <w:r w:rsidRPr="00A77060">
              <w:rPr>
                <w:rFonts w:ascii="Calibri Light" w:hAnsi="Calibri Light"/>
                <w:sz w:val="20"/>
                <w:szCs w:val="20"/>
                <w:lang w:val="ru-RU"/>
              </w:rPr>
              <w:t>средств внешнего финансирования, поступающих исключительно посредством казначейской системы, был утвержден Приказом министра финансов №</w:t>
            </w:r>
            <w:r w:rsidRPr="00A77060">
              <w:rPr>
                <w:rFonts w:ascii="Calibri Light" w:hAnsi="Calibri Light" w:cstheme="majorHAnsi"/>
                <w:sz w:val="20"/>
                <w:szCs w:val="20"/>
                <w:lang w:val="ru-RU" w:bidi="ro-RO"/>
              </w:rPr>
              <w:t>57/2021 „</w:t>
            </w:r>
            <w:r w:rsidRPr="00A77060">
              <w:rPr>
                <w:rFonts w:ascii="Calibri Light" w:hAnsi="Calibri Light" w:cstheme="majorHAnsi"/>
                <w:i/>
                <w:sz w:val="20"/>
                <w:szCs w:val="20"/>
                <w:lang w:val="ru-RU" w:bidi="ro-RO"/>
              </w:rPr>
              <w:t xml:space="preserve">О внесении изменений в Методологические нормы по кассовому исполнению бюджетов компонентов национального публичного бюджета </w:t>
            </w:r>
            <w:r w:rsidRPr="00A77060">
              <w:rPr>
                <w:rFonts w:ascii="Calibri Light" w:hAnsi="Calibri Light"/>
                <w:i/>
                <w:sz w:val="20"/>
                <w:szCs w:val="20"/>
                <w:lang w:val="ru-RU"/>
              </w:rPr>
              <w:t>посредством казначейской системы Министерства финансов №</w:t>
            </w:r>
            <w:r w:rsidRPr="00A77060">
              <w:rPr>
                <w:rFonts w:ascii="Calibri Light" w:eastAsia="Courier New" w:hAnsi="Calibri Light" w:cstheme="majorHAnsi"/>
                <w:i/>
                <w:iCs/>
                <w:color w:val="000000"/>
                <w:sz w:val="20"/>
                <w:szCs w:val="20"/>
                <w:lang w:val="ru-RU" w:eastAsia="ro-RO" w:bidi="ro-RO"/>
              </w:rPr>
              <w:t>215/2015"</w:t>
            </w:r>
          </w:p>
        </w:tc>
        <w:tc>
          <w:tcPr>
            <w:tcW w:w="850"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r w:rsidRPr="00A77060">
              <w:rPr>
                <w:rFonts w:ascii="Calibri Light" w:hAnsi="Calibri Light" w:cstheme="majorHAnsi"/>
                <w:sz w:val="20"/>
                <w:szCs w:val="20"/>
                <w:lang w:val="ru-RU"/>
              </w:rPr>
              <w:t>v</w:t>
            </w: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rPr>
                <w:rFonts w:ascii="Calibri Light" w:hAnsi="Calibri Light" w:cstheme="majorHAnsi"/>
                <w:sz w:val="20"/>
                <w:szCs w:val="20"/>
                <w:lang w:val="ru-RU"/>
              </w:rPr>
            </w:pPr>
          </w:p>
        </w:tc>
      </w:tr>
      <w:tr w:rsidR="006F53B7" w:rsidRPr="00A77060" w:rsidTr="004D2946">
        <w:trPr>
          <w:gridAfter w:val="1"/>
          <w:wAfter w:w="9" w:type="dxa"/>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eastAsia="Times New Roman" w:hAnsi="Calibri Light" w:cstheme="majorHAnsi"/>
                <w:bCs/>
                <w:color w:val="000000"/>
                <w:sz w:val="20"/>
                <w:szCs w:val="20"/>
                <w:lang w:val="ru-RU"/>
              </w:rPr>
            </w:pPr>
            <w:r w:rsidRPr="00A77060">
              <w:rPr>
                <w:rFonts w:ascii="Calibri Light" w:eastAsia="Times New Roman" w:hAnsi="Calibri Light" w:cstheme="majorHAnsi"/>
                <w:bCs/>
                <w:color w:val="000000"/>
                <w:sz w:val="20"/>
                <w:szCs w:val="20"/>
                <w:lang w:val="ru-RU"/>
              </w:rPr>
              <w:t>2.1.2. Соблюдать и придерживаться положений нормативных актов относительно процесса включения для финансирования из бюджета объектов капитальных инвестиций, с обеспечением эффективной системы по осуществлению мониторинга выполнения объектов капитальных вложений (</w:t>
            </w:r>
            <w:r w:rsidRPr="00A77060">
              <w:rPr>
                <w:rFonts w:ascii="Calibri Light" w:eastAsia="Times New Roman" w:hAnsi="Calibri Light" w:cstheme="majorHAnsi"/>
                <w:b/>
                <w:bCs/>
                <w:i/>
                <w:color w:val="000000"/>
                <w:sz w:val="20"/>
                <w:szCs w:val="20"/>
                <w:lang w:val="ru-RU"/>
              </w:rPr>
              <w:t>рекомендация повторяется</w:t>
            </w:r>
            <w:r w:rsidRPr="00A77060">
              <w:rPr>
                <w:rFonts w:ascii="Calibri Light" w:eastAsia="Times New Roman" w:hAnsi="Calibri Light" w:cstheme="majorHAnsi"/>
                <w:bCs/>
                <w:color w:val="000000"/>
                <w:sz w:val="20"/>
                <w:szCs w:val="20"/>
                <w:lang w:val="ru-RU"/>
              </w:rPr>
              <w:t>)</w:t>
            </w: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sz w:val="20"/>
                <w:szCs w:val="20"/>
                <w:lang w:val="ru-RU"/>
              </w:rPr>
            </w:pPr>
            <w:r w:rsidRPr="00A77060">
              <w:rPr>
                <w:rFonts w:ascii="Calibri Light" w:hAnsi="Calibri Light" w:cstheme="majorHAnsi"/>
                <w:sz w:val="20"/>
                <w:szCs w:val="20"/>
                <w:lang w:val="ru-RU"/>
              </w:rPr>
              <w:t>В январе 2021 года был разработан проект постановления Правительства „</w:t>
            </w:r>
            <w:r w:rsidRPr="00A77060">
              <w:rPr>
                <w:rFonts w:ascii="Calibri Light" w:hAnsi="Calibri Light" w:cstheme="majorHAnsi"/>
                <w:sz w:val="20"/>
                <w:szCs w:val="20"/>
                <w:lang w:val="ru-RU" w:bidi="ro-RO"/>
              </w:rPr>
              <w:t xml:space="preserve">О внесении изменений в </w:t>
            </w:r>
            <w:r w:rsidRPr="00A77060">
              <w:rPr>
                <w:rFonts w:ascii="Calibri Light" w:hAnsi="Calibri Light" w:cstheme="majorHAnsi"/>
                <w:sz w:val="20"/>
                <w:szCs w:val="20"/>
                <w:lang w:val="ru-RU"/>
              </w:rPr>
              <w:t xml:space="preserve">Постановление Правительства №1029/2013 о государственных </w:t>
            </w:r>
            <w:r w:rsidRPr="00A77060">
              <w:rPr>
                <w:rFonts w:ascii="Calibri Light" w:eastAsia="Times New Roman" w:hAnsi="Calibri Light" w:cstheme="majorHAnsi"/>
                <w:bCs/>
                <w:color w:val="000000"/>
                <w:sz w:val="20"/>
                <w:szCs w:val="20"/>
                <w:lang w:val="ru-RU"/>
              </w:rPr>
              <w:t>капитальных вложениях</w:t>
            </w:r>
            <w:r w:rsidRPr="00A77060">
              <w:rPr>
                <w:rFonts w:ascii="Calibri Light" w:hAnsi="Calibri Light" w:cstheme="majorHAnsi"/>
                <w:sz w:val="20"/>
                <w:szCs w:val="20"/>
                <w:lang w:val="ru-RU"/>
              </w:rPr>
              <w:t xml:space="preserve">”, который в настоящее время находится на этапе согласования в рамках </w:t>
            </w:r>
            <w:r w:rsidRPr="00A77060">
              <w:rPr>
                <w:rFonts w:ascii="Calibri Light" w:hAnsi="Calibri Light"/>
                <w:sz w:val="20"/>
                <w:szCs w:val="20"/>
                <w:lang w:val="ru-RU"/>
              </w:rPr>
              <w:t>Министерства финансов.</w:t>
            </w:r>
          </w:p>
          <w:p w:rsidR="006F53B7" w:rsidRPr="00A77060" w:rsidRDefault="006F53B7" w:rsidP="004D2946">
            <w:pPr>
              <w:spacing w:after="0" w:line="240" w:lineRule="auto"/>
              <w:rPr>
                <w:rFonts w:ascii="Calibri Light" w:hAnsi="Calibri Light" w:cstheme="majorHAnsi"/>
                <w:sz w:val="20"/>
                <w:szCs w:val="20"/>
                <w:lang w:val="ru-RU"/>
              </w:rPr>
            </w:pPr>
            <w:r w:rsidRPr="00A77060">
              <w:rPr>
                <w:rFonts w:ascii="Calibri Light" w:hAnsi="Calibri Light" w:cstheme="majorHAnsi"/>
                <w:sz w:val="20"/>
                <w:szCs w:val="20"/>
                <w:lang w:val="ru-RU"/>
              </w:rPr>
              <w:t xml:space="preserve">На основании Постановления Правительства №1029/2013 были разработаны формы годовых отчетов по </w:t>
            </w:r>
            <w:r w:rsidRPr="00A77060">
              <w:rPr>
                <w:rFonts w:ascii="Calibri Light" w:eastAsia="Times New Roman" w:hAnsi="Calibri Light" w:cstheme="majorHAnsi"/>
                <w:bCs/>
                <w:color w:val="000000"/>
                <w:sz w:val="20"/>
                <w:szCs w:val="20"/>
                <w:lang w:val="ru-RU"/>
              </w:rPr>
              <w:t xml:space="preserve">осуществлению мониторинга внедрения проектов </w:t>
            </w:r>
            <w:r w:rsidRPr="00A77060">
              <w:rPr>
                <w:rFonts w:ascii="Calibri Light" w:hAnsi="Calibri Light" w:cstheme="majorHAnsi"/>
                <w:sz w:val="20"/>
                <w:szCs w:val="20"/>
                <w:lang w:val="ru-RU"/>
              </w:rPr>
              <w:t>государственных</w:t>
            </w:r>
            <w:r w:rsidRPr="00A77060">
              <w:rPr>
                <w:rFonts w:ascii="Calibri Light" w:eastAsia="Times New Roman" w:hAnsi="Calibri Light" w:cstheme="majorHAnsi"/>
                <w:bCs/>
                <w:color w:val="000000"/>
                <w:sz w:val="20"/>
                <w:szCs w:val="20"/>
                <w:lang w:val="ru-RU"/>
              </w:rPr>
              <w:t xml:space="preserve"> капитальных вложений. Письмом №</w:t>
            </w:r>
            <w:r w:rsidRPr="00A77060">
              <w:rPr>
                <w:rFonts w:ascii="Calibri Light" w:hAnsi="Calibri Light" w:cstheme="majorHAnsi"/>
                <w:sz w:val="20"/>
                <w:szCs w:val="20"/>
                <w:lang w:val="ru-RU"/>
              </w:rPr>
              <w:t xml:space="preserve">09/1-09/6 от 11 января 2021 года </w:t>
            </w:r>
            <w:r w:rsidRPr="00A77060">
              <w:rPr>
                <w:rFonts w:ascii="Calibri Light" w:hAnsi="Calibri Light"/>
                <w:sz w:val="20"/>
                <w:szCs w:val="20"/>
                <w:lang w:val="ru-RU"/>
              </w:rPr>
              <w:t>Министерство финансов</w:t>
            </w:r>
            <w:r w:rsidRPr="00A77060">
              <w:rPr>
                <w:rFonts w:ascii="Calibri Light" w:hAnsi="Calibri Light" w:cstheme="majorHAnsi"/>
                <w:sz w:val="20"/>
                <w:szCs w:val="20"/>
                <w:lang w:val="ru-RU"/>
              </w:rPr>
              <w:t xml:space="preserve"> запросило от ЦПО представление указанных отчетов за 2020 год в срок до 12 февраля 2021 года</w:t>
            </w:r>
          </w:p>
        </w:tc>
        <w:tc>
          <w:tcPr>
            <w:tcW w:w="850"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r w:rsidRPr="00A77060">
              <w:rPr>
                <w:rFonts w:ascii="Calibri Light" w:hAnsi="Calibri Light" w:cstheme="majorHAnsi"/>
                <w:sz w:val="20"/>
                <w:szCs w:val="20"/>
                <w:lang w:val="ru-RU"/>
              </w:rPr>
              <w:t>v</w:t>
            </w: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rPr>
                <w:rFonts w:ascii="Calibri Light" w:hAnsi="Calibri Light" w:cstheme="majorHAnsi"/>
                <w:sz w:val="20"/>
                <w:szCs w:val="20"/>
                <w:lang w:val="ru-RU"/>
              </w:rPr>
            </w:pPr>
          </w:p>
        </w:tc>
      </w:tr>
      <w:tr w:rsidR="006F53B7" w:rsidRPr="00A77060" w:rsidTr="004D2946">
        <w:trPr>
          <w:gridAfter w:val="1"/>
          <w:wAfter w:w="9" w:type="dxa"/>
          <w:trHeight w:val="111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tabs>
                <w:tab w:val="left" w:pos="171"/>
              </w:tabs>
              <w:spacing w:after="0" w:line="240" w:lineRule="auto"/>
              <w:rPr>
                <w:rFonts w:ascii="Calibri Light" w:hAnsi="Calibri Light" w:cstheme="majorHAnsi"/>
                <w:bCs/>
                <w:color w:val="000000"/>
                <w:sz w:val="20"/>
                <w:szCs w:val="20"/>
                <w:lang w:val="ru-RU"/>
              </w:rPr>
            </w:pPr>
            <w:r w:rsidRPr="00A77060">
              <w:rPr>
                <w:rFonts w:ascii="Calibri Light" w:hAnsi="Calibri Light" w:cstheme="majorHAnsi"/>
                <w:bCs/>
                <w:color w:val="000000"/>
                <w:sz w:val="20"/>
                <w:szCs w:val="20"/>
                <w:lang w:val="ru-RU"/>
              </w:rPr>
              <w:t>2.1.3. Осуществлять мониторинг по недопущению иммобилизации бюджетных средств центральными публичными органами в образование обязательств, учитывая процесс регистрации договоров закупок через казначейскую систему (</w:t>
            </w:r>
            <w:r w:rsidRPr="00A77060">
              <w:rPr>
                <w:rFonts w:ascii="Calibri Light" w:hAnsi="Calibri Light" w:cstheme="majorHAnsi"/>
                <w:b/>
                <w:bCs/>
                <w:i/>
                <w:color w:val="000000"/>
                <w:sz w:val="20"/>
                <w:szCs w:val="20"/>
                <w:lang w:val="ru-RU"/>
              </w:rPr>
              <w:t>рекомендация повторяется</w:t>
            </w:r>
            <w:r w:rsidRPr="00A77060">
              <w:rPr>
                <w:rFonts w:ascii="Calibri Light" w:hAnsi="Calibri Light" w:cstheme="majorHAnsi"/>
                <w:bCs/>
                <w:color w:val="000000"/>
                <w:sz w:val="20"/>
                <w:szCs w:val="20"/>
                <w:lang w:val="ru-RU"/>
              </w:rPr>
              <w:t>)</w:t>
            </w:r>
          </w:p>
          <w:p w:rsidR="006F53B7" w:rsidRPr="00A77060" w:rsidRDefault="006F53B7" w:rsidP="004D2946">
            <w:pPr>
              <w:tabs>
                <w:tab w:val="left" w:pos="171"/>
              </w:tabs>
              <w:spacing w:after="0" w:line="240" w:lineRule="auto"/>
              <w:rPr>
                <w:rFonts w:ascii="Calibri Light" w:hAnsi="Calibri Light" w:cstheme="majorHAnsi"/>
                <w:bCs/>
                <w:color w:val="000000"/>
                <w:sz w:val="20"/>
                <w:szCs w:val="20"/>
                <w:lang w:val="ru-RU"/>
              </w:rPr>
            </w:pP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sz w:val="20"/>
                <w:szCs w:val="20"/>
                <w:lang w:val="ru-RU"/>
              </w:rPr>
            </w:pPr>
            <w:r w:rsidRPr="00A77060">
              <w:rPr>
                <w:rFonts w:ascii="Calibri Light" w:hAnsi="Calibri Light" w:cstheme="majorHAnsi"/>
                <w:sz w:val="20"/>
                <w:szCs w:val="20"/>
                <w:lang w:val="ru-RU"/>
              </w:rPr>
              <w:lastRenderedPageBreak/>
              <w:t xml:space="preserve">Управление Государственного казначейства ежемесячно принимает и обобщает информацию относительно обязательств. Соответствующая информация передается Финансовой инспекции для проверки правильности определения обязательств с истекшим сроком и, при </w:t>
            </w:r>
            <w:r w:rsidRPr="00A77060">
              <w:rPr>
                <w:rFonts w:ascii="Calibri Light" w:hAnsi="Calibri Light" w:cstheme="majorHAnsi"/>
                <w:sz w:val="20"/>
                <w:szCs w:val="20"/>
                <w:lang w:val="ru-RU"/>
              </w:rPr>
              <w:lastRenderedPageBreak/>
              <w:t>необходимости, наложения санкций согласно Кодексу о правонарушениях.</w:t>
            </w:r>
          </w:p>
        </w:tc>
        <w:tc>
          <w:tcPr>
            <w:tcW w:w="850"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r w:rsidRPr="00A77060">
              <w:rPr>
                <w:rFonts w:ascii="Calibri Light" w:hAnsi="Calibri Light" w:cstheme="majorHAnsi"/>
                <w:sz w:val="20"/>
                <w:szCs w:val="20"/>
                <w:lang w:val="ru-RU"/>
              </w:rPr>
              <w:lastRenderedPageBreak/>
              <w:t>v</w:t>
            </w: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rPr>
                <w:rFonts w:ascii="Calibri Light" w:hAnsi="Calibri Light" w:cstheme="majorHAnsi"/>
                <w:sz w:val="20"/>
                <w:szCs w:val="20"/>
                <w:lang w:val="ru-RU"/>
              </w:rPr>
            </w:pPr>
          </w:p>
        </w:tc>
      </w:tr>
      <w:tr w:rsidR="006F53B7" w:rsidRPr="00A77060" w:rsidTr="004D2946">
        <w:trPr>
          <w:gridAfter w:val="1"/>
          <w:wAfter w:w="9" w:type="dxa"/>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pStyle w:val="ListParagraph"/>
              <w:numPr>
                <w:ilvl w:val="2"/>
                <w:numId w:val="35"/>
              </w:numPr>
              <w:spacing w:after="0" w:line="240" w:lineRule="auto"/>
              <w:ind w:left="10" w:hanging="10"/>
              <w:rPr>
                <w:rFonts w:ascii="Calibri Light" w:hAnsi="Calibri Light" w:cstheme="majorHAnsi"/>
                <w:bCs/>
                <w:color w:val="000000"/>
                <w:sz w:val="20"/>
                <w:szCs w:val="20"/>
                <w:lang w:val="ru-RU"/>
              </w:rPr>
            </w:pPr>
            <w:r w:rsidRPr="00A77060">
              <w:rPr>
                <w:rFonts w:ascii="Calibri Light" w:hAnsi="Calibri Light"/>
                <w:sz w:val="20"/>
                <w:szCs w:val="20"/>
                <w:lang w:val="ru-RU"/>
              </w:rPr>
              <w:t xml:space="preserve">Обеспечить разработку, </w:t>
            </w:r>
            <w:r w:rsidRPr="00A77060">
              <w:rPr>
                <w:rFonts w:ascii="Calibri Light" w:hAnsi="Calibri Light"/>
                <w:b/>
                <w:sz w:val="20"/>
                <w:szCs w:val="20"/>
                <w:lang w:val="ru-RU"/>
              </w:rPr>
              <w:t>совместно с Министерством образования, культуры и исследований</w:t>
            </w:r>
            <w:r w:rsidRPr="00A77060">
              <w:rPr>
                <w:rFonts w:ascii="Calibri Light" w:hAnsi="Calibri Light"/>
                <w:sz w:val="20"/>
                <w:szCs w:val="20"/>
                <w:lang w:val="ru-RU"/>
              </w:rPr>
              <w:t>, методологии расчета трансфертов специального назначения при финансировании учебных заведений (дошкольных учреждений, лицеев-интернатов спортивного профиля, школ-интернатов, центров дошкольного образования и др.), а также дополнение методологических норм со ссылкой на определение трансфертов, предназначенных для начальных школ, гимназий и лицеев и др. (</w:t>
            </w:r>
            <w:r w:rsidRPr="00A77060">
              <w:rPr>
                <w:rFonts w:ascii="Calibri Light" w:hAnsi="Calibri Light" w:cs="Calibri Light"/>
                <w:b/>
                <w:i/>
                <w:sz w:val="20"/>
                <w:szCs w:val="20"/>
                <w:lang w:val="ru-RU"/>
              </w:rPr>
              <w:t>рекомендация повторяется</w:t>
            </w:r>
            <w:r w:rsidRPr="00A77060">
              <w:rPr>
                <w:rFonts w:ascii="Calibri Light" w:hAnsi="Calibri Light" w:cs="Calibri Light"/>
                <w:sz w:val="20"/>
                <w:szCs w:val="20"/>
                <w:lang w:val="ru-RU"/>
              </w:rPr>
              <w:t>)</w:t>
            </w:r>
          </w:p>
          <w:p w:rsidR="006F53B7" w:rsidRPr="00A77060" w:rsidRDefault="006F53B7" w:rsidP="004D2946">
            <w:pPr>
              <w:spacing w:after="0" w:line="240" w:lineRule="auto"/>
              <w:rPr>
                <w:rFonts w:ascii="Calibri Light" w:eastAsia="Times New Roman" w:hAnsi="Calibri Light" w:cstheme="majorHAnsi"/>
                <w:b/>
                <w:bCs/>
                <w:color w:val="000000"/>
                <w:sz w:val="20"/>
                <w:szCs w:val="20"/>
                <w:lang w:val="ru-RU"/>
              </w:rPr>
            </w:pP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sz w:val="20"/>
                <w:szCs w:val="20"/>
                <w:lang w:val="ru-RU"/>
              </w:rPr>
            </w:pPr>
            <w:r w:rsidRPr="00A77060">
              <w:rPr>
                <w:rFonts w:ascii="Calibri Light" w:hAnsi="Calibri Light"/>
                <w:sz w:val="20"/>
                <w:szCs w:val="20"/>
                <w:lang w:val="ru-RU"/>
              </w:rPr>
              <w:t>Министерство финансов письмом №</w:t>
            </w:r>
            <w:r w:rsidRPr="00A77060">
              <w:rPr>
                <w:rFonts w:ascii="Calibri Light" w:hAnsi="Calibri Light" w:cstheme="majorHAnsi"/>
                <w:sz w:val="20"/>
                <w:szCs w:val="20"/>
                <w:lang w:val="ru-RU"/>
              </w:rPr>
              <w:t xml:space="preserve">07/1-17/03 от 12 января текущего года информировало </w:t>
            </w:r>
            <w:r w:rsidRPr="00A77060">
              <w:rPr>
                <w:rFonts w:ascii="Calibri Light" w:hAnsi="Calibri Light"/>
                <w:sz w:val="20"/>
                <w:szCs w:val="20"/>
                <w:lang w:val="ru-RU"/>
              </w:rPr>
              <w:t>Министерство образования, культуры и исследований о необходимости обеспечить приоритетным способом разработку/ изменение методологий для наиболее эффективного распределения ассигнований по местным публичным органам, имеющим в своем подчинении образовательные учреждения, для повышения эффективности использования публичных средств.</w:t>
            </w:r>
          </w:p>
          <w:p w:rsidR="006F53B7" w:rsidRPr="00A77060" w:rsidRDefault="006F53B7" w:rsidP="004D2946">
            <w:pPr>
              <w:spacing w:after="0" w:line="240" w:lineRule="auto"/>
              <w:rPr>
                <w:rFonts w:ascii="Calibri Light" w:hAnsi="Calibri Light" w:cstheme="majorHAnsi"/>
                <w:sz w:val="20"/>
                <w:szCs w:val="20"/>
                <w:lang w:val="ru-RU"/>
              </w:rPr>
            </w:pPr>
            <w:r w:rsidRPr="00A77060">
              <w:rPr>
                <w:rFonts w:ascii="Calibri Light" w:hAnsi="Calibri Light" w:cstheme="majorHAnsi"/>
                <w:sz w:val="20"/>
                <w:szCs w:val="20"/>
                <w:lang w:val="ru-RU"/>
              </w:rPr>
              <w:t>Обращением №</w:t>
            </w:r>
            <w:r w:rsidRPr="00A77060">
              <w:rPr>
                <w:rFonts w:ascii="Calibri Light" w:hAnsi="Calibri Light" w:cstheme="majorHAnsi"/>
                <w:sz w:val="20"/>
                <w:szCs w:val="20"/>
                <w:lang w:val="ru-RU" w:bidi="ro-RO"/>
              </w:rPr>
              <w:t xml:space="preserve">07/1-03/32 от 26 апреля 2021 года было запрошено вмешательство врио Премьер-министра дать указание </w:t>
            </w:r>
            <w:r w:rsidRPr="00A77060">
              <w:rPr>
                <w:rFonts w:ascii="Calibri Light" w:hAnsi="Calibri Light"/>
                <w:sz w:val="20"/>
                <w:szCs w:val="20"/>
                <w:lang w:val="ru-RU"/>
              </w:rPr>
              <w:t xml:space="preserve">Министерству образования, культуры и исследований принять необходимые меры с целью рассмотрения возможностей по внесению изменений в </w:t>
            </w:r>
            <w:r w:rsidRPr="00A77060">
              <w:rPr>
                <w:rFonts w:ascii="Calibri Light" w:hAnsi="Calibri Light" w:cstheme="majorHAnsi"/>
                <w:sz w:val="20"/>
                <w:szCs w:val="20"/>
                <w:lang w:val="ru-RU"/>
              </w:rPr>
              <w:t>Постановление Правительства №</w:t>
            </w:r>
            <w:r w:rsidRPr="00A77060">
              <w:rPr>
                <w:rFonts w:ascii="Calibri Light" w:hAnsi="Calibri Light" w:cstheme="majorHAnsi"/>
                <w:sz w:val="20"/>
                <w:szCs w:val="20"/>
                <w:lang w:val="ru-RU" w:bidi="ro-RO"/>
              </w:rPr>
              <w:t xml:space="preserve">868/2014 „О </w:t>
            </w:r>
            <w:r w:rsidRPr="00A77060">
              <w:rPr>
                <w:rFonts w:ascii="Calibri Light" w:hAnsi="Calibri Light"/>
                <w:sz w:val="20"/>
                <w:szCs w:val="20"/>
                <w:lang w:val="ru-RU"/>
              </w:rPr>
              <w:t>финансировании на основании стандартных затрат на учащегося учебных заведений начального и общего среднего образования, находящихся в подчинении местных публичных органов второго уровня</w:t>
            </w:r>
            <w:r w:rsidRPr="00A77060">
              <w:rPr>
                <w:rFonts w:ascii="Calibri Light" w:hAnsi="Calibri Light" w:cstheme="majorHAnsi"/>
                <w:sz w:val="20"/>
                <w:szCs w:val="20"/>
                <w:lang w:val="ru-RU" w:bidi="ro-RO"/>
              </w:rPr>
              <w:t>”.</w:t>
            </w:r>
          </w:p>
          <w:p w:rsidR="006F53B7" w:rsidRPr="00A77060" w:rsidRDefault="006F53B7" w:rsidP="004D2946">
            <w:pPr>
              <w:spacing w:after="0" w:line="240" w:lineRule="auto"/>
              <w:rPr>
                <w:rFonts w:ascii="Calibri Light" w:hAnsi="Calibri Light" w:cstheme="majorHAnsi"/>
                <w:sz w:val="20"/>
                <w:szCs w:val="20"/>
                <w:lang w:val="ru-RU" w:bidi="ro-RO"/>
              </w:rPr>
            </w:pPr>
            <w:r w:rsidRPr="00A77060">
              <w:rPr>
                <w:rFonts w:ascii="Calibri Light" w:hAnsi="Calibri Light" w:cstheme="majorHAnsi"/>
                <w:sz w:val="20"/>
                <w:szCs w:val="20"/>
                <w:lang w:val="ru-RU" w:bidi="ro-RO"/>
              </w:rPr>
              <w:t xml:space="preserve">До настоящего времени от </w:t>
            </w:r>
            <w:r w:rsidRPr="00A77060">
              <w:rPr>
                <w:rFonts w:ascii="Calibri Light" w:hAnsi="Calibri Light"/>
                <w:sz w:val="20"/>
                <w:szCs w:val="20"/>
                <w:lang w:val="ru-RU"/>
              </w:rPr>
              <w:t>Министерства образования, культуры и исследований не поступали конкретные предложения по изменению/ дополнению нормативного акта, запрошенного посредством обращения Правительства в результате запроса МФ</w:t>
            </w:r>
          </w:p>
        </w:tc>
        <w:tc>
          <w:tcPr>
            <w:tcW w:w="850"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r w:rsidRPr="00A77060">
              <w:rPr>
                <w:rFonts w:ascii="Calibri Light" w:hAnsi="Calibri Light" w:cstheme="majorHAnsi"/>
                <w:sz w:val="20"/>
                <w:szCs w:val="20"/>
                <w:lang w:val="ru-RU"/>
              </w:rPr>
              <w:t>v</w:t>
            </w: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rPr>
                <w:rFonts w:ascii="Calibri Light" w:hAnsi="Calibri Light" w:cstheme="majorHAnsi"/>
                <w:sz w:val="20"/>
                <w:szCs w:val="20"/>
                <w:lang w:val="ru-RU"/>
              </w:rPr>
            </w:pPr>
          </w:p>
        </w:tc>
      </w:tr>
      <w:tr w:rsidR="006F53B7" w:rsidRPr="00A77060" w:rsidTr="004D2946">
        <w:trPr>
          <w:gridAfter w:val="1"/>
          <w:wAfter w:w="9" w:type="dxa"/>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numPr>
                <w:ilvl w:val="0"/>
                <w:numId w:val="10"/>
              </w:numPr>
              <w:spacing w:after="0" w:line="240" w:lineRule="auto"/>
              <w:rPr>
                <w:rFonts w:ascii="Calibri Light" w:hAnsi="Calibri Light" w:cstheme="majorHAnsi"/>
                <w:bCs/>
                <w:color w:val="000000"/>
                <w:sz w:val="20"/>
                <w:szCs w:val="20"/>
                <w:lang w:val="ru-RU"/>
              </w:rPr>
            </w:pPr>
            <w:r w:rsidRPr="00A77060">
              <w:rPr>
                <w:rFonts w:ascii="Calibri Light" w:eastAsia="Times New Roman" w:hAnsi="Calibri Light" w:cstheme="majorHAnsi"/>
                <w:sz w:val="20"/>
                <w:szCs w:val="20"/>
                <w:lang w:val="ru-RU"/>
              </w:rPr>
              <w:t>Завершить разработку действующей нормативной базы и привести в соответствие с положениями Закона №181/2014 относительно понятия ,,субсидий/субвенций”</w:t>
            </w:r>
            <w:r w:rsidRPr="00A77060">
              <w:rPr>
                <w:rFonts w:ascii="Calibri Light" w:eastAsia="Times New Roman" w:hAnsi="Calibri Light" w:cstheme="majorHAnsi"/>
                <w:sz w:val="24"/>
                <w:szCs w:val="24"/>
                <w:lang w:val="ru-RU"/>
              </w:rPr>
              <w:t xml:space="preserve"> </w:t>
            </w: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sz w:val="20"/>
                <w:szCs w:val="20"/>
                <w:lang w:val="ru-RU"/>
              </w:rPr>
            </w:pPr>
            <w:r w:rsidRPr="00A77060">
              <w:rPr>
                <w:rFonts w:ascii="Calibri Light" w:eastAsia="Times New Roman" w:hAnsi="Calibri Light" w:cstheme="majorHAnsi"/>
                <w:sz w:val="20"/>
                <w:szCs w:val="20"/>
                <w:lang w:val="ru-RU"/>
              </w:rPr>
              <w:t xml:space="preserve">Завершение разработки действующей нормативной базы и приведение ее в соответствие с положениями Закона №181/2014 относительно </w:t>
            </w:r>
            <w:proofErr w:type="gramStart"/>
            <w:r w:rsidRPr="00A77060">
              <w:rPr>
                <w:rFonts w:ascii="Calibri Light" w:eastAsia="Times New Roman" w:hAnsi="Calibri Light" w:cstheme="majorHAnsi"/>
                <w:sz w:val="20"/>
                <w:szCs w:val="20"/>
                <w:lang w:val="ru-RU"/>
              </w:rPr>
              <w:t>понятия ,,субсидий</w:t>
            </w:r>
            <w:proofErr w:type="gramEnd"/>
            <w:r w:rsidRPr="00A77060">
              <w:rPr>
                <w:rFonts w:ascii="Calibri Light" w:eastAsia="Times New Roman" w:hAnsi="Calibri Light" w:cstheme="majorHAnsi"/>
                <w:sz w:val="20"/>
                <w:szCs w:val="20"/>
                <w:lang w:val="ru-RU"/>
              </w:rPr>
              <w:t>/субвенций” было реализовано путем утверждения:</w:t>
            </w:r>
          </w:p>
          <w:p w:rsidR="006F53B7" w:rsidRPr="00A77060" w:rsidRDefault="006F53B7" w:rsidP="004D2946">
            <w:pPr>
              <w:spacing w:after="0" w:line="240" w:lineRule="auto"/>
              <w:rPr>
                <w:rFonts w:ascii="Calibri Light" w:hAnsi="Calibri Light" w:cstheme="majorHAnsi"/>
                <w:sz w:val="20"/>
                <w:szCs w:val="20"/>
                <w:lang w:val="ru-RU"/>
              </w:rPr>
            </w:pPr>
            <w:r w:rsidRPr="00A77060">
              <w:rPr>
                <w:rFonts w:ascii="Calibri Light" w:hAnsi="Calibri Light" w:cstheme="majorHAnsi"/>
                <w:sz w:val="20"/>
                <w:szCs w:val="20"/>
                <w:lang w:val="ru-RU"/>
              </w:rPr>
              <w:t xml:space="preserve">- </w:t>
            </w:r>
            <w:r w:rsidRPr="00A77060">
              <w:rPr>
                <w:rFonts w:ascii="Calibri Light" w:hAnsi="Calibri Light"/>
                <w:sz w:val="20"/>
                <w:szCs w:val="20"/>
                <w:lang w:val="ru-RU"/>
              </w:rPr>
              <w:t>Приказа министра финансов №</w:t>
            </w:r>
            <w:r w:rsidRPr="00A77060">
              <w:rPr>
                <w:rFonts w:ascii="Calibri Light" w:hAnsi="Calibri Light" w:cstheme="majorHAnsi"/>
                <w:sz w:val="20"/>
                <w:szCs w:val="20"/>
                <w:lang w:val="ru-RU"/>
              </w:rPr>
              <w:t>144/2020 „О внесении изменений в Бюджетную классификацию” (ОМ Р. Молдова №344-351 ст.1359 от 18.12.2020);</w:t>
            </w:r>
          </w:p>
          <w:p w:rsidR="006F53B7" w:rsidRPr="00A77060" w:rsidRDefault="006F53B7" w:rsidP="004D2946">
            <w:pPr>
              <w:spacing w:after="0" w:line="240" w:lineRule="auto"/>
              <w:rPr>
                <w:rFonts w:ascii="Calibri Light" w:hAnsi="Calibri Light" w:cstheme="majorHAnsi"/>
                <w:sz w:val="20"/>
                <w:szCs w:val="20"/>
                <w:lang w:val="ru-RU"/>
              </w:rPr>
            </w:pPr>
            <w:r w:rsidRPr="00A77060">
              <w:rPr>
                <w:rFonts w:ascii="Calibri Light" w:hAnsi="Calibri Light" w:cstheme="majorHAnsi"/>
                <w:sz w:val="20"/>
                <w:szCs w:val="20"/>
                <w:lang w:val="ru-RU"/>
              </w:rPr>
              <w:t xml:space="preserve">- </w:t>
            </w:r>
            <w:r w:rsidRPr="00A77060">
              <w:rPr>
                <w:rFonts w:ascii="Calibri Light" w:hAnsi="Calibri Light"/>
                <w:sz w:val="20"/>
                <w:szCs w:val="20"/>
                <w:lang w:val="ru-RU"/>
              </w:rPr>
              <w:t>Приказа министра финансов №</w:t>
            </w:r>
            <w:r w:rsidRPr="00A77060">
              <w:rPr>
                <w:rFonts w:ascii="Calibri Light" w:hAnsi="Calibri Light" w:cstheme="majorHAnsi"/>
                <w:sz w:val="20"/>
                <w:szCs w:val="20"/>
                <w:lang w:val="ru-RU"/>
              </w:rPr>
              <w:t xml:space="preserve">6/2021 „О внесении изменений и дополнений в План счетов бухгалтерского учета в бюджетной системе и Методологические нормы бухгалтерского учета и финансовой отчетности в бюджетной системе, утвержденные </w:t>
            </w:r>
            <w:r w:rsidRPr="00A77060">
              <w:rPr>
                <w:rFonts w:ascii="Calibri Light" w:hAnsi="Calibri Light"/>
                <w:sz w:val="20"/>
                <w:szCs w:val="20"/>
                <w:lang w:val="ru-RU"/>
              </w:rPr>
              <w:t>Приказом министра финансов №</w:t>
            </w:r>
            <w:r w:rsidRPr="00A77060">
              <w:rPr>
                <w:rFonts w:ascii="Calibri Light" w:hAnsi="Calibri Light" w:cstheme="majorHAnsi"/>
                <w:sz w:val="20"/>
                <w:szCs w:val="20"/>
                <w:lang w:val="ru-RU"/>
              </w:rPr>
              <w:t>216/2015” (ОМ. Р. Молдова №33-41 ст. 109 от 05.02.2021)</w:t>
            </w:r>
          </w:p>
        </w:tc>
        <w:tc>
          <w:tcPr>
            <w:tcW w:w="850"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r w:rsidRPr="00A77060">
              <w:rPr>
                <w:rFonts w:ascii="Calibri Light" w:hAnsi="Calibri Light" w:cstheme="majorHAnsi"/>
                <w:sz w:val="20"/>
                <w:szCs w:val="20"/>
                <w:lang w:val="ru-RU"/>
              </w:rPr>
              <w:t>v</w:t>
            </w: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rPr>
                <w:rFonts w:ascii="Calibri Light" w:hAnsi="Calibri Light" w:cstheme="majorHAnsi"/>
                <w:sz w:val="20"/>
                <w:szCs w:val="20"/>
                <w:lang w:val="ru-RU"/>
              </w:rPr>
            </w:pP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rPr>
                <w:rFonts w:ascii="Calibri Light" w:hAnsi="Calibri Light" w:cstheme="majorHAnsi"/>
                <w:sz w:val="20"/>
                <w:szCs w:val="20"/>
                <w:lang w:val="ru-RU"/>
              </w:rPr>
            </w:pPr>
          </w:p>
        </w:tc>
      </w:tr>
      <w:tr w:rsidR="006F53B7" w:rsidRPr="00A77060" w:rsidTr="004D2946">
        <w:trPr>
          <w:gridAfter w:val="1"/>
          <w:wAfter w:w="9" w:type="dxa"/>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numPr>
                <w:ilvl w:val="0"/>
                <w:numId w:val="10"/>
              </w:numPr>
              <w:spacing w:after="0" w:line="240" w:lineRule="auto"/>
              <w:rPr>
                <w:rFonts w:ascii="Calibri Light" w:hAnsi="Calibri Light" w:cstheme="majorHAnsi"/>
                <w:bCs/>
                <w:color w:val="000000"/>
                <w:sz w:val="20"/>
                <w:szCs w:val="20"/>
                <w:lang w:val="ru-RU"/>
              </w:rPr>
            </w:pPr>
            <w:r w:rsidRPr="00A77060">
              <w:rPr>
                <w:rFonts w:ascii="Calibri Light" w:eastAsia="Times New Roman" w:hAnsi="Calibri Light" w:cstheme="majorHAnsi"/>
                <w:sz w:val="20"/>
                <w:szCs w:val="20"/>
                <w:lang w:val="ru-RU"/>
              </w:rPr>
              <w:t xml:space="preserve">Внести изменения </w:t>
            </w:r>
            <w:r w:rsidRPr="00A77060">
              <w:rPr>
                <w:rFonts w:ascii="Calibri Light" w:hAnsi="Calibri Light" w:cstheme="majorHAnsi"/>
                <w:bCs/>
                <w:iCs/>
                <w:sz w:val="20"/>
                <w:szCs w:val="20"/>
                <w:lang w:val="ru-RU"/>
              </w:rPr>
              <w:t>в нормативную базу относительно финансирования из государственного бюджета публичных учреждений, фондов и инвестиционных проектов посредством субсидий в соответствии с положениями Закона №181/2014</w:t>
            </w: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sz w:val="20"/>
                <w:szCs w:val="20"/>
                <w:lang w:val="ru-RU"/>
              </w:rPr>
            </w:pPr>
            <w:r w:rsidRPr="00A77060">
              <w:rPr>
                <w:rFonts w:ascii="Calibri Light" w:hAnsi="Calibri Light" w:cstheme="majorHAnsi"/>
                <w:sz w:val="20"/>
                <w:szCs w:val="20"/>
                <w:lang w:val="ru-RU"/>
              </w:rPr>
              <w:t xml:space="preserve">В течение 2020 года был разработан нормативный акт, который в настоящее время находится на этапе согласования в рамках </w:t>
            </w:r>
            <w:r w:rsidRPr="00A77060">
              <w:rPr>
                <w:rFonts w:ascii="Calibri Light" w:hAnsi="Calibri Light"/>
                <w:sz w:val="20"/>
                <w:szCs w:val="20"/>
                <w:lang w:val="ru-RU"/>
              </w:rPr>
              <w:t>Министерства финансов</w:t>
            </w:r>
          </w:p>
          <w:p w:rsidR="006F53B7" w:rsidRPr="00A77060" w:rsidRDefault="006F53B7" w:rsidP="004D2946">
            <w:pPr>
              <w:spacing w:after="0" w:line="240" w:lineRule="auto"/>
              <w:rPr>
                <w:rFonts w:ascii="Calibri Light" w:hAnsi="Calibri Light" w:cstheme="majorHAnsi"/>
                <w:sz w:val="20"/>
                <w:szCs w:val="20"/>
                <w:lang w:val="ru-RU"/>
              </w:rPr>
            </w:pPr>
          </w:p>
        </w:tc>
        <w:tc>
          <w:tcPr>
            <w:tcW w:w="850"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r w:rsidRPr="00A77060">
              <w:rPr>
                <w:rFonts w:ascii="Calibri Light" w:hAnsi="Calibri Light" w:cstheme="majorHAnsi"/>
                <w:sz w:val="20"/>
                <w:szCs w:val="20"/>
                <w:lang w:val="ru-RU"/>
              </w:rPr>
              <w:t>v</w:t>
            </w: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rPr>
                <w:rFonts w:ascii="Calibri Light" w:hAnsi="Calibri Light" w:cstheme="majorHAnsi"/>
                <w:sz w:val="20"/>
                <w:szCs w:val="20"/>
                <w:lang w:val="ru-RU"/>
              </w:rPr>
            </w:pPr>
          </w:p>
        </w:tc>
      </w:tr>
      <w:tr w:rsidR="006F53B7" w:rsidRPr="00A77060" w:rsidTr="004D2946">
        <w:trPr>
          <w:gridAfter w:val="1"/>
          <w:wAfter w:w="9" w:type="dxa"/>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spacing w:after="0" w:line="240" w:lineRule="auto"/>
              <w:ind w:left="313" w:hanging="313"/>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3.</w:t>
            </w:r>
            <w:r w:rsidRPr="00A77060">
              <w:rPr>
                <w:rFonts w:ascii="Calibri Light" w:eastAsia="Times New Roman" w:hAnsi="Calibri Light" w:cstheme="majorHAnsi"/>
                <w:b/>
                <w:bCs/>
                <w:color w:val="000000"/>
                <w:sz w:val="20"/>
                <w:szCs w:val="20"/>
                <w:lang w:val="ru-RU"/>
              </w:rPr>
              <w:tab/>
            </w:r>
            <w:r w:rsidRPr="00A77060">
              <w:rPr>
                <w:rFonts w:ascii="Calibri Light" w:eastAsia="Times New Roman" w:hAnsi="Calibri Light" w:cstheme="majorHAnsi"/>
                <w:sz w:val="20"/>
                <w:szCs w:val="20"/>
                <w:lang w:val="ru-RU"/>
              </w:rPr>
              <w:t xml:space="preserve">Дополнить/развивать законодательную базу исчерпывающими положениями относительно </w:t>
            </w:r>
            <w:r w:rsidRPr="00A77060">
              <w:rPr>
                <w:rFonts w:ascii="Calibri Light" w:eastAsia="Times New Roman" w:hAnsi="Calibri Light" w:cstheme="majorHAnsi"/>
                <w:sz w:val="20"/>
                <w:szCs w:val="20"/>
                <w:lang w:val="ru-RU"/>
              </w:rPr>
              <w:lastRenderedPageBreak/>
              <w:t>использования финансовых средств, связанных с проектами, финансируемыми из внешних источников</w:t>
            </w:r>
            <w:r w:rsidRPr="00A77060">
              <w:rPr>
                <w:rFonts w:ascii="Calibri Light" w:eastAsia="Times New Roman" w:hAnsi="Calibri Light" w:cstheme="majorHAnsi"/>
                <w:sz w:val="24"/>
                <w:szCs w:val="24"/>
                <w:lang w:val="ru-RU"/>
              </w:rPr>
              <w:t xml:space="preserve"> </w:t>
            </w: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i/>
                <w:sz w:val="20"/>
                <w:szCs w:val="20"/>
                <w:lang w:val="ru-RU" w:bidi="ro-RO"/>
              </w:rPr>
            </w:pPr>
            <w:r w:rsidRPr="00A77060">
              <w:rPr>
                <w:rFonts w:ascii="Calibri Light" w:hAnsi="Calibri Light"/>
                <w:sz w:val="20"/>
                <w:szCs w:val="20"/>
                <w:lang w:val="ru-RU"/>
              </w:rPr>
              <w:lastRenderedPageBreak/>
              <w:t>Приказом министра финансов №</w:t>
            </w:r>
            <w:r w:rsidRPr="00A77060">
              <w:rPr>
                <w:rFonts w:ascii="Calibri Light" w:hAnsi="Calibri Light" w:cstheme="majorHAnsi"/>
                <w:sz w:val="20"/>
                <w:szCs w:val="20"/>
                <w:lang w:val="ru-RU" w:bidi="ro-RO"/>
              </w:rPr>
              <w:t>157/2020 „</w:t>
            </w:r>
            <w:r w:rsidRPr="00A77060">
              <w:rPr>
                <w:rFonts w:ascii="Calibri Light" w:hAnsi="Calibri Light" w:cstheme="majorHAnsi"/>
                <w:sz w:val="20"/>
                <w:szCs w:val="20"/>
                <w:lang w:val="ru-RU"/>
              </w:rPr>
              <w:t xml:space="preserve">О внесении изменений и дополнений Требований по составлению </w:t>
            </w:r>
            <w:r w:rsidRPr="00A77060">
              <w:rPr>
                <w:rFonts w:ascii="Calibri Light" w:eastAsia="Times New Roman" w:hAnsi="Calibri Light" w:cstheme="majorHAnsi"/>
                <w:sz w:val="20"/>
                <w:szCs w:val="20"/>
                <w:lang w:val="ru-RU"/>
              </w:rPr>
              <w:t xml:space="preserve">Пояснительной записки об исполнении бюджетов публичными органами/учреждениями, </w:t>
            </w:r>
            <w:r w:rsidRPr="00A77060">
              <w:rPr>
                <w:rFonts w:ascii="Calibri Light" w:eastAsia="Times New Roman" w:hAnsi="Calibri Light" w:cstheme="majorHAnsi"/>
                <w:sz w:val="20"/>
                <w:szCs w:val="20"/>
                <w:lang w:val="ru-RU"/>
              </w:rPr>
              <w:lastRenderedPageBreak/>
              <w:t xml:space="preserve">утвержденных </w:t>
            </w:r>
            <w:r w:rsidRPr="00A77060">
              <w:rPr>
                <w:rFonts w:ascii="Calibri Light" w:hAnsi="Calibri Light"/>
                <w:sz w:val="20"/>
                <w:szCs w:val="20"/>
                <w:lang w:val="ru-RU"/>
              </w:rPr>
              <w:t xml:space="preserve">Приказом министра финансов №164 от 30 декабря </w:t>
            </w:r>
            <w:r w:rsidRPr="00A77060">
              <w:rPr>
                <w:rFonts w:ascii="Calibri Light" w:hAnsi="Calibri Light" w:cstheme="majorHAnsi"/>
                <w:sz w:val="20"/>
                <w:szCs w:val="20"/>
                <w:lang w:val="ru-RU" w:bidi="ro-RO"/>
              </w:rPr>
              <w:t>2016”</w:t>
            </w:r>
            <w:r w:rsidRPr="00A77060">
              <w:rPr>
                <w:rFonts w:ascii="Calibri Light" w:eastAsia="Times New Roman" w:hAnsi="Calibri Light" w:cstheme="majorHAnsi"/>
                <w:sz w:val="20"/>
                <w:szCs w:val="20"/>
                <w:lang w:val="ru-RU"/>
              </w:rPr>
              <w:t xml:space="preserve"> был изменен </w:t>
            </w:r>
            <w:r w:rsidRPr="00A77060">
              <w:rPr>
                <w:rFonts w:ascii="Calibri Light" w:hAnsi="Calibri Light"/>
                <w:sz w:val="20"/>
                <w:szCs w:val="20"/>
                <w:lang w:val="ru-RU"/>
              </w:rPr>
              <w:t>Приказ министра финансов №</w:t>
            </w:r>
            <w:r w:rsidRPr="00A77060">
              <w:rPr>
                <w:rFonts w:ascii="Calibri Light" w:hAnsi="Calibri Light" w:cstheme="majorHAnsi"/>
                <w:sz w:val="20"/>
                <w:szCs w:val="20"/>
                <w:lang w:val="ru-RU" w:bidi="ro-RO"/>
              </w:rPr>
              <w:t xml:space="preserve">164/2016 и включено Приложение №2 </w:t>
            </w:r>
            <w:r w:rsidRPr="00A77060">
              <w:rPr>
                <w:rFonts w:ascii="Calibri Light" w:hAnsi="Calibri Light" w:cstheme="majorHAnsi"/>
                <w:i/>
                <w:sz w:val="20"/>
                <w:szCs w:val="20"/>
                <w:lang w:val="ru-RU" w:bidi="ro-RO"/>
              </w:rPr>
              <w:t xml:space="preserve">Информация о причинах невыполнения средств из </w:t>
            </w:r>
            <w:r w:rsidRPr="00A77060">
              <w:rPr>
                <w:rFonts w:ascii="Calibri Light" w:eastAsia="Times New Roman" w:hAnsi="Calibri Light" w:cstheme="majorHAnsi"/>
                <w:i/>
                <w:sz w:val="20"/>
                <w:szCs w:val="20"/>
                <w:lang w:val="ru-RU"/>
              </w:rPr>
              <w:t xml:space="preserve">проектов, финансируемых из внешних источников по состоянию на </w:t>
            </w:r>
            <w:r w:rsidRPr="00A77060">
              <w:rPr>
                <w:rFonts w:ascii="Calibri Light" w:hAnsi="Calibri Light" w:cstheme="majorHAnsi"/>
                <w:i/>
                <w:iCs/>
                <w:sz w:val="20"/>
                <w:szCs w:val="20"/>
                <w:lang w:val="ru-RU" w:bidi="ro-RO"/>
              </w:rPr>
              <w:t>31.12.2020</w:t>
            </w:r>
          </w:p>
        </w:tc>
        <w:tc>
          <w:tcPr>
            <w:tcW w:w="850"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r w:rsidRPr="00A77060">
              <w:rPr>
                <w:rFonts w:ascii="Calibri Light" w:hAnsi="Calibri Light" w:cstheme="majorHAnsi"/>
                <w:sz w:val="20"/>
                <w:szCs w:val="20"/>
                <w:lang w:val="ru-RU"/>
              </w:rPr>
              <w:lastRenderedPageBreak/>
              <w:t>v</w:t>
            </w: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rPr>
                <w:rFonts w:ascii="Calibri Light" w:hAnsi="Calibri Light" w:cstheme="majorHAnsi"/>
                <w:sz w:val="20"/>
                <w:szCs w:val="20"/>
                <w:lang w:val="ru-RU"/>
              </w:rPr>
            </w:pPr>
          </w:p>
        </w:tc>
      </w:tr>
      <w:tr w:rsidR="006F53B7" w:rsidRPr="00A77060" w:rsidTr="004D2946">
        <w:trPr>
          <w:gridAfter w:val="1"/>
          <w:wAfter w:w="9" w:type="dxa"/>
          <w:trHeight w:val="694"/>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spacing w:after="0" w:line="240" w:lineRule="auto"/>
              <w:ind w:left="313" w:hanging="313"/>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4.</w:t>
            </w:r>
            <w:r w:rsidRPr="00A77060">
              <w:rPr>
                <w:rFonts w:ascii="Calibri Light" w:eastAsia="Times New Roman" w:hAnsi="Calibri Light" w:cstheme="majorHAnsi"/>
                <w:b/>
                <w:bCs/>
                <w:color w:val="000000"/>
                <w:sz w:val="20"/>
                <w:szCs w:val="20"/>
                <w:lang w:val="ru-RU"/>
              </w:rPr>
              <w:tab/>
            </w:r>
            <w:r w:rsidRPr="00A77060">
              <w:rPr>
                <w:rFonts w:ascii="Calibri Light" w:eastAsia="Times New Roman" w:hAnsi="Calibri Light" w:cstheme="majorHAnsi"/>
                <w:sz w:val="20"/>
                <w:szCs w:val="20"/>
                <w:lang w:val="ru-RU"/>
              </w:rPr>
              <w:t>Обеспечить корректировку нормативной базы касательно планирования бюджетных ресурсов и расходов в соответствии с законодательной базой</w:t>
            </w:r>
            <w:r w:rsidRPr="00A77060">
              <w:rPr>
                <w:rFonts w:ascii="Calibri Light" w:eastAsia="Times New Roman" w:hAnsi="Calibri Light" w:cstheme="majorHAnsi"/>
                <w:sz w:val="24"/>
                <w:szCs w:val="24"/>
                <w:lang w:val="ru-RU"/>
              </w:rPr>
              <w:t xml:space="preserve"> </w:t>
            </w: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spacing w:after="0"/>
              <w:rPr>
                <w:rFonts w:ascii="Calibri Light" w:hAnsi="Calibri Light" w:cstheme="majorHAnsi"/>
                <w:sz w:val="20"/>
                <w:szCs w:val="20"/>
                <w:lang w:val="ru-RU"/>
              </w:rPr>
            </w:pPr>
            <w:r w:rsidRPr="00A77060">
              <w:rPr>
                <w:rFonts w:ascii="Calibri Light" w:hAnsi="Calibri Light" w:cstheme="majorHAnsi"/>
                <w:sz w:val="20"/>
                <w:szCs w:val="20"/>
                <w:lang w:val="ru-RU"/>
              </w:rPr>
              <w:t>Изменение/дополнение методологической базы по разработке и утверждению бюджета (Приказ МФ №209/2015). В настоящее время изменение Методологических документов находится в процессе завершения</w:t>
            </w:r>
          </w:p>
          <w:p w:rsidR="006F53B7" w:rsidRPr="00A77060" w:rsidRDefault="006F53B7" w:rsidP="004D2946">
            <w:pPr>
              <w:spacing w:after="0"/>
              <w:rPr>
                <w:rFonts w:ascii="Calibri Light" w:hAnsi="Calibri Light" w:cstheme="majorHAnsi"/>
                <w:sz w:val="20"/>
                <w:szCs w:val="20"/>
                <w:lang w:val="ru-RU"/>
              </w:rPr>
            </w:pPr>
          </w:p>
        </w:tc>
        <w:tc>
          <w:tcPr>
            <w:tcW w:w="850"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r w:rsidRPr="00A77060">
              <w:rPr>
                <w:rFonts w:ascii="Calibri Light" w:hAnsi="Calibri Light" w:cstheme="majorHAnsi"/>
                <w:sz w:val="20"/>
                <w:szCs w:val="20"/>
                <w:lang w:val="ru-RU"/>
              </w:rPr>
              <w:t>v</w:t>
            </w: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rPr>
                <w:rFonts w:ascii="Calibri Light" w:hAnsi="Calibri Light" w:cstheme="majorHAnsi"/>
                <w:sz w:val="20"/>
                <w:szCs w:val="20"/>
                <w:lang w:val="ru-RU"/>
              </w:rPr>
            </w:pPr>
          </w:p>
        </w:tc>
      </w:tr>
      <w:tr w:rsidR="006F53B7" w:rsidRPr="00A77060" w:rsidTr="004D2946">
        <w:trPr>
          <w:gridAfter w:val="1"/>
          <w:wAfter w:w="9" w:type="dxa"/>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spacing w:after="0" w:line="240" w:lineRule="auto"/>
              <w:ind w:left="313" w:hanging="313"/>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5.</w:t>
            </w:r>
            <w:r w:rsidRPr="00A77060">
              <w:rPr>
                <w:rFonts w:ascii="Calibri Light" w:eastAsia="Times New Roman" w:hAnsi="Calibri Light" w:cstheme="majorHAnsi"/>
                <w:b/>
                <w:bCs/>
                <w:color w:val="000000"/>
                <w:sz w:val="20"/>
                <w:szCs w:val="20"/>
                <w:lang w:val="ru-RU"/>
              </w:rPr>
              <w:tab/>
            </w:r>
            <w:r w:rsidRPr="00A77060">
              <w:rPr>
                <w:rFonts w:ascii="Calibri Light" w:eastAsia="Times New Roman" w:hAnsi="Calibri Light" w:cstheme="majorHAnsi"/>
                <w:sz w:val="20"/>
                <w:szCs w:val="20"/>
                <w:lang w:val="ru-RU"/>
              </w:rPr>
              <w:t xml:space="preserve">Регламентировать совместно с другими органами, уполномоченными за </w:t>
            </w:r>
            <w:r w:rsidRPr="00A77060">
              <w:rPr>
                <w:rFonts w:ascii="Calibri Light" w:eastAsia="Times New Roman" w:hAnsi="Calibri Light" w:cstheme="majorHAnsi"/>
                <w:color w:val="000000" w:themeColor="text1"/>
                <w:sz w:val="20"/>
                <w:szCs w:val="20"/>
                <w:lang w:val="ru-RU"/>
              </w:rPr>
              <w:t xml:space="preserve">администрирование доходов </w:t>
            </w:r>
            <w:r w:rsidRPr="00A77060">
              <w:rPr>
                <w:rFonts w:ascii="Calibri Light" w:hAnsi="Calibri Light" w:cstheme="majorHAnsi"/>
                <w:bCs/>
                <w:iCs/>
                <w:sz w:val="20"/>
                <w:szCs w:val="20"/>
                <w:lang w:val="ru-RU"/>
              </w:rPr>
              <w:t>государственного бюджета, регулирующие нормы относительно обязательности, порядка и периодичности отражения в отчетности задолженностей Министерству финансов, для включения соответствующей информации в Отчет Правительства об исполнении государственного бюджета</w:t>
            </w:r>
          </w:p>
          <w:p w:rsidR="006F53B7" w:rsidRPr="00A77060" w:rsidRDefault="006F53B7" w:rsidP="004D2946">
            <w:pPr>
              <w:spacing w:after="0" w:line="240" w:lineRule="auto"/>
              <w:ind w:left="313" w:hanging="313"/>
              <w:rPr>
                <w:rFonts w:ascii="Calibri Light" w:eastAsia="Times New Roman" w:hAnsi="Calibri Light" w:cstheme="majorHAnsi"/>
                <w:b/>
                <w:bCs/>
                <w:color w:val="000000"/>
                <w:sz w:val="20"/>
                <w:szCs w:val="20"/>
                <w:lang w:val="ru-RU"/>
              </w:rPr>
            </w:pP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i/>
                <w:sz w:val="20"/>
                <w:szCs w:val="20"/>
                <w:lang w:val="ru-RU" w:bidi="ro-RO"/>
              </w:rPr>
            </w:pPr>
            <w:r w:rsidRPr="00A77060">
              <w:rPr>
                <w:rFonts w:ascii="Calibri Light" w:hAnsi="Calibri Light"/>
                <w:sz w:val="20"/>
                <w:szCs w:val="20"/>
                <w:lang w:val="ru-RU"/>
              </w:rPr>
              <w:t>Приказ министра финансов №</w:t>
            </w:r>
            <w:r w:rsidRPr="00A77060">
              <w:rPr>
                <w:rFonts w:ascii="Calibri Light" w:hAnsi="Calibri Light" w:cstheme="majorHAnsi"/>
                <w:sz w:val="20"/>
                <w:szCs w:val="20"/>
                <w:lang w:val="ru-RU" w:bidi="ro-RO"/>
              </w:rPr>
              <w:t>215/</w:t>
            </w:r>
            <w:r w:rsidRPr="00F05512">
              <w:rPr>
                <w:rFonts w:ascii="Calibri Light" w:hAnsi="Calibri Light" w:cstheme="majorHAnsi"/>
                <w:sz w:val="20"/>
                <w:szCs w:val="20"/>
                <w:lang w:val="ru-RU" w:bidi="ro-RO"/>
              </w:rPr>
              <w:t>2016</w:t>
            </w:r>
            <w:r w:rsidRPr="00A77060">
              <w:rPr>
                <w:rFonts w:ascii="Calibri Light" w:hAnsi="Calibri Light" w:cstheme="majorHAnsi"/>
                <w:sz w:val="20"/>
                <w:szCs w:val="20"/>
                <w:lang w:val="ru-RU" w:bidi="ro-RO"/>
              </w:rPr>
              <w:t xml:space="preserve"> „Об утверждении Методологических норм по кассовому исполнению бюджетов компонентов национального публичного бюджета и забалансовых средств </w:t>
            </w:r>
            <w:r w:rsidRPr="00A77060">
              <w:rPr>
                <w:rFonts w:ascii="Calibri Light" w:hAnsi="Calibri Light"/>
                <w:sz w:val="20"/>
                <w:szCs w:val="20"/>
                <w:lang w:val="ru-RU"/>
              </w:rPr>
              <w:t>посредством Единого казначейского счета Министерства финансов</w:t>
            </w:r>
            <w:r w:rsidRPr="00A77060">
              <w:rPr>
                <w:rFonts w:ascii="Calibri Light" w:hAnsi="Calibri Light" w:cstheme="majorHAnsi"/>
                <w:sz w:val="20"/>
                <w:szCs w:val="20"/>
                <w:lang w:val="ru-RU" w:bidi="ro-RO"/>
              </w:rPr>
              <w:t xml:space="preserve">” был дополнен </w:t>
            </w:r>
            <w:r w:rsidRPr="00A77060">
              <w:rPr>
                <w:rFonts w:ascii="Calibri Light" w:hAnsi="Calibri Light"/>
                <w:sz w:val="20"/>
                <w:szCs w:val="20"/>
                <w:lang w:val="ru-RU"/>
              </w:rPr>
              <w:t>Приказом министра финансов №</w:t>
            </w:r>
            <w:r w:rsidRPr="00A77060">
              <w:rPr>
                <w:rFonts w:ascii="Calibri Light" w:hAnsi="Calibri Light" w:cstheme="majorHAnsi"/>
                <w:sz w:val="20"/>
                <w:szCs w:val="20"/>
                <w:lang w:val="ru-RU" w:bidi="ro-RO"/>
              </w:rPr>
              <w:t>57/2021 ,,</w:t>
            </w:r>
            <w:r w:rsidRPr="00A77060">
              <w:rPr>
                <w:rFonts w:ascii="Calibri Light" w:hAnsi="Calibri Light" w:cstheme="majorHAnsi"/>
                <w:i/>
                <w:sz w:val="20"/>
                <w:szCs w:val="20"/>
                <w:lang w:val="ru-RU" w:bidi="ro-RO"/>
              </w:rPr>
              <w:t xml:space="preserve">О внесении изменений в Методологические нормы по кассовому исполнению бюджетов компонентов национального публичного бюджета и забалансовых средств </w:t>
            </w:r>
            <w:r w:rsidRPr="00A77060">
              <w:rPr>
                <w:rFonts w:ascii="Calibri Light" w:hAnsi="Calibri Light"/>
                <w:i/>
                <w:sz w:val="20"/>
                <w:szCs w:val="20"/>
                <w:lang w:val="ru-RU"/>
              </w:rPr>
              <w:t>посредством казначейской системы Министерства финансов №</w:t>
            </w:r>
            <w:r w:rsidRPr="00A77060">
              <w:rPr>
                <w:rFonts w:ascii="Calibri Light" w:hAnsi="Calibri Light" w:cstheme="majorHAnsi"/>
                <w:i/>
                <w:iCs/>
                <w:sz w:val="20"/>
                <w:szCs w:val="20"/>
                <w:lang w:val="ru-RU" w:bidi="ro-RO"/>
              </w:rPr>
              <w:t xml:space="preserve">215/2015” положениями об обязательности, порядке и периодичности отражения в отчетности обязательств </w:t>
            </w:r>
            <w:r w:rsidRPr="00A77060">
              <w:rPr>
                <w:rFonts w:ascii="Calibri Light" w:hAnsi="Calibri Light"/>
                <w:i/>
                <w:sz w:val="20"/>
                <w:szCs w:val="20"/>
                <w:lang w:val="ru-RU"/>
              </w:rPr>
              <w:t>Министерству финансов</w:t>
            </w:r>
          </w:p>
          <w:p w:rsidR="006F53B7" w:rsidRPr="00A77060" w:rsidRDefault="006F53B7" w:rsidP="004D2946">
            <w:pPr>
              <w:spacing w:after="0" w:line="240" w:lineRule="auto"/>
              <w:rPr>
                <w:rFonts w:ascii="Calibri Light" w:hAnsi="Calibri Light" w:cstheme="majorHAnsi"/>
                <w:i/>
                <w:iCs/>
                <w:sz w:val="20"/>
                <w:szCs w:val="20"/>
                <w:lang w:val="ru-RU" w:bidi="ro-RO"/>
              </w:rPr>
            </w:pPr>
            <w:r w:rsidRPr="00A77060">
              <w:rPr>
                <w:rFonts w:ascii="Calibri Light" w:hAnsi="Calibri Light"/>
                <w:sz w:val="20"/>
                <w:szCs w:val="20"/>
                <w:lang w:val="ru-RU"/>
              </w:rPr>
              <w:t xml:space="preserve"> </w:t>
            </w:r>
          </w:p>
        </w:tc>
        <w:tc>
          <w:tcPr>
            <w:tcW w:w="850"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r w:rsidRPr="00A77060">
              <w:rPr>
                <w:rFonts w:ascii="Calibri Light" w:hAnsi="Calibri Light" w:cstheme="majorHAnsi"/>
                <w:sz w:val="20"/>
                <w:szCs w:val="20"/>
                <w:lang w:val="ru-RU"/>
              </w:rPr>
              <w:t>v</w:t>
            </w: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rPr>
                <w:rFonts w:ascii="Calibri Light" w:hAnsi="Calibri Light" w:cstheme="majorHAnsi"/>
                <w:sz w:val="20"/>
                <w:szCs w:val="20"/>
                <w:lang w:val="ru-RU"/>
              </w:rPr>
            </w:pPr>
          </w:p>
        </w:tc>
      </w:tr>
      <w:tr w:rsidR="006F53B7" w:rsidRPr="00A77060" w:rsidTr="004D2946">
        <w:trPr>
          <w:gridAfter w:val="1"/>
          <w:wAfter w:w="9" w:type="dxa"/>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spacing w:after="0" w:line="240" w:lineRule="auto"/>
              <w:ind w:left="313" w:hanging="313"/>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6.</w:t>
            </w:r>
            <w:r w:rsidRPr="00A77060">
              <w:rPr>
                <w:rFonts w:ascii="Calibri Light" w:eastAsia="Times New Roman" w:hAnsi="Calibri Light" w:cstheme="majorHAnsi"/>
                <w:b/>
                <w:bCs/>
                <w:color w:val="000000"/>
                <w:sz w:val="20"/>
                <w:szCs w:val="20"/>
                <w:lang w:val="ru-RU"/>
              </w:rPr>
              <w:tab/>
            </w:r>
            <w:r w:rsidRPr="00A77060">
              <w:rPr>
                <w:rFonts w:ascii="Calibri Light" w:eastAsia="Times New Roman" w:hAnsi="Calibri Light" w:cstheme="majorHAnsi"/>
                <w:bCs/>
                <w:color w:val="000000"/>
                <w:sz w:val="20"/>
                <w:szCs w:val="20"/>
                <w:lang w:val="ru-RU"/>
              </w:rPr>
              <w:t>Регламентировать порядок ведения Регистра дебиторов и порядок учета исполнения санкций и штрафов</w:t>
            </w:r>
            <w:r w:rsidRPr="00A77060">
              <w:rPr>
                <w:rFonts w:ascii="Calibri Light" w:eastAsia="Times New Roman" w:hAnsi="Calibri Light" w:cstheme="majorHAnsi"/>
                <w:b/>
                <w:bCs/>
                <w:color w:val="000000"/>
                <w:sz w:val="20"/>
                <w:szCs w:val="20"/>
                <w:lang w:val="ru-RU"/>
              </w:rPr>
              <w:t xml:space="preserve"> </w:t>
            </w: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sz w:val="20"/>
                <w:szCs w:val="20"/>
                <w:lang w:val="ru-RU"/>
              </w:rPr>
            </w:pPr>
            <w:r w:rsidRPr="00A77060">
              <w:rPr>
                <w:rFonts w:ascii="Calibri Light" w:hAnsi="Calibri Light" w:cstheme="majorHAnsi"/>
                <w:sz w:val="20"/>
                <w:szCs w:val="20"/>
                <w:lang w:val="ru-RU"/>
              </w:rPr>
              <w:t xml:space="preserve">Постановление Правительства №746/2020 „О порядке предоставления информации о штрафах за правонарушения в Государственную налоговую службу” </w:t>
            </w:r>
            <w:r w:rsidRPr="00A77060">
              <w:rPr>
                <w:rFonts w:ascii="Calibri Light" w:hAnsi="Calibri Light" w:cstheme="majorHAnsi"/>
                <w:sz w:val="20"/>
                <w:szCs w:val="20"/>
                <w:u w:val="single"/>
                <w:lang w:val="ru-RU"/>
              </w:rPr>
              <w:t>(в действие с 1 января 2021 года),</w:t>
            </w:r>
            <w:r w:rsidRPr="00A77060">
              <w:rPr>
                <w:rFonts w:ascii="Calibri Light" w:hAnsi="Calibri Light" w:cstheme="majorHAnsi"/>
                <w:sz w:val="20"/>
                <w:szCs w:val="20"/>
                <w:lang w:val="ru-RU"/>
              </w:rPr>
              <w:t xml:space="preserve"> имеет цель регламентировать процедуру предоставления информации о наложенных штрафах за правонарушения и использование соответствующих данных Государственной налоговой службой с целью обеспечения надлежащего аналитического учета начисления и оплаты штрафов за правонарушения, отслеживания полноты поступления и их отражения в отчетности.</w:t>
            </w:r>
          </w:p>
          <w:p w:rsidR="006F53B7" w:rsidRPr="00A77060" w:rsidRDefault="006F53B7" w:rsidP="004D2946">
            <w:pPr>
              <w:spacing w:after="0" w:line="240" w:lineRule="auto"/>
              <w:rPr>
                <w:rFonts w:ascii="Calibri Light" w:hAnsi="Calibri Light" w:cstheme="majorHAnsi"/>
                <w:sz w:val="20"/>
                <w:szCs w:val="20"/>
                <w:lang w:val="ru-RU"/>
              </w:rPr>
            </w:pPr>
            <w:r w:rsidRPr="00A77060">
              <w:rPr>
                <w:rFonts w:ascii="Calibri Light" w:hAnsi="Calibri Light" w:cstheme="majorHAnsi"/>
                <w:sz w:val="20"/>
                <w:szCs w:val="20"/>
                <w:lang w:val="ru-RU"/>
              </w:rPr>
              <w:t>С целью внедрения вышеуказанного Постановления Правительства, был утвержден Приказ Государственной налоговой службы №544 от 23 октября 2020 года „Об утверждении Плана действий по внедрению Постановление Правительства №746/2020 „О порядке предоставления информации о штрафах за правонарушения в Государственную налоговую службу”</w:t>
            </w:r>
          </w:p>
          <w:p w:rsidR="006F53B7" w:rsidRPr="00A77060" w:rsidRDefault="006F53B7" w:rsidP="004D2946">
            <w:pPr>
              <w:spacing w:after="0" w:line="240" w:lineRule="auto"/>
              <w:rPr>
                <w:rFonts w:ascii="Calibri Light" w:hAnsi="Calibri Light" w:cstheme="majorHAnsi"/>
                <w:i/>
                <w:sz w:val="20"/>
                <w:szCs w:val="20"/>
                <w:lang w:val="ru-RU"/>
              </w:rPr>
            </w:pPr>
            <w:r w:rsidRPr="00A77060">
              <w:rPr>
                <w:rFonts w:ascii="Calibri Light" w:hAnsi="Calibri Light" w:cstheme="majorHAnsi"/>
                <w:i/>
                <w:sz w:val="20"/>
                <w:szCs w:val="20"/>
                <w:lang w:val="ru-RU"/>
              </w:rPr>
              <w:t>Вместе с тем, Государственная налоговая служба должна внедрить до 31 мая 2021 года web-услугу по получению данных посредством платформы интероперабильности MConnect</w:t>
            </w:r>
          </w:p>
          <w:p w:rsidR="006F53B7" w:rsidRPr="00A77060" w:rsidRDefault="006F53B7" w:rsidP="004D2946">
            <w:pPr>
              <w:spacing w:after="0" w:line="240" w:lineRule="auto"/>
              <w:rPr>
                <w:rFonts w:ascii="Calibri Light" w:hAnsi="Calibri Light" w:cstheme="majorHAnsi"/>
                <w:sz w:val="20"/>
                <w:szCs w:val="20"/>
                <w:lang w:val="ru-RU"/>
              </w:rPr>
            </w:pPr>
            <w:r w:rsidRPr="00A77060">
              <w:rPr>
                <w:rFonts w:ascii="Calibri Light" w:hAnsi="Calibri Light" w:cstheme="majorHAnsi"/>
                <w:i/>
                <w:sz w:val="20"/>
                <w:szCs w:val="20"/>
                <w:lang w:val="ru-RU"/>
              </w:rPr>
              <w:t xml:space="preserve"> </w:t>
            </w:r>
          </w:p>
        </w:tc>
        <w:tc>
          <w:tcPr>
            <w:tcW w:w="850"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r w:rsidRPr="00A77060">
              <w:rPr>
                <w:rFonts w:ascii="Calibri Light" w:hAnsi="Calibri Light" w:cstheme="majorHAnsi"/>
                <w:sz w:val="20"/>
                <w:szCs w:val="20"/>
                <w:lang w:val="ru-RU"/>
              </w:rPr>
              <w:t>v</w:t>
            </w:r>
          </w:p>
        </w:tc>
        <w:tc>
          <w:tcPr>
            <w:tcW w:w="992" w:type="dxa"/>
            <w:tcBorders>
              <w:top w:val="single" w:sz="4" w:space="0" w:color="auto"/>
              <w:left w:val="nil"/>
              <w:bottom w:val="single" w:sz="4" w:space="0" w:color="auto"/>
              <w:right w:val="single" w:sz="8" w:space="0" w:color="auto"/>
            </w:tcBorders>
          </w:tcPr>
          <w:p w:rsidR="006F53B7" w:rsidRPr="00A77060" w:rsidRDefault="006F53B7" w:rsidP="004D2946">
            <w:pPr>
              <w:spacing w:after="0" w:line="240" w:lineRule="auto"/>
              <w:rPr>
                <w:rFonts w:ascii="Calibri Light" w:hAnsi="Calibri Light" w:cstheme="majorHAnsi"/>
                <w:sz w:val="20"/>
                <w:szCs w:val="20"/>
                <w:lang w:val="ru-RU"/>
              </w:rPr>
            </w:pPr>
          </w:p>
        </w:tc>
      </w:tr>
    </w:tbl>
    <w:p w:rsidR="006F53B7" w:rsidRPr="00A77060" w:rsidRDefault="006F53B7" w:rsidP="006F53B7">
      <w:pPr>
        <w:jc w:val="left"/>
        <w:rPr>
          <w:rFonts w:ascii="Calibri Light" w:hAnsi="Calibri Light" w:cstheme="majorHAnsi"/>
          <w:b/>
          <w:i/>
          <w:sz w:val="20"/>
          <w:szCs w:val="20"/>
          <w:lang w:val="ru-RU"/>
        </w:rPr>
      </w:pPr>
    </w:p>
    <w:p w:rsidR="006F53B7" w:rsidRPr="00A77060" w:rsidRDefault="006F53B7" w:rsidP="006F53B7">
      <w:pPr>
        <w:tabs>
          <w:tab w:val="left" w:pos="993"/>
        </w:tabs>
        <w:spacing w:after="0" w:line="276" w:lineRule="auto"/>
        <w:outlineLvl w:val="2"/>
        <w:rPr>
          <w:rFonts w:ascii="Calibri Light" w:hAnsi="Calibri Light" w:cs="Calibri Light"/>
          <w:b/>
          <w:sz w:val="24"/>
          <w:szCs w:val="24"/>
          <w:lang w:val="ru-RU"/>
        </w:rPr>
      </w:pPr>
    </w:p>
    <w:p w:rsidR="006F53B7" w:rsidRPr="00A77060" w:rsidRDefault="006F53B7" w:rsidP="006F53B7">
      <w:pPr>
        <w:tabs>
          <w:tab w:val="left" w:pos="993"/>
        </w:tabs>
        <w:spacing w:after="0" w:line="276" w:lineRule="auto"/>
        <w:ind w:firstLine="540"/>
        <w:jc w:val="right"/>
        <w:outlineLvl w:val="2"/>
        <w:rPr>
          <w:rFonts w:ascii="Calibri Light" w:eastAsia="Times New Roman" w:hAnsi="Calibri Light" w:cstheme="majorHAnsi"/>
          <w:b/>
          <w:sz w:val="24"/>
          <w:szCs w:val="24"/>
          <w:lang w:val="ru-RU"/>
        </w:rPr>
      </w:pPr>
    </w:p>
    <w:p w:rsidR="006F53B7" w:rsidRPr="00A77060" w:rsidRDefault="006F53B7" w:rsidP="006F53B7">
      <w:pPr>
        <w:tabs>
          <w:tab w:val="left" w:pos="993"/>
        </w:tabs>
        <w:spacing w:after="0" w:line="276" w:lineRule="auto"/>
        <w:ind w:firstLine="540"/>
        <w:jc w:val="right"/>
        <w:outlineLvl w:val="2"/>
        <w:rPr>
          <w:rFonts w:ascii="Calibri Light" w:eastAsia="Times New Roman" w:hAnsi="Calibri Light" w:cstheme="majorHAnsi"/>
          <w:b/>
          <w:sz w:val="24"/>
          <w:szCs w:val="24"/>
          <w:lang w:val="ru-RU"/>
        </w:rPr>
      </w:pPr>
    </w:p>
    <w:p w:rsidR="006F53B7" w:rsidRPr="00A77060" w:rsidRDefault="006F53B7" w:rsidP="006F53B7">
      <w:pPr>
        <w:tabs>
          <w:tab w:val="left" w:pos="993"/>
        </w:tabs>
        <w:spacing w:after="0" w:line="276" w:lineRule="auto"/>
        <w:ind w:firstLine="540"/>
        <w:jc w:val="right"/>
        <w:outlineLvl w:val="2"/>
        <w:rPr>
          <w:rFonts w:ascii="Calibri Light" w:hAnsi="Calibri Light" w:cs="Calibri Light"/>
          <w:b/>
          <w:sz w:val="24"/>
          <w:szCs w:val="24"/>
          <w:lang w:val="ru-RU"/>
        </w:rPr>
      </w:pPr>
      <w:r w:rsidRPr="00A77060">
        <w:rPr>
          <w:rFonts w:ascii="Calibri Light" w:eastAsia="Times New Roman" w:hAnsi="Calibri Light" w:cstheme="majorHAnsi"/>
          <w:b/>
          <w:sz w:val="24"/>
          <w:szCs w:val="24"/>
          <w:lang w:val="ru-RU"/>
        </w:rPr>
        <w:t>Приложение №</w:t>
      </w:r>
      <w:r w:rsidRPr="00A77060">
        <w:rPr>
          <w:rFonts w:ascii="Calibri Light" w:hAnsi="Calibri Light" w:cs="Calibri Light"/>
          <w:b/>
          <w:sz w:val="24"/>
          <w:szCs w:val="24"/>
          <w:lang w:val="ru-RU"/>
        </w:rPr>
        <w:t>4</w:t>
      </w:r>
    </w:p>
    <w:p w:rsidR="006F53B7" w:rsidRPr="00A77060" w:rsidRDefault="006F53B7" w:rsidP="006F53B7">
      <w:pPr>
        <w:spacing w:after="0" w:line="276" w:lineRule="auto"/>
        <w:jc w:val="center"/>
        <w:rPr>
          <w:rFonts w:ascii="Calibri Light" w:eastAsia="Times New Roman" w:hAnsi="Calibri Light" w:cs="Times New Roman"/>
          <w:b/>
          <w:bCs/>
          <w:sz w:val="24"/>
          <w:szCs w:val="24"/>
          <w:lang w:val="ru-RU" w:eastAsia="ru-RU"/>
        </w:rPr>
      </w:pPr>
      <w:r w:rsidRPr="00A77060">
        <w:rPr>
          <w:rFonts w:ascii="Calibri Light" w:eastAsia="Times New Roman" w:hAnsi="Calibri Light" w:cstheme="majorHAnsi"/>
          <w:b/>
          <w:bCs/>
          <w:iCs/>
          <w:sz w:val="24"/>
          <w:szCs w:val="24"/>
          <w:lang w:val="ru-RU" w:eastAsia="ru-RU"/>
        </w:rPr>
        <w:t xml:space="preserve">Внедрение требований и рекомендаций, изложенных в ПСП №24 от </w:t>
      </w:r>
      <w:r w:rsidRPr="00A77060">
        <w:rPr>
          <w:rFonts w:ascii="Calibri Light" w:eastAsia="Times New Roman" w:hAnsi="Calibri Light" w:cstheme="majorHAnsi"/>
          <w:b/>
          <w:bCs/>
          <w:iCs/>
          <w:sz w:val="22"/>
          <w:lang w:val="ru-RU" w:eastAsia="ru-RU"/>
        </w:rPr>
        <w:t>28.05.2018 „</w:t>
      </w:r>
      <w:r w:rsidRPr="00A77060">
        <w:rPr>
          <w:rFonts w:ascii="Calibri Light" w:eastAsia="Times New Roman" w:hAnsi="Calibri Light" w:cs="Times New Roman"/>
          <w:b/>
          <w:bCs/>
          <w:sz w:val="24"/>
          <w:szCs w:val="24"/>
          <w:lang w:val="ru-RU" w:eastAsia="ru-RU"/>
        </w:rPr>
        <w:t xml:space="preserve">По </w:t>
      </w:r>
      <w:r w:rsidRPr="00A77060">
        <w:rPr>
          <w:rFonts w:ascii="Calibri Light" w:eastAsia="Times New Roman" w:hAnsi="Calibri Light" w:cstheme="majorHAnsi"/>
          <w:b/>
          <w:bCs/>
          <w:sz w:val="24"/>
          <w:szCs w:val="24"/>
          <w:lang w:val="ru-RU" w:eastAsia="ru-RU"/>
        </w:rPr>
        <w:t xml:space="preserve">Отчету финансового аудита по Отчету Правительства об исполнении государственного бюджета за </w:t>
      </w:r>
      <w:r w:rsidRPr="00A77060">
        <w:rPr>
          <w:rFonts w:ascii="Calibri Light" w:eastAsia="Times New Roman" w:hAnsi="Calibri Light" w:cs="Times New Roman"/>
          <w:b/>
          <w:bCs/>
          <w:sz w:val="24"/>
          <w:szCs w:val="24"/>
          <w:lang w:val="ru-RU" w:eastAsia="ru-RU"/>
        </w:rPr>
        <w:t>2017 год</w:t>
      </w:r>
      <w:r w:rsidRPr="00A77060">
        <w:rPr>
          <w:rFonts w:ascii="Calibri Light" w:eastAsia="Times New Roman" w:hAnsi="Calibri Light" w:cstheme="majorHAnsi"/>
          <w:b/>
          <w:bCs/>
          <w:iCs/>
          <w:sz w:val="22"/>
          <w:lang w:val="ru-RU" w:eastAsia="ru-RU"/>
        </w:rPr>
        <w:t>”)</w:t>
      </w:r>
    </w:p>
    <w:p w:rsidR="006F53B7" w:rsidRPr="00A77060" w:rsidRDefault="006F53B7" w:rsidP="006F53B7">
      <w:pPr>
        <w:rPr>
          <w:rFonts w:ascii="Calibri Light" w:eastAsia="Times New Roman" w:hAnsi="Calibri Light" w:cstheme="majorHAnsi"/>
          <w:b/>
          <w:bCs/>
          <w:iCs/>
          <w:sz w:val="22"/>
          <w:lang w:val="ru-RU" w:eastAsia="ru-RU"/>
        </w:rPr>
      </w:pPr>
    </w:p>
    <w:tbl>
      <w:tblPr>
        <w:tblW w:w="15026" w:type="dxa"/>
        <w:tblInd w:w="-294" w:type="dxa"/>
        <w:tblLayout w:type="fixed"/>
        <w:tblLook w:val="04A0" w:firstRow="1" w:lastRow="0" w:firstColumn="1" w:lastColumn="0" w:noHBand="0" w:noVBand="1"/>
      </w:tblPr>
      <w:tblGrid>
        <w:gridCol w:w="5671"/>
        <w:gridCol w:w="6378"/>
        <w:gridCol w:w="993"/>
        <w:gridCol w:w="992"/>
        <w:gridCol w:w="992"/>
      </w:tblGrid>
      <w:tr w:rsidR="006F53B7" w:rsidRPr="00A77060" w:rsidTr="004D2946">
        <w:trPr>
          <w:trHeight w:val="269"/>
        </w:trPr>
        <w:tc>
          <w:tcPr>
            <w:tcW w:w="5671" w:type="dxa"/>
            <w:vMerge w:val="restart"/>
            <w:tcBorders>
              <w:top w:val="single" w:sz="8" w:space="0" w:color="auto"/>
              <w:left w:val="single" w:sz="8" w:space="0" w:color="auto"/>
              <w:right w:val="single" w:sz="8"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xml:space="preserve">Рекомендация </w:t>
            </w:r>
          </w:p>
        </w:tc>
        <w:tc>
          <w:tcPr>
            <w:tcW w:w="6378" w:type="dxa"/>
            <w:vMerge w:val="restart"/>
            <w:tcBorders>
              <w:top w:val="single" w:sz="8" w:space="0" w:color="auto"/>
              <w:left w:val="nil"/>
              <w:right w:val="single" w:sz="8"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xml:space="preserve">Принятые меры </w:t>
            </w:r>
          </w:p>
        </w:tc>
        <w:tc>
          <w:tcPr>
            <w:tcW w:w="2977" w:type="dxa"/>
            <w:gridSpan w:val="3"/>
            <w:tcBorders>
              <w:top w:val="single" w:sz="8" w:space="0" w:color="auto"/>
              <w:left w:val="nil"/>
              <w:bottom w:val="single" w:sz="4" w:space="0" w:color="auto"/>
              <w:right w:val="single" w:sz="8" w:space="0" w:color="auto"/>
            </w:tcBorders>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hAnsi="Calibri Light" w:cstheme="majorHAnsi"/>
                <w:b/>
                <w:sz w:val="20"/>
                <w:szCs w:val="20"/>
                <w:lang w:val="ru-RU"/>
              </w:rPr>
              <w:t xml:space="preserve">Статус внедрения рекомендации </w:t>
            </w:r>
          </w:p>
        </w:tc>
      </w:tr>
      <w:tr w:rsidR="006F53B7" w:rsidRPr="00A77060" w:rsidTr="004D2946">
        <w:trPr>
          <w:trHeight w:val="57"/>
        </w:trPr>
        <w:tc>
          <w:tcPr>
            <w:tcW w:w="5671" w:type="dxa"/>
            <w:vMerge/>
            <w:tcBorders>
              <w:left w:val="single" w:sz="8" w:space="0" w:color="auto"/>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sz w:val="20"/>
                <w:szCs w:val="20"/>
                <w:lang w:val="ru-RU"/>
              </w:rPr>
            </w:pPr>
          </w:p>
        </w:tc>
        <w:tc>
          <w:tcPr>
            <w:tcW w:w="6378" w:type="dxa"/>
            <w:vMerge/>
            <w:tcBorders>
              <w:left w:val="nil"/>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sz w:val="20"/>
                <w:szCs w:val="20"/>
                <w:lang w:val="ru-RU"/>
              </w:rPr>
            </w:pPr>
          </w:p>
        </w:tc>
        <w:tc>
          <w:tcPr>
            <w:tcW w:w="993" w:type="dxa"/>
            <w:tcBorders>
              <w:top w:val="single" w:sz="4" w:space="0" w:color="auto"/>
              <w:left w:val="single" w:sz="8" w:space="0" w:color="auto"/>
              <w:bottom w:val="single" w:sz="4" w:space="0" w:color="auto"/>
              <w:right w:val="single" w:sz="4" w:space="0" w:color="auto"/>
            </w:tcBorders>
            <w:shd w:val="clear" w:color="auto" w:fill="auto"/>
            <w:vAlign w:val="center"/>
          </w:tcPr>
          <w:p w:rsidR="006F53B7" w:rsidRPr="00A77060" w:rsidRDefault="006F53B7" w:rsidP="004D2946">
            <w:pPr>
              <w:tabs>
                <w:tab w:val="left" w:pos="720"/>
              </w:tabs>
              <w:spacing w:after="0" w:line="240" w:lineRule="auto"/>
              <w:jc w:val="center"/>
              <w:rPr>
                <w:rFonts w:ascii="Calibri Light" w:hAnsi="Calibri Light" w:cstheme="majorHAnsi"/>
                <w:b/>
                <w:sz w:val="20"/>
                <w:szCs w:val="20"/>
                <w:lang w:val="ru-RU"/>
              </w:rPr>
            </w:pPr>
            <w:r w:rsidRPr="00A77060">
              <w:rPr>
                <w:rFonts w:ascii="Calibri Light" w:hAnsi="Calibri Light" w:cstheme="majorHAnsi"/>
                <w:b/>
                <w:sz w:val="20"/>
                <w:szCs w:val="20"/>
                <w:lang w:val="ru-RU"/>
              </w:rPr>
              <w:t>выпол-нена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3B7" w:rsidRPr="00A77060" w:rsidRDefault="006F53B7" w:rsidP="004D2946">
            <w:pPr>
              <w:tabs>
                <w:tab w:val="left" w:pos="862"/>
              </w:tabs>
              <w:spacing w:after="0" w:line="240" w:lineRule="auto"/>
              <w:ind w:left="-131"/>
              <w:jc w:val="center"/>
              <w:rPr>
                <w:rFonts w:ascii="Calibri Light" w:hAnsi="Calibri Light" w:cstheme="majorHAnsi"/>
                <w:b/>
                <w:sz w:val="20"/>
                <w:szCs w:val="20"/>
                <w:lang w:val="ru-RU"/>
              </w:rPr>
            </w:pPr>
            <w:r w:rsidRPr="00A77060">
              <w:rPr>
                <w:rFonts w:ascii="Calibri Light" w:hAnsi="Calibri Light" w:cstheme="majorHAnsi"/>
                <w:b/>
                <w:sz w:val="20"/>
                <w:szCs w:val="20"/>
                <w:lang w:val="ru-RU"/>
              </w:rPr>
              <w:t xml:space="preserve">частично выполне-на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53B7" w:rsidRPr="00A77060" w:rsidRDefault="006F53B7" w:rsidP="004D2946">
            <w:pPr>
              <w:tabs>
                <w:tab w:val="left" w:pos="720"/>
              </w:tabs>
              <w:spacing w:after="0" w:line="240" w:lineRule="auto"/>
              <w:ind w:left="-145" w:right="-105" w:firstLine="39"/>
              <w:jc w:val="center"/>
              <w:rPr>
                <w:rFonts w:ascii="Calibri Light" w:hAnsi="Calibri Light" w:cstheme="majorHAnsi"/>
                <w:b/>
                <w:sz w:val="20"/>
                <w:szCs w:val="20"/>
                <w:lang w:val="ru-RU"/>
              </w:rPr>
            </w:pPr>
            <w:r w:rsidRPr="00A77060">
              <w:rPr>
                <w:rFonts w:ascii="Calibri Light" w:hAnsi="Calibri Light" w:cstheme="majorHAnsi"/>
                <w:b/>
                <w:sz w:val="20"/>
                <w:szCs w:val="20"/>
                <w:lang w:val="ru-RU"/>
              </w:rPr>
              <w:t xml:space="preserve">не выполнена </w:t>
            </w:r>
          </w:p>
        </w:tc>
      </w:tr>
      <w:tr w:rsidR="006F53B7" w:rsidRPr="00A77060" w:rsidTr="004D2946">
        <w:trPr>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b/>
                <w:i/>
                <w:sz w:val="20"/>
                <w:szCs w:val="20"/>
                <w:lang w:val="ru-RU"/>
              </w:rPr>
            </w:pPr>
            <w:r w:rsidRPr="00A77060">
              <w:rPr>
                <w:rFonts w:ascii="Calibri Light" w:hAnsi="Calibri Light" w:cstheme="majorHAnsi"/>
                <w:b/>
                <w:i/>
                <w:sz w:val="20"/>
                <w:szCs w:val="20"/>
                <w:lang w:val="ru-RU"/>
              </w:rPr>
              <w:t xml:space="preserve">Требование №2.1.1. </w:t>
            </w:r>
            <w:r w:rsidRPr="00A77060">
              <w:rPr>
                <w:rFonts w:ascii="Calibri Light" w:hAnsi="Calibri Light"/>
                <w:sz w:val="20"/>
                <w:szCs w:val="20"/>
                <w:lang w:val="ru-RU"/>
              </w:rPr>
              <w:t>Рассмотреть</w:t>
            </w:r>
            <w:r w:rsidRPr="00A77060">
              <w:rPr>
                <w:lang w:val="ru-RU"/>
              </w:rPr>
              <w:t xml:space="preserve"> </w:t>
            </w:r>
            <w:r w:rsidRPr="00A77060">
              <w:rPr>
                <w:rFonts w:ascii="Calibri Light" w:hAnsi="Calibri Light" w:cstheme="majorHAnsi"/>
                <w:sz w:val="20"/>
                <w:szCs w:val="20"/>
                <w:lang w:val="ru-RU"/>
              </w:rPr>
              <w:t>результаты финансового аудита по Отчету Правительства об исполнении государственного бюджета за 2017 год на Коллегии министерства, с утверждением плана мероприятий по устранению установленных ситуаций и внедрению рекомендаций, содержащихся в Отчете аудита</w:t>
            </w: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spacing w:after="0"/>
              <w:rPr>
                <w:rFonts w:ascii="Calibri Light" w:hAnsi="Calibri Light" w:cstheme="majorHAnsi"/>
                <w:sz w:val="20"/>
                <w:szCs w:val="20"/>
                <w:lang w:val="ru-RU"/>
              </w:rPr>
            </w:pPr>
            <w:r w:rsidRPr="00A77060">
              <w:rPr>
                <w:rFonts w:ascii="Calibri Light" w:hAnsi="Calibri Light" w:cstheme="majorHAnsi"/>
                <w:sz w:val="20"/>
                <w:szCs w:val="20"/>
                <w:lang w:val="ru-RU"/>
              </w:rPr>
              <w:t>Разработка и утверждение Плана мероприятий по внедрению рекомендаций Счетной палаты из Постановления №24 от 28 мая 2018 года „По Отчету финансового аудита по Отчету Правительства об исполнении государственного бюджета за 2017 год” были утверждены Приказом министра финансов №188 от 8 ноября 2018 года</w:t>
            </w:r>
          </w:p>
          <w:p w:rsidR="006F53B7" w:rsidRPr="00A77060" w:rsidRDefault="006F53B7" w:rsidP="004D2946">
            <w:pPr>
              <w:spacing w:after="0"/>
              <w:rPr>
                <w:rFonts w:ascii="Calibri Light" w:hAnsi="Calibri Light" w:cs="Times New Roman"/>
                <w:sz w:val="20"/>
                <w:szCs w:val="24"/>
                <w:lang w:val="ru-RU"/>
              </w:rPr>
            </w:pPr>
          </w:p>
        </w:tc>
        <w:tc>
          <w:tcPr>
            <w:tcW w:w="993" w:type="dxa"/>
            <w:tcBorders>
              <w:top w:val="single" w:sz="4" w:space="0" w:color="auto"/>
              <w:left w:val="nil"/>
              <w:bottom w:val="single" w:sz="8"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r w:rsidRPr="00A77060">
              <w:rPr>
                <w:rFonts w:ascii="Calibri Light" w:hAnsi="Calibri Light" w:cstheme="majorHAnsi"/>
                <w:sz w:val="20"/>
                <w:szCs w:val="20"/>
                <w:lang w:val="ru-RU"/>
              </w:rPr>
              <w:t>v</w:t>
            </w:r>
          </w:p>
        </w:tc>
        <w:tc>
          <w:tcPr>
            <w:tcW w:w="992" w:type="dxa"/>
            <w:tcBorders>
              <w:top w:val="single" w:sz="4" w:space="0" w:color="auto"/>
              <w:left w:val="nil"/>
              <w:bottom w:val="single" w:sz="8" w:space="0" w:color="auto"/>
              <w:right w:val="single" w:sz="8" w:space="0" w:color="auto"/>
            </w:tcBorders>
          </w:tcPr>
          <w:p w:rsidR="006F53B7" w:rsidRPr="00A77060" w:rsidRDefault="006F53B7" w:rsidP="004D2946">
            <w:pPr>
              <w:spacing w:after="0" w:line="240" w:lineRule="auto"/>
              <w:rPr>
                <w:rFonts w:ascii="Calibri Light" w:hAnsi="Calibri Light" w:cstheme="majorHAnsi"/>
                <w:sz w:val="20"/>
                <w:szCs w:val="20"/>
                <w:lang w:val="ru-RU"/>
              </w:rPr>
            </w:pPr>
          </w:p>
        </w:tc>
        <w:tc>
          <w:tcPr>
            <w:tcW w:w="992" w:type="dxa"/>
            <w:tcBorders>
              <w:top w:val="single" w:sz="4" w:space="0" w:color="auto"/>
              <w:left w:val="nil"/>
              <w:bottom w:val="single" w:sz="8" w:space="0" w:color="auto"/>
              <w:right w:val="single" w:sz="8" w:space="0" w:color="auto"/>
            </w:tcBorders>
          </w:tcPr>
          <w:p w:rsidR="006F53B7" w:rsidRPr="00A77060" w:rsidRDefault="006F53B7" w:rsidP="004D2946">
            <w:pPr>
              <w:spacing w:after="0" w:line="240" w:lineRule="auto"/>
              <w:rPr>
                <w:rFonts w:ascii="Calibri Light" w:hAnsi="Calibri Light" w:cstheme="majorHAnsi"/>
                <w:sz w:val="20"/>
                <w:szCs w:val="20"/>
                <w:lang w:val="ru-RU"/>
              </w:rPr>
            </w:pPr>
          </w:p>
        </w:tc>
      </w:tr>
      <w:tr w:rsidR="006F53B7" w:rsidRPr="00A77060" w:rsidTr="004D2946">
        <w:trPr>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sz w:val="20"/>
                <w:szCs w:val="20"/>
                <w:lang w:val="ru-RU"/>
              </w:rPr>
            </w:pPr>
            <w:r w:rsidRPr="00A77060">
              <w:rPr>
                <w:rFonts w:ascii="Calibri Light" w:hAnsi="Calibri Light" w:cstheme="majorHAnsi"/>
                <w:b/>
                <w:i/>
                <w:sz w:val="20"/>
                <w:szCs w:val="20"/>
                <w:lang w:val="ru-RU"/>
              </w:rPr>
              <w:t xml:space="preserve">Требование №2.1.2. </w:t>
            </w:r>
            <w:r w:rsidRPr="00A77060">
              <w:rPr>
                <w:rFonts w:ascii="Calibri Light" w:hAnsi="Calibri Light" w:cstheme="majorHAnsi"/>
                <w:sz w:val="20"/>
                <w:szCs w:val="20"/>
                <w:lang w:val="ru-RU"/>
              </w:rPr>
              <w:t xml:space="preserve">Обеспечить функциональность рабочей группы по капитальным инвестициям с целью соблюдения процесса включения и осуществления мониторинга объектов капитальных инвестиций </w:t>
            </w:r>
          </w:p>
          <w:p w:rsidR="006F53B7" w:rsidRPr="00A77060" w:rsidRDefault="006F53B7" w:rsidP="004D2946">
            <w:pPr>
              <w:spacing w:after="0" w:line="240" w:lineRule="auto"/>
              <w:rPr>
                <w:rFonts w:ascii="Calibri Light" w:hAnsi="Calibri Light" w:cstheme="majorHAnsi"/>
                <w:b/>
                <w:i/>
                <w:sz w:val="20"/>
                <w:szCs w:val="20"/>
                <w:lang w:val="ru-RU"/>
              </w:rPr>
            </w:pP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eastAsia="Calibri" w:hAnsi="Calibri Light" w:cs="Times New Roman"/>
                <w:i/>
                <w:sz w:val="20"/>
                <w:szCs w:val="24"/>
                <w:lang w:val="ru-RU" w:eastAsia="ru-RU"/>
              </w:rPr>
            </w:pPr>
            <w:r w:rsidRPr="00A77060">
              <w:rPr>
                <w:rFonts w:ascii="Calibri Light" w:eastAsia="Calibri" w:hAnsi="Calibri Light" w:cs="Times New Roman"/>
                <w:sz w:val="20"/>
                <w:szCs w:val="24"/>
                <w:lang w:val="ru-RU" w:eastAsia="ru-RU"/>
              </w:rPr>
              <w:t xml:space="preserve">В настоящее время в организационных структурах центральных публичных органов отсутствуют подразделения, которые управляют проектами </w:t>
            </w:r>
            <w:r w:rsidRPr="00A77060">
              <w:rPr>
                <w:rFonts w:ascii="Calibri Light" w:hAnsi="Calibri Light" w:cstheme="majorHAnsi"/>
                <w:sz w:val="20"/>
                <w:szCs w:val="20"/>
                <w:lang w:val="ru-RU"/>
              </w:rPr>
              <w:t xml:space="preserve">капитальных инвестиций и, соответственно, отсутствует возможность по внедрению положений Постановления Правительства №1029/2013 </w:t>
            </w:r>
            <w:r w:rsidRPr="00A77060">
              <w:rPr>
                <w:rFonts w:ascii="Calibri Light" w:eastAsia="Calibri" w:hAnsi="Calibri Light" w:cs="Times New Roman"/>
                <w:sz w:val="20"/>
                <w:szCs w:val="24"/>
                <w:lang w:val="ru-RU" w:eastAsia="ru-RU"/>
              </w:rPr>
              <w:t>„О</w:t>
            </w:r>
            <w:r w:rsidRPr="00A77060">
              <w:rPr>
                <w:rFonts w:ascii="Calibri Light" w:hAnsi="Calibri Light" w:cstheme="majorHAnsi"/>
                <w:sz w:val="20"/>
                <w:szCs w:val="20"/>
                <w:lang w:val="ru-RU"/>
              </w:rPr>
              <w:t xml:space="preserve"> государственных </w:t>
            </w:r>
            <w:r w:rsidRPr="00A77060">
              <w:rPr>
                <w:rFonts w:ascii="Calibri Light" w:eastAsia="Times New Roman" w:hAnsi="Calibri Light" w:cstheme="majorHAnsi"/>
                <w:bCs/>
                <w:color w:val="000000"/>
                <w:sz w:val="20"/>
                <w:szCs w:val="20"/>
                <w:lang w:val="ru-RU"/>
              </w:rPr>
              <w:t>капитальных вложениях</w:t>
            </w:r>
            <w:r w:rsidRPr="00A77060">
              <w:rPr>
                <w:rFonts w:ascii="Calibri Light" w:eastAsia="Calibri" w:hAnsi="Calibri Light" w:cs="Times New Roman"/>
                <w:sz w:val="20"/>
                <w:szCs w:val="24"/>
                <w:lang w:val="ru-RU" w:eastAsia="ru-RU"/>
              </w:rPr>
              <w:t xml:space="preserve">”. Одновременно, </w:t>
            </w:r>
            <w:r w:rsidRPr="00A77060">
              <w:rPr>
                <w:rFonts w:ascii="Calibri Light" w:hAnsi="Calibri Light" w:cstheme="majorHAnsi"/>
                <w:sz w:val="20"/>
                <w:szCs w:val="20"/>
                <w:lang w:val="ru-RU"/>
              </w:rPr>
              <w:t>положения Постановления Правительства №</w:t>
            </w:r>
            <w:r w:rsidRPr="00A77060">
              <w:rPr>
                <w:rFonts w:ascii="Calibri Light" w:eastAsia="Calibri" w:hAnsi="Calibri Light" w:cs="Times New Roman"/>
                <w:sz w:val="20"/>
                <w:szCs w:val="24"/>
                <w:lang w:val="ru-RU" w:eastAsia="ru-RU"/>
              </w:rPr>
              <w:t xml:space="preserve">1029/2013 не применяются ко всем источникам финансирования расходов по </w:t>
            </w:r>
            <w:r w:rsidRPr="00A77060">
              <w:rPr>
                <w:rFonts w:ascii="Calibri Light" w:hAnsi="Calibri Light" w:cstheme="majorHAnsi"/>
                <w:sz w:val="20"/>
                <w:szCs w:val="20"/>
                <w:lang w:val="ru-RU"/>
              </w:rPr>
              <w:t xml:space="preserve">государственным </w:t>
            </w:r>
            <w:r w:rsidRPr="00A77060">
              <w:rPr>
                <w:rFonts w:ascii="Calibri Light" w:eastAsia="Times New Roman" w:hAnsi="Calibri Light" w:cstheme="majorHAnsi"/>
                <w:bCs/>
                <w:color w:val="000000"/>
                <w:sz w:val="20"/>
                <w:szCs w:val="20"/>
                <w:lang w:val="ru-RU"/>
              </w:rPr>
              <w:t xml:space="preserve">капитальным вложениям и, в частности, исполненных посредством фондов развития и субсидий. Таким образом, </w:t>
            </w:r>
            <w:r w:rsidRPr="00A77060">
              <w:rPr>
                <w:rFonts w:ascii="Calibri Light" w:eastAsia="Times New Roman" w:hAnsi="Calibri Light" w:cstheme="majorHAnsi"/>
                <w:bCs/>
                <w:i/>
                <w:color w:val="000000"/>
                <w:sz w:val="20"/>
                <w:szCs w:val="20"/>
                <w:lang w:val="ru-RU"/>
              </w:rPr>
              <w:t>рабочая группа по капитальным вложениям не является функциональной.</w:t>
            </w:r>
          </w:p>
          <w:p w:rsidR="006F53B7" w:rsidRPr="00A77060" w:rsidRDefault="006F53B7" w:rsidP="004D2946">
            <w:pPr>
              <w:spacing w:after="0" w:line="240" w:lineRule="auto"/>
              <w:rPr>
                <w:rFonts w:ascii="Calibri Light" w:eastAsia="Calibri" w:hAnsi="Calibri Light" w:cs="Times New Roman"/>
                <w:sz w:val="20"/>
                <w:szCs w:val="24"/>
                <w:lang w:val="ru-RU" w:eastAsia="ru-RU"/>
              </w:rPr>
            </w:pPr>
          </w:p>
        </w:tc>
        <w:tc>
          <w:tcPr>
            <w:tcW w:w="993"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jc w:val="center"/>
              <w:rPr>
                <w:rFonts w:ascii="Calibri Light" w:eastAsia="Times New Roman" w:hAnsi="Calibri Light" w:cstheme="majorHAnsi"/>
                <w:bCs/>
                <w:color w:val="000000"/>
                <w:sz w:val="20"/>
                <w:szCs w:val="20"/>
                <w:lang w:val="ru-RU"/>
              </w:rPr>
            </w:pPr>
          </w:p>
        </w:tc>
        <w:tc>
          <w:tcPr>
            <w:tcW w:w="992"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jc w:val="center"/>
              <w:rPr>
                <w:rFonts w:ascii="Calibri Light" w:eastAsia="Times New Roman" w:hAnsi="Calibri Light" w:cstheme="majorHAnsi"/>
                <w:bCs/>
                <w:color w:val="000000"/>
                <w:sz w:val="20"/>
                <w:szCs w:val="20"/>
                <w:lang w:val="ru-RU"/>
              </w:rPr>
            </w:pPr>
          </w:p>
        </w:tc>
        <w:tc>
          <w:tcPr>
            <w:tcW w:w="992"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jc w:val="center"/>
              <w:rPr>
                <w:rFonts w:ascii="Calibri Light" w:eastAsia="Times New Roman" w:hAnsi="Calibri Light" w:cstheme="majorHAnsi"/>
                <w:bCs/>
                <w:color w:val="000000"/>
                <w:sz w:val="20"/>
                <w:szCs w:val="20"/>
                <w:lang w:val="ru-RU"/>
              </w:rPr>
            </w:pPr>
            <w:r w:rsidRPr="00A77060">
              <w:rPr>
                <w:rFonts w:ascii="Calibri Light" w:eastAsia="Times New Roman" w:hAnsi="Calibri Light" w:cstheme="majorHAnsi"/>
                <w:bCs/>
                <w:color w:val="000000"/>
                <w:sz w:val="20"/>
                <w:szCs w:val="20"/>
                <w:lang w:val="ru-RU"/>
              </w:rPr>
              <w:t>v</w:t>
            </w:r>
          </w:p>
        </w:tc>
      </w:tr>
      <w:tr w:rsidR="006F53B7" w:rsidRPr="00A77060" w:rsidTr="004D2946">
        <w:trPr>
          <w:trHeight w:val="57"/>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eastAsia="Times New Roman" w:hAnsi="Calibri Light" w:cstheme="majorHAnsi"/>
                <w:b/>
                <w:bCs/>
                <w:color w:val="000000"/>
                <w:sz w:val="20"/>
                <w:szCs w:val="20"/>
                <w:lang w:val="ru-RU"/>
              </w:rPr>
            </w:pPr>
            <w:r w:rsidRPr="00A77060">
              <w:rPr>
                <w:rFonts w:ascii="Calibri Light" w:hAnsi="Calibri Light" w:cstheme="majorHAnsi"/>
                <w:b/>
                <w:i/>
                <w:sz w:val="20"/>
                <w:szCs w:val="20"/>
                <w:lang w:val="ru-RU"/>
              </w:rPr>
              <w:t xml:space="preserve">Требование №2.1.3. </w:t>
            </w:r>
            <w:r w:rsidRPr="00A77060">
              <w:rPr>
                <w:rFonts w:ascii="Calibri Light" w:hAnsi="Calibri Light" w:cstheme="majorHAnsi"/>
                <w:sz w:val="20"/>
                <w:szCs w:val="20"/>
                <w:lang w:val="ru-RU"/>
              </w:rPr>
              <w:t xml:space="preserve">Принять меры к бюджетным органам/ учреждениям, которые не соблюдают бюджетный календарь путем представления финансовых отчетов в установленном порядке и сроки </w:t>
            </w: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spacing w:after="0"/>
              <w:rPr>
                <w:rFonts w:ascii="Calibri Light" w:hAnsi="Calibri Light" w:cs="Times New Roman"/>
                <w:sz w:val="20"/>
                <w:szCs w:val="24"/>
                <w:lang w:val="ru-RU"/>
              </w:rPr>
            </w:pPr>
            <w:r w:rsidRPr="00A77060">
              <w:rPr>
                <w:rFonts w:ascii="Calibri Light" w:hAnsi="Calibri Light" w:cs="Times New Roman"/>
                <w:sz w:val="20"/>
                <w:szCs w:val="24"/>
                <w:lang w:val="ru-RU"/>
              </w:rPr>
              <w:t xml:space="preserve">Механизм применения ограниченных мер временного характера в процессе финансирования из государственного бюджета </w:t>
            </w:r>
            <w:r w:rsidRPr="00A77060">
              <w:rPr>
                <w:rFonts w:ascii="Calibri Light" w:hAnsi="Calibri Light" w:cstheme="majorHAnsi"/>
                <w:sz w:val="20"/>
                <w:szCs w:val="20"/>
                <w:lang w:val="ru-RU"/>
              </w:rPr>
              <w:t xml:space="preserve">бюджетных органов/ учреждений и других бенефициаров бюджетных средств был разработан и утвержден </w:t>
            </w:r>
            <w:r w:rsidRPr="00A77060">
              <w:rPr>
                <w:rFonts w:ascii="Calibri Light" w:hAnsi="Calibri Light"/>
                <w:sz w:val="20"/>
                <w:szCs w:val="20"/>
                <w:lang w:val="ru-RU"/>
              </w:rPr>
              <w:t>Приказом министра финансов №</w:t>
            </w:r>
            <w:r w:rsidRPr="00A77060">
              <w:rPr>
                <w:rFonts w:ascii="Calibri Light" w:hAnsi="Calibri Light" w:cs="Times New Roman"/>
                <w:sz w:val="20"/>
                <w:szCs w:val="24"/>
                <w:lang w:val="ru-RU"/>
              </w:rPr>
              <w:t xml:space="preserve">215 от 28 декабря </w:t>
            </w:r>
            <w:proofErr w:type="gramStart"/>
            <w:r w:rsidRPr="00A77060">
              <w:rPr>
                <w:rFonts w:ascii="Calibri Light" w:hAnsi="Calibri Light" w:cs="Times New Roman"/>
                <w:sz w:val="20"/>
                <w:szCs w:val="24"/>
                <w:lang w:val="ru-RU"/>
              </w:rPr>
              <w:t>2018 .</w:t>
            </w:r>
            <w:proofErr w:type="gramEnd"/>
          </w:p>
          <w:p w:rsidR="006F53B7" w:rsidRPr="00A77060" w:rsidRDefault="006F53B7" w:rsidP="004D2946">
            <w:pPr>
              <w:spacing w:after="0"/>
              <w:rPr>
                <w:rFonts w:ascii="Calibri Light" w:eastAsia="Calibri" w:hAnsi="Calibri Light" w:cs="Times New Roman"/>
                <w:sz w:val="20"/>
                <w:szCs w:val="24"/>
                <w:lang w:val="ru-RU" w:eastAsia="ru-RU"/>
              </w:rPr>
            </w:pPr>
            <w:r w:rsidRPr="00A77060">
              <w:rPr>
                <w:rFonts w:ascii="Calibri Light" w:eastAsia="Calibri" w:hAnsi="Calibri Light" w:cs="Times New Roman"/>
                <w:sz w:val="20"/>
                <w:szCs w:val="24"/>
                <w:lang w:val="ru-RU" w:eastAsia="ru-RU"/>
              </w:rPr>
              <w:t>Этот механизм был применен к Примэрии муниципия Кахул в приостановлении трансфертов общего назначения в декабре 2020 года до 29.12.2020, или до представления Управлением финансов Кахул финансового отчета за 9 месяцев 2020 года</w:t>
            </w:r>
          </w:p>
        </w:tc>
        <w:tc>
          <w:tcPr>
            <w:tcW w:w="993"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jc w:val="center"/>
              <w:rPr>
                <w:rFonts w:ascii="Calibri Light" w:eastAsia="Times New Roman" w:hAnsi="Calibri Light" w:cstheme="majorHAnsi"/>
                <w:bCs/>
                <w:color w:val="000000"/>
                <w:sz w:val="20"/>
                <w:szCs w:val="20"/>
                <w:lang w:val="ru-RU"/>
              </w:rPr>
            </w:pPr>
            <w:r w:rsidRPr="00A77060">
              <w:rPr>
                <w:rFonts w:ascii="Calibri Light" w:eastAsia="Times New Roman" w:hAnsi="Calibri Light" w:cstheme="majorHAnsi"/>
                <w:bCs/>
                <w:color w:val="000000"/>
                <w:sz w:val="20"/>
                <w:szCs w:val="20"/>
                <w:lang w:val="ru-RU"/>
              </w:rPr>
              <w:t>v</w:t>
            </w:r>
          </w:p>
        </w:tc>
        <w:tc>
          <w:tcPr>
            <w:tcW w:w="992"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jc w:val="center"/>
              <w:rPr>
                <w:rFonts w:ascii="Calibri Light" w:eastAsia="Times New Roman" w:hAnsi="Calibri Light" w:cstheme="majorHAnsi"/>
                <w:bCs/>
                <w:color w:val="000000"/>
                <w:sz w:val="20"/>
                <w:szCs w:val="20"/>
                <w:lang w:val="ru-RU"/>
              </w:rPr>
            </w:pPr>
          </w:p>
        </w:tc>
        <w:tc>
          <w:tcPr>
            <w:tcW w:w="992"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rPr>
                <w:rFonts w:ascii="Calibri Light" w:eastAsia="Times New Roman" w:hAnsi="Calibri Light" w:cstheme="majorHAnsi"/>
                <w:bCs/>
                <w:color w:val="000000"/>
                <w:sz w:val="20"/>
                <w:szCs w:val="20"/>
                <w:lang w:val="ru-RU"/>
              </w:rPr>
            </w:pPr>
          </w:p>
        </w:tc>
      </w:tr>
      <w:tr w:rsidR="006F53B7" w:rsidRPr="00A77060" w:rsidTr="004D2946">
        <w:trPr>
          <w:trHeight w:val="60"/>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color w:val="000000"/>
                <w:spacing w:val="-2"/>
                <w:sz w:val="20"/>
                <w:szCs w:val="20"/>
                <w:lang w:val="ru-RU"/>
              </w:rPr>
            </w:pPr>
            <w:r w:rsidRPr="00A77060">
              <w:rPr>
                <w:rFonts w:ascii="Calibri Light" w:hAnsi="Calibri Light" w:cstheme="majorHAnsi"/>
                <w:b/>
                <w:i/>
                <w:sz w:val="20"/>
                <w:szCs w:val="20"/>
                <w:lang w:val="ru-RU"/>
              </w:rPr>
              <w:lastRenderedPageBreak/>
              <w:t xml:space="preserve">Рекомендация №1. </w:t>
            </w:r>
            <w:r w:rsidRPr="00A77060">
              <w:rPr>
                <w:rFonts w:ascii="Calibri Light" w:hAnsi="Calibri Light" w:cstheme="majorHAnsi"/>
                <w:color w:val="000000"/>
                <w:spacing w:val="-2"/>
                <w:sz w:val="20"/>
                <w:szCs w:val="20"/>
                <w:lang w:val="ru-RU"/>
              </w:rPr>
              <w:t xml:space="preserve">Обеспечить проведение встречных проверок в аспекте всех доходов, администрируемых </w:t>
            </w:r>
            <w:r w:rsidRPr="00A77060">
              <w:rPr>
                <w:rFonts w:ascii="Calibri Light" w:hAnsi="Calibri Light" w:cstheme="majorHAnsi"/>
                <w:sz w:val="20"/>
                <w:szCs w:val="20"/>
                <w:lang w:val="ru-RU"/>
              </w:rPr>
              <w:t xml:space="preserve">Государственной налоговой службой, в том </w:t>
            </w:r>
            <w:proofErr w:type="gramStart"/>
            <w:r w:rsidRPr="00A77060">
              <w:rPr>
                <w:rFonts w:ascii="Calibri Light" w:hAnsi="Calibri Light" w:cstheme="majorHAnsi"/>
                <w:sz w:val="20"/>
                <w:szCs w:val="20"/>
                <w:lang w:val="ru-RU"/>
              </w:rPr>
              <w:t>числе ,,Обязательных</w:t>
            </w:r>
            <w:proofErr w:type="gramEnd"/>
            <w:r w:rsidRPr="00A77060">
              <w:rPr>
                <w:rFonts w:ascii="Calibri Light" w:hAnsi="Calibri Light" w:cstheme="majorHAnsi"/>
                <w:sz w:val="20"/>
                <w:szCs w:val="20"/>
                <w:lang w:val="ru-RU"/>
              </w:rPr>
              <w:t xml:space="preserve"> взносов производителей виноградно-винодельческой продукции</w:t>
            </w:r>
            <w:r w:rsidRPr="00A77060">
              <w:rPr>
                <w:rFonts w:ascii="Calibri Light" w:hAnsi="Calibri Light" w:cstheme="majorHAnsi"/>
                <w:color w:val="000000"/>
                <w:spacing w:val="-2"/>
                <w:sz w:val="20"/>
                <w:szCs w:val="20"/>
                <w:lang w:val="ru-RU"/>
              </w:rPr>
              <w:t xml:space="preserve">” (код 114640) </w:t>
            </w:r>
            <w:r w:rsidRPr="00A77060">
              <w:rPr>
                <w:rFonts w:ascii="Calibri Light" w:hAnsi="Calibri Light" w:cstheme="majorHAnsi"/>
                <w:sz w:val="20"/>
                <w:szCs w:val="20"/>
                <w:lang w:val="ru-RU"/>
              </w:rPr>
              <w:t>(констатация из раздела 4.1.1)</w:t>
            </w:r>
          </w:p>
          <w:p w:rsidR="006F53B7" w:rsidRPr="00A77060" w:rsidRDefault="006F53B7" w:rsidP="004D2946">
            <w:pPr>
              <w:spacing w:after="0" w:line="240" w:lineRule="auto"/>
              <w:rPr>
                <w:rFonts w:ascii="Calibri Light" w:eastAsia="Times New Roman" w:hAnsi="Calibri Light" w:cstheme="majorHAnsi"/>
                <w:b/>
                <w:bCs/>
                <w:color w:val="000000"/>
                <w:sz w:val="20"/>
                <w:szCs w:val="20"/>
                <w:lang w:val="ru-RU"/>
              </w:rPr>
            </w:pP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spacing w:after="0"/>
              <w:rPr>
                <w:rFonts w:ascii="Calibri Light" w:eastAsia="Times New Roman" w:hAnsi="Calibri Light" w:cs="Times New Roman"/>
                <w:color w:val="000000"/>
                <w:sz w:val="20"/>
                <w:szCs w:val="24"/>
                <w:shd w:val="clear" w:color="auto" w:fill="FFFFFF"/>
                <w:lang w:val="ru-RU" w:eastAsia="ru-RU"/>
              </w:rPr>
            </w:pPr>
            <w:r w:rsidRPr="00A77060">
              <w:rPr>
                <w:rFonts w:ascii="Calibri Light" w:eastAsia="Times New Roman" w:hAnsi="Calibri Light" w:cs="Times New Roman"/>
                <w:color w:val="000000"/>
                <w:sz w:val="20"/>
                <w:szCs w:val="24"/>
                <w:shd w:val="clear" w:color="auto" w:fill="FFFFFF"/>
                <w:lang w:val="ru-RU" w:eastAsia="ru-RU"/>
              </w:rPr>
              <w:t>Начиная с 2019 года, согласно ст.</w:t>
            </w:r>
            <w:r w:rsidRPr="00F22CF9">
              <w:rPr>
                <w:rFonts w:ascii="Calibri Light" w:eastAsia="Times New Roman" w:hAnsi="Calibri Light" w:cs="Times New Roman"/>
                <w:color w:val="000000"/>
                <w:sz w:val="20"/>
                <w:szCs w:val="24"/>
                <w:shd w:val="clear" w:color="auto" w:fill="FFFFFF"/>
                <w:lang w:val="ru-RU" w:eastAsia="ru-RU"/>
              </w:rPr>
              <w:t>32</w:t>
            </w:r>
            <w:r w:rsidRPr="00F22CF9">
              <w:rPr>
                <w:rFonts w:ascii="Calibri Light" w:eastAsia="Times New Roman" w:hAnsi="Calibri Light" w:cs="Times New Roman"/>
                <w:color w:val="000000"/>
                <w:sz w:val="20"/>
                <w:szCs w:val="24"/>
                <w:shd w:val="clear" w:color="auto" w:fill="FFFFFF"/>
                <w:vertAlign w:val="superscript"/>
                <w:lang w:val="ru-RU" w:eastAsia="ru-RU"/>
              </w:rPr>
              <w:t>3</w:t>
            </w:r>
            <w:r w:rsidRPr="00A77060">
              <w:rPr>
                <w:rFonts w:ascii="Calibri Light" w:eastAsia="Times New Roman" w:hAnsi="Calibri Light" w:cs="Times New Roman"/>
                <w:color w:val="000000"/>
                <w:sz w:val="20"/>
                <w:szCs w:val="24"/>
                <w:shd w:val="clear" w:color="auto" w:fill="FFFFFF"/>
                <w:lang w:val="ru-RU" w:eastAsia="ru-RU"/>
              </w:rPr>
              <w:t xml:space="preserve"> Закона о винограде и вине №57-XVI от 10 марта 2006 года, управление взносами от плательщиков, учет взносов, расчеты пени, а также отслеживание задолженностей Фонду производится </w:t>
            </w:r>
            <w:r w:rsidRPr="00A77060">
              <w:rPr>
                <w:rFonts w:ascii="Calibri Light" w:hAnsi="Calibri Light" w:cstheme="majorHAnsi"/>
                <w:sz w:val="20"/>
                <w:szCs w:val="20"/>
                <w:lang w:val="ru-RU"/>
              </w:rPr>
              <w:t>Государственной налоговой службой</w:t>
            </w:r>
            <w:r w:rsidRPr="00A77060">
              <w:rPr>
                <w:rFonts w:ascii="Calibri Light" w:eastAsia="Times New Roman" w:hAnsi="Calibri Light" w:cs="Times New Roman"/>
                <w:color w:val="000000"/>
                <w:sz w:val="20"/>
                <w:szCs w:val="24"/>
                <w:shd w:val="clear" w:color="auto" w:fill="FFFFFF"/>
                <w:lang w:val="ru-RU" w:eastAsia="ru-RU"/>
              </w:rPr>
              <w:t xml:space="preserve"> аналогично порядку, установленному налоговым законодательством для администрирования налогов и сборов. Так, для реализации ранее вышеуказанного, согласно п.3.9 </w:t>
            </w:r>
            <w:r w:rsidRPr="00A77060">
              <w:rPr>
                <w:rFonts w:ascii="Calibri Light" w:hAnsi="Calibri Light" w:cstheme="majorHAnsi"/>
                <w:sz w:val="20"/>
                <w:szCs w:val="20"/>
                <w:lang w:val="ru-RU" w:bidi="ro-RO"/>
              </w:rPr>
              <w:t xml:space="preserve">Методологических норм по кассовому исполнению бюджетов компонентов национального публичного бюджета и </w:t>
            </w:r>
            <w:r>
              <w:rPr>
                <w:rFonts w:ascii="Calibri Light" w:hAnsi="Calibri Light" w:cstheme="majorHAnsi"/>
                <w:sz w:val="20"/>
                <w:szCs w:val="20"/>
                <w:lang w:val="ru-RU" w:bidi="ro-RO"/>
              </w:rPr>
              <w:t>вне</w:t>
            </w:r>
            <w:r w:rsidRPr="00A77060">
              <w:rPr>
                <w:rFonts w:ascii="Calibri Light" w:hAnsi="Calibri Light" w:cstheme="majorHAnsi"/>
                <w:sz w:val="20"/>
                <w:szCs w:val="20"/>
                <w:lang w:val="ru-RU" w:bidi="ro-RO"/>
              </w:rPr>
              <w:t xml:space="preserve">балансовых средств </w:t>
            </w:r>
            <w:r w:rsidRPr="00A77060">
              <w:rPr>
                <w:rFonts w:ascii="Calibri Light" w:hAnsi="Calibri Light"/>
                <w:sz w:val="20"/>
                <w:szCs w:val="20"/>
                <w:lang w:val="ru-RU"/>
              </w:rPr>
              <w:t xml:space="preserve">посредством казначейской системы </w:t>
            </w:r>
            <w:r w:rsidRPr="00A77060">
              <w:rPr>
                <w:rFonts w:ascii="Calibri Light" w:hAnsi="Calibri Light" w:cstheme="majorHAnsi"/>
                <w:iCs/>
                <w:sz w:val="20"/>
                <w:szCs w:val="20"/>
                <w:lang w:val="ru-RU" w:bidi="ro-RO"/>
              </w:rPr>
              <w:t xml:space="preserve">утвержденных Приказом </w:t>
            </w:r>
            <w:r w:rsidRPr="00A77060">
              <w:rPr>
                <w:rFonts w:ascii="Calibri Light" w:hAnsi="Calibri Light"/>
                <w:sz w:val="20"/>
                <w:szCs w:val="20"/>
                <w:lang w:val="ru-RU"/>
              </w:rPr>
              <w:t>Министерства финансов №</w:t>
            </w:r>
            <w:r w:rsidRPr="00A77060">
              <w:rPr>
                <w:rFonts w:ascii="Calibri Light" w:hAnsi="Calibri Light" w:cstheme="majorHAnsi"/>
                <w:iCs/>
                <w:sz w:val="20"/>
                <w:szCs w:val="20"/>
                <w:lang w:val="ru-RU" w:bidi="ro-RO"/>
              </w:rPr>
              <w:t xml:space="preserve">215/2015, Управление Государственного казначейства представляет администраторам доходов на десятый день следующего месяца отчетного периода в электронном формате сканированный Регистр доходов </w:t>
            </w:r>
            <w:r w:rsidRPr="00A77060">
              <w:rPr>
                <w:rFonts w:ascii="Calibri Light" w:hAnsi="Calibri Light" w:cs="Times New Roman"/>
                <w:sz w:val="20"/>
                <w:szCs w:val="24"/>
                <w:lang w:val="ru-RU"/>
              </w:rPr>
              <w:t>государственного бюджета/ бюджета государс</w:t>
            </w:r>
            <w:r>
              <w:rPr>
                <w:rFonts w:ascii="Calibri Light" w:hAnsi="Calibri Light" w:cs="Times New Roman"/>
                <w:sz w:val="20"/>
                <w:szCs w:val="24"/>
                <w:lang w:val="ru-RU"/>
              </w:rPr>
              <w:t>т</w:t>
            </w:r>
            <w:r w:rsidRPr="00A77060">
              <w:rPr>
                <w:rFonts w:ascii="Calibri Light" w:hAnsi="Calibri Light" w:cs="Times New Roman"/>
                <w:sz w:val="20"/>
                <w:szCs w:val="24"/>
                <w:lang w:val="ru-RU"/>
              </w:rPr>
              <w:t xml:space="preserve">венного социального страхования/ фондов обязательного медицинского страхования/местных бюджетов (Форму </w:t>
            </w:r>
            <w:r w:rsidRPr="00A77060">
              <w:rPr>
                <w:rFonts w:ascii="Calibri Light" w:eastAsia="Times New Roman" w:hAnsi="Calibri Light" w:cs="Times New Roman"/>
                <w:color w:val="000000"/>
                <w:sz w:val="20"/>
                <w:szCs w:val="24"/>
                <w:shd w:val="clear" w:color="auto" w:fill="FFFFFF"/>
                <w:lang w:val="ru-RU" w:eastAsia="ru-RU"/>
              </w:rPr>
              <w:t>FI-006), подписанную уполномоченными лицами, с печатью.</w:t>
            </w:r>
          </w:p>
          <w:p w:rsidR="006F53B7" w:rsidRPr="00A77060" w:rsidRDefault="006F53B7" w:rsidP="004D2946">
            <w:pPr>
              <w:spacing w:after="0"/>
              <w:rPr>
                <w:rFonts w:ascii="Calibri Light" w:eastAsia="Times New Roman" w:hAnsi="Calibri Light" w:cs="Times New Roman"/>
                <w:color w:val="000000"/>
                <w:sz w:val="20"/>
                <w:szCs w:val="24"/>
                <w:shd w:val="clear" w:color="auto" w:fill="FFFFFF"/>
                <w:lang w:val="ru-RU" w:eastAsia="ru-RU"/>
              </w:rPr>
            </w:pPr>
          </w:p>
        </w:tc>
        <w:tc>
          <w:tcPr>
            <w:tcW w:w="993"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jc w:val="center"/>
              <w:rPr>
                <w:rFonts w:ascii="Calibri Light" w:eastAsia="Calibri" w:hAnsi="Calibri Light" w:cstheme="majorHAnsi"/>
                <w:sz w:val="20"/>
                <w:szCs w:val="20"/>
                <w:lang w:val="ru-RU"/>
              </w:rPr>
            </w:pPr>
            <w:r w:rsidRPr="00A77060">
              <w:rPr>
                <w:rFonts w:ascii="Calibri Light" w:eastAsia="Calibri" w:hAnsi="Calibri Light" w:cstheme="majorHAnsi"/>
                <w:sz w:val="20"/>
                <w:szCs w:val="20"/>
                <w:lang w:val="ru-RU"/>
              </w:rPr>
              <w:t>v</w:t>
            </w:r>
          </w:p>
        </w:tc>
        <w:tc>
          <w:tcPr>
            <w:tcW w:w="992"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rPr>
                <w:rFonts w:ascii="Calibri Light" w:eastAsia="Calibri" w:hAnsi="Calibri Light" w:cstheme="majorHAnsi"/>
                <w:sz w:val="20"/>
                <w:szCs w:val="20"/>
                <w:lang w:val="ru-RU"/>
              </w:rPr>
            </w:pPr>
          </w:p>
        </w:tc>
        <w:tc>
          <w:tcPr>
            <w:tcW w:w="992"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rPr>
                <w:rFonts w:ascii="Calibri Light" w:eastAsia="Calibri" w:hAnsi="Calibri Light" w:cstheme="majorHAnsi"/>
                <w:sz w:val="20"/>
                <w:szCs w:val="20"/>
                <w:lang w:val="ru-RU"/>
              </w:rPr>
            </w:pPr>
          </w:p>
        </w:tc>
      </w:tr>
      <w:tr w:rsidR="006F53B7" w:rsidRPr="00A77060" w:rsidTr="004D2946">
        <w:trPr>
          <w:trHeight w:val="268"/>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sz w:val="20"/>
                <w:szCs w:val="20"/>
                <w:lang w:val="ru-RU"/>
              </w:rPr>
            </w:pPr>
            <w:r w:rsidRPr="00A77060">
              <w:rPr>
                <w:rFonts w:ascii="Calibri Light" w:hAnsi="Calibri Light" w:cstheme="majorHAnsi"/>
                <w:b/>
                <w:i/>
                <w:sz w:val="20"/>
                <w:szCs w:val="20"/>
                <w:lang w:val="ru-RU"/>
              </w:rPr>
              <w:t xml:space="preserve">Рекомендация №2. </w:t>
            </w:r>
            <w:r w:rsidRPr="00A77060">
              <w:rPr>
                <w:rFonts w:ascii="Calibri Light" w:hAnsi="Calibri Light" w:cstheme="majorHAnsi"/>
                <w:sz w:val="20"/>
                <w:szCs w:val="20"/>
                <w:lang w:val="ru-RU"/>
              </w:rPr>
              <w:t>Осуществление возврата НДС производить в соответствии с требованиями Налогового кодекса, будучи исключены возмещения вторичным юридическим и физическим лицам (констатация из раздела 4.1.3)</w:t>
            </w:r>
          </w:p>
          <w:p w:rsidR="006F53B7" w:rsidRPr="00A77060" w:rsidRDefault="006F53B7" w:rsidP="004D2946">
            <w:pPr>
              <w:spacing w:after="0" w:line="240" w:lineRule="auto"/>
              <w:rPr>
                <w:rFonts w:ascii="Calibri Light" w:hAnsi="Calibri Light" w:cstheme="majorHAnsi"/>
                <w:color w:val="000000"/>
                <w:spacing w:val="-2"/>
                <w:sz w:val="20"/>
                <w:szCs w:val="20"/>
                <w:lang w:val="ru-RU"/>
              </w:rPr>
            </w:pPr>
            <w:r w:rsidRPr="00A77060">
              <w:rPr>
                <w:rFonts w:ascii="Calibri Light" w:hAnsi="Calibri Light" w:cstheme="majorHAnsi"/>
                <w:sz w:val="20"/>
                <w:szCs w:val="20"/>
                <w:lang w:val="ru-RU"/>
              </w:rPr>
              <w:t xml:space="preserve"> </w:t>
            </w: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spacing w:after="0"/>
              <w:rPr>
                <w:rFonts w:ascii="Calibri Light" w:eastAsia="Times New Roman" w:hAnsi="Calibri Light" w:cs="Times New Roman"/>
                <w:sz w:val="20"/>
                <w:szCs w:val="24"/>
                <w:lang w:val="ru-RU" w:eastAsia="ru-RU"/>
              </w:rPr>
            </w:pPr>
            <w:r w:rsidRPr="00A77060">
              <w:rPr>
                <w:rFonts w:ascii="Calibri Light" w:eastAsia="Times New Roman" w:hAnsi="Calibri Light" w:cs="Times New Roman"/>
                <w:sz w:val="20"/>
                <w:szCs w:val="24"/>
                <w:lang w:val="ru-RU" w:eastAsia="ru-RU"/>
              </w:rPr>
              <w:t>Был утвержден Приказ министра финансов №11 от 18 января 2019 „</w:t>
            </w:r>
            <w:r w:rsidRPr="00A77060">
              <w:rPr>
                <w:rFonts w:ascii="Calibri Light" w:hAnsi="Calibri Light" w:cstheme="majorHAnsi"/>
                <w:sz w:val="20"/>
                <w:szCs w:val="20"/>
                <w:lang w:val="ru-RU" w:bidi="ro-RO"/>
              </w:rPr>
              <w:t xml:space="preserve">О внесении изменений и дополнений в Методологические нормы по кассовому исполнению бюджетов компонентов национального публичного бюджета и </w:t>
            </w:r>
            <w:r>
              <w:rPr>
                <w:rFonts w:ascii="Calibri Light" w:hAnsi="Calibri Light" w:cstheme="majorHAnsi"/>
                <w:sz w:val="20"/>
                <w:szCs w:val="20"/>
                <w:lang w:val="ru-RU" w:bidi="ro-RO"/>
              </w:rPr>
              <w:t>вне</w:t>
            </w:r>
            <w:r w:rsidRPr="00A77060">
              <w:rPr>
                <w:rFonts w:ascii="Calibri Light" w:hAnsi="Calibri Light" w:cstheme="majorHAnsi"/>
                <w:sz w:val="20"/>
                <w:szCs w:val="20"/>
                <w:lang w:val="ru-RU" w:bidi="ro-RO"/>
              </w:rPr>
              <w:t xml:space="preserve">балансовых средств </w:t>
            </w:r>
            <w:r w:rsidRPr="00A77060">
              <w:rPr>
                <w:rFonts w:ascii="Calibri Light" w:hAnsi="Calibri Light"/>
                <w:sz w:val="20"/>
                <w:szCs w:val="20"/>
                <w:lang w:val="ru-RU"/>
              </w:rPr>
              <w:t>посредством казначейской системы Министерства финансов №</w:t>
            </w:r>
            <w:r w:rsidRPr="00A77060">
              <w:rPr>
                <w:rFonts w:ascii="Calibri Light" w:hAnsi="Calibri Light" w:cstheme="majorHAnsi"/>
                <w:iCs/>
                <w:sz w:val="20"/>
                <w:szCs w:val="20"/>
                <w:lang w:val="ru-RU" w:bidi="ro-RO"/>
              </w:rPr>
              <w:t>215/2015”</w:t>
            </w:r>
          </w:p>
          <w:p w:rsidR="006F53B7" w:rsidRPr="00A77060" w:rsidRDefault="006F53B7" w:rsidP="004D2946">
            <w:pPr>
              <w:spacing w:after="0"/>
              <w:rPr>
                <w:rFonts w:ascii="Calibri Light" w:hAnsi="Calibri Light" w:cs="Times New Roman"/>
                <w:sz w:val="20"/>
                <w:szCs w:val="24"/>
                <w:lang w:val="ru-RU"/>
              </w:rPr>
            </w:pPr>
          </w:p>
        </w:tc>
        <w:tc>
          <w:tcPr>
            <w:tcW w:w="993"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r w:rsidRPr="00A77060">
              <w:rPr>
                <w:rFonts w:ascii="Calibri Light" w:hAnsi="Calibri Light" w:cstheme="majorHAnsi"/>
                <w:sz w:val="20"/>
                <w:szCs w:val="20"/>
                <w:lang w:val="ru-RU"/>
              </w:rPr>
              <w:t>v</w:t>
            </w:r>
          </w:p>
        </w:tc>
        <w:tc>
          <w:tcPr>
            <w:tcW w:w="992"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p>
        </w:tc>
        <w:tc>
          <w:tcPr>
            <w:tcW w:w="992"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p>
        </w:tc>
      </w:tr>
      <w:tr w:rsidR="006F53B7" w:rsidRPr="00A77060" w:rsidTr="004D2946">
        <w:trPr>
          <w:trHeight w:val="833"/>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sz w:val="20"/>
                <w:szCs w:val="20"/>
                <w:lang w:val="ru-RU"/>
              </w:rPr>
            </w:pPr>
            <w:r w:rsidRPr="00A77060">
              <w:rPr>
                <w:rFonts w:ascii="Calibri Light" w:hAnsi="Calibri Light" w:cstheme="majorHAnsi"/>
                <w:b/>
                <w:i/>
                <w:sz w:val="20"/>
                <w:szCs w:val="20"/>
                <w:lang w:val="ru-RU"/>
              </w:rPr>
              <w:t xml:space="preserve">Рекомендация №3. </w:t>
            </w:r>
            <w:r w:rsidRPr="00A77060">
              <w:rPr>
                <w:rFonts w:ascii="Calibri Light" w:hAnsi="Calibri Light" w:cstheme="majorHAnsi"/>
                <w:sz w:val="20"/>
                <w:szCs w:val="20"/>
                <w:lang w:val="ru-RU"/>
              </w:rPr>
              <w:t>Продолжить реализацию действий по укреплению базы собственных местных доходов администраторов МПО, предусмотренных в национальных стратегических документах (констатация из раздела 4.1.7)</w:t>
            </w:r>
          </w:p>
          <w:p w:rsidR="006F53B7" w:rsidRPr="00A77060" w:rsidRDefault="006F53B7" w:rsidP="004D2946">
            <w:pPr>
              <w:spacing w:after="0" w:line="240" w:lineRule="auto"/>
              <w:rPr>
                <w:rFonts w:ascii="Calibri Light" w:hAnsi="Calibri Light" w:cstheme="majorHAnsi"/>
                <w:sz w:val="20"/>
                <w:szCs w:val="20"/>
                <w:lang w:val="ru-RU"/>
              </w:rPr>
            </w:pPr>
            <w:r w:rsidRPr="00A77060">
              <w:rPr>
                <w:rFonts w:ascii="Calibri Light" w:hAnsi="Calibri Light" w:cstheme="majorHAnsi"/>
                <w:sz w:val="20"/>
                <w:szCs w:val="20"/>
                <w:lang w:val="ru-RU"/>
              </w:rPr>
              <w:t xml:space="preserve"> </w:t>
            </w: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tabs>
                <w:tab w:val="left" w:pos="7621"/>
              </w:tabs>
              <w:spacing w:after="0"/>
              <w:rPr>
                <w:rFonts w:ascii="Calibri Light" w:eastAsia="Calibri" w:hAnsi="Calibri Light" w:cs="Times New Roman"/>
                <w:sz w:val="20"/>
                <w:szCs w:val="24"/>
                <w:lang w:val="ru-RU" w:eastAsia="ru-RU"/>
              </w:rPr>
            </w:pPr>
            <w:r w:rsidRPr="00A77060">
              <w:rPr>
                <w:rFonts w:ascii="Calibri Light" w:eastAsia="Calibri" w:hAnsi="Calibri Light" w:cs="Times New Roman"/>
                <w:sz w:val="20"/>
                <w:szCs w:val="24"/>
                <w:lang w:val="ru-RU" w:eastAsia="ru-RU"/>
              </w:rPr>
              <w:t xml:space="preserve">С целью укрепления финансовой автономии местных публичных органов, Законом №257/2020 о </w:t>
            </w:r>
            <w:r w:rsidRPr="00A77060">
              <w:rPr>
                <w:rFonts w:ascii="Calibri Light" w:hAnsi="Calibri Light" w:cstheme="majorHAnsi"/>
                <w:sz w:val="20"/>
                <w:szCs w:val="20"/>
                <w:lang w:val="ru-RU" w:bidi="ro-RO"/>
              </w:rPr>
              <w:t>внесении изменений в некоторые нормативные акты были реализованы следующие действия:</w:t>
            </w:r>
          </w:p>
          <w:p w:rsidR="006F53B7" w:rsidRPr="00A77060" w:rsidRDefault="006F53B7" w:rsidP="004D2946">
            <w:pPr>
              <w:tabs>
                <w:tab w:val="left" w:pos="7621"/>
              </w:tabs>
              <w:spacing w:after="0"/>
              <w:rPr>
                <w:rFonts w:ascii="Calibri Light" w:eastAsia="Calibri" w:hAnsi="Calibri Light" w:cs="Times New Roman"/>
                <w:sz w:val="20"/>
                <w:szCs w:val="24"/>
                <w:lang w:val="ru-RU" w:eastAsia="ru-RU"/>
              </w:rPr>
            </w:pPr>
            <w:r w:rsidRPr="00A77060">
              <w:rPr>
                <w:rFonts w:ascii="Calibri Light" w:eastAsia="Calibri" w:hAnsi="Calibri Light" w:cs="Times New Roman"/>
                <w:sz w:val="20"/>
                <w:szCs w:val="24"/>
                <w:lang w:val="ru-RU" w:eastAsia="ru-RU"/>
              </w:rPr>
              <w:t>- аннулированы льготы, связанные с правом на снижение на 15% суммы налога на недвижимое имущество для налогоплательщиков, которые полностью оплатят налог за текущий налоговый год до 30 июня соответствующего года;</w:t>
            </w:r>
          </w:p>
          <w:p w:rsidR="006F53B7" w:rsidRPr="00A77060" w:rsidRDefault="006F53B7" w:rsidP="004D2946">
            <w:pPr>
              <w:tabs>
                <w:tab w:val="left" w:pos="7621"/>
              </w:tabs>
              <w:spacing w:after="0"/>
              <w:rPr>
                <w:rFonts w:ascii="Calibri Light" w:eastAsia="Calibri" w:hAnsi="Calibri Light" w:cs="Times New Roman"/>
                <w:sz w:val="20"/>
                <w:szCs w:val="24"/>
                <w:lang w:val="ru-RU" w:eastAsia="ru-RU"/>
              </w:rPr>
            </w:pPr>
            <w:r w:rsidRPr="00A77060">
              <w:rPr>
                <w:rFonts w:ascii="Calibri Light" w:eastAsia="Calibri" w:hAnsi="Calibri Light" w:cs="Times New Roman"/>
                <w:sz w:val="20"/>
                <w:szCs w:val="24"/>
                <w:lang w:val="ru-RU" w:eastAsia="ru-RU"/>
              </w:rPr>
              <w:t xml:space="preserve">- </w:t>
            </w:r>
            <w:r>
              <w:rPr>
                <w:rFonts w:ascii="Calibri Light" w:eastAsia="Calibri" w:hAnsi="Calibri Light" w:cs="Times New Roman"/>
                <w:sz w:val="20"/>
                <w:szCs w:val="24"/>
                <w:lang w:val="ru-RU" w:eastAsia="ru-RU"/>
              </w:rPr>
              <w:t>ограниче</w:t>
            </w:r>
            <w:r w:rsidRPr="00A77060">
              <w:rPr>
                <w:rFonts w:ascii="Calibri Light" w:eastAsia="Calibri" w:hAnsi="Calibri Light" w:cs="Times New Roman"/>
                <w:sz w:val="20"/>
                <w:szCs w:val="24"/>
                <w:lang w:val="ru-RU" w:eastAsia="ru-RU"/>
              </w:rPr>
              <w:t>ние местных сборов и их регламентирование на среднесрочный период (3 года), с ежегодным увеличением на размер ставки инфляции</w:t>
            </w:r>
          </w:p>
          <w:p w:rsidR="006F53B7" w:rsidRPr="00A77060" w:rsidRDefault="006F53B7" w:rsidP="004D2946">
            <w:pPr>
              <w:spacing w:after="0"/>
              <w:rPr>
                <w:rFonts w:ascii="Calibri Light" w:hAnsi="Calibri Light" w:cs="Times New Roman"/>
                <w:sz w:val="20"/>
                <w:szCs w:val="24"/>
                <w:lang w:val="ru-RU"/>
              </w:rPr>
            </w:pPr>
          </w:p>
        </w:tc>
        <w:tc>
          <w:tcPr>
            <w:tcW w:w="993"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r w:rsidRPr="00A77060">
              <w:rPr>
                <w:rFonts w:ascii="Calibri Light" w:hAnsi="Calibri Light" w:cstheme="majorHAnsi"/>
                <w:sz w:val="20"/>
                <w:szCs w:val="20"/>
                <w:lang w:val="ru-RU"/>
              </w:rPr>
              <w:t>v</w:t>
            </w:r>
          </w:p>
        </w:tc>
        <w:tc>
          <w:tcPr>
            <w:tcW w:w="992"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jc w:val="center"/>
              <w:rPr>
                <w:rFonts w:ascii="Calibri Light" w:hAnsi="Calibri Light" w:cstheme="majorHAnsi"/>
                <w:sz w:val="20"/>
                <w:szCs w:val="20"/>
                <w:lang w:val="ru-RU"/>
              </w:rPr>
            </w:pPr>
          </w:p>
        </w:tc>
        <w:tc>
          <w:tcPr>
            <w:tcW w:w="992"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rPr>
                <w:rFonts w:ascii="Calibri Light" w:hAnsi="Calibri Light" w:cstheme="majorHAnsi"/>
                <w:sz w:val="20"/>
                <w:szCs w:val="20"/>
                <w:lang w:val="ru-RU"/>
              </w:rPr>
            </w:pPr>
          </w:p>
        </w:tc>
      </w:tr>
      <w:tr w:rsidR="006F53B7" w:rsidRPr="00A77060" w:rsidTr="004D2946">
        <w:trPr>
          <w:trHeight w:val="1870"/>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b/>
                <w:i/>
                <w:sz w:val="20"/>
                <w:szCs w:val="20"/>
                <w:lang w:val="ru-RU"/>
              </w:rPr>
            </w:pPr>
            <w:r w:rsidRPr="00A77060">
              <w:rPr>
                <w:rFonts w:ascii="Calibri Light" w:hAnsi="Calibri Light" w:cstheme="majorHAnsi"/>
                <w:b/>
                <w:i/>
                <w:sz w:val="20"/>
                <w:szCs w:val="20"/>
                <w:lang w:val="ru-RU"/>
              </w:rPr>
              <w:lastRenderedPageBreak/>
              <w:t xml:space="preserve">Рекомендация №4. </w:t>
            </w:r>
            <w:r w:rsidRPr="00A77060">
              <w:rPr>
                <w:rFonts w:ascii="Calibri Light" w:hAnsi="Calibri Light" w:cstheme="majorHAnsi"/>
                <w:sz w:val="20"/>
                <w:szCs w:val="20"/>
                <w:lang w:val="ru-RU"/>
              </w:rPr>
              <w:t xml:space="preserve">Обеспечить соблюдение принципа прозрачности в отношениях между </w:t>
            </w:r>
            <w:r w:rsidRPr="00A77060">
              <w:rPr>
                <w:rFonts w:ascii="Calibri Light" w:hAnsi="Calibri Light" w:cs="Times New Roman"/>
                <w:sz w:val="20"/>
                <w:szCs w:val="24"/>
                <w:lang w:val="ru-RU"/>
              </w:rPr>
              <w:t xml:space="preserve">государственным бюджетом и местными бюджетами путем применения процедур изменения годовых законов о бюджете для включения в них всех трансфертов </w:t>
            </w:r>
            <w:r w:rsidRPr="00A77060">
              <w:rPr>
                <w:rFonts w:ascii="Calibri Light" w:hAnsi="Calibri Light" w:cstheme="majorHAnsi"/>
                <w:sz w:val="20"/>
                <w:szCs w:val="20"/>
                <w:lang w:val="ru-RU"/>
              </w:rPr>
              <w:t>(констатация из раздела 4.1.7)</w:t>
            </w:r>
          </w:p>
          <w:p w:rsidR="006F53B7" w:rsidRPr="00A77060" w:rsidRDefault="006F53B7" w:rsidP="004D2946">
            <w:pPr>
              <w:spacing w:after="0" w:line="240" w:lineRule="auto"/>
              <w:rPr>
                <w:rFonts w:ascii="Calibri Light" w:hAnsi="Calibri Light" w:cstheme="majorHAnsi"/>
                <w:b/>
                <w:sz w:val="20"/>
                <w:szCs w:val="20"/>
                <w:lang w:val="ru-RU"/>
              </w:rPr>
            </w:pP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spacing w:after="0"/>
              <w:rPr>
                <w:rFonts w:ascii="Calibri Light" w:hAnsi="Calibri Light" w:cs="Times New Roman"/>
                <w:sz w:val="20"/>
                <w:szCs w:val="24"/>
                <w:lang w:val="ru-RU"/>
              </w:rPr>
            </w:pPr>
            <w:r w:rsidRPr="00A77060">
              <w:rPr>
                <w:rFonts w:ascii="Calibri Light" w:hAnsi="Calibri Light" w:cs="Times New Roman"/>
                <w:sz w:val="20"/>
                <w:szCs w:val="24"/>
                <w:lang w:val="ru-RU"/>
              </w:rPr>
              <w:t>Мероприятие реализовано путем включения в приложение №</w:t>
            </w:r>
            <w:proofErr w:type="gramStart"/>
            <w:r w:rsidRPr="00A77060">
              <w:rPr>
                <w:rFonts w:ascii="Calibri Light" w:hAnsi="Calibri Light" w:cs="Times New Roman"/>
                <w:sz w:val="20"/>
                <w:szCs w:val="24"/>
                <w:lang w:val="ru-RU"/>
              </w:rPr>
              <w:t>7 ,,Объем</w:t>
            </w:r>
            <w:proofErr w:type="gramEnd"/>
            <w:r w:rsidRPr="00A77060">
              <w:rPr>
                <w:rFonts w:ascii="Calibri Light" w:hAnsi="Calibri Light" w:cs="Times New Roman"/>
                <w:sz w:val="20"/>
                <w:szCs w:val="24"/>
                <w:lang w:val="ru-RU"/>
              </w:rPr>
              <w:t xml:space="preserve"> трансфертов из государственного бюджета местным бюджетам" к Закону о государственном бюджете на 2019год №303 от 30 ноября 2018 года.</w:t>
            </w:r>
          </w:p>
          <w:p w:rsidR="006F53B7" w:rsidRPr="00A77060" w:rsidRDefault="006F53B7" w:rsidP="004D2946">
            <w:pPr>
              <w:shd w:val="clear" w:color="auto" w:fill="FEFEFC"/>
              <w:spacing w:after="0" w:line="257" w:lineRule="atLeast"/>
              <w:rPr>
                <w:rFonts w:ascii="Calibri Light" w:eastAsia="Times New Roman" w:hAnsi="Calibri Light" w:cs="Times New Roman"/>
                <w:color w:val="000000"/>
                <w:sz w:val="20"/>
                <w:szCs w:val="24"/>
                <w:lang w:val="ru-RU"/>
              </w:rPr>
            </w:pPr>
            <w:r w:rsidRPr="00A77060">
              <w:rPr>
                <w:rFonts w:ascii="Calibri Light" w:eastAsia="Times New Roman" w:hAnsi="Calibri Light" w:cs="Times New Roman"/>
                <w:color w:val="000000"/>
                <w:sz w:val="20"/>
                <w:szCs w:val="24"/>
                <w:lang w:val="ru-RU"/>
              </w:rPr>
              <w:t xml:space="preserve">Согласно указанию министра финансов №39 от 09 ноября 2020 „О структуре документации к проекту </w:t>
            </w:r>
            <w:r w:rsidRPr="00A77060">
              <w:rPr>
                <w:rFonts w:ascii="Calibri Light" w:hAnsi="Calibri Light" w:cs="Times New Roman"/>
                <w:sz w:val="20"/>
                <w:szCs w:val="24"/>
                <w:lang w:val="ru-RU"/>
              </w:rPr>
              <w:t xml:space="preserve">государственного бюджета на </w:t>
            </w:r>
            <w:r w:rsidRPr="00A77060">
              <w:rPr>
                <w:rFonts w:ascii="Calibri Light" w:eastAsia="Times New Roman" w:hAnsi="Calibri Light" w:cs="Times New Roman"/>
                <w:color w:val="000000"/>
                <w:sz w:val="20"/>
                <w:szCs w:val="24"/>
                <w:lang w:val="ru-RU"/>
              </w:rPr>
              <w:t xml:space="preserve">2021 год”, в Информационную справку к проекту </w:t>
            </w:r>
            <w:r w:rsidRPr="00A77060">
              <w:rPr>
                <w:rFonts w:ascii="Calibri Light" w:hAnsi="Calibri Light" w:cs="Times New Roman"/>
                <w:sz w:val="20"/>
                <w:szCs w:val="24"/>
                <w:lang w:val="ru-RU"/>
              </w:rPr>
              <w:t xml:space="preserve">государственного бюджета на </w:t>
            </w:r>
            <w:r w:rsidRPr="00A77060">
              <w:rPr>
                <w:rFonts w:ascii="Calibri Light" w:eastAsia="Times New Roman" w:hAnsi="Calibri Light" w:cs="Times New Roman"/>
                <w:color w:val="000000"/>
                <w:sz w:val="20"/>
                <w:szCs w:val="24"/>
                <w:lang w:val="ru-RU"/>
              </w:rPr>
              <w:t xml:space="preserve">2021 год была включена таблица №14 </w:t>
            </w:r>
            <w:r w:rsidRPr="00A77060">
              <w:rPr>
                <w:rFonts w:ascii="Calibri Light" w:eastAsia="Times New Roman" w:hAnsi="Calibri Light" w:cs="Times New Roman"/>
                <w:bCs/>
                <w:color w:val="000000"/>
                <w:sz w:val="20"/>
                <w:szCs w:val="24"/>
                <w:lang w:val="ru-RU"/>
              </w:rPr>
              <w:t>„Свод мер/проектов, финансируемых из Национального экологического фонда на 2018-2021 годы”</w:t>
            </w:r>
          </w:p>
        </w:tc>
        <w:tc>
          <w:tcPr>
            <w:tcW w:w="993"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jc w:val="center"/>
              <w:rPr>
                <w:rFonts w:ascii="Calibri Light" w:eastAsia="Calibri" w:hAnsi="Calibri Light" w:cstheme="majorHAnsi"/>
                <w:sz w:val="20"/>
                <w:szCs w:val="20"/>
                <w:lang w:val="ru-RU"/>
              </w:rPr>
            </w:pPr>
            <w:r w:rsidRPr="00A77060">
              <w:rPr>
                <w:rFonts w:ascii="Calibri Light" w:eastAsia="Calibri" w:hAnsi="Calibri Light" w:cstheme="majorHAnsi"/>
                <w:sz w:val="20"/>
                <w:szCs w:val="20"/>
                <w:lang w:val="ru-RU"/>
              </w:rPr>
              <w:t>v</w:t>
            </w:r>
          </w:p>
        </w:tc>
        <w:tc>
          <w:tcPr>
            <w:tcW w:w="992"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jc w:val="center"/>
              <w:rPr>
                <w:rFonts w:ascii="Calibri Light" w:eastAsia="Calibri" w:hAnsi="Calibri Light" w:cstheme="majorHAnsi"/>
                <w:sz w:val="20"/>
                <w:szCs w:val="20"/>
                <w:lang w:val="ru-RU"/>
              </w:rPr>
            </w:pPr>
          </w:p>
        </w:tc>
        <w:tc>
          <w:tcPr>
            <w:tcW w:w="992"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jc w:val="center"/>
              <w:rPr>
                <w:rFonts w:ascii="Calibri Light" w:eastAsia="Calibri" w:hAnsi="Calibri Light" w:cstheme="majorHAnsi"/>
                <w:sz w:val="20"/>
                <w:szCs w:val="20"/>
                <w:lang w:val="ru-RU"/>
              </w:rPr>
            </w:pPr>
          </w:p>
        </w:tc>
      </w:tr>
      <w:tr w:rsidR="006F53B7" w:rsidRPr="00A77060" w:rsidTr="004D2946">
        <w:trPr>
          <w:trHeight w:val="264"/>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sz w:val="20"/>
                <w:szCs w:val="20"/>
                <w:lang w:val="ru-RU"/>
              </w:rPr>
            </w:pPr>
            <w:r w:rsidRPr="00A77060">
              <w:rPr>
                <w:rFonts w:ascii="Calibri Light" w:hAnsi="Calibri Light" w:cstheme="majorHAnsi"/>
                <w:b/>
                <w:i/>
                <w:sz w:val="20"/>
                <w:szCs w:val="20"/>
                <w:lang w:val="ru-RU"/>
              </w:rPr>
              <w:t xml:space="preserve">Рекомендация №5. </w:t>
            </w:r>
            <w:r w:rsidRPr="00A77060">
              <w:rPr>
                <w:rFonts w:ascii="Calibri Light" w:hAnsi="Calibri Light" w:cstheme="majorHAnsi"/>
                <w:sz w:val="20"/>
                <w:szCs w:val="20"/>
                <w:lang w:val="ru-RU"/>
              </w:rPr>
              <w:t>Обеспечить соблюдение нормативных положений относительно процесса рассмотрения и подтверждения избираемости предложений по проектам для капитальных инвестиций, соблюдая принципы приоритетности и соответствия их с документами национального и секторного стратегического планирования (констатация из раздела 4.2.6)</w:t>
            </w:r>
          </w:p>
          <w:p w:rsidR="006F53B7" w:rsidRPr="00A77060" w:rsidRDefault="006F53B7" w:rsidP="004D2946">
            <w:pPr>
              <w:spacing w:after="0" w:line="240" w:lineRule="auto"/>
              <w:rPr>
                <w:rFonts w:ascii="Calibri Light" w:hAnsi="Calibri Light" w:cstheme="majorHAnsi"/>
                <w:b/>
                <w:i/>
                <w:sz w:val="20"/>
                <w:szCs w:val="20"/>
                <w:lang w:val="ru-RU"/>
              </w:rPr>
            </w:pP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spacing w:after="0"/>
              <w:rPr>
                <w:rFonts w:ascii="Calibri Light" w:hAnsi="Calibri Light" w:cs="Times New Roman"/>
                <w:sz w:val="20"/>
                <w:szCs w:val="24"/>
                <w:lang w:val="ru-RU"/>
              </w:rPr>
            </w:pPr>
            <w:r w:rsidRPr="00A77060">
              <w:rPr>
                <w:rFonts w:ascii="Calibri Light" w:hAnsi="Calibri Light" w:cs="Times New Roman"/>
                <w:sz w:val="20"/>
                <w:szCs w:val="24"/>
                <w:lang w:val="ru-RU"/>
              </w:rPr>
              <w:t>1. Разработка проекта постановления Правительства о</w:t>
            </w:r>
            <w:r w:rsidRPr="00A77060">
              <w:rPr>
                <w:rFonts w:ascii="Calibri Light" w:hAnsi="Calibri Light" w:cstheme="majorHAnsi"/>
                <w:sz w:val="20"/>
                <w:szCs w:val="20"/>
                <w:lang w:val="ru-RU" w:bidi="ro-RO"/>
              </w:rPr>
              <w:t xml:space="preserve"> внесении изменений и дополнений в </w:t>
            </w:r>
            <w:r w:rsidRPr="00A77060">
              <w:rPr>
                <w:rFonts w:ascii="Calibri Light" w:hAnsi="Calibri Light" w:cstheme="majorHAnsi"/>
                <w:sz w:val="20"/>
                <w:szCs w:val="20"/>
                <w:lang w:val="ru-RU"/>
              </w:rPr>
              <w:t xml:space="preserve">Постановление Правительства №1029/2013 </w:t>
            </w:r>
            <w:r w:rsidRPr="00A77060">
              <w:rPr>
                <w:rFonts w:ascii="Calibri Light" w:hAnsi="Calibri Light" w:cs="Times New Roman"/>
                <w:sz w:val="20"/>
                <w:szCs w:val="24"/>
                <w:lang w:val="ru-RU"/>
              </w:rPr>
              <w:t>„О</w:t>
            </w:r>
            <w:r w:rsidRPr="00A77060">
              <w:rPr>
                <w:rFonts w:ascii="Calibri Light" w:hAnsi="Calibri Light" w:cstheme="majorHAnsi"/>
                <w:sz w:val="20"/>
                <w:szCs w:val="20"/>
                <w:lang w:val="ru-RU"/>
              </w:rPr>
              <w:t xml:space="preserve"> государственных </w:t>
            </w:r>
            <w:r w:rsidRPr="00A77060">
              <w:rPr>
                <w:rFonts w:ascii="Calibri Light" w:eastAsia="Times New Roman" w:hAnsi="Calibri Light" w:cstheme="majorHAnsi"/>
                <w:bCs/>
                <w:color w:val="000000"/>
                <w:sz w:val="20"/>
                <w:szCs w:val="20"/>
                <w:lang w:val="ru-RU"/>
              </w:rPr>
              <w:t>капитальных вложениях</w:t>
            </w:r>
            <w:r w:rsidRPr="00A77060">
              <w:rPr>
                <w:rFonts w:ascii="Calibri Light" w:hAnsi="Calibri Light" w:cstheme="majorHAnsi"/>
                <w:sz w:val="20"/>
                <w:szCs w:val="20"/>
                <w:lang w:val="ru-RU"/>
              </w:rPr>
              <w:t>”.</w:t>
            </w:r>
          </w:p>
          <w:p w:rsidR="006F53B7" w:rsidRPr="00A77060" w:rsidRDefault="006F53B7" w:rsidP="004D2946">
            <w:pPr>
              <w:spacing w:after="0"/>
              <w:rPr>
                <w:rFonts w:ascii="Calibri Light" w:hAnsi="Calibri Light" w:cs="Times New Roman"/>
                <w:sz w:val="20"/>
                <w:szCs w:val="24"/>
                <w:lang w:val="ru-RU"/>
              </w:rPr>
            </w:pPr>
            <w:r w:rsidRPr="00A77060">
              <w:rPr>
                <w:rFonts w:ascii="Calibri Light" w:hAnsi="Calibri Light" w:cs="Times New Roman"/>
                <w:sz w:val="20"/>
                <w:szCs w:val="24"/>
                <w:lang w:val="ru-RU"/>
              </w:rPr>
              <w:t>2. Разработка проекта приказа о</w:t>
            </w:r>
            <w:r w:rsidRPr="00A77060">
              <w:rPr>
                <w:rFonts w:ascii="Calibri Light" w:hAnsi="Calibri Light" w:cstheme="majorHAnsi"/>
                <w:sz w:val="20"/>
                <w:szCs w:val="20"/>
                <w:lang w:val="ru-RU" w:bidi="ro-RO"/>
              </w:rPr>
              <w:t xml:space="preserve"> внесении изменений в Инструкцию о менеджменте проектов по капитальным инвестициям, утвержденную Приказом министра финансов №</w:t>
            </w:r>
            <w:r w:rsidRPr="00A77060">
              <w:rPr>
                <w:rFonts w:ascii="Calibri Light" w:hAnsi="Calibri Light" w:cs="Times New Roman"/>
                <w:sz w:val="20"/>
                <w:szCs w:val="24"/>
                <w:lang w:val="ru-RU"/>
              </w:rPr>
              <w:t>185/2015.</w:t>
            </w:r>
          </w:p>
          <w:p w:rsidR="006F53B7" w:rsidRPr="00A77060" w:rsidRDefault="006F53B7" w:rsidP="004D2946">
            <w:pPr>
              <w:spacing w:after="0"/>
              <w:rPr>
                <w:rFonts w:ascii="Calibri Light" w:hAnsi="Calibri Light" w:cs="Times New Roman"/>
                <w:sz w:val="20"/>
                <w:szCs w:val="24"/>
                <w:lang w:val="ru-RU"/>
              </w:rPr>
            </w:pPr>
            <w:r w:rsidRPr="00A77060">
              <w:rPr>
                <w:rFonts w:ascii="Calibri Light" w:hAnsi="Calibri Light" w:cs="Times New Roman"/>
                <w:sz w:val="20"/>
                <w:szCs w:val="24"/>
                <w:lang w:val="ru-RU"/>
              </w:rPr>
              <w:t>Весной 2019 года в рамках официального визита в Вашингтон, руководство М</w:t>
            </w:r>
            <w:r w:rsidRPr="00A77060">
              <w:rPr>
                <w:rFonts w:ascii="Calibri Light" w:hAnsi="Calibri Light" w:cstheme="majorHAnsi"/>
                <w:sz w:val="20"/>
                <w:szCs w:val="20"/>
                <w:lang w:val="ru-RU" w:bidi="ro-RO"/>
              </w:rPr>
              <w:t>инистерства финансов</w:t>
            </w:r>
            <w:r w:rsidRPr="00A77060">
              <w:rPr>
                <w:rFonts w:ascii="Calibri Light" w:hAnsi="Calibri Light" w:cs="Times New Roman"/>
                <w:sz w:val="20"/>
                <w:szCs w:val="24"/>
                <w:lang w:val="ru-RU"/>
              </w:rPr>
              <w:t xml:space="preserve"> запросило техническую помощь с целью оценки системы мене</w:t>
            </w:r>
            <w:r>
              <w:rPr>
                <w:rFonts w:ascii="Calibri Light" w:hAnsi="Calibri Light" w:cs="Times New Roman"/>
                <w:sz w:val="20"/>
                <w:szCs w:val="24"/>
                <w:lang w:val="ru-RU"/>
              </w:rPr>
              <w:t>д</w:t>
            </w:r>
            <w:r w:rsidRPr="00A77060">
              <w:rPr>
                <w:rFonts w:ascii="Calibri Light" w:hAnsi="Calibri Light" w:cs="Times New Roman"/>
                <w:sz w:val="20"/>
                <w:szCs w:val="24"/>
                <w:lang w:val="ru-RU"/>
              </w:rPr>
              <w:t xml:space="preserve">жмента всех </w:t>
            </w:r>
            <w:r w:rsidRPr="00A77060">
              <w:rPr>
                <w:rFonts w:ascii="Calibri Light" w:hAnsi="Calibri Light" w:cstheme="majorHAnsi"/>
                <w:sz w:val="20"/>
                <w:szCs w:val="20"/>
                <w:lang w:val="ru-RU"/>
              </w:rPr>
              <w:t>государственны</w:t>
            </w:r>
            <w:r w:rsidRPr="00A77060">
              <w:rPr>
                <w:rFonts w:ascii="Calibri Light" w:hAnsi="Calibri Light" w:cs="Times New Roman"/>
                <w:sz w:val="20"/>
                <w:szCs w:val="24"/>
                <w:lang w:val="ru-RU"/>
              </w:rPr>
              <w:t>х капитальных расходо</w:t>
            </w:r>
            <w:r>
              <w:rPr>
                <w:rFonts w:ascii="Calibri Light" w:hAnsi="Calibri Light" w:cs="Times New Roman"/>
                <w:sz w:val="20"/>
                <w:szCs w:val="24"/>
                <w:lang w:val="ru-RU"/>
              </w:rPr>
              <w:t>в из Республики Молдова, котора</w:t>
            </w:r>
            <w:r w:rsidRPr="00A77060">
              <w:rPr>
                <w:rFonts w:ascii="Calibri Light" w:hAnsi="Calibri Light" w:cs="Times New Roman"/>
                <w:sz w:val="20"/>
                <w:szCs w:val="24"/>
                <w:lang w:val="ru-RU"/>
              </w:rPr>
              <w:t>я была согласована МВФ. Так, в октябре 2019 года в Республике Молдова находилась группа экспертов из МВФ, которая предоставила техническую помощь в процессе оценки системы мене</w:t>
            </w:r>
            <w:r>
              <w:rPr>
                <w:rFonts w:ascii="Calibri Light" w:hAnsi="Calibri Light" w:cs="Times New Roman"/>
                <w:sz w:val="20"/>
                <w:szCs w:val="24"/>
                <w:lang w:val="ru-RU"/>
              </w:rPr>
              <w:t>д</w:t>
            </w:r>
            <w:r w:rsidRPr="00A77060">
              <w:rPr>
                <w:rFonts w:ascii="Calibri Light" w:hAnsi="Calibri Light" w:cs="Times New Roman"/>
                <w:sz w:val="20"/>
                <w:szCs w:val="24"/>
                <w:lang w:val="ru-RU"/>
              </w:rPr>
              <w:t xml:space="preserve">жмента </w:t>
            </w:r>
            <w:r w:rsidRPr="00A77060">
              <w:rPr>
                <w:rFonts w:ascii="Calibri Light" w:hAnsi="Calibri Light" w:cstheme="majorHAnsi"/>
                <w:sz w:val="20"/>
                <w:szCs w:val="20"/>
                <w:lang w:val="ru-RU"/>
              </w:rPr>
              <w:t>государственных</w:t>
            </w:r>
            <w:r w:rsidRPr="00A77060">
              <w:rPr>
                <w:rFonts w:ascii="Calibri Light" w:hAnsi="Calibri Light" w:cs="Times New Roman"/>
                <w:sz w:val="20"/>
                <w:szCs w:val="24"/>
                <w:lang w:val="ru-RU"/>
              </w:rPr>
              <w:t xml:space="preserve"> инвестиций Республики Молдова (Public Investment Management Assessment - PIMA). В результате экспертизы был разработан предварительный Отчет, который показывает слабые и сильные стороны, существующие пробелы в системе менеджмента </w:t>
            </w:r>
            <w:r w:rsidRPr="00A77060">
              <w:rPr>
                <w:rFonts w:ascii="Calibri Light" w:hAnsi="Calibri Light" w:cstheme="majorHAnsi"/>
                <w:sz w:val="20"/>
                <w:szCs w:val="20"/>
                <w:lang w:val="ru-RU"/>
              </w:rPr>
              <w:t>государственных</w:t>
            </w:r>
            <w:r w:rsidRPr="00A77060">
              <w:rPr>
                <w:rFonts w:ascii="Calibri Light" w:hAnsi="Calibri Light" w:cs="Times New Roman"/>
                <w:sz w:val="20"/>
                <w:szCs w:val="24"/>
                <w:lang w:val="ru-RU"/>
              </w:rPr>
              <w:t xml:space="preserve"> капитальных расходов из Республики Молдова, а также рекомендации по улучшению, совершенствованию системы, в том числе действующей законодательной и нормативной базы. Соответственно, после представления окончательного Отчета PIMA, на основании всех направленных рекомендаций Министерство финансов вернется к разработке предложений по внесению изменений в </w:t>
            </w:r>
            <w:r w:rsidRPr="00A77060">
              <w:rPr>
                <w:rFonts w:ascii="Calibri Light" w:hAnsi="Calibri Light" w:cstheme="majorHAnsi"/>
                <w:sz w:val="20"/>
                <w:szCs w:val="20"/>
                <w:lang w:val="ru-RU"/>
              </w:rPr>
              <w:t xml:space="preserve">Постановление Правительства №1029/2013 </w:t>
            </w:r>
            <w:r w:rsidRPr="00A77060">
              <w:rPr>
                <w:rFonts w:ascii="Calibri Light" w:hAnsi="Calibri Light" w:cs="Times New Roman"/>
                <w:sz w:val="20"/>
                <w:szCs w:val="24"/>
                <w:lang w:val="ru-RU"/>
              </w:rPr>
              <w:t>„О</w:t>
            </w:r>
            <w:r w:rsidRPr="00A77060">
              <w:rPr>
                <w:rFonts w:ascii="Calibri Light" w:hAnsi="Calibri Light" w:cstheme="majorHAnsi"/>
                <w:sz w:val="20"/>
                <w:szCs w:val="20"/>
                <w:lang w:val="ru-RU"/>
              </w:rPr>
              <w:t xml:space="preserve"> государственных </w:t>
            </w:r>
            <w:r w:rsidRPr="00A77060">
              <w:rPr>
                <w:rFonts w:ascii="Calibri Light" w:eastAsia="Times New Roman" w:hAnsi="Calibri Light" w:cstheme="majorHAnsi"/>
                <w:bCs/>
                <w:color w:val="000000"/>
                <w:sz w:val="20"/>
                <w:szCs w:val="20"/>
                <w:lang w:val="ru-RU"/>
              </w:rPr>
              <w:t>капитальных вложениях</w:t>
            </w:r>
            <w:r w:rsidRPr="00A77060">
              <w:rPr>
                <w:rFonts w:ascii="Calibri Light" w:hAnsi="Calibri Light" w:cstheme="majorHAnsi"/>
                <w:sz w:val="20"/>
                <w:szCs w:val="20"/>
                <w:lang w:val="ru-RU"/>
              </w:rPr>
              <w:t xml:space="preserve">” и </w:t>
            </w:r>
            <w:r w:rsidRPr="00A77060">
              <w:rPr>
                <w:rFonts w:ascii="Calibri Light" w:hAnsi="Calibri Light" w:cstheme="majorHAnsi"/>
                <w:sz w:val="20"/>
                <w:szCs w:val="20"/>
                <w:lang w:val="ru-RU" w:bidi="ro-RO"/>
              </w:rPr>
              <w:t>в Приказ министра финансов №</w:t>
            </w:r>
            <w:r w:rsidRPr="00A77060">
              <w:rPr>
                <w:rFonts w:ascii="Calibri Light" w:hAnsi="Calibri Light" w:cs="Times New Roman"/>
                <w:sz w:val="20"/>
                <w:szCs w:val="24"/>
                <w:lang w:val="ru-RU"/>
              </w:rPr>
              <w:t xml:space="preserve">185/2015 „Об </w:t>
            </w:r>
            <w:r w:rsidRPr="00A77060">
              <w:rPr>
                <w:rFonts w:ascii="Calibri Light" w:hAnsi="Calibri Light" w:cstheme="majorHAnsi"/>
                <w:sz w:val="20"/>
                <w:szCs w:val="20"/>
                <w:lang w:val="ru-RU" w:bidi="ro-RO"/>
              </w:rPr>
              <w:t>утверждении Инструкции о менеджменте проектов по капитальным инвестициям</w:t>
            </w:r>
            <w:r w:rsidRPr="00A77060">
              <w:rPr>
                <w:rFonts w:ascii="Calibri Light" w:hAnsi="Calibri Light" w:cs="Times New Roman"/>
                <w:sz w:val="20"/>
                <w:szCs w:val="24"/>
                <w:lang w:val="ru-RU"/>
              </w:rPr>
              <w:t xml:space="preserve">”. </w:t>
            </w:r>
          </w:p>
          <w:p w:rsidR="006F53B7" w:rsidRPr="00A77060" w:rsidRDefault="006F53B7" w:rsidP="004D2946">
            <w:pPr>
              <w:spacing w:after="0"/>
              <w:rPr>
                <w:rFonts w:ascii="Calibri Light" w:eastAsia="Times New Roman" w:hAnsi="Calibri Light" w:cstheme="majorHAnsi"/>
                <w:bCs/>
                <w:color w:val="000000"/>
                <w:sz w:val="20"/>
                <w:szCs w:val="20"/>
                <w:lang w:val="ru-RU"/>
              </w:rPr>
            </w:pPr>
            <w:r w:rsidRPr="00A77060">
              <w:rPr>
                <w:rFonts w:ascii="Calibri Light" w:eastAsia="Calibri" w:hAnsi="Calibri Light" w:cs="Times New Roman"/>
                <w:sz w:val="20"/>
                <w:szCs w:val="24"/>
                <w:lang w:val="ru-RU" w:eastAsia="ru-RU"/>
              </w:rPr>
              <w:t xml:space="preserve">В настоящее время в организационных структурах центральных публичных органов отсутствуют подразделения, которые управляют проектами </w:t>
            </w:r>
            <w:r w:rsidRPr="00A77060">
              <w:rPr>
                <w:rFonts w:ascii="Calibri Light" w:hAnsi="Calibri Light" w:cstheme="majorHAnsi"/>
                <w:sz w:val="20"/>
                <w:szCs w:val="20"/>
                <w:lang w:val="ru-RU"/>
              </w:rPr>
              <w:t xml:space="preserve">капитальных инвестиций и, соответственно, отсутствует возможность по внедрению положений Постановления Правительства №1029/2013 </w:t>
            </w:r>
            <w:r w:rsidRPr="00A77060">
              <w:rPr>
                <w:rFonts w:ascii="Calibri Light" w:eastAsia="Calibri" w:hAnsi="Calibri Light" w:cs="Times New Roman"/>
                <w:sz w:val="20"/>
                <w:szCs w:val="24"/>
                <w:lang w:val="ru-RU" w:eastAsia="ru-RU"/>
              </w:rPr>
              <w:t>„О</w:t>
            </w:r>
            <w:r w:rsidRPr="00A77060">
              <w:rPr>
                <w:rFonts w:ascii="Calibri Light" w:hAnsi="Calibri Light" w:cstheme="majorHAnsi"/>
                <w:sz w:val="20"/>
                <w:szCs w:val="20"/>
                <w:lang w:val="ru-RU"/>
              </w:rPr>
              <w:t xml:space="preserve"> государственных </w:t>
            </w:r>
            <w:r w:rsidRPr="00A77060">
              <w:rPr>
                <w:rFonts w:ascii="Calibri Light" w:eastAsia="Times New Roman" w:hAnsi="Calibri Light" w:cstheme="majorHAnsi"/>
                <w:bCs/>
                <w:color w:val="000000"/>
                <w:sz w:val="20"/>
                <w:szCs w:val="20"/>
                <w:lang w:val="ru-RU"/>
              </w:rPr>
              <w:t>капитальных вложениях</w:t>
            </w:r>
            <w:r w:rsidRPr="00A77060">
              <w:rPr>
                <w:rFonts w:ascii="Calibri Light" w:eastAsia="Calibri" w:hAnsi="Calibri Light" w:cs="Times New Roman"/>
                <w:sz w:val="20"/>
                <w:szCs w:val="24"/>
                <w:lang w:val="ru-RU" w:eastAsia="ru-RU"/>
              </w:rPr>
              <w:t xml:space="preserve">”. </w:t>
            </w:r>
            <w:r w:rsidRPr="00A77060">
              <w:rPr>
                <w:rFonts w:ascii="Calibri Light" w:eastAsia="Calibri" w:hAnsi="Calibri Light" w:cs="Times New Roman"/>
                <w:sz w:val="20"/>
                <w:szCs w:val="24"/>
                <w:lang w:val="ru-RU" w:eastAsia="ru-RU"/>
              </w:rPr>
              <w:lastRenderedPageBreak/>
              <w:t xml:space="preserve">Одновременно, </w:t>
            </w:r>
            <w:r w:rsidRPr="00A77060">
              <w:rPr>
                <w:rFonts w:ascii="Calibri Light" w:hAnsi="Calibri Light" w:cstheme="majorHAnsi"/>
                <w:sz w:val="20"/>
                <w:szCs w:val="20"/>
                <w:lang w:val="ru-RU"/>
              </w:rPr>
              <w:t>положения Постановления Правительства №</w:t>
            </w:r>
            <w:r w:rsidRPr="00A77060">
              <w:rPr>
                <w:rFonts w:ascii="Calibri Light" w:eastAsia="Calibri" w:hAnsi="Calibri Light" w:cs="Times New Roman"/>
                <w:sz w:val="20"/>
                <w:szCs w:val="24"/>
                <w:lang w:val="ru-RU" w:eastAsia="ru-RU"/>
              </w:rPr>
              <w:t xml:space="preserve">1029/2013 не применяются ко всем источникам финансирования расходов по </w:t>
            </w:r>
            <w:r w:rsidRPr="00A77060">
              <w:rPr>
                <w:rFonts w:ascii="Calibri Light" w:hAnsi="Calibri Light" w:cstheme="majorHAnsi"/>
                <w:sz w:val="20"/>
                <w:szCs w:val="20"/>
                <w:lang w:val="ru-RU"/>
              </w:rPr>
              <w:t xml:space="preserve">государственным </w:t>
            </w:r>
            <w:r w:rsidRPr="00A77060">
              <w:rPr>
                <w:rFonts w:ascii="Calibri Light" w:eastAsia="Times New Roman" w:hAnsi="Calibri Light" w:cstheme="majorHAnsi"/>
                <w:bCs/>
                <w:color w:val="000000"/>
                <w:sz w:val="20"/>
                <w:szCs w:val="20"/>
                <w:lang w:val="ru-RU"/>
              </w:rPr>
              <w:t xml:space="preserve">капитальным вложениям и, в частности, исполненных посредством фондов развития и субсидий. </w:t>
            </w:r>
          </w:p>
          <w:p w:rsidR="006F53B7" w:rsidRPr="00A77060" w:rsidRDefault="006F53B7" w:rsidP="004D2946">
            <w:pPr>
              <w:spacing w:after="0"/>
              <w:rPr>
                <w:rFonts w:ascii="Calibri Light" w:eastAsia="Times New Roman" w:hAnsi="Calibri Light" w:cstheme="majorHAnsi"/>
                <w:bCs/>
                <w:color w:val="000000"/>
                <w:sz w:val="20"/>
                <w:szCs w:val="20"/>
                <w:lang w:val="ru-RU"/>
              </w:rPr>
            </w:pPr>
            <w:r w:rsidRPr="00A77060">
              <w:rPr>
                <w:rFonts w:ascii="Calibri Light" w:eastAsia="Times New Roman" w:hAnsi="Calibri Light" w:cstheme="majorHAnsi"/>
                <w:bCs/>
                <w:color w:val="000000"/>
                <w:sz w:val="20"/>
                <w:szCs w:val="20"/>
                <w:lang w:val="ru-RU"/>
              </w:rPr>
              <w:t xml:space="preserve">Согласно рекомендации СПРМ, МФ должно обеспечить соблюдение положений существующих нормативных актов, которые устанавливают методологию по прозрачности и эффективности планирования, внедрения и управления </w:t>
            </w:r>
            <w:r w:rsidRPr="00A77060">
              <w:rPr>
                <w:rFonts w:ascii="Calibri Light" w:hAnsi="Calibri Light" w:cstheme="majorHAnsi"/>
                <w:sz w:val="20"/>
                <w:szCs w:val="20"/>
                <w:lang w:val="ru-RU"/>
              </w:rPr>
              <w:t>государственными</w:t>
            </w:r>
            <w:r w:rsidRPr="00A77060">
              <w:rPr>
                <w:rFonts w:ascii="Calibri Light" w:hAnsi="Calibri Light" w:cs="Times New Roman"/>
                <w:sz w:val="20"/>
                <w:szCs w:val="24"/>
                <w:lang w:val="ru-RU"/>
              </w:rPr>
              <w:t xml:space="preserve"> капитальными вложениями и которые четко предусматривают полномочия МФ на всех этапах их исполнения.</w:t>
            </w:r>
          </w:p>
          <w:p w:rsidR="006F53B7" w:rsidRPr="00A77060" w:rsidRDefault="006F53B7" w:rsidP="004D2946">
            <w:pPr>
              <w:spacing w:after="0"/>
              <w:rPr>
                <w:rFonts w:ascii="Calibri Light" w:eastAsia="Calibri" w:hAnsi="Calibri Light" w:cs="Times New Roman"/>
                <w:sz w:val="20"/>
                <w:szCs w:val="24"/>
                <w:lang w:val="ru-RU" w:eastAsia="ru-RU"/>
              </w:rPr>
            </w:pPr>
          </w:p>
        </w:tc>
        <w:tc>
          <w:tcPr>
            <w:tcW w:w="993"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rPr>
                <w:rFonts w:ascii="Calibri Light" w:eastAsia="Calibri" w:hAnsi="Calibri Light" w:cstheme="majorHAnsi"/>
                <w:sz w:val="20"/>
                <w:szCs w:val="20"/>
                <w:lang w:val="ru-RU"/>
              </w:rPr>
            </w:pPr>
          </w:p>
        </w:tc>
        <w:tc>
          <w:tcPr>
            <w:tcW w:w="992"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jc w:val="center"/>
              <w:rPr>
                <w:rFonts w:ascii="Calibri Light" w:eastAsia="Calibri" w:hAnsi="Calibri Light" w:cstheme="majorHAnsi"/>
                <w:sz w:val="20"/>
                <w:szCs w:val="20"/>
                <w:lang w:val="ru-RU"/>
              </w:rPr>
            </w:pPr>
            <w:r w:rsidRPr="00A77060">
              <w:rPr>
                <w:rFonts w:ascii="Calibri Light" w:eastAsia="Calibri" w:hAnsi="Calibri Light" w:cstheme="majorHAnsi"/>
                <w:sz w:val="20"/>
                <w:szCs w:val="20"/>
                <w:lang w:val="ru-RU"/>
              </w:rPr>
              <w:t>v</w:t>
            </w:r>
          </w:p>
        </w:tc>
        <w:tc>
          <w:tcPr>
            <w:tcW w:w="992"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jc w:val="center"/>
              <w:rPr>
                <w:rFonts w:ascii="Calibri Light" w:eastAsia="Calibri" w:hAnsi="Calibri Light" w:cstheme="majorHAnsi"/>
                <w:sz w:val="20"/>
                <w:szCs w:val="20"/>
                <w:lang w:val="ru-RU"/>
              </w:rPr>
            </w:pPr>
          </w:p>
        </w:tc>
      </w:tr>
      <w:tr w:rsidR="006F53B7" w:rsidRPr="00A77060" w:rsidTr="004D2946">
        <w:trPr>
          <w:trHeight w:val="1870"/>
        </w:trPr>
        <w:tc>
          <w:tcPr>
            <w:tcW w:w="5671" w:type="dxa"/>
            <w:tcBorders>
              <w:top w:val="single" w:sz="8" w:space="0" w:color="auto"/>
              <w:left w:val="single" w:sz="8" w:space="0" w:color="auto"/>
              <w:bottom w:val="single" w:sz="8" w:space="0" w:color="auto"/>
              <w:right w:val="single" w:sz="8" w:space="0" w:color="auto"/>
            </w:tcBorders>
            <w:shd w:val="clear" w:color="auto" w:fill="auto"/>
          </w:tcPr>
          <w:p w:rsidR="006F53B7" w:rsidRPr="00A77060" w:rsidRDefault="006F53B7" w:rsidP="004D2946">
            <w:pPr>
              <w:spacing w:after="0" w:line="240" w:lineRule="auto"/>
              <w:rPr>
                <w:rFonts w:ascii="Calibri Light" w:hAnsi="Calibri Light" w:cstheme="majorHAnsi"/>
                <w:sz w:val="20"/>
                <w:szCs w:val="20"/>
                <w:lang w:val="ru-RU"/>
              </w:rPr>
            </w:pPr>
            <w:r w:rsidRPr="00A77060">
              <w:rPr>
                <w:rFonts w:ascii="Calibri Light" w:hAnsi="Calibri Light" w:cstheme="majorHAnsi"/>
                <w:b/>
                <w:i/>
                <w:sz w:val="20"/>
                <w:szCs w:val="20"/>
                <w:lang w:val="ru-RU"/>
              </w:rPr>
              <w:t xml:space="preserve">Рекомендация №6. </w:t>
            </w:r>
            <w:r w:rsidRPr="00A77060">
              <w:rPr>
                <w:rFonts w:ascii="Calibri Light" w:hAnsi="Calibri Light" w:cstheme="majorHAnsi"/>
                <w:sz w:val="20"/>
                <w:szCs w:val="20"/>
                <w:lang w:val="ru-RU"/>
              </w:rPr>
              <w:t>Обеспечить включение и представление в составе и формате форм Годового отчета об исполнении государственного бюджета консолидированной информации, связанной с финансовыми отчетами ЦПО и АТЕ, в частности, с имущественными ситуациями, отраженной в Бухгалтерском балансе (констатация из раздела 4.2.9)</w:t>
            </w:r>
          </w:p>
        </w:tc>
        <w:tc>
          <w:tcPr>
            <w:tcW w:w="6378" w:type="dxa"/>
            <w:tcBorders>
              <w:top w:val="single" w:sz="8" w:space="0" w:color="auto"/>
              <w:left w:val="nil"/>
              <w:bottom w:val="single" w:sz="8" w:space="0" w:color="auto"/>
              <w:right w:val="single" w:sz="8" w:space="0" w:color="auto"/>
            </w:tcBorders>
            <w:shd w:val="clear" w:color="auto" w:fill="auto"/>
          </w:tcPr>
          <w:p w:rsidR="006F53B7" w:rsidRPr="00A77060" w:rsidRDefault="006F53B7" w:rsidP="004D2946">
            <w:pPr>
              <w:spacing w:after="0"/>
              <w:rPr>
                <w:rFonts w:ascii="Calibri Light" w:eastAsia="Times New Roman" w:hAnsi="Calibri Light" w:cstheme="majorHAnsi"/>
                <w:sz w:val="20"/>
                <w:szCs w:val="20"/>
                <w:lang w:val="ru-RU"/>
              </w:rPr>
            </w:pPr>
            <w:r w:rsidRPr="00A77060">
              <w:rPr>
                <w:rFonts w:ascii="Calibri Light" w:eastAsia="Times New Roman" w:hAnsi="Calibri Light" w:cs="Times New Roman"/>
                <w:sz w:val="20"/>
                <w:szCs w:val="24"/>
                <w:lang w:val="ru-RU" w:eastAsia="ru-RU"/>
              </w:rPr>
              <w:t xml:space="preserve">Начиная с Отчета за 2018 год, в </w:t>
            </w:r>
            <w:r w:rsidRPr="00A77060">
              <w:rPr>
                <w:rFonts w:ascii="Calibri Light" w:hAnsi="Calibri Light" w:cstheme="majorHAnsi"/>
                <w:sz w:val="20"/>
                <w:szCs w:val="20"/>
                <w:lang w:val="ru-RU"/>
              </w:rPr>
              <w:t xml:space="preserve">Годовой отчет об исполнении государственного бюджета, представляемый Правительству, включена информация об активах центральных публичных органов (основные средства, запасы оборотных материалов, незавершенная продукция, земельные участки, акции и другие формы участия в капитале внутри страны) лишь в </w:t>
            </w:r>
            <w:r w:rsidRPr="00A77060">
              <w:rPr>
                <w:rFonts w:ascii="Calibri Light" w:eastAsia="Times New Roman" w:hAnsi="Calibri Light" w:cstheme="majorHAnsi"/>
                <w:sz w:val="20"/>
                <w:szCs w:val="20"/>
                <w:lang w:val="ru-RU"/>
              </w:rPr>
              <w:t xml:space="preserve">Пояснительную записку, не была разработана Форма. </w:t>
            </w:r>
          </w:p>
        </w:tc>
        <w:tc>
          <w:tcPr>
            <w:tcW w:w="993"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rPr>
                <w:rFonts w:ascii="Calibri Light" w:eastAsia="Calibri" w:hAnsi="Calibri Light" w:cstheme="majorHAnsi"/>
                <w:sz w:val="20"/>
                <w:szCs w:val="20"/>
                <w:lang w:val="ru-RU"/>
              </w:rPr>
            </w:pPr>
          </w:p>
        </w:tc>
        <w:tc>
          <w:tcPr>
            <w:tcW w:w="992"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jc w:val="center"/>
              <w:rPr>
                <w:rFonts w:ascii="Calibri Light" w:eastAsia="Calibri" w:hAnsi="Calibri Light" w:cstheme="majorHAnsi"/>
                <w:sz w:val="20"/>
                <w:szCs w:val="20"/>
                <w:lang w:val="ru-RU"/>
              </w:rPr>
            </w:pPr>
            <w:r w:rsidRPr="00A77060">
              <w:rPr>
                <w:rFonts w:ascii="Calibri Light" w:eastAsia="Calibri" w:hAnsi="Calibri Light" w:cstheme="majorHAnsi"/>
                <w:sz w:val="20"/>
                <w:szCs w:val="20"/>
                <w:lang w:val="ru-RU"/>
              </w:rPr>
              <w:t>v</w:t>
            </w:r>
          </w:p>
        </w:tc>
        <w:tc>
          <w:tcPr>
            <w:tcW w:w="992" w:type="dxa"/>
            <w:tcBorders>
              <w:top w:val="single" w:sz="8" w:space="0" w:color="auto"/>
              <w:left w:val="nil"/>
              <w:bottom w:val="single" w:sz="8" w:space="0" w:color="auto"/>
              <w:right w:val="single" w:sz="8" w:space="0" w:color="auto"/>
            </w:tcBorders>
          </w:tcPr>
          <w:p w:rsidR="006F53B7" w:rsidRPr="00A77060" w:rsidRDefault="006F53B7" w:rsidP="004D2946">
            <w:pPr>
              <w:spacing w:after="0" w:line="240" w:lineRule="auto"/>
              <w:jc w:val="center"/>
              <w:rPr>
                <w:rFonts w:ascii="Calibri Light" w:eastAsia="Calibri" w:hAnsi="Calibri Light" w:cstheme="majorHAnsi"/>
                <w:sz w:val="20"/>
                <w:szCs w:val="20"/>
                <w:lang w:val="ru-RU"/>
              </w:rPr>
            </w:pPr>
          </w:p>
        </w:tc>
      </w:tr>
    </w:tbl>
    <w:p w:rsidR="006F53B7" w:rsidRPr="00A77060" w:rsidRDefault="006F53B7" w:rsidP="006F53B7">
      <w:pPr>
        <w:jc w:val="left"/>
        <w:rPr>
          <w:rFonts w:ascii="Calibri Light" w:hAnsi="Calibri Light" w:cstheme="majorHAnsi"/>
          <w:b/>
          <w:i/>
          <w:sz w:val="20"/>
          <w:szCs w:val="20"/>
          <w:lang w:val="ru-RU"/>
        </w:rPr>
      </w:pPr>
    </w:p>
    <w:p w:rsidR="006F53B7" w:rsidRPr="00A77060" w:rsidRDefault="006F53B7" w:rsidP="006F53B7">
      <w:pPr>
        <w:spacing w:line="276" w:lineRule="auto"/>
        <w:jc w:val="right"/>
        <w:rPr>
          <w:rFonts w:ascii="Calibri Light" w:eastAsia="Times New Roman" w:hAnsi="Calibri Light" w:cstheme="majorHAnsi"/>
          <w:b/>
          <w:sz w:val="16"/>
          <w:szCs w:val="16"/>
          <w:lang w:val="ru-RU"/>
        </w:rPr>
      </w:pPr>
    </w:p>
    <w:p w:rsidR="006F53B7" w:rsidRPr="00A77060" w:rsidRDefault="006F53B7" w:rsidP="006F53B7">
      <w:pPr>
        <w:spacing w:line="276" w:lineRule="auto"/>
        <w:jc w:val="right"/>
        <w:rPr>
          <w:rFonts w:ascii="Calibri Light" w:eastAsia="Times New Roman" w:hAnsi="Calibri Light" w:cstheme="majorHAnsi"/>
          <w:b/>
          <w:sz w:val="24"/>
          <w:szCs w:val="24"/>
          <w:lang w:val="ru-RU"/>
        </w:rPr>
      </w:pPr>
      <w:r w:rsidRPr="00A77060">
        <w:rPr>
          <w:rFonts w:ascii="Calibri Light" w:eastAsia="Times New Roman" w:hAnsi="Calibri Light" w:cstheme="majorHAnsi"/>
          <w:b/>
          <w:sz w:val="24"/>
          <w:szCs w:val="24"/>
          <w:lang w:val="ru-RU"/>
        </w:rPr>
        <w:t>Приложение №5</w:t>
      </w:r>
    </w:p>
    <w:p w:rsidR="006F53B7" w:rsidRPr="00A77060" w:rsidRDefault="006F53B7" w:rsidP="006F53B7">
      <w:pPr>
        <w:tabs>
          <w:tab w:val="left" w:pos="993"/>
        </w:tabs>
        <w:spacing w:after="0" w:line="276" w:lineRule="auto"/>
        <w:ind w:firstLine="540"/>
        <w:jc w:val="center"/>
        <w:outlineLvl w:val="2"/>
        <w:rPr>
          <w:rFonts w:ascii="Calibri Light" w:hAnsi="Calibri Light" w:cs="Calibri Light"/>
          <w:b/>
          <w:sz w:val="24"/>
          <w:szCs w:val="24"/>
          <w:lang w:val="ru-RU"/>
        </w:rPr>
      </w:pPr>
      <w:r w:rsidRPr="00A77060">
        <w:rPr>
          <w:rFonts w:ascii="Calibri Light" w:eastAsia="Times New Roman" w:hAnsi="Calibri Light" w:cstheme="majorHAnsi"/>
          <w:b/>
          <w:bCs/>
          <w:sz w:val="24"/>
          <w:szCs w:val="24"/>
          <w:lang w:val="ru-RU"/>
        </w:rPr>
        <w:t xml:space="preserve">Свод субсидий, исполненных из ГБ в 2020 году, и остатки денежных средств, накопленные бенефициарами субсидий </w:t>
      </w:r>
    </w:p>
    <w:tbl>
      <w:tblPr>
        <w:tblW w:w="15451" w:type="dxa"/>
        <w:tblInd w:w="-601" w:type="dxa"/>
        <w:tblLayout w:type="fixed"/>
        <w:tblLook w:val="04A0" w:firstRow="1" w:lastRow="0" w:firstColumn="1" w:lastColumn="0" w:noHBand="0" w:noVBand="1"/>
      </w:tblPr>
      <w:tblGrid>
        <w:gridCol w:w="469"/>
        <w:gridCol w:w="1942"/>
        <w:gridCol w:w="709"/>
        <w:gridCol w:w="1171"/>
        <w:gridCol w:w="1171"/>
        <w:gridCol w:w="1171"/>
        <w:gridCol w:w="1171"/>
        <w:gridCol w:w="1127"/>
        <w:gridCol w:w="1134"/>
        <w:gridCol w:w="992"/>
        <w:gridCol w:w="1276"/>
        <w:gridCol w:w="1134"/>
        <w:gridCol w:w="992"/>
        <w:gridCol w:w="992"/>
      </w:tblGrid>
      <w:tr w:rsidR="006F53B7" w:rsidRPr="00A77060" w:rsidTr="004D2946">
        <w:trPr>
          <w:trHeight w:val="288"/>
        </w:trPr>
        <w:tc>
          <w:tcPr>
            <w:tcW w:w="469" w:type="dxa"/>
            <w:tcBorders>
              <w:top w:val="nil"/>
              <w:left w:val="nil"/>
              <w:bottom w:val="nil"/>
              <w:right w:val="nil"/>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sz w:val="18"/>
                <w:szCs w:val="18"/>
                <w:lang w:val="ru-RU"/>
              </w:rPr>
            </w:pPr>
          </w:p>
        </w:tc>
        <w:tc>
          <w:tcPr>
            <w:tcW w:w="1942" w:type="dxa"/>
            <w:tcBorders>
              <w:top w:val="nil"/>
              <w:left w:val="nil"/>
              <w:bottom w:val="nil"/>
              <w:right w:val="nil"/>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sz w:val="18"/>
                <w:szCs w:val="18"/>
                <w:lang w:val="ru-RU"/>
              </w:rPr>
            </w:pPr>
          </w:p>
        </w:tc>
        <w:tc>
          <w:tcPr>
            <w:tcW w:w="709" w:type="dxa"/>
            <w:tcBorders>
              <w:top w:val="nil"/>
              <w:left w:val="nil"/>
              <w:bottom w:val="nil"/>
              <w:right w:val="nil"/>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sz w:val="18"/>
                <w:szCs w:val="18"/>
                <w:lang w:val="ru-RU"/>
              </w:rPr>
            </w:pPr>
          </w:p>
        </w:tc>
        <w:tc>
          <w:tcPr>
            <w:tcW w:w="1171" w:type="dxa"/>
            <w:tcBorders>
              <w:top w:val="nil"/>
              <w:left w:val="nil"/>
              <w:bottom w:val="nil"/>
              <w:right w:val="nil"/>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sz w:val="18"/>
                <w:szCs w:val="18"/>
                <w:lang w:val="ru-RU"/>
              </w:rPr>
            </w:pPr>
          </w:p>
        </w:tc>
        <w:tc>
          <w:tcPr>
            <w:tcW w:w="1171" w:type="dxa"/>
            <w:tcBorders>
              <w:top w:val="nil"/>
              <w:left w:val="nil"/>
              <w:bottom w:val="nil"/>
              <w:right w:val="nil"/>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sz w:val="18"/>
                <w:szCs w:val="18"/>
                <w:lang w:val="ru-RU"/>
              </w:rPr>
            </w:pPr>
          </w:p>
        </w:tc>
        <w:tc>
          <w:tcPr>
            <w:tcW w:w="1171" w:type="dxa"/>
            <w:tcBorders>
              <w:top w:val="nil"/>
              <w:left w:val="nil"/>
              <w:bottom w:val="nil"/>
              <w:right w:val="nil"/>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sz w:val="18"/>
                <w:szCs w:val="18"/>
                <w:lang w:val="ru-RU"/>
              </w:rPr>
            </w:pPr>
          </w:p>
        </w:tc>
        <w:tc>
          <w:tcPr>
            <w:tcW w:w="1171" w:type="dxa"/>
            <w:tcBorders>
              <w:top w:val="nil"/>
              <w:left w:val="nil"/>
              <w:bottom w:val="nil"/>
              <w:right w:val="nil"/>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sz w:val="18"/>
                <w:szCs w:val="18"/>
                <w:lang w:val="ru-RU"/>
              </w:rPr>
            </w:pPr>
          </w:p>
        </w:tc>
        <w:tc>
          <w:tcPr>
            <w:tcW w:w="1127" w:type="dxa"/>
            <w:tcBorders>
              <w:top w:val="nil"/>
              <w:left w:val="nil"/>
              <w:bottom w:val="nil"/>
              <w:right w:val="nil"/>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sz w:val="18"/>
                <w:szCs w:val="18"/>
                <w:lang w:val="ru-RU"/>
              </w:rPr>
            </w:pPr>
          </w:p>
        </w:tc>
        <w:tc>
          <w:tcPr>
            <w:tcW w:w="1134" w:type="dxa"/>
            <w:tcBorders>
              <w:top w:val="nil"/>
              <w:left w:val="nil"/>
              <w:bottom w:val="nil"/>
              <w:right w:val="nil"/>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sz w:val="18"/>
                <w:szCs w:val="18"/>
                <w:lang w:val="ru-RU"/>
              </w:rPr>
            </w:pPr>
          </w:p>
        </w:tc>
        <w:tc>
          <w:tcPr>
            <w:tcW w:w="992" w:type="dxa"/>
            <w:tcBorders>
              <w:top w:val="nil"/>
              <w:left w:val="nil"/>
              <w:bottom w:val="nil"/>
              <w:right w:val="nil"/>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sz w:val="18"/>
                <w:szCs w:val="18"/>
                <w:lang w:val="ru-RU"/>
              </w:rPr>
            </w:pPr>
          </w:p>
        </w:tc>
        <w:tc>
          <w:tcPr>
            <w:tcW w:w="1276" w:type="dxa"/>
            <w:tcBorders>
              <w:top w:val="nil"/>
              <w:left w:val="nil"/>
              <w:bottom w:val="nil"/>
              <w:right w:val="nil"/>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sz w:val="18"/>
                <w:szCs w:val="18"/>
                <w:lang w:val="ru-RU"/>
              </w:rPr>
            </w:pPr>
          </w:p>
        </w:tc>
        <w:tc>
          <w:tcPr>
            <w:tcW w:w="1134" w:type="dxa"/>
            <w:tcBorders>
              <w:top w:val="nil"/>
              <w:left w:val="nil"/>
              <w:bottom w:val="nil"/>
              <w:right w:val="nil"/>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sz w:val="18"/>
                <w:szCs w:val="18"/>
                <w:lang w:val="ru-RU"/>
              </w:rPr>
            </w:pPr>
          </w:p>
        </w:tc>
        <w:tc>
          <w:tcPr>
            <w:tcW w:w="992" w:type="dxa"/>
            <w:tcBorders>
              <w:top w:val="nil"/>
              <w:left w:val="nil"/>
              <w:bottom w:val="nil"/>
              <w:right w:val="nil"/>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sz w:val="18"/>
                <w:szCs w:val="18"/>
                <w:lang w:val="ru-RU"/>
              </w:rPr>
            </w:pPr>
          </w:p>
        </w:tc>
        <w:tc>
          <w:tcPr>
            <w:tcW w:w="992" w:type="dxa"/>
            <w:tcBorders>
              <w:top w:val="nil"/>
              <w:left w:val="nil"/>
              <w:bottom w:val="nil"/>
              <w:right w:val="nil"/>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4"/>
                <w:szCs w:val="24"/>
                <w:lang w:val="ru-RU"/>
              </w:rPr>
            </w:pPr>
            <w:r w:rsidRPr="00A77060">
              <w:rPr>
                <w:rFonts w:ascii="Calibri Light" w:eastAsia="Times New Roman" w:hAnsi="Calibri Light" w:cstheme="majorHAnsi"/>
                <w:b/>
                <w:bCs/>
                <w:color w:val="000000"/>
                <w:sz w:val="24"/>
                <w:szCs w:val="24"/>
                <w:lang w:val="ru-RU"/>
              </w:rPr>
              <w:t>(тыс. леев)</w:t>
            </w:r>
          </w:p>
        </w:tc>
      </w:tr>
      <w:tr w:rsidR="006F53B7" w:rsidRPr="007071A4" w:rsidTr="004D2946">
        <w:trPr>
          <w:trHeight w:val="1056"/>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 п/п</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Учреждение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Код</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Утверждено</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Уточнено</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Исполнено</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 xml:space="preserve">Исполнено согласно Отчета учреждения </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08"/>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 xml:space="preserve">Окончатель-ный остаток, отраженный в предыду-щем году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Остаток на 01.01.2020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Отклоне-ния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 xml:space="preserve">Исполненные расходы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 xml:space="preserve">Фактичес-кие расходы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Остаток денеж-ных средств на  31.12.2020</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Остаток, пересчи-танный  аудиторс-кой группой</w:t>
            </w:r>
          </w:p>
        </w:tc>
      </w:tr>
      <w:tr w:rsidR="006F53B7" w:rsidRPr="00A77060" w:rsidTr="004D2946">
        <w:trPr>
          <w:trHeight w:val="288"/>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b/>
                <w:bCs/>
                <w:color w:val="000000"/>
                <w:sz w:val="18"/>
                <w:szCs w:val="18"/>
                <w:lang w:val="ru-RU"/>
              </w:rPr>
            </w:pPr>
          </w:p>
        </w:tc>
        <w:tc>
          <w:tcPr>
            <w:tcW w:w="194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2</w:t>
            </w:r>
          </w:p>
        </w:tc>
        <w:tc>
          <w:tcPr>
            <w:tcW w:w="117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3</w:t>
            </w:r>
          </w:p>
        </w:tc>
        <w:tc>
          <w:tcPr>
            <w:tcW w:w="117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4</w:t>
            </w:r>
          </w:p>
        </w:tc>
        <w:tc>
          <w:tcPr>
            <w:tcW w:w="117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5</w:t>
            </w:r>
          </w:p>
        </w:tc>
        <w:tc>
          <w:tcPr>
            <w:tcW w:w="117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6</w:t>
            </w:r>
          </w:p>
        </w:tc>
        <w:tc>
          <w:tcPr>
            <w:tcW w:w="1127"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9=8-7</w:t>
            </w:r>
          </w:p>
        </w:tc>
        <w:tc>
          <w:tcPr>
            <w:tcW w:w="1276"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13=6+8-10</w:t>
            </w:r>
          </w:p>
        </w:tc>
      </w:tr>
      <w:tr w:rsidR="006F53B7" w:rsidRPr="00A77060" w:rsidTr="004D2946">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1</w:t>
            </w:r>
          </w:p>
        </w:tc>
        <w:tc>
          <w:tcPr>
            <w:tcW w:w="194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 xml:space="preserve">Государственная канцелярия  </w:t>
            </w:r>
          </w:p>
        </w:tc>
        <w:tc>
          <w:tcPr>
            <w:tcW w:w="709"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0201</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107.922,00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102.174,10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ind w:left="-41" w:hanging="142"/>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98.784,89</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98.784,90</w:t>
            </w:r>
          </w:p>
        </w:tc>
        <w:tc>
          <w:tcPr>
            <w:tcW w:w="1127"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33.771,60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33.771,60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99.270,30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101.946,00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33.286,20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33.286,20</w:t>
            </w:r>
          </w:p>
        </w:tc>
      </w:tr>
      <w:tr w:rsidR="006F53B7" w:rsidRPr="00A77060" w:rsidTr="004D2946">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2</w:t>
            </w:r>
          </w:p>
        </w:tc>
        <w:tc>
          <w:tcPr>
            <w:tcW w:w="194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 xml:space="preserve">Министерство финансов </w:t>
            </w:r>
          </w:p>
        </w:tc>
        <w:tc>
          <w:tcPr>
            <w:tcW w:w="709"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0203</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624,90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200,00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127"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r>
      <w:tr w:rsidR="006F53B7" w:rsidRPr="00A77060" w:rsidTr="004D2946">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3</w:t>
            </w:r>
          </w:p>
        </w:tc>
        <w:tc>
          <w:tcPr>
            <w:tcW w:w="194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 xml:space="preserve">Министерство экономики и инфраструктуры </w:t>
            </w:r>
          </w:p>
        </w:tc>
        <w:tc>
          <w:tcPr>
            <w:tcW w:w="709"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0218</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1.954.567,40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3.257.679,90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3.006.479,70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3.006.479,70</w:t>
            </w:r>
          </w:p>
        </w:tc>
        <w:tc>
          <w:tcPr>
            <w:tcW w:w="1127" w:type="dxa"/>
            <w:tcBorders>
              <w:top w:val="nil"/>
              <w:left w:val="nil"/>
              <w:bottom w:val="single" w:sz="4" w:space="0" w:color="auto"/>
              <w:right w:val="single" w:sz="4" w:space="0" w:color="auto"/>
            </w:tcBorders>
            <w:shd w:val="clear" w:color="000000" w:fill="FFFFFF"/>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144.585,80</w:t>
            </w:r>
          </w:p>
        </w:tc>
        <w:tc>
          <w:tcPr>
            <w:tcW w:w="1134" w:type="dxa"/>
            <w:tcBorders>
              <w:top w:val="nil"/>
              <w:left w:val="nil"/>
              <w:bottom w:val="single" w:sz="4" w:space="0" w:color="auto"/>
              <w:right w:val="single" w:sz="4" w:space="0" w:color="auto"/>
            </w:tcBorders>
            <w:shd w:val="clear" w:color="000000" w:fill="FFFFFF"/>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144.585,80</w:t>
            </w:r>
          </w:p>
        </w:tc>
        <w:tc>
          <w:tcPr>
            <w:tcW w:w="992" w:type="dxa"/>
            <w:tcBorders>
              <w:top w:val="nil"/>
              <w:left w:val="nil"/>
              <w:bottom w:val="single" w:sz="4" w:space="0" w:color="auto"/>
              <w:right w:val="single" w:sz="4" w:space="0" w:color="auto"/>
            </w:tcBorders>
            <w:shd w:val="clear" w:color="000000" w:fill="FFFFFF"/>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2.967.981,30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ind w:hanging="108"/>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2.781.382,10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ind w:hanging="108"/>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182.984,60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ind w:hanging="108"/>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183.084,20</w:t>
            </w:r>
          </w:p>
        </w:tc>
      </w:tr>
      <w:tr w:rsidR="006F53B7" w:rsidRPr="00A77060" w:rsidTr="004D2946">
        <w:trPr>
          <w:trHeight w:val="564"/>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lastRenderedPageBreak/>
              <w:t>4</w:t>
            </w:r>
          </w:p>
        </w:tc>
        <w:tc>
          <w:tcPr>
            <w:tcW w:w="1942" w:type="dxa"/>
            <w:tcBorders>
              <w:top w:val="nil"/>
              <w:left w:val="nil"/>
              <w:bottom w:val="single" w:sz="4" w:space="0" w:color="auto"/>
              <w:right w:val="single" w:sz="4" w:space="0" w:color="auto"/>
            </w:tcBorders>
            <w:shd w:val="clear" w:color="auto" w:fill="auto"/>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18"/>
                <w:szCs w:val="18"/>
                <w:lang w:val="ru-RU"/>
              </w:rPr>
            </w:pPr>
            <w:r w:rsidRPr="00A77060">
              <w:rPr>
                <w:rFonts w:ascii="Calibri Light" w:eastAsia="Times New Roman" w:hAnsi="Calibri Light" w:cs="Times New Roman"/>
                <w:bCs/>
                <w:sz w:val="18"/>
                <w:szCs w:val="18"/>
                <w:lang w:val="ru-RU"/>
              </w:rPr>
              <w:t>Министерство сельского хозяйства, регионального разви-тия и окружающей среды</w:t>
            </w:r>
            <w:r w:rsidRPr="00A77060">
              <w:rPr>
                <w:rFonts w:ascii="Calibri Light" w:eastAsia="Times New Roman" w:hAnsi="Calibri Light" w:cs="Times New Roman"/>
                <w:bCs/>
                <w:sz w:val="20"/>
                <w:szCs w:val="20"/>
                <w:lang w:val="ru-RU"/>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0219</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1.091.964,50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1.274.988,92</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1.260.102,18</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1.260.102,20</w:t>
            </w:r>
          </w:p>
        </w:tc>
        <w:tc>
          <w:tcPr>
            <w:tcW w:w="1127" w:type="dxa"/>
            <w:tcBorders>
              <w:top w:val="nil"/>
              <w:left w:val="nil"/>
              <w:bottom w:val="single" w:sz="4" w:space="0" w:color="auto"/>
              <w:right w:val="single" w:sz="4" w:space="0" w:color="auto"/>
            </w:tcBorders>
            <w:shd w:val="clear" w:color="000000" w:fill="E2EFDA"/>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9.512,80</w:t>
            </w:r>
          </w:p>
        </w:tc>
        <w:tc>
          <w:tcPr>
            <w:tcW w:w="1134" w:type="dxa"/>
            <w:tcBorders>
              <w:top w:val="nil"/>
              <w:left w:val="nil"/>
              <w:bottom w:val="single" w:sz="4" w:space="0" w:color="auto"/>
              <w:right w:val="single" w:sz="4" w:space="0" w:color="auto"/>
            </w:tcBorders>
            <w:shd w:val="clear" w:color="000000" w:fill="E2EFDA"/>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10.851,43</w:t>
            </w:r>
          </w:p>
        </w:tc>
        <w:tc>
          <w:tcPr>
            <w:tcW w:w="992" w:type="dxa"/>
            <w:tcBorders>
              <w:top w:val="nil"/>
              <w:left w:val="nil"/>
              <w:bottom w:val="single" w:sz="4" w:space="0" w:color="auto"/>
              <w:right w:val="single" w:sz="4" w:space="0" w:color="auto"/>
            </w:tcBorders>
            <w:shd w:val="clear" w:color="000000" w:fill="E2EFDA"/>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1.338,63</w:t>
            </w:r>
          </w:p>
        </w:tc>
        <w:tc>
          <w:tcPr>
            <w:tcW w:w="1276"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1.270.953,60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ind w:hanging="108"/>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1.270.953,60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0,03</w:t>
            </w:r>
          </w:p>
        </w:tc>
      </w:tr>
      <w:tr w:rsidR="006F53B7" w:rsidRPr="00A77060" w:rsidTr="004D2946">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5</w:t>
            </w:r>
          </w:p>
        </w:tc>
        <w:tc>
          <w:tcPr>
            <w:tcW w:w="194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ind w:right="-107"/>
              <w:jc w:val="left"/>
              <w:rPr>
                <w:rFonts w:ascii="Calibri Light" w:eastAsia="Times New Roman" w:hAnsi="Calibri Light" w:cstheme="majorHAnsi"/>
                <w:color w:val="000000"/>
                <w:sz w:val="18"/>
                <w:szCs w:val="18"/>
                <w:lang w:val="ru-RU"/>
              </w:rPr>
            </w:pPr>
            <w:r w:rsidRPr="00A77060">
              <w:rPr>
                <w:rFonts w:ascii="Calibri Light" w:eastAsia="Times New Roman" w:hAnsi="Calibri Light" w:cs="Times New Roman"/>
                <w:bCs/>
                <w:sz w:val="18"/>
                <w:szCs w:val="18"/>
                <w:lang w:val="ru-RU"/>
              </w:rPr>
              <w:t>Министерство образования, культуры и исследований</w:t>
            </w:r>
            <w:r w:rsidRPr="00A77060">
              <w:rPr>
                <w:rFonts w:ascii="Calibri Light" w:eastAsia="Times New Roman" w:hAnsi="Calibri Light" w:cs="Times New Roman"/>
                <w:bCs/>
                <w:sz w:val="20"/>
                <w:szCs w:val="20"/>
                <w:lang w:val="ru-RU"/>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0220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259.597,00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237.822,37</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226.250,95</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226.250,95</w:t>
            </w:r>
          </w:p>
        </w:tc>
        <w:tc>
          <w:tcPr>
            <w:tcW w:w="1127" w:type="dxa"/>
            <w:tcBorders>
              <w:top w:val="nil"/>
              <w:left w:val="nil"/>
              <w:bottom w:val="single" w:sz="4" w:space="0" w:color="auto"/>
              <w:right w:val="single" w:sz="4" w:space="0" w:color="auto"/>
            </w:tcBorders>
            <w:shd w:val="clear" w:color="000000" w:fill="E2EFDA"/>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41.846,20</w:t>
            </w:r>
          </w:p>
        </w:tc>
        <w:tc>
          <w:tcPr>
            <w:tcW w:w="1134" w:type="dxa"/>
            <w:tcBorders>
              <w:top w:val="nil"/>
              <w:left w:val="nil"/>
              <w:bottom w:val="single" w:sz="4" w:space="0" w:color="auto"/>
              <w:right w:val="single" w:sz="4" w:space="0" w:color="auto"/>
            </w:tcBorders>
            <w:shd w:val="clear" w:color="000000" w:fill="E2EFDA"/>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51.846,20</w:t>
            </w:r>
          </w:p>
        </w:tc>
        <w:tc>
          <w:tcPr>
            <w:tcW w:w="992" w:type="dxa"/>
            <w:tcBorders>
              <w:top w:val="nil"/>
              <w:left w:val="nil"/>
              <w:bottom w:val="single" w:sz="4" w:space="0" w:color="auto"/>
              <w:right w:val="single" w:sz="4" w:space="0" w:color="auto"/>
            </w:tcBorders>
            <w:shd w:val="clear" w:color="000000" w:fill="E2EFDA"/>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10.000,00</w:t>
            </w:r>
          </w:p>
        </w:tc>
        <w:tc>
          <w:tcPr>
            <w:tcW w:w="1276"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313.250,70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213.324,20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64.846,80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-35.153,55</w:t>
            </w:r>
          </w:p>
        </w:tc>
      </w:tr>
      <w:tr w:rsidR="006F53B7" w:rsidRPr="00A77060" w:rsidTr="004D2946">
        <w:trPr>
          <w:trHeight w:val="564"/>
        </w:trPr>
        <w:tc>
          <w:tcPr>
            <w:tcW w:w="4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6</w:t>
            </w:r>
          </w:p>
        </w:tc>
        <w:tc>
          <w:tcPr>
            <w:tcW w:w="1942" w:type="dxa"/>
            <w:tcBorders>
              <w:top w:val="single" w:sz="4" w:space="0" w:color="auto"/>
              <w:left w:val="nil"/>
              <w:bottom w:val="single" w:sz="4" w:space="0" w:color="auto"/>
              <w:right w:val="single" w:sz="4" w:space="0" w:color="auto"/>
            </w:tcBorders>
            <w:shd w:val="clear" w:color="auto" w:fill="auto"/>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 xml:space="preserve">Министерство здравоохранения, труда и социальной защиты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0221</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216.651,60</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209.011,40</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186.092,55</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186.092,50</w:t>
            </w:r>
          </w:p>
        </w:tc>
        <w:tc>
          <w:tcPr>
            <w:tcW w:w="1127" w:type="dxa"/>
            <w:tcBorders>
              <w:top w:val="single" w:sz="4" w:space="0" w:color="auto"/>
              <w:left w:val="nil"/>
              <w:bottom w:val="single" w:sz="4" w:space="0" w:color="auto"/>
              <w:right w:val="single" w:sz="4" w:space="0" w:color="auto"/>
            </w:tcBorders>
            <w:shd w:val="clear" w:color="000000" w:fill="FFFFFF"/>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7.990,30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7.990,30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186.731,60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191.223,80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7.351,25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7.351,20</w:t>
            </w:r>
          </w:p>
        </w:tc>
      </w:tr>
      <w:tr w:rsidR="006F53B7" w:rsidRPr="00A77060" w:rsidTr="004D2946">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7</w:t>
            </w:r>
          </w:p>
        </w:tc>
        <w:tc>
          <w:tcPr>
            <w:tcW w:w="194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 xml:space="preserve">Агентство земельных отношений и кадастра </w:t>
            </w:r>
          </w:p>
        </w:tc>
        <w:tc>
          <w:tcPr>
            <w:tcW w:w="709"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0242</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35.602,70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25.152,70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22.076,96</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22.076,96</w:t>
            </w:r>
          </w:p>
        </w:tc>
        <w:tc>
          <w:tcPr>
            <w:tcW w:w="1127"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22.076,96</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22.076,96</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r>
      <w:tr w:rsidR="006F53B7" w:rsidRPr="00A77060" w:rsidTr="004D2946">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8</w:t>
            </w:r>
          </w:p>
        </w:tc>
        <w:tc>
          <w:tcPr>
            <w:tcW w:w="194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Агентство „Moldsilva”</w:t>
            </w:r>
          </w:p>
        </w:tc>
        <w:tc>
          <w:tcPr>
            <w:tcW w:w="709"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0244</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11.000,00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11.000,00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11.000,00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11.000,00</w:t>
            </w:r>
          </w:p>
        </w:tc>
        <w:tc>
          <w:tcPr>
            <w:tcW w:w="1127"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11.000,00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11.000,00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r>
      <w:tr w:rsidR="006F53B7" w:rsidRPr="00A77060" w:rsidTr="004D2946">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9</w:t>
            </w:r>
          </w:p>
        </w:tc>
        <w:tc>
          <w:tcPr>
            <w:tcW w:w="194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 xml:space="preserve">Агентство публичной собственности  </w:t>
            </w:r>
          </w:p>
        </w:tc>
        <w:tc>
          <w:tcPr>
            <w:tcW w:w="709"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0249</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4.965,20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3.473,73</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3.473,70</w:t>
            </w:r>
          </w:p>
        </w:tc>
        <w:tc>
          <w:tcPr>
            <w:tcW w:w="1127"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3.473,70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3.473,70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r>
      <w:tr w:rsidR="006F53B7" w:rsidRPr="00A77060" w:rsidTr="004D2946">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10</w:t>
            </w:r>
          </w:p>
        </w:tc>
        <w:tc>
          <w:tcPr>
            <w:tcW w:w="194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 xml:space="preserve">Агентство по инвестициям </w:t>
            </w:r>
          </w:p>
        </w:tc>
        <w:tc>
          <w:tcPr>
            <w:tcW w:w="709"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0251</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5.000,00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4.200,00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3.578,42</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3.578,40</w:t>
            </w:r>
          </w:p>
        </w:tc>
        <w:tc>
          <w:tcPr>
            <w:tcW w:w="1127"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3.578,40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3.578,40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r>
      <w:tr w:rsidR="006F53B7" w:rsidRPr="00A77060" w:rsidTr="004D2946">
        <w:trPr>
          <w:trHeight w:val="564"/>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11</w:t>
            </w:r>
          </w:p>
        </w:tc>
        <w:tc>
          <w:tcPr>
            <w:tcW w:w="1942" w:type="dxa"/>
            <w:tcBorders>
              <w:top w:val="nil"/>
              <w:left w:val="nil"/>
              <w:bottom w:val="single" w:sz="4" w:space="0" w:color="auto"/>
              <w:right w:val="single" w:sz="4" w:space="0" w:color="auto"/>
            </w:tcBorders>
            <w:shd w:val="clear" w:color="auto" w:fill="auto"/>
            <w:vAlign w:val="bottom"/>
            <w:hideMark/>
          </w:tcPr>
          <w:p w:rsidR="006F53B7" w:rsidRPr="00A77060" w:rsidRDefault="006F53B7" w:rsidP="004D2946">
            <w:pPr>
              <w:spacing w:after="0" w:line="240" w:lineRule="auto"/>
              <w:ind w:right="-107"/>
              <w:jc w:val="lef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 xml:space="preserve">Национальное агентство по безопасности продуктов питания </w:t>
            </w:r>
          </w:p>
        </w:tc>
        <w:tc>
          <w:tcPr>
            <w:tcW w:w="709"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0275</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34.634,60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25.434,66</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24.017,67</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24.017,70</w:t>
            </w:r>
          </w:p>
        </w:tc>
        <w:tc>
          <w:tcPr>
            <w:tcW w:w="1127"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1.096,30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1.096,30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25.114,00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24.393,30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r>
      <w:tr w:rsidR="006F53B7" w:rsidRPr="00A77060" w:rsidTr="004D2946">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12</w:t>
            </w:r>
          </w:p>
        </w:tc>
        <w:tc>
          <w:tcPr>
            <w:tcW w:w="194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 xml:space="preserve">Центральная избирательная комиссия  </w:t>
            </w:r>
          </w:p>
        </w:tc>
        <w:tc>
          <w:tcPr>
            <w:tcW w:w="709"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0402</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38.172,70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31.203,80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29.333,65</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29.333,60</w:t>
            </w:r>
          </w:p>
        </w:tc>
        <w:tc>
          <w:tcPr>
            <w:tcW w:w="1127" w:type="dxa"/>
            <w:tcBorders>
              <w:top w:val="nil"/>
              <w:left w:val="nil"/>
              <w:bottom w:val="single" w:sz="4" w:space="0" w:color="auto"/>
              <w:right w:val="single" w:sz="4" w:space="0" w:color="auto"/>
            </w:tcBorders>
            <w:shd w:val="clear" w:color="000000" w:fill="E2EFDA"/>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19.438,07</w:t>
            </w:r>
          </w:p>
        </w:tc>
        <w:tc>
          <w:tcPr>
            <w:tcW w:w="1134" w:type="dxa"/>
            <w:tcBorders>
              <w:top w:val="nil"/>
              <w:left w:val="nil"/>
              <w:bottom w:val="single" w:sz="4" w:space="0" w:color="auto"/>
              <w:right w:val="single" w:sz="4" w:space="0" w:color="auto"/>
            </w:tcBorders>
            <w:shd w:val="clear" w:color="000000" w:fill="E2EFDA"/>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19.449,50</w:t>
            </w:r>
          </w:p>
        </w:tc>
        <w:tc>
          <w:tcPr>
            <w:tcW w:w="992" w:type="dxa"/>
            <w:tcBorders>
              <w:top w:val="nil"/>
              <w:left w:val="nil"/>
              <w:bottom w:val="single" w:sz="4" w:space="0" w:color="auto"/>
              <w:right w:val="single" w:sz="4" w:space="0" w:color="auto"/>
            </w:tcBorders>
            <w:shd w:val="clear" w:color="000000" w:fill="E2EFDA"/>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11,43</w:t>
            </w:r>
          </w:p>
        </w:tc>
        <w:tc>
          <w:tcPr>
            <w:tcW w:w="1276"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37.885,34</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10.890,73</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10.897,76</w:t>
            </w:r>
          </w:p>
        </w:tc>
      </w:tr>
      <w:tr w:rsidR="006F53B7" w:rsidRPr="00A77060" w:rsidTr="004D2946">
        <w:trPr>
          <w:trHeight w:val="564"/>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13</w:t>
            </w:r>
          </w:p>
        </w:tc>
        <w:tc>
          <w:tcPr>
            <w:tcW w:w="1942" w:type="dxa"/>
            <w:tcBorders>
              <w:top w:val="nil"/>
              <w:left w:val="nil"/>
              <w:bottom w:val="single" w:sz="4" w:space="0" w:color="auto"/>
              <w:right w:val="single" w:sz="4" w:space="0" w:color="auto"/>
            </w:tcBorders>
            <w:shd w:val="clear" w:color="auto" w:fill="auto"/>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ПУ Национальная компания по телерадиовещанию  „</w:t>
            </w:r>
            <w:r>
              <w:rPr>
                <w:rFonts w:ascii="Calibri Light" w:eastAsia="Times New Roman" w:hAnsi="Calibri Light" w:cstheme="majorHAnsi"/>
                <w:color w:val="000000"/>
                <w:sz w:val="18"/>
                <w:szCs w:val="18"/>
                <w:lang w:val="ru-RU"/>
              </w:rPr>
              <w:t>Телерадио Молдова</w:t>
            </w:r>
            <w:r w:rsidRPr="00A77060">
              <w:rPr>
                <w:rFonts w:ascii="Calibri Light" w:eastAsia="Times New Roman" w:hAnsi="Calibri Light" w:cstheme="majorHAnsi"/>
                <w:color w:val="000000"/>
                <w:sz w:val="18"/>
                <w:szCs w:val="18"/>
                <w:lang w:val="ru-RU"/>
              </w:rPr>
              <w:t>”</w:t>
            </w:r>
          </w:p>
        </w:tc>
        <w:tc>
          <w:tcPr>
            <w:tcW w:w="709"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0503</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126.260,50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126.260,50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126.260,50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126.260,50</w:t>
            </w:r>
          </w:p>
        </w:tc>
        <w:tc>
          <w:tcPr>
            <w:tcW w:w="1127" w:type="dxa"/>
            <w:tcBorders>
              <w:top w:val="nil"/>
              <w:left w:val="nil"/>
              <w:bottom w:val="single" w:sz="4" w:space="0" w:color="auto"/>
              <w:right w:val="single" w:sz="4" w:space="0" w:color="auto"/>
            </w:tcBorders>
            <w:shd w:val="clear" w:color="000000" w:fill="E2EFDA"/>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10.912,00</w:t>
            </w:r>
          </w:p>
        </w:tc>
        <w:tc>
          <w:tcPr>
            <w:tcW w:w="1134" w:type="dxa"/>
            <w:tcBorders>
              <w:top w:val="nil"/>
              <w:left w:val="nil"/>
              <w:bottom w:val="single" w:sz="4" w:space="0" w:color="auto"/>
              <w:right w:val="single" w:sz="4" w:space="0" w:color="auto"/>
            </w:tcBorders>
            <w:shd w:val="clear" w:color="000000" w:fill="E2EFDA"/>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16.105,85</w:t>
            </w:r>
          </w:p>
        </w:tc>
        <w:tc>
          <w:tcPr>
            <w:tcW w:w="992" w:type="dxa"/>
            <w:tcBorders>
              <w:top w:val="nil"/>
              <w:left w:val="nil"/>
              <w:bottom w:val="single" w:sz="4" w:space="0" w:color="auto"/>
              <w:right w:val="single" w:sz="4" w:space="0" w:color="auto"/>
            </w:tcBorders>
            <w:shd w:val="clear" w:color="000000" w:fill="E2EFDA"/>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5.193,85</w:t>
            </w:r>
          </w:p>
        </w:tc>
        <w:tc>
          <w:tcPr>
            <w:tcW w:w="1276"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115.796,50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114.576,30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26.569,81</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26.569,85</w:t>
            </w:r>
          </w:p>
        </w:tc>
      </w:tr>
      <w:tr w:rsidR="006F53B7" w:rsidRPr="00A77060" w:rsidTr="004D2946">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14</w:t>
            </w:r>
          </w:p>
        </w:tc>
        <w:tc>
          <w:tcPr>
            <w:tcW w:w="194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 xml:space="preserve">Общие мероприятия </w:t>
            </w:r>
          </w:p>
        </w:tc>
        <w:tc>
          <w:tcPr>
            <w:tcW w:w="709"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center"/>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0799</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82.885,00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142.885,00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104.649,83</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127"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276"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0,00</w:t>
            </w:r>
          </w:p>
        </w:tc>
      </w:tr>
      <w:tr w:rsidR="006F53B7" w:rsidRPr="00A77060" w:rsidTr="004D2946">
        <w:trPr>
          <w:trHeight w:val="288"/>
        </w:trPr>
        <w:tc>
          <w:tcPr>
            <w:tcW w:w="469"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 </w:t>
            </w:r>
          </w:p>
        </w:tc>
        <w:tc>
          <w:tcPr>
            <w:tcW w:w="194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 xml:space="preserve">ВСЕГО </w:t>
            </w:r>
          </w:p>
        </w:tc>
        <w:tc>
          <w:tcPr>
            <w:tcW w:w="709"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 </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3.964.882,90</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5.452.978,55</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5.102.101,03</w:t>
            </w:r>
          </w:p>
        </w:tc>
        <w:tc>
          <w:tcPr>
            <w:tcW w:w="1171"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4.997.451,11</w:t>
            </w:r>
          </w:p>
        </w:tc>
        <w:tc>
          <w:tcPr>
            <w:tcW w:w="1127"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269.153,07</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285.696,98</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16.543,91</w:t>
            </w:r>
          </w:p>
        </w:tc>
        <w:tc>
          <w:tcPr>
            <w:tcW w:w="1276"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right"/>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5.057.112,40</w:t>
            </w:r>
          </w:p>
        </w:tc>
        <w:tc>
          <w:tcPr>
            <w:tcW w:w="1134"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ind w:hanging="108"/>
              <w:jc w:val="right"/>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4.737.928,36</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ind w:hanging="108"/>
              <w:jc w:val="right"/>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325.929,39</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ind w:hanging="108"/>
              <w:jc w:val="right"/>
              <w:rPr>
                <w:rFonts w:ascii="Calibri Light" w:eastAsia="Times New Roman" w:hAnsi="Calibri Light" w:cstheme="majorHAnsi"/>
                <w:b/>
                <w:bCs/>
                <w:color w:val="000000"/>
                <w:sz w:val="18"/>
                <w:szCs w:val="18"/>
                <w:lang w:val="ru-RU"/>
              </w:rPr>
            </w:pPr>
            <w:r w:rsidRPr="00A77060">
              <w:rPr>
                <w:rFonts w:ascii="Calibri Light" w:eastAsia="Times New Roman" w:hAnsi="Calibri Light" w:cstheme="majorHAnsi"/>
                <w:b/>
                <w:bCs/>
                <w:color w:val="000000"/>
                <w:sz w:val="18"/>
                <w:szCs w:val="18"/>
                <w:lang w:val="ru-RU"/>
              </w:rPr>
              <w:t>226.035,69</w:t>
            </w:r>
          </w:p>
        </w:tc>
      </w:tr>
    </w:tbl>
    <w:p w:rsidR="006F53B7" w:rsidRPr="00A77060" w:rsidRDefault="006F53B7" w:rsidP="006F53B7">
      <w:pPr>
        <w:tabs>
          <w:tab w:val="left" w:pos="993"/>
        </w:tabs>
        <w:spacing w:after="0" w:line="276" w:lineRule="auto"/>
        <w:jc w:val="left"/>
        <w:outlineLvl w:val="2"/>
        <w:rPr>
          <w:rFonts w:ascii="Calibri Light" w:hAnsi="Calibri Light" w:cs="Calibri Light"/>
          <w:b/>
          <w:sz w:val="24"/>
          <w:szCs w:val="24"/>
          <w:lang w:val="ru-RU"/>
        </w:rPr>
      </w:pPr>
      <w:r w:rsidRPr="00A77060">
        <w:rPr>
          <w:rFonts w:ascii="Calibri Light" w:hAnsi="Calibri Light" w:cstheme="majorHAnsi"/>
          <w:b/>
          <w:i/>
          <w:sz w:val="20"/>
          <w:szCs w:val="20"/>
          <w:lang w:val="ru-RU"/>
        </w:rPr>
        <w:t>Источник:</w:t>
      </w:r>
      <w:r w:rsidRPr="00A77060">
        <w:rPr>
          <w:rFonts w:ascii="Calibri Light" w:hAnsi="Calibri Light" w:cstheme="majorHAnsi"/>
          <w:i/>
          <w:sz w:val="20"/>
          <w:szCs w:val="20"/>
          <w:lang w:val="ru-RU"/>
        </w:rPr>
        <w:t xml:space="preserve"> Пояснительные записки об исполнении бюджетов публичными органами/учреждениями за 2020 год.</w:t>
      </w:r>
    </w:p>
    <w:p w:rsidR="006F53B7" w:rsidRPr="00A77060" w:rsidRDefault="006F53B7" w:rsidP="006F53B7">
      <w:pPr>
        <w:tabs>
          <w:tab w:val="left" w:pos="993"/>
        </w:tabs>
        <w:spacing w:after="0" w:line="276" w:lineRule="auto"/>
        <w:jc w:val="left"/>
        <w:outlineLvl w:val="2"/>
        <w:rPr>
          <w:rFonts w:ascii="Calibri Light" w:hAnsi="Calibri Light" w:cs="Calibri Light"/>
          <w:b/>
          <w:sz w:val="16"/>
          <w:szCs w:val="16"/>
          <w:lang w:val="ru-RU"/>
        </w:rPr>
      </w:pPr>
    </w:p>
    <w:p w:rsidR="006F53B7" w:rsidRPr="00A77060" w:rsidRDefault="006F53B7" w:rsidP="006F53B7">
      <w:pPr>
        <w:spacing w:line="276" w:lineRule="auto"/>
        <w:ind w:firstLine="709"/>
        <w:contextualSpacing/>
        <w:jc w:val="right"/>
        <w:rPr>
          <w:rFonts w:ascii="Calibri Light" w:eastAsia="Times New Roman" w:hAnsi="Calibri Light" w:cstheme="majorHAnsi"/>
          <w:b/>
          <w:sz w:val="24"/>
          <w:szCs w:val="24"/>
          <w:lang w:val="ru-RU"/>
        </w:rPr>
      </w:pPr>
      <w:r w:rsidRPr="00A77060">
        <w:rPr>
          <w:rFonts w:ascii="Calibri Light" w:eastAsia="Times New Roman" w:hAnsi="Calibri Light" w:cstheme="majorHAnsi"/>
          <w:b/>
          <w:sz w:val="24"/>
          <w:szCs w:val="24"/>
          <w:lang w:val="ru-RU"/>
        </w:rPr>
        <w:t>Приложение №6</w:t>
      </w:r>
    </w:p>
    <w:p w:rsidR="006F53B7" w:rsidRPr="00A77060" w:rsidRDefault="006F53B7" w:rsidP="006F53B7">
      <w:pPr>
        <w:shd w:val="clear" w:color="auto" w:fill="FFFFFF" w:themeFill="background1"/>
        <w:tabs>
          <w:tab w:val="left" w:pos="284"/>
          <w:tab w:val="left" w:pos="993"/>
          <w:tab w:val="left" w:pos="6663"/>
        </w:tabs>
        <w:spacing w:after="0" w:line="240" w:lineRule="auto"/>
        <w:jc w:val="center"/>
        <w:rPr>
          <w:rFonts w:ascii="Calibri Light" w:eastAsia="Times New Roman" w:hAnsi="Calibri Light" w:cstheme="majorHAnsi"/>
          <w:b/>
          <w:sz w:val="24"/>
          <w:szCs w:val="24"/>
          <w:lang w:val="ru-RU"/>
        </w:rPr>
      </w:pPr>
      <w:r w:rsidRPr="00A77060">
        <w:rPr>
          <w:rFonts w:ascii="Calibri Light" w:eastAsia="Times New Roman" w:hAnsi="Calibri Light" w:cstheme="majorHAnsi"/>
          <w:b/>
          <w:sz w:val="24"/>
          <w:szCs w:val="24"/>
          <w:lang w:val="ru-RU"/>
        </w:rPr>
        <w:t>Свод исполнения ассигнований, утвержденных годовым Законом о бюджете, предназначенных для капитальных вложений по источникам финансирования за период 2018-2020 годов</w:t>
      </w:r>
    </w:p>
    <w:p w:rsidR="006F53B7" w:rsidRPr="00A77060" w:rsidRDefault="006F53B7" w:rsidP="006F53B7">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sz w:val="20"/>
          <w:szCs w:val="20"/>
          <w:lang w:val="ru-RU"/>
        </w:rPr>
      </w:pPr>
      <w:r w:rsidRPr="00A77060">
        <w:rPr>
          <w:rFonts w:ascii="Calibri Light" w:eastAsia="Times New Roman" w:hAnsi="Calibri Light" w:cstheme="majorHAnsi"/>
          <w:b/>
          <w:sz w:val="20"/>
          <w:szCs w:val="20"/>
          <w:lang w:val="ru-RU"/>
        </w:rPr>
        <w:t>(</w:t>
      </w:r>
      <w:r w:rsidRPr="00A77060">
        <w:rPr>
          <w:rFonts w:ascii="Calibri Light" w:eastAsia="Times New Roman" w:hAnsi="Calibri Light" w:cstheme="majorHAnsi"/>
          <w:b/>
          <w:iCs/>
          <w:color w:val="000000"/>
          <w:spacing w:val="2"/>
          <w:sz w:val="20"/>
          <w:szCs w:val="20"/>
          <w:lang w:val="ru-RU" w:eastAsia="ru-RU"/>
        </w:rPr>
        <w:t>млн. леев</w:t>
      </w:r>
      <w:r w:rsidRPr="00A77060">
        <w:rPr>
          <w:rFonts w:ascii="Calibri Light" w:eastAsia="Times New Roman" w:hAnsi="Calibri Light" w:cstheme="majorHAnsi"/>
          <w:b/>
          <w:sz w:val="20"/>
          <w:szCs w:val="20"/>
          <w:lang w:val="ru-RU"/>
        </w:rPr>
        <w:t>)</w:t>
      </w:r>
    </w:p>
    <w:tbl>
      <w:tblPr>
        <w:tblW w:w="14687" w:type="dxa"/>
        <w:tblInd w:w="-289" w:type="dxa"/>
        <w:tblLook w:val="04A0" w:firstRow="1" w:lastRow="0" w:firstColumn="1" w:lastColumn="0" w:noHBand="0" w:noVBand="1"/>
      </w:tblPr>
      <w:tblGrid>
        <w:gridCol w:w="2836"/>
        <w:gridCol w:w="873"/>
        <w:gridCol w:w="854"/>
        <w:gridCol w:w="912"/>
        <w:gridCol w:w="993"/>
        <w:gridCol w:w="873"/>
        <w:gridCol w:w="854"/>
        <w:gridCol w:w="912"/>
        <w:gridCol w:w="993"/>
        <w:gridCol w:w="873"/>
        <w:gridCol w:w="854"/>
        <w:gridCol w:w="912"/>
        <w:gridCol w:w="985"/>
        <w:gridCol w:w="993"/>
      </w:tblGrid>
      <w:tr w:rsidR="006F53B7" w:rsidRPr="00A77060" w:rsidTr="004D2946">
        <w:trPr>
          <w:trHeight w:val="300"/>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101"/>
              <w:jc w:val="center"/>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Показатели</w:t>
            </w:r>
          </w:p>
        </w:tc>
        <w:tc>
          <w:tcPr>
            <w:tcW w:w="3622" w:type="dxa"/>
            <w:gridSpan w:val="4"/>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2018 год</w:t>
            </w:r>
          </w:p>
        </w:tc>
        <w:tc>
          <w:tcPr>
            <w:tcW w:w="3622" w:type="dxa"/>
            <w:gridSpan w:val="4"/>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2019 год</w:t>
            </w:r>
          </w:p>
        </w:tc>
        <w:tc>
          <w:tcPr>
            <w:tcW w:w="4607" w:type="dxa"/>
            <w:gridSpan w:val="5"/>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2020 год</w:t>
            </w:r>
          </w:p>
        </w:tc>
      </w:tr>
      <w:tr w:rsidR="006F53B7" w:rsidRPr="00A77060" w:rsidTr="004D2946">
        <w:trPr>
          <w:trHeight w:val="51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6F53B7" w:rsidRPr="00A77060" w:rsidRDefault="006F53B7" w:rsidP="004D2946">
            <w:pPr>
              <w:spacing w:after="0" w:line="240" w:lineRule="auto"/>
              <w:ind w:right="-101"/>
              <w:jc w:val="left"/>
              <w:rPr>
                <w:rFonts w:ascii="Calibri Light" w:eastAsia="Times New Roman" w:hAnsi="Calibri Light" w:cs="Times New Roman"/>
                <w:b/>
                <w:bCs/>
                <w:color w:val="000000"/>
                <w:sz w:val="20"/>
                <w:szCs w:val="20"/>
                <w:lang w:val="ru-RU"/>
              </w:rPr>
            </w:pPr>
          </w:p>
        </w:tc>
        <w:tc>
          <w:tcPr>
            <w:tcW w:w="87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утверж-дено</w:t>
            </w:r>
          </w:p>
        </w:tc>
        <w:tc>
          <w:tcPr>
            <w:tcW w:w="854"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уточ-нено</w:t>
            </w:r>
          </w:p>
        </w:tc>
        <w:tc>
          <w:tcPr>
            <w:tcW w:w="91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испол-нено</w:t>
            </w:r>
          </w:p>
        </w:tc>
        <w:tc>
          <w:tcPr>
            <w:tcW w:w="985"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 xml:space="preserve">испол-нено/ уточнено </w:t>
            </w:r>
          </w:p>
        </w:tc>
        <w:tc>
          <w:tcPr>
            <w:tcW w:w="87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утверж-дено</w:t>
            </w:r>
          </w:p>
        </w:tc>
        <w:tc>
          <w:tcPr>
            <w:tcW w:w="854"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уточ-нено</w:t>
            </w:r>
          </w:p>
        </w:tc>
        <w:tc>
          <w:tcPr>
            <w:tcW w:w="91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испол-нено</w:t>
            </w:r>
          </w:p>
        </w:tc>
        <w:tc>
          <w:tcPr>
            <w:tcW w:w="985"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 xml:space="preserve">испол-нено/ уточнено </w:t>
            </w:r>
          </w:p>
        </w:tc>
        <w:tc>
          <w:tcPr>
            <w:tcW w:w="87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утверж-дено</w:t>
            </w:r>
          </w:p>
        </w:tc>
        <w:tc>
          <w:tcPr>
            <w:tcW w:w="854"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уточ-нено</w:t>
            </w:r>
          </w:p>
        </w:tc>
        <w:tc>
          <w:tcPr>
            <w:tcW w:w="91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испол-нено</w:t>
            </w:r>
          </w:p>
        </w:tc>
        <w:tc>
          <w:tcPr>
            <w:tcW w:w="985"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испол-нено / утверж-дено</w:t>
            </w:r>
          </w:p>
        </w:tc>
        <w:tc>
          <w:tcPr>
            <w:tcW w:w="985"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испол-нено/ уточнено</w:t>
            </w:r>
          </w:p>
        </w:tc>
      </w:tr>
      <w:tr w:rsidR="006F53B7" w:rsidRPr="00A77060" w:rsidTr="004D2946">
        <w:trPr>
          <w:trHeight w:val="175"/>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101"/>
              <w:jc w:val="center"/>
              <w:rPr>
                <w:rFonts w:ascii="Calibri Light" w:eastAsia="Times New Roman" w:hAnsi="Calibri Light" w:cs="Times New Roman"/>
                <w:i/>
                <w:color w:val="000000"/>
                <w:sz w:val="16"/>
                <w:szCs w:val="16"/>
                <w:lang w:val="ru-RU"/>
              </w:rPr>
            </w:pPr>
            <w:r w:rsidRPr="00A77060">
              <w:rPr>
                <w:rFonts w:ascii="Calibri Light" w:eastAsia="Times New Roman" w:hAnsi="Calibri Light" w:cs="Times New Roman"/>
                <w:i/>
                <w:color w:val="000000"/>
                <w:sz w:val="16"/>
                <w:szCs w:val="16"/>
                <w:lang w:val="ru-RU"/>
              </w:rPr>
              <w:t>1</w:t>
            </w:r>
          </w:p>
        </w:tc>
        <w:tc>
          <w:tcPr>
            <w:tcW w:w="87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i/>
                <w:color w:val="000000"/>
                <w:sz w:val="16"/>
                <w:szCs w:val="16"/>
                <w:lang w:val="ru-RU"/>
              </w:rPr>
            </w:pPr>
            <w:r w:rsidRPr="00A77060">
              <w:rPr>
                <w:rFonts w:ascii="Calibri Light" w:eastAsia="Times New Roman" w:hAnsi="Calibri Light" w:cs="Times New Roman"/>
                <w:i/>
                <w:color w:val="000000"/>
                <w:sz w:val="16"/>
                <w:szCs w:val="16"/>
                <w:lang w:val="ru-RU"/>
              </w:rPr>
              <w:t>2</w:t>
            </w:r>
          </w:p>
        </w:tc>
        <w:tc>
          <w:tcPr>
            <w:tcW w:w="854"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i/>
                <w:color w:val="000000"/>
                <w:sz w:val="16"/>
                <w:szCs w:val="16"/>
                <w:lang w:val="ru-RU"/>
              </w:rPr>
            </w:pPr>
            <w:r w:rsidRPr="00A77060">
              <w:rPr>
                <w:rFonts w:ascii="Calibri Light" w:eastAsia="Times New Roman" w:hAnsi="Calibri Light" w:cs="Times New Roman"/>
                <w:i/>
                <w:color w:val="000000"/>
                <w:sz w:val="16"/>
                <w:szCs w:val="16"/>
                <w:lang w:val="ru-RU"/>
              </w:rPr>
              <w:t>3</w:t>
            </w:r>
          </w:p>
        </w:tc>
        <w:tc>
          <w:tcPr>
            <w:tcW w:w="91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i/>
                <w:color w:val="000000"/>
                <w:sz w:val="16"/>
                <w:szCs w:val="16"/>
                <w:lang w:val="ru-RU"/>
              </w:rPr>
            </w:pPr>
            <w:r w:rsidRPr="00A77060">
              <w:rPr>
                <w:rFonts w:ascii="Calibri Light" w:eastAsia="Times New Roman" w:hAnsi="Calibri Light" w:cs="Times New Roman"/>
                <w:i/>
                <w:color w:val="000000"/>
                <w:sz w:val="16"/>
                <w:szCs w:val="16"/>
                <w:lang w:val="ru-RU"/>
              </w:rPr>
              <w:t>4</w:t>
            </w:r>
          </w:p>
        </w:tc>
        <w:tc>
          <w:tcPr>
            <w:tcW w:w="98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i/>
                <w:color w:val="000000"/>
                <w:sz w:val="16"/>
                <w:szCs w:val="16"/>
                <w:lang w:val="ru-RU"/>
              </w:rPr>
            </w:pPr>
            <w:r w:rsidRPr="00A77060">
              <w:rPr>
                <w:rFonts w:ascii="Calibri Light" w:eastAsia="Times New Roman" w:hAnsi="Calibri Light" w:cs="Times New Roman"/>
                <w:i/>
                <w:color w:val="000000"/>
                <w:sz w:val="16"/>
                <w:szCs w:val="16"/>
                <w:lang w:val="ru-RU"/>
              </w:rPr>
              <w:t>5=4/3</w:t>
            </w:r>
          </w:p>
          <w:p w:rsidR="006F53B7" w:rsidRPr="00A77060" w:rsidRDefault="006F53B7" w:rsidP="004D2946">
            <w:pPr>
              <w:spacing w:after="0" w:line="240" w:lineRule="auto"/>
              <w:jc w:val="center"/>
              <w:rPr>
                <w:rFonts w:ascii="Calibri Light" w:eastAsia="Times New Roman" w:hAnsi="Calibri Light" w:cs="Times New Roman"/>
                <w:i/>
                <w:color w:val="000000"/>
                <w:sz w:val="16"/>
                <w:szCs w:val="16"/>
                <w:lang w:val="ru-RU"/>
              </w:rPr>
            </w:pPr>
            <w:r w:rsidRPr="00A77060">
              <w:rPr>
                <w:rFonts w:ascii="Calibri Light" w:eastAsia="Times New Roman" w:hAnsi="Calibri Light" w:cs="Times New Roman"/>
                <w:i/>
                <w:color w:val="000000"/>
                <w:sz w:val="16"/>
                <w:szCs w:val="16"/>
                <w:lang w:val="ru-RU"/>
              </w:rPr>
              <w:lastRenderedPageBreak/>
              <w:t>*100</w:t>
            </w:r>
          </w:p>
        </w:tc>
        <w:tc>
          <w:tcPr>
            <w:tcW w:w="87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i/>
                <w:color w:val="000000"/>
                <w:sz w:val="16"/>
                <w:szCs w:val="16"/>
                <w:lang w:val="ru-RU"/>
              </w:rPr>
            </w:pPr>
            <w:r w:rsidRPr="00A77060">
              <w:rPr>
                <w:rFonts w:ascii="Calibri Light" w:eastAsia="Times New Roman" w:hAnsi="Calibri Light" w:cs="Times New Roman"/>
                <w:i/>
                <w:color w:val="000000"/>
                <w:sz w:val="16"/>
                <w:szCs w:val="16"/>
                <w:lang w:val="ru-RU"/>
              </w:rPr>
              <w:lastRenderedPageBreak/>
              <w:t>6</w:t>
            </w:r>
          </w:p>
        </w:tc>
        <w:tc>
          <w:tcPr>
            <w:tcW w:w="854"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i/>
                <w:color w:val="000000"/>
                <w:sz w:val="16"/>
                <w:szCs w:val="16"/>
                <w:lang w:val="ru-RU"/>
              </w:rPr>
            </w:pPr>
            <w:r w:rsidRPr="00A77060">
              <w:rPr>
                <w:rFonts w:ascii="Calibri Light" w:eastAsia="Times New Roman" w:hAnsi="Calibri Light" w:cs="Times New Roman"/>
                <w:i/>
                <w:color w:val="000000"/>
                <w:sz w:val="16"/>
                <w:szCs w:val="16"/>
                <w:lang w:val="ru-RU"/>
              </w:rPr>
              <w:t>7</w:t>
            </w:r>
          </w:p>
        </w:tc>
        <w:tc>
          <w:tcPr>
            <w:tcW w:w="91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i/>
                <w:color w:val="000000"/>
                <w:sz w:val="16"/>
                <w:szCs w:val="16"/>
                <w:lang w:val="ru-RU"/>
              </w:rPr>
            </w:pPr>
            <w:r w:rsidRPr="00A77060">
              <w:rPr>
                <w:rFonts w:ascii="Calibri Light" w:eastAsia="Times New Roman" w:hAnsi="Calibri Light" w:cs="Times New Roman"/>
                <w:i/>
                <w:color w:val="000000"/>
                <w:sz w:val="16"/>
                <w:szCs w:val="16"/>
                <w:lang w:val="ru-RU"/>
              </w:rPr>
              <w:t>8</w:t>
            </w:r>
          </w:p>
        </w:tc>
        <w:tc>
          <w:tcPr>
            <w:tcW w:w="98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i/>
                <w:color w:val="000000"/>
                <w:sz w:val="16"/>
                <w:szCs w:val="16"/>
                <w:lang w:val="ru-RU"/>
              </w:rPr>
            </w:pPr>
            <w:r w:rsidRPr="00A77060">
              <w:rPr>
                <w:rFonts w:ascii="Calibri Light" w:eastAsia="Times New Roman" w:hAnsi="Calibri Light" w:cs="Times New Roman"/>
                <w:i/>
                <w:color w:val="000000"/>
                <w:sz w:val="16"/>
                <w:szCs w:val="16"/>
                <w:lang w:val="ru-RU"/>
              </w:rPr>
              <w:t>9=8/7*100</w:t>
            </w:r>
          </w:p>
        </w:tc>
        <w:tc>
          <w:tcPr>
            <w:tcW w:w="87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i/>
                <w:color w:val="000000"/>
                <w:sz w:val="16"/>
                <w:szCs w:val="16"/>
                <w:lang w:val="ru-RU"/>
              </w:rPr>
            </w:pPr>
            <w:r w:rsidRPr="00A77060">
              <w:rPr>
                <w:rFonts w:ascii="Calibri Light" w:eastAsia="Times New Roman" w:hAnsi="Calibri Light" w:cs="Times New Roman"/>
                <w:i/>
                <w:color w:val="000000"/>
                <w:sz w:val="16"/>
                <w:szCs w:val="16"/>
                <w:lang w:val="ru-RU"/>
              </w:rPr>
              <w:t>10</w:t>
            </w:r>
          </w:p>
        </w:tc>
        <w:tc>
          <w:tcPr>
            <w:tcW w:w="854"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i/>
                <w:color w:val="000000"/>
                <w:sz w:val="16"/>
                <w:szCs w:val="16"/>
                <w:lang w:val="ru-RU"/>
              </w:rPr>
            </w:pPr>
            <w:r w:rsidRPr="00A77060">
              <w:rPr>
                <w:rFonts w:ascii="Calibri Light" w:eastAsia="Times New Roman" w:hAnsi="Calibri Light" w:cs="Times New Roman"/>
                <w:i/>
                <w:color w:val="000000"/>
                <w:sz w:val="16"/>
                <w:szCs w:val="16"/>
                <w:lang w:val="ru-RU"/>
              </w:rPr>
              <w:t>11</w:t>
            </w:r>
          </w:p>
        </w:tc>
        <w:tc>
          <w:tcPr>
            <w:tcW w:w="91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i/>
                <w:color w:val="000000"/>
                <w:sz w:val="16"/>
                <w:szCs w:val="16"/>
                <w:lang w:val="ru-RU"/>
              </w:rPr>
            </w:pPr>
            <w:r w:rsidRPr="00A77060">
              <w:rPr>
                <w:rFonts w:ascii="Calibri Light" w:eastAsia="Times New Roman" w:hAnsi="Calibri Light" w:cs="Times New Roman"/>
                <w:i/>
                <w:color w:val="000000"/>
                <w:sz w:val="16"/>
                <w:szCs w:val="16"/>
                <w:lang w:val="ru-RU"/>
              </w:rPr>
              <w:t>12</w:t>
            </w:r>
          </w:p>
        </w:tc>
        <w:tc>
          <w:tcPr>
            <w:tcW w:w="98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i/>
                <w:color w:val="000000"/>
                <w:sz w:val="16"/>
                <w:szCs w:val="16"/>
                <w:lang w:val="ru-RU"/>
              </w:rPr>
            </w:pPr>
            <w:r w:rsidRPr="00A77060">
              <w:rPr>
                <w:rFonts w:ascii="Calibri Light" w:eastAsia="Times New Roman" w:hAnsi="Calibri Light" w:cs="Times New Roman"/>
                <w:i/>
                <w:color w:val="000000"/>
                <w:sz w:val="16"/>
                <w:szCs w:val="16"/>
                <w:lang w:val="ru-RU"/>
              </w:rPr>
              <w:t>13=12/10</w:t>
            </w:r>
          </w:p>
          <w:p w:rsidR="006F53B7" w:rsidRPr="00A77060" w:rsidRDefault="006F53B7" w:rsidP="004D2946">
            <w:pPr>
              <w:spacing w:after="0" w:line="240" w:lineRule="auto"/>
              <w:jc w:val="center"/>
              <w:rPr>
                <w:rFonts w:ascii="Calibri Light" w:eastAsia="Times New Roman" w:hAnsi="Calibri Light" w:cs="Times New Roman"/>
                <w:i/>
                <w:color w:val="000000"/>
                <w:sz w:val="16"/>
                <w:szCs w:val="16"/>
                <w:lang w:val="ru-RU"/>
              </w:rPr>
            </w:pPr>
            <w:r w:rsidRPr="00A77060">
              <w:rPr>
                <w:rFonts w:ascii="Calibri Light" w:eastAsia="Times New Roman" w:hAnsi="Calibri Light" w:cs="Times New Roman"/>
                <w:i/>
                <w:color w:val="000000"/>
                <w:sz w:val="16"/>
                <w:szCs w:val="16"/>
                <w:lang w:val="ru-RU"/>
              </w:rPr>
              <w:lastRenderedPageBreak/>
              <w:t>*100</w:t>
            </w:r>
          </w:p>
        </w:tc>
        <w:tc>
          <w:tcPr>
            <w:tcW w:w="98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imes New Roman"/>
                <w:i/>
                <w:color w:val="000000"/>
                <w:sz w:val="16"/>
                <w:szCs w:val="16"/>
                <w:lang w:val="ru-RU"/>
              </w:rPr>
            </w:pPr>
            <w:r w:rsidRPr="00A77060">
              <w:rPr>
                <w:rFonts w:ascii="Calibri Light" w:eastAsia="Times New Roman" w:hAnsi="Calibri Light" w:cs="Times New Roman"/>
                <w:i/>
                <w:color w:val="000000"/>
                <w:sz w:val="16"/>
                <w:szCs w:val="16"/>
                <w:lang w:val="ru-RU"/>
              </w:rPr>
              <w:lastRenderedPageBreak/>
              <w:t>14=12/11</w:t>
            </w:r>
          </w:p>
          <w:p w:rsidR="006F53B7" w:rsidRPr="00A77060" w:rsidRDefault="006F53B7" w:rsidP="004D2946">
            <w:pPr>
              <w:spacing w:after="0" w:line="240" w:lineRule="auto"/>
              <w:jc w:val="center"/>
              <w:rPr>
                <w:rFonts w:ascii="Calibri Light" w:eastAsia="Times New Roman" w:hAnsi="Calibri Light" w:cs="Times New Roman"/>
                <w:i/>
                <w:color w:val="000000"/>
                <w:sz w:val="16"/>
                <w:szCs w:val="16"/>
                <w:lang w:val="ru-RU"/>
              </w:rPr>
            </w:pPr>
            <w:r w:rsidRPr="00A77060">
              <w:rPr>
                <w:rFonts w:ascii="Calibri Light" w:eastAsia="Times New Roman" w:hAnsi="Calibri Light" w:cs="Times New Roman"/>
                <w:i/>
                <w:color w:val="000000"/>
                <w:sz w:val="16"/>
                <w:szCs w:val="16"/>
                <w:lang w:val="ru-RU"/>
              </w:rPr>
              <w:lastRenderedPageBreak/>
              <w:t>*100</w:t>
            </w:r>
          </w:p>
        </w:tc>
      </w:tr>
      <w:tr w:rsidR="006F53B7" w:rsidRPr="00A77060" w:rsidTr="004D2946">
        <w:trPr>
          <w:trHeight w:val="300"/>
        </w:trPr>
        <w:tc>
          <w:tcPr>
            <w:tcW w:w="2836"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left"/>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lastRenderedPageBreak/>
              <w:t xml:space="preserve">Всего, </w:t>
            </w:r>
            <w:r w:rsidRPr="00A77060">
              <w:rPr>
                <w:rFonts w:ascii="Calibri Light" w:eastAsia="Times New Roman" w:hAnsi="Calibri Light" w:cs="Times New Roman"/>
                <w:bCs/>
                <w:i/>
                <w:color w:val="000000"/>
                <w:sz w:val="20"/>
                <w:szCs w:val="20"/>
                <w:lang w:val="ru-RU"/>
              </w:rPr>
              <w:t>в том числе:</w:t>
            </w:r>
          </w:p>
        </w:tc>
        <w:tc>
          <w:tcPr>
            <w:tcW w:w="87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3.336,7</w:t>
            </w:r>
          </w:p>
        </w:tc>
        <w:tc>
          <w:tcPr>
            <w:tcW w:w="854"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1.906,5</w:t>
            </w:r>
          </w:p>
        </w:tc>
        <w:tc>
          <w:tcPr>
            <w:tcW w:w="91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849,7</w:t>
            </w:r>
          </w:p>
        </w:tc>
        <w:tc>
          <w:tcPr>
            <w:tcW w:w="98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44,6%</w:t>
            </w:r>
          </w:p>
        </w:tc>
        <w:tc>
          <w:tcPr>
            <w:tcW w:w="87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2.374,2</w:t>
            </w:r>
          </w:p>
        </w:tc>
        <w:tc>
          <w:tcPr>
            <w:tcW w:w="854"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1.665,4</w:t>
            </w:r>
          </w:p>
        </w:tc>
        <w:tc>
          <w:tcPr>
            <w:tcW w:w="91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1.278,7</w:t>
            </w:r>
          </w:p>
        </w:tc>
        <w:tc>
          <w:tcPr>
            <w:tcW w:w="98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76,8%</w:t>
            </w:r>
          </w:p>
        </w:tc>
        <w:tc>
          <w:tcPr>
            <w:tcW w:w="87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4.133,4</w:t>
            </w:r>
          </w:p>
        </w:tc>
        <w:tc>
          <w:tcPr>
            <w:tcW w:w="854"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1.598,7</w:t>
            </w:r>
          </w:p>
        </w:tc>
        <w:tc>
          <w:tcPr>
            <w:tcW w:w="91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1.524,2</w:t>
            </w:r>
          </w:p>
        </w:tc>
        <w:tc>
          <w:tcPr>
            <w:tcW w:w="98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36,9%</w:t>
            </w:r>
          </w:p>
        </w:tc>
        <w:tc>
          <w:tcPr>
            <w:tcW w:w="98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95,3%</w:t>
            </w:r>
          </w:p>
        </w:tc>
      </w:tr>
      <w:tr w:rsidR="006F53B7" w:rsidRPr="00A77060" w:rsidTr="004D2946">
        <w:trPr>
          <w:trHeight w:val="451"/>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01"/>
              <w:jc w:val="left"/>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 xml:space="preserve">Общие и собранные ресурсы </w:t>
            </w:r>
          </w:p>
        </w:tc>
        <w:tc>
          <w:tcPr>
            <w:tcW w:w="87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499,0</w:t>
            </w:r>
          </w:p>
        </w:tc>
        <w:tc>
          <w:tcPr>
            <w:tcW w:w="854"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334,1</w:t>
            </w:r>
          </w:p>
        </w:tc>
        <w:tc>
          <w:tcPr>
            <w:tcW w:w="91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245,3</w:t>
            </w:r>
          </w:p>
        </w:tc>
        <w:tc>
          <w:tcPr>
            <w:tcW w:w="98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73,4%</w:t>
            </w:r>
          </w:p>
        </w:tc>
        <w:tc>
          <w:tcPr>
            <w:tcW w:w="87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520,1</w:t>
            </w:r>
          </w:p>
        </w:tc>
        <w:tc>
          <w:tcPr>
            <w:tcW w:w="854"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314,9</w:t>
            </w:r>
          </w:p>
        </w:tc>
        <w:tc>
          <w:tcPr>
            <w:tcW w:w="91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204,0</w:t>
            </w:r>
          </w:p>
        </w:tc>
        <w:tc>
          <w:tcPr>
            <w:tcW w:w="98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64,8%</w:t>
            </w:r>
          </w:p>
        </w:tc>
        <w:tc>
          <w:tcPr>
            <w:tcW w:w="87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433,8</w:t>
            </w:r>
          </w:p>
        </w:tc>
        <w:tc>
          <w:tcPr>
            <w:tcW w:w="854"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242,4</w:t>
            </w:r>
          </w:p>
        </w:tc>
        <w:tc>
          <w:tcPr>
            <w:tcW w:w="91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193,1</w:t>
            </w:r>
          </w:p>
        </w:tc>
        <w:tc>
          <w:tcPr>
            <w:tcW w:w="98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44,5%</w:t>
            </w:r>
          </w:p>
        </w:tc>
        <w:tc>
          <w:tcPr>
            <w:tcW w:w="98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79,7%</w:t>
            </w:r>
          </w:p>
        </w:tc>
      </w:tr>
      <w:tr w:rsidR="006F53B7" w:rsidRPr="00A77060" w:rsidTr="004D2946">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01"/>
              <w:jc w:val="left"/>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 xml:space="preserve">Внешние источники </w:t>
            </w:r>
          </w:p>
        </w:tc>
        <w:tc>
          <w:tcPr>
            <w:tcW w:w="87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2.837,7</w:t>
            </w:r>
          </w:p>
        </w:tc>
        <w:tc>
          <w:tcPr>
            <w:tcW w:w="854"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1.572,4</w:t>
            </w:r>
          </w:p>
        </w:tc>
        <w:tc>
          <w:tcPr>
            <w:tcW w:w="91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604,3</w:t>
            </w:r>
          </w:p>
        </w:tc>
        <w:tc>
          <w:tcPr>
            <w:tcW w:w="98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38,4%</w:t>
            </w:r>
          </w:p>
        </w:tc>
        <w:tc>
          <w:tcPr>
            <w:tcW w:w="87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1.854,1</w:t>
            </w:r>
          </w:p>
        </w:tc>
        <w:tc>
          <w:tcPr>
            <w:tcW w:w="854"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1.350,5</w:t>
            </w:r>
          </w:p>
        </w:tc>
        <w:tc>
          <w:tcPr>
            <w:tcW w:w="91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1.074,7</w:t>
            </w:r>
          </w:p>
        </w:tc>
        <w:tc>
          <w:tcPr>
            <w:tcW w:w="98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79,6%</w:t>
            </w:r>
          </w:p>
        </w:tc>
        <w:tc>
          <w:tcPr>
            <w:tcW w:w="871"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3.699,6</w:t>
            </w:r>
          </w:p>
        </w:tc>
        <w:tc>
          <w:tcPr>
            <w:tcW w:w="854"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1.356,3</w:t>
            </w:r>
          </w:p>
        </w:tc>
        <w:tc>
          <w:tcPr>
            <w:tcW w:w="91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1.331,1</w:t>
            </w:r>
          </w:p>
        </w:tc>
        <w:tc>
          <w:tcPr>
            <w:tcW w:w="98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36,0%</w:t>
            </w:r>
          </w:p>
        </w:tc>
        <w:tc>
          <w:tcPr>
            <w:tcW w:w="98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imes New Roman"/>
                <w:color w:val="000000"/>
                <w:sz w:val="20"/>
                <w:szCs w:val="20"/>
                <w:lang w:val="ru-RU"/>
              </w:rPr>
            </w:pPr>
            <w:r w:rsidRPr="00A77060">
              <w:rPr>
                <w:rFonts w:ascii="Calibri Light" w:eastAsia="Times New Roman" w:hAnsi="Calibri Light" w:cs="Times New Roman"/>
                <w:color w:val="000000"/>
                <w:sz w:val="20"/>
                <w:szCs w:val="20"/>
                <w:lang w:val="ru-RU"/>
              </w:rPr>
              <w:t>98,1%</w:t>
            </w:r>
          </w:p>
        </w:tc>
      </w:tr>
    </w:tbl>
    <w:p w:rsidR="006F53B7" w:rsidRPr="00A77060" w:rsidRDefault="006F53B7" w:rsidP="006F53B7">
      <w:pPr>
        <w:shd w:val="clear" w:color="auto" w:fill="FFFFFF" w:themeFill="background1"/>
        <w:tabs>
          <w:tab w:val="left" w:pos="284"/>
          <w:tab w:val="left" w:pos="567"/>
          <w:tab w:val="left" w:pos="6237"/>
          <w:tab w:val="left" w:pos="6379"/>
        </w:tabs>
        <w:spacing w:after="0" w:line="276" w:lineRule="auto"/>
        <w:ind w:left="426" w:hanging="426"/>
        <w:contextualSpacing/>
        <w:rPr>
          <w:rFonts w:ascii="Calibri Light" w:hAnsi="Calibri Light" w:cstheme="majorHAnsi"/>
          <w:i/>
          <w:sz w:val="18"/>
          <w:szCs w:val="18"/>
          <w:lang w:val="ru-RU"/>
        </w:rPr>
      </w:pPr>
      <w:r w:rsidRPr="00A77060">
        <w:rPr>
          <w:rFonts w:ascii="Calibri Light" w:hAnsi="Calibri Light" w:cstheme="majorHAnsi"/>
          <w:b/>
          <w:i/>
          <w:sz w:val="18"/>
          <w:szCs w:val="18"/>
          <w:lang w:val="ru-RU"/>
        </w:rPr>
        <w:t>Источник:</w:t>
      </w:r>
      <w:r w:rsidRPr="00A77060">
        <w:rPr>
          <w:rFonts w:ascii="Calibri Light" w:hAnsi="Calibri Light" w:cstheme="majorHAnsi"/>
          <w:i/>
          <w:sz w:val="18"/>
          <w:szCs w:val="18"/>
          <w:lang w:val="ru-RU"/>
        </w:rPr>
        <w:t xml:space="preserve"> Данные обобщены аудиторской группой на основании Отчетов Министерства финансов об исполнении капитальных вложений из государственного бюджета за 2017, 2018, 2019 годы.</w:t>
      </w:r>
    </w:p>
    <w:p w:rsidR="006F53B7" w:rsidRPr="00A77060" w:rsidRDefault="006F53B7" w:rsidP="006F53B7">
      <w:pPr>
        <w:spacing w:line="276" w:lineRule="auto"/>
        <w:ind w:firstLine="709"/>
        <w:contextualSpacing/>
        <w:jc w:val="right"/>
        <w:rPr>
          <w:rFonts w:ascii="Calibri Light" w:eastAsiaTheme="minorEastAsia" w:hAnsi="Calibri Light" w:cstheme="majorHAnsi"/>
          <w:b/>
          <w:bCs/>
          <w:iCs/>
          <w:sz w:val="24"/>
          <w:szCs w:val="24"/>
          <w:lang w:val="ru-RU" w:eastAsia="ru-RU"/>
        </w:rPr>
      </w:pPr>
    </w:p>
    <w:p w:rsidR="006F53B7" w:rsidRPr="00A77060" w:rsidRDefault="006F53B7" w:rsidP="006F53B7">
      <w:pPr>
        <w:spacing w:line="276" w:lineRule="auto"/>
        <w:ind w:firstLine="709"/>
        <w:contextualSpacing/>
        <w:jc w:val="right"/>
        <w:rPr>
          <w:rFonts w:ascii="Calibri Light" w:eastAsia="Times New Roman" w:hAnsi="Calibri Light" w:cstheme="majorHAnsi"/>
          <w:b/>
          <w:sz w:val="24"/>
          <w:szCs w:val="24"/>
          <w:lang w:val="ru-RU"/>
        </w:rPr>
      </w:pPr>
      <w:r w:rsidRPr="00A77060">
        <w:rPr>
          <w:rFonts w:ascii="Calibri Light" w:eastAsia="Times New Roman" w:hAnsi="Calibri Light" w:cstheme="majorHAnsi"/>
          <w:b/>
          <w:sz w:val="24"/>
          <w:szCs w:val="24"/>
          <w:lang w:val="ru-RU"/>
        </w:rPr>
        <w:t>Приложение №7</w:t>
      </w:r>
    </w:p>
    <w:p w:rsidR="006F53B7" w:rsidRPr="00A77060" w:rsidRDefault="006F53B7" w:rsidP="006F53B7">
      <w:pPr>
        <w:shd w:val="clear" w:color="auto" w:fill="FFFFFF" w:themeFill="background1"/>
        <w:tabs>
          <w:tab w:val="left" w:pos="284"/>
          <w:tab w:val="left" w:pos="993"/>
          <w:tab w:val="left" w:pos="6663"/>
        </w:tabs>
        <w:spacing w:after="0" w:line="276" w:lineRule="auto"/>
        <w:jc w:val="center"/>
        <w:rPr>
          <w:rFonts w:ascii="Calibri Light" w:eastAsia="Times New Roman" w:hAnsi="Calibri Light" w:cstheme="majorHAnsi"/>
          <w:b/>
          <w:sz w:val="24"/>
          <w:szCs w:val="24"/>
          <w:lang w:val="ru-RU"/>
        </w:rPr>
      </w:pPr>
      <w:r w:rsidRPr="00A77060">
        <w:rPr>
          <w:rFonts w:ascii="Calibri Light" w:eastAsia="Times New Roman" w:hAnsi="Calibri Light" w:cstheme="majorHAnsi"/>
          <w:b/>
          <w:sz w:val="24"/>
          <w:szCs w:val="24"/>
          <w:lang w:val="ru-RU"/>
        </w:rPr>
        <w:t>Анализ уровня исполнения капитальных вложений по проектам в 2020 году</w:t>
      </w:r>
    </w:p>
    <w:p w:rsidR="006F53B7" w:rsidRPr="00A77060" w:rsidRDefault="006F53B7" w:rsidP="006F53B7">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sz w:val="24"/>
          <w:szCs w:val="24"/>
          <w:lang w:val="ru-RU"/>
        </w:rPr>
      </w:pPr>
      <w:r w:rsidRPr="00A77060">
        <w:rPr>
          <w:rFonts w:ascii="Calibri Light" w:eastAsia="Times New Roman" w:hAnsi="Calibri Light" w:cstheme="majorHAnsi"/>
          <w:b/>
          <w:sz w:val="24"/>
          <w:szCs w:val="24"/>
          <w:lang w:val="ru-RU"/>
        </w:rPr>
        <w:t>(</w:t>
      </w:r>
      <w:r w:rsidRPr="00A77060">
        <w:rPr>
          <w:rFonts w:ascii="Calibri Light" w:eastAsia="Times New Roman" w:hAnsi="Calibri Light" w:cstheme="majorHAnsi"/>
          <w:b/>
          <w:iCs/>
          <w:color w:val="000000"/>
          <w:spacing w:val="2"/>
          <w:sz w:val="24"/>
          <w:szCs w:val="24"/>
          <w:lang w:val="ru-RU" w:eastAsia="ru-RU"/>
        </w:rPr>
        <w:t>млн. леев</w:t>
      </w:r>
      <w:r w:rsidRPr="00A77060">
        <w:rPr>
          <w:rFonts w:ascii="Calibri Light" w:eastAsia="Times New Roman" w:hAnsi="Calibri Light" w:cstheme="majorHAnsi"/>
          <w:b/>
          <w:sz w:val="24"/>
          <w:szCs w:val="24"/>
          <w:lang w:val="ru-RU"/>
        </w:rPr>
        <w:t>)</w:t>
      </w:r>
    </w:p>
    <w:tbl>
      <w:tblPr>
        <w:tblW w:w="15276" w:type="dxa"/>
        <w:tblInd w:w="-431" w:type="dxa"/>
        <w:tblLook w:val="04A0" w:firstRow="1" w:lastRow="0" w:firstColumn="1" w:lastColumn="0" w:noHBand="0" w:noVBand="1"/>
      </w:tblPr>
      <w:tblGrid>
        <w:gridCol w:w="581"/>
        <w:gridCol w:w="8492"/>
        <w:gridCol w:w="1175"/>
        <w:gridCol w:w="1175"/>
        <w:gridCol w:w="1175"/>
        <w:gridCol w:w="1402"/>
        <w:gridCol w:w="1276"/>
      </w:tblGrid>
      <w:tr w:rsidR="006F53B7" w:rsidRPr="00A77060" w:rsidTr="004D2946">
        <w:trPr>
          <w:trHeight w:val="555"/>
        </w:trPr>
        <w:tc>
          <w:tcPr>
            <w:tcW w:w="581" w:type="dxa"/>
            <w:tcBorders>
              <w:top w:val="single" w:sz="4" w:space="0" w:color="auto"/>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N/o</w:t>
            </w:r>
          </w:p>
        </w:tc>
        <w:tc>
          <w:tcPr>
            <w:tcW w:w="8492" w:type="dxa"/>
            <w:tcBorders>
              <w:top w:val="single" w:sz="4" w:space="0" w:color="auto"/>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xml:space="preserve">Название проекта </w:t>
            </w:r>
          </w:p>
        </w:tc>
        <w:tc>
          <w:tcPr>
            <w:tcW w:w="1175" w:type="dxa"/>
            <w:tcBorders>
              <w:top w:val="single" w:sz="4" w:space="0" w:color="auto"/>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imes New Roman"/>
                <w:b/>
                <w:bCs/>
                <w:color w:val="000000"/>
                <w:sz w:val="20"/>
                <w:szCs w:val="20"/>
                <w:lang w:val="ru-RU"/>
              </w:rPr>
              <w:t>Утверж-дено</w:t>
            </w:r>
            <w:r w:rsidRPr="00A77060">
              <w:rPr>
                <w:rFonts w:ascii="Calibri Light" w:eastAsia="Times New Roman" w:hAnsi="Calibri Light" w:cstheme="majorHAnsi"/>
                <w:b/>
                <w:bCs/>
                <w:color w:val="000000"/>
                <w:sz w:val="20"/>
                <w:szCs w:val="20"/>
                <w:lang w:val="ru-RU"/>
              </w:rPr>
              <w:t>*</w:t>
            </w:r>
          </w:p>
        </w:tc>
        <w:tc>
          <w:tcPr>
            <w:tcW w:w="1175" w:type="dxa"/>
            <w:tcBorders>
              <w:top w:val="single" w:sz="4" w:space="0" w:color="auto"/>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 xml:space="preserve">Уточнено </w:t>
            </w:r>
          </w:p>
        </w:tc>
        <w:tc>
          <w:tcPr>
            <w:tcW w:w="1175" w:type="dxa"/>
            <w:tcBorders>
              <w:top w:val="single" w:sz="4" w:space="0" w:color="auto"/>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imes New Roman"/>
                <w:b/>
                <w:bCs/>
                <w:color w:val="000000"/>
                <w:sz w:val="20"/>
                <w:szCs w:val="20"/>
                <w:lang w:val="ru-RU"/>
              </w:rPr>
            </w:pPr>
            <w:r w:rsidRPr="00A77060">
              <w:rPr>
                <w:rFonts w:ascii="Calibri Light" w:eastAsia="Times New Roman" w:hAnsi="Calibri Light" w:cs="Times New Roman"/>
                <w:b/>
                <w:bCs/>
                <w:color w:val="000000"/>
                <w:sz w:val="20"/>
                <w:szCs w:val="20"/>
                <w:lang w:val="ru-RU"/>
              </w:rPr>
              <w:t>Исполнено</w:t>
            </w:r>
          </w:p>
        </w:tc>
        <w:tc>
          <w:tcPr>
            <w:tcW w:w="1402" w:type="dxa"/>
            <w:tcBorders>
              <w:top w:val="single" w:sz="4" w:space="0" w:color="auto"/>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ind w:left="-128" w:right="-104"/>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imes New Roman"/>
                <w:b/>
                <w:bCs/>
                <w:color w:val="000000"/>
                <w:sz w:val="20"/>
                <w:szCs w:val="20"/>
                <w:lang w:val="ru-RU"/>
              </w:rPr>
              <w:t xml:space="preserve">Исполнено против </w:t>
            </w:r>
            <w:proofErr w:type="gramStart"/>
            <w:r w:rsidRPr="00A77060">
              <w:rPr>
                <w:rFonts w:ascii="Calibri Light" w:eastAsia="Times New Roman" w:hAnsi="Calibri Light" w:cs="Times New Roman"/>
                <w:b/>
                <w:bCs/>
                <w:color w:val="000000"/>
                <w:sz w:val="20"/>
                <w:szCs w:val="20"/>
                <w:lang w:val="ru-RU"/>
              </w:rPr>
              <w:t>утверж-дено</w:t>
            </w:r>
            <w:proofErr w:type="gramEnd"/>
          </w:p>
          <w:p w:rsidR="006F53B7" w:rsidRPr="00A77060" w:rsidRDefault="006F53B7" w:rsidP="004D2946">
            <w:pPr>
              <w:spacing w:after="0" w:line="240" w:lineRule="auto"/>
              <w:ind w:left="-128" w:right="-104"/>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xml:space="preserve"> (%)</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ind w:left="-105" w:right="-104"/>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imes New Roman"/>
                <w:b/>
                <w:bCs/>
                <w:color w:val="000000"/>
                <w:sz w:val="20"/>
                <w:szCs w:val="20"/>
                <w:lang w:val="ru-RU"/>
              </w:rPr>
              <w:t xml:space="preserve">Исполнено против уточнено </w:t>
            </w:r>
            <w:r w:rsidRPr="00A77060">
              <w:rPr>
                <w:rFonts w:ascii="Calibri Light" w:eastAsia="Times New Roman" w:hAnsi="Calibri Light" w:cstheme="majorHAnsi"/>
                <w:b/>
                <w:bCs/>
                <w:color w:val="000000"/>
                <w:sz w:val="20"/>
                <w:szCs w:val="20"/>
                <w:lang w:val="ru-RU"/>
              </w:rPr>
              <w:t>(%)</w:t>
            </w:r>
          </w:p>
        </w:tc>
      </w:tr>
      <w:tr w:rsidR="006F53B7" w:rsidRPr="00A77060" w:rsidTr="004D2946">
        <w:trPr>
          <w:trHeight w:val="30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20"/>
                <w:szCs w:val="20"/>
                <w:lang w:val="ru-RU"/>
              </w:rPr>
            </w:pPr>
            <w:r w:rsidRPr="00A77060">
              <w:rPr>
                <w:rFonts w:ascii="Calibri Light" w:eastAsia="Times New Roman" w:hAnsi="Calibri Light" w:cstheme="majorHAnsi"/>
                <w:i/>
                <w:iCs/>
                <w:color w:val="000000"/>
                <w:sz w:val="20"/>
                <w:szCs w:val="20"/>
                <w:lang w:val="ru-RU"/>
              </w:rPr>
              <w:t>1</w:t>
            </w:r>
          </w:p>
        </w:tc>
        <w:tc>
          <w:tcPr>
            <w:tcW w:w="8492" w:type="dxa"/>
            <w:tcBorders>
              <w:top w:val="nil"/>
              <w:left w:val="single" w:sz="4" w:space="0" w:color="auto"/>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20"/>
                <w:szCs w:val="20"/>
                <w:lang w:val="ru-RU"/>
              </w:rPr>
            </w:pPr>
            <w:r w:rsidRPr="00A77060">
              <w:rPr>
                <w:rFonts w:ascii="Calibri Light" w:eastAsia="Times New Roman" w:hAnsi="Calibri Light" w:cstheme="majorHAnsi"/>
                <w:i/>
                <w:iCs/>
                <w:color w:val="000000"/>
                <w:sz w:val="20"/>
                <w:szCs w:val="20"/>
                <w:lang w:val="ru-RU"/>
              </w:rPr>
              <w:t>2</w:t>
            </w:r>
          </w:p>
        </w:tc>
        <w:tc>
          <w:tcPr>
            <w:tcW w:w="1175"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20"/>
                <w:szCs w:val="20"/>
                <w:lang w:val="ru-RU"/>
              </w:rPr>
            </w:pPr>
            <w:r w:rsidRPr="00A77060">
              <w:rPr>
                <w:rFonts w:ascii="Calibri Light" w:eastAsia="Times New Roman" w:hAnsi="Calibri Light" w:cstheme="majorHAnsi"/>
                <w:i/>
                <w:iCs/>
                <w:color w:val="000000"/>
                <w:sz w:val="20"/>
                <w:szCs w:val="20"/>
                <w:lang w:val="ru-RU"/>
              </w:rPr>
              <w:t>3</w:t>
            </w:r>
          </w:p>
        </w:tc>
        <w:tc>
          <w:tcPr>
            <w:tcW w:w="1175"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20"/>
                <w:szCs w:val="20"/>
                <w:lang w:val="ru-RU"/>
              </w:rPr>
            </w:pPr>
            <w:r w:rsidRPr="00A77060">
              <w:rPr>
                <w:rFonts w:ascii="Calibri Light" w:eastAsia="Times New Roman" w:hAnsi="Calibri Light" w:cstheme="majorHAnsi"/>
                <w:i/>
                <w:iCs/>
                <w:color w:val="000000"/>
                <w:sz w:val="20"/>
                <w:szCs w:val="20"/>
                <w:lang w:val="ru-RU"/>
              </w:rPr>
              <w:t>4</w:t>
            </w:r>
          </w:p>
        </w:tc>
        <w:tc>
          <w:tcPr>
            <w:tcW w:w="1175"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20"/>
                <w:szCs w:val="20"/>
                <w:lang w:val="ru-RU"/>
              </w:rPr>
            </w:pPr>
            <w:r w:rsidRPr="00A77060">
              <w:rPr>
                <w:rFonts w:ascii="Calibri Light" w:eastAsia="Times New Roman" w:hAnsi="Calibri Light" w:cstheme="majorHAnsi"/>
                <w:i/>
                <w:iCs/>
                <w:color w:val="000000"/>
                <w:sz w:val="20"/>
                <w:szCs w:val="20"/>
                <w:lang w:val="ru-RU"/>
              </w:rPr>
              <w:t>5</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20"/>
                <w:szCs w:val="20"/>
                <w:lang w:val="ru-RU"/>
              </w:rPr>
            </w:pPr>
            <w:r w:rsidRPr="00A77060">
              <w:rPr>
                <w:rFonts w:ascii="Calibri Light" w:eastAsia="Times New Roman" w:hAnsi="Calibri Light" w:cstheme="majorHAnsi"/>
                <w:i/>
                <w:iCs/>
                <w:color w:val="000000"/>
                <w:sz w:val="20"/>
                <w:szCs w:val="20"/>
                <w:lang w:val="ru-RU"/>
              </w:rPr>
              <w:t>6=5/3*100</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20"/>
                <w:szCs w:val="20"/>
                <w:lang w:val="ru-RU"/>
              </w:rPr>
            </w:pPr>
            <w:r w:rsidRPr="00A77060">
              <w:rPr>
                <w:rFonts w:ascii="Calibri Light" w:eastAsia="Times New Roman" w:hAnsi="Calibri Light" w:cstheme="majorHAnsi"/>
                <w:i/>
                <w:iCs/>
                <w:color w:val="000000"/>
                <w:sz w:val="20"/>
                <w:szCs w:val="20"/>
                <w:lang w:val="ru-RU"/>
              </w:rPr>
              <w:t>7=5/4*100</w:t>
            </w:r>
          </w:p>
        </w:tc>
      </w:tr>
      <w:tr w:rsidR="006F53B7" w:rsidRPr="00A77060" w:rsidTr="004D2946">
        <w:trPr>
          <w:trHeight w:val="300"/>
        </w:trPr>
        <w:tc>
          <w:tcPr>
            <w:tcW w:w="581" w:type="dxa"/>
            <w:tcBorders>
              <w:top w:val="nil"/>
              <w:left w:val="single" w:sz="4" w:space="0" w:color="auto"/>
              <w:bottom w:val="single" w:sz="4" w:space="0" w:color="auto"/>
              <w:right w:val="single" w:sz="4" w:space="0" w:color="auto"/>
            </w:tcBorders>
            <w:shd w:val="clear" w:color="auto" w:fill="222B35"/>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FFFFFF"/>
                <w:sz w:val="20"/>
                <w:szCs w:val="20"/>
                <w:lang w:val="ru-RU"/>
              </w:rPr>
            </w:pPr>
            <w:r w:rsidRPr="00A77060">
              <w:rPr>
                <w:rFonts w:ascii="Calibri Light" w:eastAsia="Times New Roman" w:hAnsi="Calibri Light" w:cstheme="majorHAnsi"/>
                <w:b/>
                <w:bCs/>
                <w:color w:val="FFFFFF"/>
                <w:sz w:val="20"/>
                <w:szCs w:val="20"/>
                <w:lang w:val="ru-RU"/>
              </w:rPr>
              <w:t> </w:t>
            </w:r>
          </w:p>
        </w:tc>
        <w:tc>
          <w:tcPr>
            <w:tcW w:w="8492" w:type="dxa"/>
            <w:tcBorders>
              <w:top w:val="nil"/>
              <w:left w:val="single" w:sz="4" w:space="0" w:color="auto"/>
              <w:bottom w:val="single" w:sz="4" w:space="0" w:color="auto"/>
              <w:right w:val="single" w:sz="4" w:space="0" w:color="auto"/>
            </w:tcBorders>
            <w:shd w:val="clear" w:color="auto" w:fill="222B35"/>
            <w:vAlign w:val="center"/>
            <w:hideMark/>
          </w:tcPr>
          <w:p w:rsidR="006F53B7" w:rsidRPr="00A77060" w:rsidRDefault="006F53B7" w:rsidP="004D2946">
            <w:pPr>
              <w:spacing w:after="0" w:line="240" w:lineRule="auto"/>
              <w:jc w:val="left"/>
              <w:rPr>
                <w:rFonts w:ascii="Calibri Light" w:eastAsia="Times New Roman" w:hAnsi="Calibri Light" w:cstheme="majorHAnsi"/>
                <w:b/>
                <w:bCs/>
                <w:color w:val="FFFFFF"/>
                <w:sz w:val="20"/>
                <w:szCs w:val="20"/>
                <w:lang w:val="ru-RU"/>
              </w:rPr>
            </w:pPr>
            <w:r w:rsidRPr="00A77060">
              <w:rPr>
                <w:rFonts w:ascii="Calibri Light" w:eastAsia="Times New Roman" w:hAnsi="Calibri Light" w:cstheme="majorHAnsi"/>
                <w:b/>
                <w:bCs/>
                <w:color w:val="FFFFFF"/>
                <w:sz w:val="20"/>
                <w:szCs w:val="20"/>
                <w:lang w:val="ru-RU"/>
              </w:rPr>
              <w:t>ВСЕГО - 70 проектов</w:t>
            </w:r>
          </w:p>
        </w:tc>
        <w:tc>
          <w:tcPr>
            <w:tcW w:w="1175" w:type="dxa"/>
            <w:tcBorders>
              <w:top w:val="nil"/>
              <w:left w:val="nil"/>
              <w:bottom w:val="single" w:sz="4" w:space="0" w:color="auto"/>
              <w:right w:val="single" w:sz="4" w:space="0" w:color="auto"/>
            </w:tcBorders>
            <w:shd w:val="clear" w:color="auto" w:fill="222B35"/>
            <w:vAlign w:val="center"/>
            <w:hideMark/>
          </w:tcPr>
          <w:p w:rsidR="006F53B7" w:rsidRPr="00A77060" w:rsidRDefault="006F53B7" w:rsidP="004D2946">
            <w:pPr>
              <w:spacing w:after="0" w:line="240" w:lineRule="auto"/>
              <w:jc w:val="right"/>
              <w:rPr>
                <w:rFonts w:ascii="Calibri Light" w:eastAsia="Times New Roman" w:hAnsi="Calibri Light" w:cstheme="majorHAnsi"/>
                <w:b/>
                <w:bCs/>
                <w:color w:val="FFFFFF"/>
                <w:sz w:val="20"/>
                <w:szCs w:val="20"/>
                <w:lang w:val="ru-RU"/>
              </w:rPr>
            </w:pPr>
            <w:r w:rsidRPr="00A77060">
              <w:rPr>
                <w:rFonts w:ascii="Calibri Light" w:eastAsia="Times New Roman" w:hAnsi="Calibri Light" w:cstheme="majorHAnsi"/>
                <w:b/>
                <w:bCs/>
                <w:color w:val="FFFFFF"/>
                <w:sz w:val="20"/>
                <w:szCs w:val="20"/>
                <w:lang w:val="ru-RU"/>
              </w:rPr>
              <w:t>2.108.977,9</w:t>
            </w:r>
          </w:p>
        </w:tc>
        <w:tc>
          <w:tcPr>
            <w:tcW w:w="1175" w:type="dxa"/>
            <w:tcBorders>
              <w:top w:val="nil"/>
              <w:left w:val="nil"/>
              <w:bottom w:val="single" w:sz="4" w:space="0" w:color="auto"/>
              <w:right w:val="single" w:sz="4" w:space="0" w:color="auto"/>
            </w:tcBorders>
            <w:shd w:val="clear" w:color="auto" w:fill="222B35"/>
            <w:vAlign w:val="center"/>
            <w:hideMark/>
          </w:tcPr>
          <w:p w:rsidR="006F53B7" w:rsidRPr="00A77060" w:rsidRDefault="006F53B7" w:rsidP="004D2946">
            <w:pPr>
              <w:spacing w:after="0" w:line="240" w:lineRule="auto"/>
              <w:jc w:val="right"/>
              <w:rPr>
                <w:rFonts w:ascii="Calibri Light" w:eastAsia="Times New Roman" w:hAnsi="Calibri Light" w:cstheme="majorHAnsi"/>
                <w:b/>
                <w:bCs/>
                <w:color w:val="FFFFFF"/>
                <w:sz w:val="20"/>
                <w:szCs w:val="20"/>
                <w:lang w:val="ru-RU"/>
              </w:rPr>
            </w:pPr>
            <w:r w:rsidRPr="00A77060">
              <w:rPr>
                <w:rFonts w:ascii="Calibri Light" w:eastAsia="Times New Roman" w:hAnsi="Calibri Light" w:cstheme="majorHAnsi"/>
                <w:b/>
                <w:bCs/>
                <w:color w:val="FFFFFF"/>
                <w:sz w:val="20"/>
                <w:szCs w:val="20"/>
                <w:lang w:val="ru-RU"/>
              </w:rPr>
              <w:t>1.598.736,1</w:t>
            </w:r>
          </w:p>
        </w:tc>
        <w:tc>
          <w:tcPr>
            <w:tcW w:w="1175" w:type="dxa"/>
            <w:tcBorders>
              <w:top w:val="nil"/>
              <w:left w:val="nil"/>
              <w:bottom w:val="single" w:sz="4" w:space="0" w:color="auto"/>
              <w:right w:val="single" w:sz="4" w:space="0" w:color="auto"/>
            </w:tcBorders>
            <w:shd w:val="clear" w:color="auto" w:fill="222B35"/>
            <w:vAlign w:val="center"/>
            <w:hideMark/>
          </w:tcPr>
          <w:p w:rsidR="006F53B7" w:rsidRPr="00A77060" w:rsidRDefault="006F53B7" w:rsidP="004D2946">
            <w:pPr>
              <w:spacing w:after="0" w:line="240" w:lineRule="auto"/>
              <w:jc w:val="right"/>
              <w:rPr>
                <w:rFonts w:ascii="Calibri Light" w:eastAsia="Times New Roman" w:hAnsi="Calibri Light" w:cstheme="majorHAnsi"/>
                <w:b/>
                <w:bCs/>
                <w:color w:val="FFFFFF"/>
                <w:sz w:val="20"/>
                <w:szCs w:val="20"/>
                <w:lang w:val="ru-RU"/>
              </w:rPr>
            </w:pPr>
            <w:r w:rsidRPr="00A77060">
              <w:rPr>
                <w:rFonts w:ascii="Calibri Light" w:eastAsia="Times New Roman" w:hAnsi="Calibri Light" w:cstheme="majorHAnsi"/>
                <w:b/>
                <w:bCs/>
                <w:color w:val="FFFFFF"/>
                <w:sz w:val="20"/>
                <w:szCs w:val="20"/>
                <w:lang w:val="ru-RU"/>
              </w:rPr>
              <w:t>1.524.229,4</w:t>
            </w:r>
          </w:p>
        </w:tc>
        <w:tc>
          <w:tcPr>
            <w:tcW w:w="1402" w:type="dxa"/>
            <w:tcBorders>
              <w:top w:val="nil"/>
              <w:left w:val="nil"/>
              <w:bottom w:val="single" w:sz="4" w:space="0" w:color="auto"/>
              <w:right w:val="single" w:sz="4" w:space="0" w:color="auto"/>
            </w:tcBorders>
            <w:shd w:val="clear" w:color="auto" w:fill="222B35"/>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FFFFFF"/>
                <w:sz w:val="20"/>
                <w:szCs w:val="20"/>
                <w:lang w:val="ru-RU"/>
              </w:rPr>
            </w:pPr>
            <w:r w:rsidRPr="00A77060">
              <w:rPr>
                <w:rFonts w:ascii="Calibri Light" w:eastAsia="Times New Roman" w:hAnsi="Calibri Light" w:cstheme="majorHAnsi"/>
                <w:b/>
                <w:bCs/>
                <w:color w:val="FFFFFF"/>
                <w:sz w:val="20"/>
                <w:szCs w:val="20"/>
                <w:lang w:val="ru-RU"/>
              </w:rPr>
              <w:t>72,3</w:t>
            </w:r>
          </w:p>
        </w:tc>
        <w:tc>
          <w:tcPr>
            <w:tcW w:w="1276" w:type="dxa"/>
            <w:tcBorders>
              <w:top w:val="nil"/>
              <w:left w:val="nil"/>
              <w:bottom w:val="single" w:sz="4" w:space="0" w:color="auto"/>
              <w:right w:val="single" w:sz="4" w:space="0" w:color="auto"/>
            </w:tcBorders>
            <w:shd w:val="clear" w:color="auto" w:fill="222B35"/>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FFFFFF"/>
                <w:sz w:val="20"/>
                <w:szCs w:val="20"/>
                <w:lang w:val="ru-RU"/>
              </w:rPr>
            </w:pPr>
            <w:r w:rsidRPr="00A77060">
              <w:rPr>
                <w:rFonts w:ascii="Calibri Light" w:eastAsia="Times New Roman" w:hAnsi="Calibri Light" w:cstheme="majorHAnsi"/>
                <w:b/>
                <w:bCs/>
                <w:color w:val="FFFFFF"/>
                <w:sz w:val="20"/>
                <w:szCs w:val="20"/>
                <w:lang w:val="ru-RU"/>
              </w:rPr>
              <w:t>95,3</w:t>
            </w:r>
          </w:p>
        </w:tc>
      </w:tr>
      <w:tr w:rsidR="006F53B7" w:rsidRPr="00A77060" w:rsidTr="004D2946">
        <w:trPr>
          <w:trHeight w:val="300"/>
        </w:trPr>
        <w:tc>
          <w:tcPr>
            <w:tcW w:w="581" w:type="dxa"/>
            <w:tcBorders>
              <w:top w:val="nil"/>
              <w:left w:val="single" w:sz="4" w:space="0" w:color="auto"/>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Проект „Поддержка Программы в секторе дорог”</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1.191.073,5</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834.273,5</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910.428,6</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76,4</w:t>
            </w:r>
          </w:p>
        </w:tc>
        <w:tc>
          <w:tcPr>
            <w:tcW w:w="1276" w:type="dxa"/>
            <w:tcBorders>
              <w:top w:val="nil"/>
              <w:left w:val="nil"/>
              <w:bottom w:val="single" w:sz="4" w:space="0" w:color="auto"/>
              <w:right w:val="single" w:sz="4" w:space="0" w:color="auto"/>
            </w:tcBorders>
            <w:shd w:val="clear" w:color="auto" w:fill="FFC000"/>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109,1</w:t>
            </w:r>
          </w:p>
        </w:tc>
      </w:tr>
      <w:tr w:rsidR="006F53B7" w:rsidRPr="00A77060" w:rsidTr="004D2946">
        <w:trPr>
          <w:trHeight w:val="300"/>
        </w:trPr>
        <w:tc>
          <w:tcPr>
            <w:tcW w:w="581" w:type="dxa"/>
            <w:tcBorders>
              <w:top w:val="nil"/>
              <w:left w:val="single" w:sz="4" w:space="0" w:color="auto"/>
              <w:bottom w:val="single" w:sz="4" w:space="0" w:color="auto"/>
              <w:right w:val="single" w:sz="4" w:space="0" w:color="auto"/>
            </w:tcBorders>
            <w:shd w:val="clear" w:color="auto" w:fill="F8CBAD"/>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w:t>
            </w:r>
          </w:p>
        </w:tc>
        <w:tc>
          <w:tcPr>
            <w:tcW w:w="8492" w:type="dxa"/>
            <w:tcBorders>
              <w:top w:val="nil"/>
              <w:left w:val="single" w:sz="4" w:space="0" w:color="auto"/>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lef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xml:space="preserve">Всего с исполнением 0,0%-100% - 69 проектов </w:t>
            </w:r>
          </w:p>
        </w:tc>
        <w:tc>
          <w:tcPr>
            <w:tcW w:w="1175" w:type="dxa"/>
            <w:tcBorders>
              <w:top w:val="nil"/>
              <w:left w:val="nil"/>
              <w:bottom w:val="single" w:sz="4" w:space="0" w:color="auto"/>
              <w:right w:val="single" w:sz="4" w:space="0" w:color="auto"/>
            </w:tcBorders>
            <w:shd w:val="clear" w:color="auto" w:fill="F8CBAD"/>
            <w:noWrap/>
            <w:vAlign w:val="center"/>
            <w:hideMark/>
          </w:tcPr>
          <w:p w:rsidR="006F53B7" w:rsidRPr="00A77060" w:rsidRDefault="006F53B7" w:rsidP="004D2946">
            <w:pPr>
              <w:spacing w:after="0" w:line="240" w:lineRule="auto"/>
              <w:jc w:val="righ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917.904,4</w:t>
            </w:r>
          </w:p>
        </w:tc>
        <w:tc>
          <w:tcPr>
            <w:tcW w:w="1175" w:type="dxa"/>
            <w:tcBorders>
              <w:top w:val="nil"/>
              <w:left w:val="nil"/>
              <w:bottom w:val="single" w:sz="4" w:space="0" w:color="auto"/>
              <w:right w:val="single" w:sz="4" w:space="0" w:color="auto"/>
            </w:tcBorders>
            <w:shd w:val="clear" w:color="auto" w:fill="F8CBAD"/>
            <w:noWrap/>
            <w:vAlign w:val="center"/>
            <w:hideMark/>
          </w:tcPr>
          <w:p w:rsidR="006F53B7" w:rsidRPr="00A77060" w:rsidRDefault="006F53B7" w:rsidP="004D2946">
            <w:pPr>
              <w:spacing w:after="0" w:line="240" w:lineRule="auto"/>
              <w:jc w:val="righ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764.462,6</w:t>
            </w:r>
          </w:p>
        </w:tc>
        <w:tc>
          <w:tcPr>
            <w:tcW w:w="1175" w:type="dxa"/>
            <w:tcBorders>
              <w:top w:val="nil"/>
              <w:left w:val="nil"/>
              <w:bottom w:val="single" w:sz="4" w:space="0" w:color="auto"/>
              <w:right w:val="single" w:sz="4" w:space="0" w:color="auto"/>
            </w:tcBorders>
            <w:shd w:val="clear" w:color="auto" w:fill="F8CBAD"/>
            <w:noWrap/>
            <w:vAlign w:val="center"/>
            <w:hideMark/>
          </w:tcPr>
          <w:p w:rsidR="006F53B7" w:rsidRPr="00A77060" w:rsidRDefault="006F53B7" w:rsidP="004D2946">
            <w:pPr>
              <w:spacing w:after="0" w:line="240" w:lineRule="auto"/>
              <w:jc w:val="righ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613.800,8</w:t>
            </w:r>
          </w:p>
        </w:tc>
        <w:tc>
          <w:tcPr>
            <w:tcW w:w="1402"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center"/>
              <w:rPr>
                <w:rFonts w:ascii="Calibri Light" w:eastAsia="Times New Roman" w:hAnsi="Calibri Light" w:cstheme="majorHAnsi"/>
                <w:b/>
                <w:bCs/>
                <w:sz w:val="20"/>
                <w:szCs w:val="20"/>
                <w:lang w:val="ru-RU"/>
              </w:rPr>
            </w:pPr>
            <w:r w:rsidRPr="00A77060">
              <w:rPr>
                <w:rFonts w:ascii="Calibri Light" w:eastAsia="Times New Roman" w:hAnsi="Calibri Light" w:cstheme="majorHAnsi"/>
                <w:b/>
                <w:bCs/>
                <w:sz w:val="20"/>
                <w:szCs w:val="20"/>
                <w:lang w:val="ru-RU"/>
              </w:rPr>
              <w:t>66,9</w:t>
            </w:r>
          </w:p>
        </w:tc>
        <w:tc>
          <w:tcPr>
            <w:tcW w:w="1276"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center"/>
              <w:rPr>
                <w:rFonts w:ascii="Calibri Light" w:eastAsia="Times New Roman" w:hAnsi="Calibri Light" w:cstheme="majorHAnsi"/>
                <w:b/>
                <w:bCs/>
                <w:sz w:val="20"/>
                <w:szCs w:val="20"/>
                <w:lang w:val="ru-RU"/>
              </w:rPr>
            </w:pPr>
            <w:r w:rsidRPr="00A77060">
              <w:rPr>
                <w:rFonts w:ascii="Calibri Light" w:eastAsia="Times New Roman" w:hAnsi="Calibri Light" w:cstheme="majorHAnsi"/>
                <w:b/>
                <w:bCs/>
                <w:sz w:val="20"/>
                <w:szCs w:val="20"/>
                <w:lang w:val="ru-RU"/>
              </w:rPr>
              <w:t>80,3</w:t>
            </w:r>
          </w:p>
        </w:tc>
      </w:tr>
      <w:tr w:rsidR="006F53B7" w:rsidRPr="00A77060" w:rsidTr="004D2946">
        <w:trPr>
          <w:trHeight w:val="300"/>
        </w:trPr>
        <w:tc>
          <w:tcPr>
            <w:tcW w:w="581" w:type="dxa"/>
            <w:tcBorders>
              <w:top w:val="nil"/>
              <w:left w:val="single" w:sz="4" w:space="0" w:color="auto"/>
              <w:bottom w:val="single" w:sz="4" w:space="0" w:color="auto"/>
              <w:right w:val="single" w:sz="4" w:space="0" w:color="auto"/>
            </w:tcBorders>
            <w:shd w:val="clear" w:color="auto" w:fill="F8CBAD"/>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w:t>
            </w:r>
          </w:p>
        </w:tc>
        <w:tc>
          <w:tcPr>
            <w:tcW w:w="8492" w:type="dxa"/>
            <w:tcBorders>
              <w:top w:val="nil"/>
              <w:left w:val="single" w:sz="4" w:space="0" w:color="auto"/>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lef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xml:space="preserve">Всего с исполнением 90%-100% - 39 проектов </w:t>
            </w:r>
          </w:p>
        </w:tc>
        <w:tc>
          <w:tcPr>
            <w:tcW w:w="1175"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righ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170.685,2</w:t>
            </w:r>
          </w:p>
        </w:tc>
        <w:tc>
          <w:tcPr>
            <w:tcW w:w="1175"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righ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171.630,8</w:t>
            </w:r>
          </w:p>
        </w:tc>
        <w:tc>
          <w:tcPr>
            <w:tcW w:w="1175"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righ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170.057,7</w:t>
            </w:r>
          </w:p>
        </w:tc>
        <w:tc>
          <w:tcPr>
            <w:tcW w:w="1402"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center"/>
              <w:rPr>
                <w:rFonts w:ascii="Calibri Light" w:eastAsia="Times New Roman" w:hAnsi="Calibri Light" w:cstheme="majorHAnsi"/>
                <w:b/>
                <w:bCs/>
                <w:sz w:val="20"/>
                <w:szCs w:val="20"/>
                <w:lang w:val="ru-RU"/>
              </w:rPr>
            </w:pPr>
            <w:r w:rsidRPr="00A77060">
              <w:rPr>
                <w:rFonts w:ascii="Calibri Light" w:eastAsia="Times New Roman" w:hAnsi="Calibri Light" w:cstheme="majorHAnsi"/>
                <w:b/>
                <w:bCs/>
                <w:sz w:val="20"/>
                <w:szCs w:val="20"/>
                <w:lang w:val="ru-RU"/>
              </w:rPr>
              <w:t>99,6</w:t>
            </w:r>
          </w:p>
        </w:tc>
        <w:tc>
          <w:tcPr>
            <w:tcW w:w="1276"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center"/>
              <w:rPr>
                <w:rFonts w:ascii="Calibri Light" w:eastAsia="Times New Roman" w:hAnsi="Calibri Light" w:cstheme="majorHAnsi"/>
                <w:b/>
                <w:bCs/>
                <w:sz w:val="20"/>
                <w:szCs w:val="20"/>
                <w:lang w:val="ru-RU"/>
              </w:rPr>
            </w:pPr>
            <w:r w:rsidRPr="00A77060">
              <w:rPr>
                <w:rFonts w:ascii="Calibri Light" w:eastAsia="Times New Roman" w:hAnsi="Calibri Light" w:cstheme="majorHAnsi"/>
                <w:b/>
                <w:bCs/>
                <w:sz w:val="20"/>
                <w:szCs w:val="20"/>
                <w:lang w:val="ru-RU"/>
              </w:rPr>
              <w:t>99,1</w:t>
            </w:r>
          </w:p>
        </w:tc>
      </w:tr>
      <w:tr w:rsidR="006F53B7" w:rsidRPr="00A77060" w:rsidTr="004D2946">
        <w:trPr>
          <w:trHeight w:val="264"/>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Строительство контроль</w:t>
            </w:r>
            <w:r>
              <w:rPr>
                <w:rFonts w:ascii="Calibri Light" w:eastAsia="Times New Roman" w:hAnsi="Calibri Light" w:cstheme="majorHAnsi"/>
                <w:color w:val="000000"/>
                <w:sz w:val="20"/>
                <w:szCs w:val="20"/>
                <w:lang w:val="ru-RU"/>
              </w:rPr>
              <w:t>ной зоны на таможенном посту Джю</w:t>
            </w:r>
            <w:r w:rsidRPr="00A77060">
              <w:rPr>
                <w:rFonts w:ascii="Calibri Light" w:eastAsia="Times New Roman" w:hAnsi="Calibri Light" w:cstheme="majorHAnsi"/>
                <w:color w:val="000000"/>
                <w:sz w:val="20"/>
                <w:szCs w:val="20"/>
                <w:lang w:val="ru-RU"/>
              </w:rPr>
              <w:t>рдж</w:t>
            </w:r>
            <w:r>
              <w:rPr>
                <w:rFonts w:ascii="Calibri Light" w:eastAsia="Times New Roman" w:hAnsi="Calibri Light" w:cstheme="majorHAnsi"/>
                <w:color w:val="000000"/>
                <w:sz w:val="20"/>
                <w:szCs w:val="20"/>
                <w:lang w:val="ru-RU"/>
              </w:rPr>
              <w:t>ю</w:t>
            </w:r>
            <w:r w:rsidRPr="00A77060">
              <w:rPr>
                <w:rFonts w:ascii="Calibri Light" w:eastAsia="Times New Roman" w:hAnsi="Calibri Light" w:cstheme="majorHAnsi"/>
                <w:color w:val="000000"/>
                <w:sz w:val="20"/>
                <w:szCs w:val="20"/>
                <w:lang w:val="ru-RU"/>
              </w:rPr>
              <w:t xml:space="preserve">лешть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2.214,7</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727,2</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727,2</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32,8</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239"/>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Стр</w:t>
            </w:r>
            <w:r>
              <w:rPr>
                <w:rFonts w:ascii="Calibri Light" w:eastAsia="Times New Roman" w:hAnsi="Calibri Light" w:cstheme="majorHAnsi"/>
                <w:color w:val="000000"/>
                <w:sz w:val="20"/>
                <w:szCs w:val="20"/>
                <w:lang w:val="ru-RU"/>
              </w:rPr>
              <w:t>оительство контрольной зоны на т</w:t>
            </w:r>
            <w:r w:rsidRPr="00A77060">
              <w:rPr>
                <w:rFonts w:ascii="Calibri Light" w:eastAsia="Times New Roman" w:hAnsi="Calibri Light" w:cstheme="majorHAnsi"/>
                <w:color w:val="000000"/>
                <w:sz w:val="20"/>
                <w:szCs w:val="20"/>
                <w:lang w:val="ru-RU"/>
              </w:rPr>
              <w:t xml:space="preserve">аможенном посту Костешть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1.800,0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1.659,8</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92,2</w:t>
            </w:r>
          </w:p>
        </w:tc>
      </w:tr>
      <w:tr w:rsidR="006F53B7" w:rsidRPr="00A77060" w:rsidTr="004D2946">
        <w:trPr>
          <w:trHeight w:val="216"/>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3</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Модернизация инфраструктуры </w:t>
            </w:r>
            <w:r>
              <w:rPr>
                <w:rFonts w:ascii="Calibri Light" w:eastAsia="Times New Roman" w:hAnsi="Calibri Light" w:cstheme="majorHAnsi"/>
                <w:color w:val="000000"/>
                <w:sz w:val="20"/>
                <w:szCs w:val="20"/>
                <w:lang w:val="ru-RU"/>
              </w:rPr>
              <w:t>т</w:t>
            </w:r>
            <w:r w:rsidRPr="00A77060">
              <w:rPr>
                <w:rFonts w:ascii="Calibri Light" w:eastAsia="Times New Roman" w:hAnsi="Calibri Light" w:cstheme="majorHAnsi"/>
                <w:color w:val="000000"/>
                <w:sz w:val="20"/>
                <w:szCs w:val="20"/>
                <w:lang w:val="ru-RU"/>
              </w:rPr>
              <w:t xml:space="preserve">аможенного поста Скулень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38.094,8</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472,0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470,2</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1,2</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99,6</w:t>
            </w:r>
          </w:p>
        </w:tc>
      </w:tr>
      <w:tr w:rsidR="006F53B7" w:rsidRPr="00A77060" w:rsidTr="004D2946">
        <w:trPr>
          <w:trHeight w:val="333"/>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4</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периметра охраны Пенитенциарного учреждения №7, село Руска, района Хынчешть  </w:t>
            </w:r>
          </w:p>
        </w:tc>
        <w:tc>
          <w:tcPr>
            <w:tcW w:w="1175"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2.000,0</w:t>
            </w:r>
          </w:p>
        </w:tc>
        <w:tc>
          <w:tcPr>
            <w:tcW w:w="1175"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4.289,0</w:t>
            </w:r>
          </w:p>
        </w:tc>
        <w:tc>
          <w:tcPr>
            <w:tcW w:w="1175" w:type="dxa"/>
            <w:tcBorders>
              <w:top w:val="nil"/>
              <w:left w:val="nil"/>
              <w:bottom w:val="single" w:sz="4" w:space="0" w:color="auto"/>
              <w:right w:val="single" w:sz="4" w:space="0" w:color="auto"/>
            </w:tcBorders>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4.267,5</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213,4</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99,5</w:t>
            </w:r>
          </w:p>
        </w:tc>
      </w:tr>
      <w:tr w:rsidR="006F53B7" w:rsidRPr="00A77060" w:rsidTr="004D2946">
        <w:trPr>
          <w:trHeight w:val="369"/>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5</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Строительство пристройки к зданию Лаборатории генетико-</w:t>
            </w:r>
            <w:r>
              <w:rPr>
                <w:rFonts w:ascii="Calibri Light" w:eastAsia="Times New Roman" w:hAnsi="Calibri Light" w:cstheme="majorHAnsi"/>
                <w:color w:val="000000"/>
                <w:sz w:val="20"/>
                <w:szCs w:val="20"/>
                <w:lang w:val="ru-RU"/>
              </w:rPr>
              <w:t>судебн</w:t>
            </w:r>
            <w:r w:rsidRPr="00A77060">
              <w:rPr>
                <w:rFonts w:ascii="Calibri Light" w:eastAsia="Times New Roman" w:hAnsi="Calibri Light" w:cstheme="majorHAnsi"/>
                <w:color w:val="000000"/>
                <w:sz w:val="20"/>
                <w:szCs w:val="20"/>
                <w:lang w:val="ru-RU"/>
              </w:rPr>
              <w:t>ой экспертиз</w:t>
            </w:r>
            <w:r>
              <w:rPr>
                <w:rFonts w:ascii="Calibri Light" w:eastAsia="Times New Roman" w:hAnsi="Calibri Light" w:cstheme="majorHAnsi"/>
                <w:color w:val="000000"/>
                <w:sz w:val="20"/>
                <w:szCs w:val="20"/>
                <w:lang w:val="ru-RU"/>
              </w:rPr>
              <w:t>ы</w:t>
            </w:r>
            <w:r w:rsidRPr="00A77060">
              <w:rPr>
                <w:rFonts w:ascii="Calibri Light" w:eastAsia="Times New Roman" w:hAnsi="Calibri Light" w:cstheme="majorHAnsi"/>
                <w:color w:val="000000"/>
                <w:sz w:val="20"/>
                <w:szCs w:val="20"/>
                <w:lang w:val="ru-RU"/>
              </w:rPr>
              <w:t xml:space="preserve"> (ADN), ул. Путна, №10, муниципий Кишинэу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5.719,1</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9.412,0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9.411,9</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164,6</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291"/>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6</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Строительство изолятора по временному задержанию Инспектората полиции Бэлць</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2.280,0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2.970,0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2.970,0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130,3</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469"/>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7</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бассейна Центрального спортивного клуба „Динамо”, ул. Георге Асаки №23, муниципий Кишинэу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9.000,0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93"/>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8</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здания </w:t>
            </w:r>
            <w:r>
              <w:rPr>
                <w:rFonts w:ascii="Calibri Light" w:eastAsia="Times New Roman" w:hAnsi="Calibri Light" w:cstheme="majorHAnsi"/>
                <w:color w:val="000000"/>
                <w:sz w:val="20"/>
                <w:szCs w:val="20"/>
                <w:lang w:val="ru-RU"/>
              </w:rPr>
              <w:t>Участка п</w:t>
            </w:r>
            <w:r w:rsidRPr="00A77060">
              <w:rPr>
                <w:rFonts w:ascii="Calibri Light" w:eastAsia="Times New Roman" w:hAnsi="Calibri Light" w:cstheme="majorHAnsi"/>
                <w:color w:val="000000"/>
                <w:sz w:val="20"/>
                <w:szCs w:val="20"/>
                <w:lang w:val="ru-RU"/>
              </w:rPr>
              <w:t xml:space="preserve">ограничной полиции Брынза, района Кахул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2.394,6</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2.126,6</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2.126,6</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88,8</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395"/>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9</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здания </w:t>
            </w:r>
            <w:r>
              <w:rPr>
                <w:rFonts w:ascii="Calibri Light" w:eastAsia="Times New Roman" w:hAnsi="Calibri Light" w:cstheme="majorHAnsi"/>
                <w:color w:val="000000"/>
                <w:sz w:val="20"/>
                <w:szCs w:val="20"/>
                <w:lang w:val="ru-RU"/>
              </w:rPr>
              <w:t>Участка</w:t>
            </w:r>
            <w:r w:rsidRPr="00A77060">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п</w:t>
            </w:r>
            <w:r w:rsidRPr="00A77060">
              <w:rPr>
                <w:rFonts w:ascii="Calibri Light" w:eastAsia="Times New Roman" w:hAnsi="Calibri Light" w:cstheme="majorHAnsi"/>
                <w:color w:val="000000"/>
                <w:sz w:val="20"/>
                <w:szCs w:val="20"/>
                <w:lang w:val="ru-RU"/>
              </w:rPr>
              <w:t>ограничной полиции Стояновка, района Кантемир</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2.394,6</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2.126,6</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2.126,6</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88,8</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10</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здания </w:t>
            </w:r>
            <w:r>
              <w:rPr>
                <w:rFonts w:ascii="Calibri Light" w:eastAsia="Times New Roman" w:hAnsi="Calibri Light" w:cstheme="majorHAnsi"/>
                <w:color w:val="000000"/>
                <w:sz w:val="20"/>
                <w:szCs w:val="20"/>
                <w:lang w:val="ru-RU"/>
              </w:rPr>
              <w:t>Участка п</w:t>
            </w:r>
            <w:r w:rsidRPr="00A77060">
              <w:rPr>
                <w:rFonts w:ascii="Calibri Light" w:eastAsia="Times New Roman" w:hAnsi="Calibri Light" w:cstheme="majorHAnsi"/>
                <w:color w:val="000000"/>
                <w:sz w:val="20"/>
                <w:szCs w:val="20"/>
                <w:lang w:val="ru-RU"/>
              </w:rPr>
              <w:t>ограничной полиции Точень, района Кантемир</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2.394,6</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2.127,6</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2.127,6</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88,8</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349"/>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11</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здания </w:t>
            </w:r>
            <w:r>
              <w:rPr>
                <w:rFonts w:ascii="Calibri Light" w:eastAsia="Times New Roman" w:hAnsi="Calibri Light" w:cstheme="majorHAnsi"/>
                <w:color w:val="000000"/>
                <w:sz w:val="20"/>
                <w:szCs w:val="20"/>
                <w:lang w:val="ru-RU"/>
              </w:rPr>
              <w:t>Участка п</w:t>
            </w:r>
            <w:r w:rsidRPr="00A77060">
              <w:rPr>
                <w:rFonts w:ascii="Calibri Light" w:eastAsia="Times New Roman" w:hAnsi="Calibri Light" w:cstheme="majorHAnsi"/>
                <w:color w:val="000000"/>
                <w:sz w:val="20"/>
                <w:szCs w:val="20"/>
                <w:lang w:val="ru-RU"/>
              </w:rPr>
              <w:t>ограничной полиции Валя Маре, района Унгень</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2.394,6</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2.127,6</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2.127,6</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88,8</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102"/>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12</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здания </w:t>
            </w:r>
            <w:r>
              <w:rPr>
                <w:rFonts w:ascii="Calibri Light" w:eastAsia="Times New Roman" w:hAnsi="Calibri Light" w:cstheme="majorHAnsi"/>
                <w:color w:val="000000"/>
                <w:sz w:val="20"/>
                <w:szCs w:val="20"/>
                <w:lang w:val="ru-RU"/>
              </w:rPr>
              <w:t>Участка</w:t>
            </w:r>
            <w:r w:rsidRPr="00A77060">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п</w:t>
            </w:r>
            <w:r w:rsidRPr="00A77060">
              <w:rPr>
                <w:rFonts w:ascii="Calibri Light" w:eastAsia="Times New Roman" w:hAnsi="Calibri Light" w:cstheme="majorHAnsi"/>
                <w:color w:val="000000"/>
                <w:sz w:val="20"/>
                <w:szCs w:val="20"/>
                <w:lang w:val="ru-RU"/>
              </w:rPr>
              <w:t xml:space="preserve">ограничной полиции Бричень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2.944,8</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2.593,3</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2.393,3</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81,3</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92,3</w:t>
            </w:r>
          </w:p>
        </w:tc>
      </w:tr>
      <w:tr w:rsidR="006F53B7" w:rsidRPr="00A77060" w:rsidTr="004D2946">
        <w:trPr>
          <w:trHeight w:val="77"/>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13</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1707B">
              <w:rPr>
                <w:rFonts w:ascii="Calibri Light" w:eastAsia="Times New Roman" w:hAnsi="Calibri Light" w:cstheme="majorHAnsi"/>
                <w:color w:val="000000"/>
                <w:sz w:val="20"/>
                <w:szCs w:val="20"/>
                <w:lang w:val="ru-RU"/>
              </w:rPr>
              <w:t xml:space="preserve">Строительство коммуникационной системы Пограничной полиции (TETRA) на молдавско-украинском участке границы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9.000,0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100,0</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14</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Строительство здания </w:t>
            </w:r>
            <w:r w:rsidRPr="00A1707B">
              <w:rPr>
                <w:rFonts w:ascii="Calibri Light" w:eastAsia="Times New Roman" w:hAnsi="Calibri Light" w:cstheme="majorHAnsi"/>
                <w:color w:val="000000"/>
                <w:sz w:val="20"/>
                <w:szCs w:val="20"/>
                <w:lang w:val="ru-RU"/>
              </w:rPr>
              <w:t xml:space="preserve">пожарно-спасательной части Унгень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100,0</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lastRenderedPageBreak/>
              <w:t>15</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здания </w:t>
            </w:r>
            <w:r w:rsidRPr="00A1707B">
              <w:rPr>
                <w:rFonts w:ascii="Calibri Light" w:eastAsia="Times New Roman" w:hAnsi="Calibri Light" w:cstheme="majorHAnsi"/>
                <w:color w:val="000000"/>
                <w:sz w:val="20"/>
                <w:szCs w:val="20"/>
                <w:lang w:val="ru-RU"/>
              </w:rPr>
              <w:t xml:space="preserve">пожарно-спасательной части </w:t>
            </w:r>
            <w:r w:rsidRPr="00A77060">
              <w:rPr>
                <w:rFonts w:ascii="Calibri Light" w:eastAsia="Times New Roman" w:hAnsi="Calibri Light" w:cstheme="majorHAnsi"/>
                <w:color w:val="000000"/>
                <w:sz w:val="20"/>
                <w:szCs w:val="20"/>
                <w:lang w:val="ru-RU"/>
              </w:rPr>
              <w:t xml:space="preserve">Кантемир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16</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Строительство здания </w:t>
            </w:r>
            <w:r w:rsidRPr="00A1707B">
              <w:rPr>
                <w:rFonts w:ascii="Calibri Light" w:eastAsia="Times New Roman" w:hAnsi="Calibri Light" w:cstheme="majorHAnsi"/>
                <w:color w:val="000000"/>
                <w:sz w:val="20"/>
                <w:szCs w:val="20"/>
                <w:lang w:val="ru-RU"/>
              </w:rPr>
              <w:t xml:space="preserve">пожарно-спасательной части </w:t>
            </w:r>
            <w:r w:rsidRPr="00A77060">
              <w:rPr>
                <w:rFonts w:ascii="Calibri Light" w:eastAsia="Times New Roman" w:hAnsi="Calibri Light" w:cstheme="majorHAnsi"/>
                <w:color w:val="000000"/>
                <w:sz w:val="20"/>
                <w:szCs w:val="20"/>
                <w:lang w:val="ru-RU"/>
              </w:rPr>
              <w:t xml:space="preserve">Хынчешть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341,7</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341,6</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431"/>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17</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Строительство здания </w:t>
            </w:r>
            <w:r w:rsidRPr="00A1707B">
              <w:rPr>
                <w:rFonts w:ascii="Calibri Light" w:eastAsia="Times New Roman" w:hAnsi="Calibri Light" w:cstheme="majorHAnsi"/>
                <w:color w:val="000000"/>
                <w:sz w:val="20"/>
                <w:szCs w:val="20"/>
                <w:lang w:val="ru-RU"/>
              </w:rPr>
              <w:t>пожарно-спасательно</w:t>
            </w:r>
            <w:r>
              <w:rPr>
                <w:rFonts w:ascii="Calibri Light" w:eastAsia="Times New Roman" w:hAnsi="Calibri Light" w:cstheme="majorHAnsi"/>
                <w:color w:val="000000"/>
                <w:sz w:val="20"/>
                <w:szCs w:val="20"/>
                <w:lang w:val="ru-RU"/>
              </w:rPr>
              <w:t>го</w:t>
            </w:r>
            <w:r w:rsidRPr="00A1707B">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п</w:t>
            </w:r>
            <w:r w:rsidRPr="00A77060">
              <w:rPr>
                <w:rFonts w:ascii="Calibri Light" w:eastAsia="Times New Roman" w:hAnsi="Calibri Light" w:cstheme="majorHAnsi"/>
                <w:color w:val="000000"/>
                <w:sz w:val="20"/>
                <w:szCs w:val="20"/>
                <w:lang w:val="ru-RU"/>
              </w:rPr>
              <w:t>оста, сел</w:t>
            </w:r>
            <w:r>
              <w:rPr>
                <w:rFonts w:ascii="Calibri Light" w:eastAsia="Times New Roman" w:hAnsi="Calibri Light" w:cstheme="majorHAnsi"/>
                <w:color w:val="000000"/>
                <w:sz w:val="20"/>
                <w:szCs w:val="20"/>
                <w:lang w:val="ru-RU"/>
              </w:rPr>
              <w:t>о</w:t>
            </w:r>
            <w:r w:rsidRPr="00A77060">
              <w:rPr>
                <w:rFonts w:ascii="Calibri Light" w:eastAsia="Times New Roman" w:hAnsi="Calibri Light" w:cstheme="majorHAnsi"/>
                <w:color w:val="000000"/>
                <w:sz w:val="20"/>
                <w:szCs w:val="20"/>
                <w:lang w:val="ru-RU"/>
              </w:rPr>
              <w:t xml:space="preserve"> Сэнэтэука, района Флорешть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164,7</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164,7</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212"/>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18</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Реконструкция здания Пункта наземно</w:t>
            </w:r>
            <w:r>
              <w:rPr>
                <w:rFonts w:ascii="Calibri Light" w:eastAsia="Times New Roman" w:hAnsi="Calibri Light" w:cstheme="majorHAnsi"/>
                <w:color w:val="000000"/>
                <w:sz w:val="20"/>
                <w:szCs w:val="20"/>
                <w:lang w:val="ru-RU"/>
              </w:rPr>
              <w:t xml:space="preserve">го </w:t>
            </w:r>
            <w:r w:rsidRPr="003E7BF7">
              <w:rPr>
                <w:rFonts w:ascii="Calibri Light" w:eastAsia="Times New Roman" w:hAnsi="Calibri Light" w:cstheme="majorHAnsi"/>
                <w:color w:val="000000"/>
                <w:sz w:val="20"/>
                <w:szCs w:val="20"/>
                <w:lang w:val="ru-RU"/>
              </w:rPr>
              <w:t>управления SMURD</w:t>
            </w:r>
            <w:r w:rsidRPr="00A77060">
              <w:rPr>
                <w:rFonts w:ascii="Calibri Light" w:eastAsia="Times New Roman" w:hAnsi="Calibri Light" w:cstheme="majorHAnsi"/>
                <w:color w:val="000000"/>
                <w:sz w:val="20"/>
                <w:szCs w:val="20"/>
                <w:lang w:val="ru-RU"/>
              </w:rPr>
              <w:t xml:space="preserve"> Кантемир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2.362,5</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3.136,0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2.872,4</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121,6</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91,6</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19</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здания Пункта </w:t>
            </w:r>
            <w:r w:rsidRPr="003E7BF7">
              <w:rPr>
                <w:rFonts w:ascii="Calibri Light" w:eastAsia="Times New Roman" w:hAnsi="Calibri Light" w:cstheme="majorHAnsi"/>
                <w:color w:val="000000"/>
                <w:sz w:val="20"/>
                <w:szCs w:val="20"/>
                <w:lang w:val="ru-RU"/>
              </w:rPr>
              <w:t xml:space="preserve">наземного управления SMURD </w:t>
            </w:r>
            <w:r w:rsidRPr="00A77060">
              <w:rPr>
                <w:rFonts w:ascii="Calibri Light" w:eastAsia="Times New Roman" w:hAnsi="Calibri Light" w:cstheme="majorHAnsi"/>
                <w:color w:val="000000"/>
                <w:sz w:val="20"/>
                <w:szCs w:val="20"/>
                <w:lang w:val="ru-RU"/>
              </w:rPr>
              <w:t xml:space="preserve">Унгень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3.037,5</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4.333,0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4.333,0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142,7</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276"/>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20</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Завершение строительства взлетно-посадочной полосы для вертолетов с </w:t>
            </w:r>
            <w:r>
              <w:rPr>
                <w:rFonts w:ascii="Calibri Light" w:eastAsia="Times New Roman" w:hAnsi="Calibri Light" w:cstheme="majorHAnsi"/>
                <w:color w:val="000000"/>
                <w:sz w:val="20"/>
                <w:szCs w:val="20"/>
                <w:lang w:val="ru-RU"/>
              </w:rPr>
              <w:t xml:space="preserve">подъездной </w:t>
            </w:r>
            <w:r w:rsidRPr="00A77060">
              <w:rPr>
                <w:rFonts w:ascii="Calibri Light" w:eastAsia="Times New Roman" w:hAnsi="Calibri Light" w:cstheme="majorHAnsi"/>
                <w:color w:val="000000"/>
                <w:sz w:val="20"/>
                <w:szCs w:val="20"/>
                <w:lang w:val="ru-RU"/>
              </w:rPr>
              <w:t>дорогой, село Дж</w:t>
            </w:r>
            <w:r>
              <w:rPr>
                <w:rFonts w:ascii="Calibri Light" w:eastAsia="Times New Roman" w:hAnsi="Calibri Light" w:cstheme="majorHAnsi"/>
                <w:color w:val="000000"/>
                <w:sz w:val="20"/>
                <w:szCs w:val="20"/>
                <w:lang w:val="ru-RU"/>
              </w:rPr>
              <w:t>юрджю</w:t>
            </w:r>
            <w:r w:rsidRPr="00A77060">
              <w:rPr>
                <w:rFonts w:ascii="Calibri Light" w:eastAsia="Times New Roman" w:hAnsi="Calibri Light" w:cstheme="majorHAnsi"/>
                <w:color w:val="000000"/>
                <w:sz w:val="20"/>
                <w:szCs w:val="20"/>
                <w:lang w:val="ru-RU"/>
              </w:rPr>
              <w:t>лешть, района Кахул</w:t>
            </w:r>
          </w:p>
        </w:tc>
        <w:tc>
          <w:tcPr>
            <w:tcW w:w="1175"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c>
          <w:tcPr>
            <w:tcW w:w="1175"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c>
          <w:tcPr>
            <w:tcW w:w="1175"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198"/>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21</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Проект „</w:t>
            </w:r>
            <w:r>
              <w:rPr>
                <w:rFonts w:ascii="Calibri Light" w:eastAsia="Times New Roman" w:hAnsi="Calibri Light" w:cstheme="majorHAnsi"/>
                <w:color w:val="000000"/>
                <w:sz w:val="20"/>
                <w:szCs w:val="20"/>
                <w:lang w:val="ru-RU"/>
              </w:rPr>
              <w:t>П</w:t>
            </w:r>
            <w:r w:rsidRPr="00A77060">
              <w:rPr>
                <w:rFonts w:ascii="Calibri Light" w:eastAsia="Times New Roman" w:hAnsi="Calibri Light" w:cstheme="majorHAnsi"/>
                <w:color w:val="000000"/>
                <w:sz w:val="20"/>
                <w:szCs w:val="20"/>
                <w:lang w:val="ru-RU"/>
              </w:rPr>
              <w:t>рограмма</w:t>
            </w:r>
            <w:r w:rsidRPr="00860C43">
              <w:rPr>
                <w:lang w:val="ru-RU"/>
              </w:rPr>
              <w:t xml:space="preserve"> </w:t>
            </w:r>
            <w:r w:rsidRPr="00860C43">
              <w:rPr>
                <w:rFonts w:ascii="Calibri Light" w:eastAsia="Times New Roman" w:hAnsi="Calibri Light" w:cstheme="majorHAnsi"/>
                <w:color w:val="000000"/>
                <w:sz w:val="20"/>
                <w:szCs w:val="20"/>
                <w:lang w:val="ru-RU"/>
              </w:rPr>
              <w:t>повышения экономико-климатической устойчивости сельской местности (IFAD VI)»</w:t>
            </w:r>
            <w:r>
              <w:rPr>
                <w:rFonts w:ascii="Calibri Light" w:eastAsia="Times New Roman" w:hAnsi="Calibri Light" w:cstheme="majorHAnsi"/>
                <w:color w:val="000000"/>
                <w:sz w:val="20"/>
                <w:szCs w:val="20"/>
                <w:lang w:val="ru-RU"/>
              </w:rPr>
              <w:t xml:space="preserve">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7.349,7</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36.599,5</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35.816,7</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487,3</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97,9</w:t>
            </w:r>
          </w:p>
        </w:tc>
      </w:tr>
      <w:tr w:rsidR="006F53B7" w:rsidRPr="00A77060" w:rsidTr="004D2946">
        <w:trPr>
          <w:trHeight w:val="134"/>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22</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Проект „Конкурентоспособное сельское хозяйство”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13.174,8</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10.523,1</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10.519,9</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79,8</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307"/>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23</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860C43">
              <w:rPr>
                <w:rFonts w:ascii="Calibri Light" w:eastAsia="Times New Roman" w:hAnsi="Calibri Light" w:cs="Times New Roman"/>
                <w:sz w:val="20"/>
                <w:szCs w:val="20"/>
                <w:lang w:val="ru-RU"/>
              </w:rPr>
              <w:t xml:space="preserve">Реконструкция и модернизация зданий Образцового центра в области садоводства и сельскохозяйственных технологий, </w:t>
            </w:r>
            <w:r w:rsidRPr="00A77060">
              <w:rPr>
                <w:rFonts w:ascii="Calibri Light" w:eastAsia="Times New Roman" w:hAnsi="Calibri Light" w:cstheme="majorHAnsi"/>
                <w:color w:val="000000"/>
                <w:sz w:val="20"/>
                <w:szCs w:val="20"/>
                <w:lang w:val="ru-RU"/>
              </w:rPr>
              <w:t xml:space="preserve">село Цаул, район Дондушень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10.056,6</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6.334,8</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6.334,1</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63,0</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51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24</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Реконструкция теплиц Национального ботанического сада (Институт) им. Александру Чиботару, ул. Пэдурии №18, муниципий Кишинэу</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606,3</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606,3</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583,3</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96,2</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96,2</w:t>
            </w:r>
          </w:p>
        </w:tc>
      </w:tr>
      <w:tr w:rsidR="006F53B7" w:rsidRPr="00A77060" w:rsidTr="004D2946">
        <w:trPr>
          <w:trHeight w:val="51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25</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 xml:space="preserve">Реставрация </w:t>
            </w:r>
            <w:r w:rsidRPr="00A77060">
              <w:rPr>
                <w:rFonts w:ascii="Calibri Light" w:eastAsia="Times New Roman" w:hAnsi="Calibri Light" w:cstheme="majorHAnsi"/>
                <w:color w:val="000000"/>
                <w:sz w:val="20"/>
                <w:szCs w:val="20"/>
                <w:lang w:val="ru-RU"/>
              </w:rPr>
              <w:t xml:space="preserve">здания Национального художественного музея, ул. 31 Августа 1989 №115, муниципий Кишинэу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17.000,0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17.000,0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17.000,0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100,0</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51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26</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860C43">
              <w:rPr>
                <w:rFonts w:ascii="Calibri Light" w:eastAsia="Times New Roman" w:hAnsi="Calibri Light" w:cstheme="majorHAnsi"/>
                <w:color w:val="000000"/>
                <w:sz w:val="20"/>
                <w:szCs w:val="20"/>
                <w:lang w:val="ru-RU"/>
              </w:rPr>
              <w:t>Реставрация</w:t>
            </w:r>
            <w:r w:rsidRPr="00A77060">
              <w:rPr>
                <w:rFonts w:ascii="Calibri Light" w:eastAsia="Times New Roman" w:hAnsi="Calibri Light" w:cstheme="majorHAnsi"/>
                <w:color w:val="000000"/>
                <w:sz w:val="20"/>
                <w:szCs w:val="20"/>
                <w:lang w:val="ru-RU"/>
              </w:rPr>
              <w:t xml:space="preserve"> и реконструкция зданий Национального музея этнографии и </w:t>
            </w:r>
            <w:r w:rsidRPr="00860C43">
              <w:rPr>
                <w:rFonts w:ascii="Calibri Light" w:eastAsia="Times New Roman" w:hAnsi="Calibri Light" w:cstheme="majorHAnsi"/>
                <w:color w:val="000000"/>
                <w:sz w:val="20"/>
                <w:szCs w:val="20"/>
                <w:lang w:val="ru-RU"/>
              </w:rPr>
              <w:t xml:space="preserve">естественной </w:t>
            </w:r>
            <w:r w:rsidRPr="00A77060">
              <w:rPr>
                <w:rFonts w:ascii="Calibri Light" w:eastAsia="Times New Roman" w:hAnsi="Calibri Light" w:cstheme="majorHAnsi"/>
                <w:color w:val="000000"/>
                <w:sz w:val="20"/>
                <w:szCs w:val="20"/>
                <w:lang w:val="ru-RU"/>
              </w:rPr>
              <w:t>истории, ул. Михаила Когэлничану №82, муниципий Кишинэу</w:t>
            </w:r>
            <w:r w:rsidRPr="00860C43">
              <w:rPr>
                <w:lang w:val="ru-RU"/>
              </w:rPr>
              <w:t xml:space="preserve">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2.999,5</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100,0</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365"/>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27</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Реконструкция блока „B” Национального музея истории Молдовы (Музей жертв деп</w:t>
            </w:r>
            <w:r>
              <w:rPr>
                <w:rFonts w:ascii="Calibri Light" w:eastAsia="Times New Roman" w:hAnsi="Calibri Light" w:cstheme="majorHAnsi"/>
                <w:color w:val="000000"/>
                <w:sz w:val="20"/>
                <w:szCs w:val="20"/>
                <w:lang w:val="ru-RU"/>
              </w:rPr>
              <w:t>о</w:t>
            </w:r>
            <w:r w:rsidRPr="00A77060">
              <w:rPr>
                <w:rFonts w:ascii="Calibri Light" w:eastAsia="Times New Roman" w:hAnsi="Calibri Light" w:cstheme="majorHAnsi"/>
                <w:color w:val="000000"/>
                <w:sz w:val="20"/>
                <w:szCs w:val="20"/>
                <w:lang w:val="ru-RU"/>
              </w:rPr>
              <w:t>ртации и политических репрессий), ул. Митрополита Гавриила Бэнулеску-Бодони №16, муниципий Кишинэу</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28</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 xml:space="preserve">Реставрация </w:t>
            </w:r>
            <w:r w:rsidRPr="00A77060">
              <w:rPr>
                <w:rFonts w:ascii="Calibri Light" w:eastAsia="Times New Roman" w:hAnsi="Calibri Light" w:cstheme="majorHAnsi"/>
                <w:color w:val="000000"/>
                <w:sz w:val="20"/>
                <w:szCs w:val="20"/>
                <w:lang w:val="ru-RU"/>
              </w:rPr>
              <w:t xml:space="preserve">Музея села, филиала Национального музея этнографии и </w:t>
            </w:r>
            <w:r w:rsidRPr="00860C43">
              <w:rPr>
                <w:rFonts w:ascii="Calibri Light" w:eastAsia="Times New Roman" w:hAnsi="Calibri Light" w:cstheme="majorHAnsi"/>
                <w:color w:val="000000"/>
                <w:sz w:val="20"/>
                <w:szCs w:val="20"/>
                <w:lang w:val="ru-RU"/>
              </w:rPr>
              <w:t>естественной</w:t>
            </w:r>
            <w:r w:rsidRPr="00A77060">
              <w:rPr>
                <w:rFonts w:ascii="Calibri Light" w:eastAsia="Times New Roman" w:hAnsi="Calibri Light" w:cstheme="majorHAnsi"/>
                <w:color w:val="000000"/>
                <w:sz w:val="20"/>
                <w:szCs w:val="20"/>
                <w:lang w:val="ru-RU"/>
              </w:rPr>
              <w:t xml:space="preserve"> истории, бул. Дачия, муниципий Кишинэу</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496,3</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99,3</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99,3</w:t>
            </w:r>
          </w:p>
        </w:tc>
      </w:tr>
      <w:tr w:rsidR="006F53B7" w:rsidRPr="00A77060" w:rsidTr="004D2946">
        <w:trPr>
          <w:trHeight w:val="255"/>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29</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860C43">
              <w:rPr>
                <w:rFonts w:ascii="Calibri Light" w:eastAsia="Times New Roman" w:hAnsi="Calibri Light" w:cstheme="majorHAnsi"/>
                <w:color w:val="000000"/>
                <w:sz w:val="20"/>
                <w:szCs w:val="20"/>
                <w:lang w:val="ru-RU"/>
              </w:rPr>
              <w:t>Реставрац</w:t>
            </w:r>
            <w:r>
              <w:rPr>
                <w:rFonts w:ascii="Calibri Light" w:eastAsia="Times New Roman" w:hAnsi="Calibri Light" w:cstheme="majorHAnsi"/>
                <w:color w:val="000000"/>
                <w:sz w:val="20"/>
                <w:szCs w:val="20"/>
                <w:lang w:val="ru-RU"/>
              </w:rPr>
              <w:t>ия традиционных крестьянских до</w:t>
            </w:r>
            <w:r w:rsidRPr="00860C43">
              <w:rPr>
                <w:rFonts w:ascii="Calibri Light" w:eastAsia="Times New Roman" w:hAnsi="Calibri Light" w:cstheme="majorHAnsi"/>
                <w:color w:val="000000"/>
                <w:sz w:val="20"/>
                <w:szCs w:val="20"/>
                <w:lang w:val="ru-RU"/>
              </w:rPr>
              <w:t xml:space="preserve">мов </w:t>
            </w:r>
            <w:r w:rsidRPr="00A77060">
              <w:rPr>
                <w:rFonts w:ascii="Calibri Light" w:eastAsia="Times New Roman" w:hAnsi="Calibri Light" w:cstheme="majorHAnsi"/>
                <w:color w:val="000000"/>
                <w:sz w:val="20"/>
                <w:szCs w:val="20"/>
                <w:lang w:val="ru-RU"/>
              </w:rPr>
              <w:t>в рамках Природно-культурной резервации „</w:t>
            </w:r>
            <w:r w:rsidRPr="00860C43">
              <w:rPr>
                <w:rFonts w:ascii="Calibri Light" w:eastAsia="Times New Roman" w:hAnsi="Calibri Light" w:cstheme="majorHAnsi"/>
                <w:color w:val="000000"/>
                <w:sz w:val="20"/>
                <w:szCs w:val="20"/>
                <w:lang w:val="ru-RU"/>
              </w:rPr>
              <w:t>Орхейюл Векь</w:t>
            </w:r>
            <w:r w:rsidRPr="00A77060">
              <w:rPr>
                <w:rFonts w:ascii="Calibri Light" w:eastAsia="Times New Roman" w:hAnsi="Calibri Light" w:cstheme="majorHAnsi"/>
                <w:color w:val="000000"/>
                <w:sz w:val="20"/>
                <w:szCs w:val="20"/>
                <w:lang w:val="ru-RU"/>
              </w:rPr>
              <w:t>”</w:t>
            </w:r>
            <w:r w:rsidRPr="00860C43">
              <w:rPr>
                <w:rFonts w:ascii="Calibri Light" w:eastAsia="Times New Roman" w:hAnsi="Calibri Light" w:cstheme="majorHAnsi"/>
                <w:color w:val="000000"/>
                <w:sz w:val="20"/>
                <w:szCs w:val="20"/>
                <w:lang w:val="ru-RU"/>
              </w:rPr>
              <w:t xml:space="preserve">, </w:t>
            </w:r>
            <w:r w:rsidRPr="00A77060">
              <w:rPr>
                <w:rFonts w:ascii="Calibri Light" w:eastAsia="Times New Roman" w:hAnsi="Calibri Light" w:cstheme="majorHAnsi"/>
                <w:color w:val="000000"/>
                <w:sz w:val="20"/>
                <w:szCs w:val="20"/>
                <w:lang w:val="ru-RU"/>
              </w:rPr>
              <w:t>села</w:t>
            </w:r>
            <w:r w:rsidRPr="00860C43">
              <w:rPr>
                <w:rFonts w:ascii="Calibri Light" w:eastAsia="Times New Roman" w:hAnsi="Calibri Light" w:cstheme="majorHAnsi"/>
                <w:color w:val="000000"/>
                <w:sz w:val="20"/>
                <w:szCs w:val="20"/>
                <w:lang w:val="ru-RU"/>
              </w:rPr>
              <w:t xml:space="preserve"> Бутучень и Моровая</w:t>
            </w:r>
            <w:r>
              <w:rPr>
                <w:rFonts w:ascii="Calibri Light" w:eastAsia="Times New Roman" w:hAnsi="Calibri Light" w:cstheme="majorHAnsi"/>
                <w:color w:val="000000"/>
                <w:sz w:val="20"/>
                <w:szCs w:val="20"/>
                <w:lang w:val="ru-RU"/>
              </w:rPr>
              <w:t>,</w:t>
            </w:r>
            <w:r w:rsidRPr="00A77060">
              <w:rPr>
                <w:rFonts w:ascii="Calibri Light" w:eastAsia="Times New Roman" w:hAnsi="Calibri Light" w:cstheme="majorHAnsi"/>
                <w:color w:val="000000"/>
                <w:sz w:val="20"/>
                <w:szCs w:val="20"/>
                <w:lang w:val="ru-RU"/>
              </w:rPr>
              <w:t xml:space="preserve"> района Орхей</w:t>
            </w:r>
            <w:r>
              <w:rPr>
                <w:rFonts w:ascii="Calibri Light" w:eastAsia="Times New Roman" w:hAnsi="Calibri Light" w:cstheme="majorHAnsi"/>
                <w:color w:val="000000"/>
                <w:sz w:val="20"/>
                <w:szCs w:val="20"/>
                <w:lang w:val="ru-RU"/>
              </w:rPr>
              <w:t xml:space="preserve">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500,0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100,0</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30</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Реконструкция спортивной базы по гребле Спортивного центра подготовк</w:t>
            </w:r>
            <w:r>
              <w:rPr>
                <w:rFonts w:ascii="Calibri Light" w:eastAsia="Times New Roman" w:hAnsi="Calibri Light" w:cstheme="majorHAnsi"/>
                <w:color w:val="000000"/>
                <w:sz w:val="20"/>
                <w:szCs w:val="20"/>
                <w:lang w:val="ru-RU"/>
              </w:rPr>
              <w:t>и</w:t>
            </w:r>
            <w:r w:rsidRPr="00A77060">
              <w:rPr>
                <w:rFonts w:ascii="Calibri Light" w:eastAsia="Times New Roman" w:hAnsi="Calibri Light" w:cstheme="majorHAnsi"/>
                <w:color w:val="000000"/>
                <w:sz w:val="20"/>
                <w:szCs w:val="20"/>
                <w:lang w:val="ru-RU"/>
              </w:rPr>
              <w:t xml:space="preserve"> </w:t>
            </w:r>
            <w:r w:rsidRPr="00860C43">
              <w:rPr>
                <w:rFonts w:ascii="Calibri Light" w:eastAsia="Times New Roman" w:hAnsi="Calibri Light" w:cstheme="majorHAnsi"/>
                <w:color w:val="000000"/>
                <w:sz w:val="20"/>
                <w:szCs w:val="20"/>
                <w:lang w:val="ru-RU"/>
              </w:rPr>
              <w:t xml:space="preserve">национальных </w:t>
            </w:r>
            <w:r w:rsidRPr="00A77060">
              <w:rPr>
                <w:rFonts w:ascii="Calibri Light" w:eastAsia="Times New Roman" w:hAnsi="Calibri Light" w:cstheme="majorHAnsi"/>
                <w:color w:val="000000"/>
                <w:sz w:val="20"/>
                <w:szCs w:val="20"/>
                <w:lang w:val="ru-RU"/>
              </w:rPr>
              <w:t xml:space="preserve">сборных </w:t>
            </w:r>
            <w:r>
              <w:rPr>
                <w:rFonts w:ascii="Calibri Light" w:eastAsia="Times New Roman" w:hAnsi="Calibri Light" w:cstheme="majorHAnsi"/>
                <w:color w:val="000000"/>
                <w:sz w:val="20"/>
                <w:szCs w:val="20"/>
                <w:lang w:val="ru-RU"/>
              </w:rPr>
              <w:t>команд</w:t>
            </w:r>
            <w:r w:rsidRPr="00A77060">
              <w:rPr>
                <w:rFonts w:ascii="Calibri Light" w:eastAsia="Times New Roman" w:hAnsi="Calibri Light" w:cstheme="majorHAnsi"/>
                <w:color w:val="000000"/>
                <w:sz w:val="20"/>
                <w:szCs w:val="20"/>
                <w:lang w:val="ru-RU"/>
              </w:rPr>
              <w:t>, город Ватра, муниципий Кишинэу</w:t>
            </w:r>
            <w:r w:rsidRPr="00860C43">
              <w:rPr>
                <w:lang w:val="ru-RU"/>
              </w:rPr>
              <w:t xml:space="preserve">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4.000,0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100,0</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411"/>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31</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ind w:left="-60" w:right="-115"/>
              <w:jc w:val="left"/>
              <w:rPr>
                <w:rFonts w:ascii="Calibri Light" w:eastAsia="Times New Roman" w:hAnsi="Calibri Light" w:cstheme="majorHAnsi"/>
                <w:color w:val="000000"/>
                <w:sz w:val="20"/>
                <w:szCs w:val="20"/>
                <w:lang w:val="ru-RU"/>
              </w:rPr>
            </w:pPr>
            <w:r w:rsidRPr="00860C43">
              <w:rPr>
                <w:rFonts w:ascii="Calibri Light" w:eastAsia="Times New Roman" w:hAnsi="Calibri Light" w:cstheme="majorHAnsi"/>
                <w:color w:val="000000"/>
                <w:sz w:val="20"/>
                <w:szCs w:val="20"/>
                <w:lang w:val="ru-RU"/>
              </w:rPr>
              <w:t xml:space="preserve">Реконструкция здания с сооружением пристройки многофункционального зала Специализированной спортивной школы по боксу, </w:t>
            </w:r>
            <w:r w:rsidRPr="00A77060">
              <w:rPr>
                <w:rFonts w:ascii="Calibri Light" w:eastAsia="Times New Roman" w:hAnsi="Calibri Light" w:cstheme="majorHAnsi"/>
                <w:color w:val="000000"/>
                <w:sz w:val="20"/>
                <w:szCs w:val="20"/>
                <w:lang w:val="ru-RU"/>
              </w:rPr>
              <w:t xml:space="preserve">из села Гримэнкэуць, района Бричень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8.000,0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0,1</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333"/>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32</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Строительство </w:t>
            </w:r>
            <w:r w:rsidRPr="00860C43">
              <w:rPr>
                <w:rFonts w:ascii="Calibri Light" w:eastAsia="Times New Roman" w:hAnsi="Calibri Light" w:cstheme="majorHAnsi"/>
                <w:color w:val="000000"/>
                <w:sz w:val="20"/>
                <w:szCs w:val="20"/>
                <w:lang w:val="ru-RU"/>
              </w:rPr>
              <w:t xml:space="preserve">котельной на природном газе Профессионального училища № 2 </w:t>
            </w:r>
            <w:r w:rsidRPr="00A77060">
              <w:rPr>
                <w:rFonts w:ascii="Calibri Light" w:eastAsia="Times New Roman" w:hAnsi="Calibri Light" w:cstheme="majorHAnsi"/>
                <w:color w:val="000000"/>
                <w:sz w:val="20"/>
                <w:szCs w:val="20"/>
                <w:lang w:val="ru-RU"/>
              </w:rPr>
              <w:t>из муниципия Кахул</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1.610,0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1.610,0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1.610,0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100,0</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256"/>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33</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и модернизация зданий </w:t>
            </w:r>
            <w:r w:rsidRPr="00860C43">
              <w:rPr>
                <w:rFonts w:ascii="Calibri Light" w:eastAsia="Times New Roman" w:hAnsi="Calibri Light" w:cstheme="majorHAnsi"/>
                <w:color w:val="000000"/>
                <w:sz w:val="20"/>
                <w:szCs w:val="20"/>
                <w:lang w:val="ru-RU"/>
              </w:rPr>
              <w:t>Образцового центра</w:t>
            </w:r>
            <w:r w:rsidRPr="00A77060">
              <w:rPr>
                <w:rFonts w:ascii="Calibri Light" w:eastAsia="Times New Roman" w:hAnsi="Calibri Light" w:cstheme="majorHAnsi"/>
                <w:color w:val="000000"/>
                <w:sz w:val="20"/>
                <w:szCs w:val="20"/>
                <w:lang w:val="ru-RU"/>
              </w:rPr>
              <w:t xml:space="preserve"> в</w:t>
            </w:r>
            <w:r>
              <w:rPr>
                <w:rFonts w:ascii="Calibri Light" w:eastAsia="Times New Roman" w:hAnsi="Calibri Light" w:cstheme="majorHAnsi"/>
                <w:color w:val="000000"/>
                <w:sz w:val="20"/>
                <w:szCs w:val="20"/>
                <w:lang w:val="ru-RU"/>
              </w:rPr>
              <w:t xml:space="preserve"> области</w:t>
            </w:r>
            <w:r w:rsidRPr="00A77060">
              <w:rPr>
                <w:rFonts w:ascii="Calibri Light" w:eastAsia="Times New Roman" w:hAnsi="Calibri Light" w:cstheme="majorHAnsi"/>
                <w:color w:val="000000"/>
                <w:sz w:val="20"/>
                <w:szCs w:val="20"/>
                <w:lang w:val="ru-RU"/>
              </w:rPr>
              <w:t xml:space="preserve"> экономик</w:t>
            </w:r>
            <w:r>
              <w:rPr>
                <w:rFonts w:ascii="Calibri Light" w:eastAsia="Times New Roman" w:hAnsi="Calibri Light" w:cstheme="majorHAnsi"/>
                <w:color w:val="000000"/>
                <w:sz w:val="20"/>
                <w:szCs w:val="20"/>
                <w:lang w:val="ru-RU"/>
              </w:rPr>
              <w:t>и</w:t>
            </w:r>
            <w:r w:rsidRPr="00A77060">
              <w:rPr>
                <w:rFonts w:ascii="Calibri Light" w:eastAsia="Times New Roman" w:hAnsi="Calibri Light" w:cstheme="majorHAnsi"/>
                <w:color w:val="000000"/>
                <w:sz w:val="20"/>
                <w:szCs w:val="20"/>
                <w:lang w:val="ru-RU"/>
              </w:rPr>
              <w:t xml:space="preserve"> и финанс</w:t>
            </w:r>
            <w:r>
              <w:rPr>
                <w:rFonts w:ascii="Calibri Light" w:eastAsia="Times New Roman" w:hAnsi="Calibri Light" w:cstheme="majorHAnsi"/>
                <w:color w:val="000000"/>
                <w:sz w:val="20"/>
                <w:szCs w:val="20"/>
                <w:lang w:val="ru-RU"/>
              </w:rPr>
              <w:t>ов</w:t>
            </w:r>
            <w:r w:rsidRPr="00A77060">
              <w:rPr>
                <w:rFonts w:ascii="Calibri Light" w:eastAsia="Times New Roman" w:hAnsi="Calibri Light" w:cstheme="majorHAnsi"/>
                <w:color w:val="000000"/>
                <w:sz w:val="20"/>
                <w:szCs w:val="20"/>
                <w:lang w:val="ru-RU"/>
              </w:rPr>
              <w:t>, ул. Мирон Костин №26/2, муниципий Кишинэу</w:t>
            </w:r>
            <w:r w:rsidRPr="00860C43">
              <w:rPr>
                <w:lang w:val="ru-RU"/>
              </w:rPr>
              <w:t xml:space="preserve">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1.495,8</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1.985,3</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1.980,4</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132,4</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99,8</w:t>
            </w:r>
          </w:p>
        </w:tc>
      </w:tr>
      <w:tr w:rsidR="006F53B7" w:rsidRPr="00A77060" w:rsidTr="004D2946">
        <w:trPr>
          <w:trHeight w:val="177"/>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34</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и модернизация зданий </w:t>
            </w:r>
            <w:r w:rsidRPr="00860C43">
              <w:rPr>
                <w:rFonts w:ascii="Calibri Light" w:eastAsia="Times New Roman" w:hAnsi="Calibri Light" w:cstheme="majorHAnsi"/>
                <w:color w:val="000000"/>
                <w:sz w:val="20"/>
                <w:szCs w:val="20"/>
                <w:lang w:val="ru-RU"/>
              </w:rPr>
              <w:t>Образцового центра</w:t>
            </w:r>
            <w:r w:rsidRPr="00A77060">
              <w:rPr>
                <w:rFonts w:ascii="Calibri Light" w:eastAsia="Times New Roman" w:hAnsi="Calibri Light" w:cstheme="majorHAnsi"/>
                <w:color w:val="000000"/>
                <w:sz w:val="20"/>
                <w:szCs w:val="20"/>
                <w:lang w:val="ru-RU"/>
              </w:rPr>
              <w:t xml:space="preserve"> в</w:t>
            </w:r>
            <w:r>
              <w:rPr>
                <w:rFonts w:ascii="Calibri Light" w:eastAsia="Times New Roman" w:hAnsi="Calibri Light" w:cstheme="majorHAnsi"/>
                <w:color w:val="000000"/>
                <w:sz w:val="20"/>
                <w:szCs w:val="20"/>
                <w:lang w:val="ru-RU"/>
              </w:rPr>
              <w:t xml:space="preserve"> области</w:t>
            </w:r>
            <w:r w:rsidRPr="00A77060">
              <w:rPr>
                <w:rFonts w:ascii="Calibri Light" w:eastAsia="Times New Roman" w:hAnsi="Calibri Light" w:cstheme="majorHAnsi"/>
                <w:color w:val="000000"/>
                <w:sz w:val="20"/>
                <w:szCs w:val="20"/>
                <w:lang w:val="ru-RU"/>
              </w:rPr>
              <w:t xml:space="preserve"> художественно</w:t>
            </w:r>
            <w:r>
              <w:rPr>
                <w:rFonts w:ascii="Calibri Light" w:eastAsia="Times New Roman" w:hAnsi="Calibri Light" w:cstheme="majorHAnsi"/>
                <w:color w:val="000000"/>
                <w:sz w:val="20"/>
                <w:szCs w:val="20"/>
                <w:lang w:val="ru-RU"/>
              </w:rPr>
              <w:t>го</w:t>
            </w:r>
            <w:r w:rsidRPr="00A77060">
              <w:rPr>
                <w:rFonts w:ascii="Calibri Light" w:eastAsia="Times New Roman" w:hAnsi="Calibri Light" w:cstheme="majorHAnsi"/>
                <w:color w:val="000000"/>
                <w:sz w:val="20"/>
                <w:szCs w:val="20"/>
                <w:lang w:val="ru-RU"/>
              </w:rPr>
              <w:t xml:space="preserve"> образовани</w:t>
            </w:r>
            <w:r>
              <w:rPr>
                <w:rFonts w:ascii="Calibri Light" w:eastAsia="Times New Roman" w:hAnsi="Calibri Light" w:cstheme="majorHAnsi"/>
                <w:color w:val="000000"/>
                <w:sz w:val="20"/>
                <w:szCs w:val="20"/>
                <w:lang w:val="ru-RU"/>
              </w:rPr>
              <w:t>я</w:t>
            </w:r>
            <w:r w:rsidRPr="00A77060">
              <w:rPr>
                <w:rFonts w:ascii="Calibri Light" w:eastAsia="Times New Roman" w:hAnsi="Calibri Light" w:cstheme="majorHAnsi"/>
                <w:color w:val="000000"/>
                <w:sz w:val="20"/>
                <w:szCs w:val="20"/>
                <w:lang w:val="ru-RU"/>
              </w:rPr>
              <w:t xml:space="preserve"> им. Штефан</w:t>
            </w:r>
            <w:r>
              <w:rPr>
                <w:rFonts w:ascii="Calibri Light" w:eastAsia="Times New Roman" w:hAnsi="Calibri Light" w:cstheme="majorHAnsi"/>
                <w:color w:val="000000"/>
                <w:sz w:val="20"/>
                <w:szCs w:val="20"/>
                <w:lang w:val="ru-RU"/>
              </w:rPr>
              <w:t>а</w:t>
            </w:r>
            <w:r w:rsidRPr="00A77060">
              <w:rPr>
                <w:rFonts w:ascii="Calibri Light" w:eastAsia="Times New Roman" w:hAnsi="Calibri Light" w:cstheme="majorHAnsi"/>
                <w:color w:val="000000"/>
                <w:sz w:val="20"/>
                <w:szCs w:val="20"/>
                <w:lang w:val="ru-RU"/>
              </w:rPr>
              <w:t xml:space="preserve"> Няг</w:t>
            </w:r>
            <w:r>
              <w:rPr>
                <w:rFonts w:ascii="Calibri Light" w:eastAsia="Times New Roman" w:hAnsi="Calibri Light" w:cstheme="majorHAnsi"/>
                <w:color w:val="000000"/>
                <w:sz w:val="20"/>
                <w:szCs w:val="20"/>
                <w:lang w:val="ru-RU"/>
              </w:rPr>
              <w:t>и</w:t>
            </w:r>
            <w:r w:rsidRPr="00A77060">
              <w:rPr>
                <w:rFonts w:ascii="Calibri Light" w:eastAsia="Times New Roman" w:hAnsi="Calibri Light" w:cstheme="majorHAnsi"/>
                <w:color w:val="000000"/>
                <w:sz w:val="20"/>
                <w:szCs w:val="20"/>
                <w:lang w:val="ru-RU"/>
              </w:rPr>
              <w:t>, ул. Христо Ботева №4, муниципий Кишинэу</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14.688,8</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17.188,8</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17.123,4</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116,6</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99,6</w:t>
            </w:r>
          </w:p>
        </w:tc>
      </w:tr>
      <w:tr w:rsidR="006F53B7" w:rsidRPr="00A77060" w:rsidTr="004D2946">
        <w:trPr>
          <w:trHeight w:val="255"/>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35</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и модернизация зданий </w:t>
            </w:r>
            <w:r w:rsidRPr="00860C43">
              <w:rPr>
                <w:rFonts w:ascii="Calibri Light" w:eastAsia="Times New Roman" w:hAnsi="Calibri Light" w:cstheme="majorHAnsi"/>
                <w:color w:val="000000"/>
                <w:sz w:val="20"/>
                <w:szCs w:val="20"/>
                <w:lang w:val="ru-RU"/>
              </w:rPr>
              <w:t>Образцового центра</w:t>
            </w:r>
            <w:r w:rsidRPr="00A77060">
              <w:rPr>
                <w:rFonts w:ascii="Calibri Light" w:eastAsia="Times New Roman" w:hAnsi="Calibri Light" w:cstheme="majorHAnsi"/>
                <w:color w:val="000000"/>
                <w:sz w:val="20"/>
                <w:szCs w:val="20"/>
                <w:lang w:val="ru-RU"/>
              </w:rPr>
              <w:t xml:space="preserve"> в</w:t>
            </w:r>
            <w:r>
              <w:rPr>
                <w:rFonts w:ascii="Calibri Light" w:eastAsia="Times New Roman" w:hAnsi="Calibri Light" w:cstheme="majorHAnsi"/>
                <w:color w:val="000000"/>
                <w:sz w:val="20"/>
                <w:szCs w:val="20"/>
                <w:lang w:val="ru-RU"/>
              </w:rPr>
              <w:t xml:space="preserve"> области</w:t>
            </w:r>
            <w:r w:rsidRPr="00A77060">
              <w:rPr>
                <w:rFonts w:ascii="Calibri Light" w:eastAsia="Times New Roman" w:hAnsi="Calibri Light" w:cstheme="majorHAnsi"/>
                <w:color w:val="000000"/>
                <w:sz w:val="20"/>
                <w:szCs w:val="20"/>
                <w:lang w:val="ru-RU"/>
              </w:rPr>
              <w:t xml:space="preserve"> энергетик</w:t>
            </w:r>
            <w:r>
              <w:rPr>
                <w:rFonts w:ascii="Calibri Light" w:eastAsia="Times New Roman" w:hAnsi="Calibri Light" w:cstheme="majorHAnsi"/>
                <w:color w:val="000000"/>
                <w:sz w:val="20"/>
                <w:szCs w:val="20"/>
                <w:lang w:val="ru-RU"/>
              </w:rPr>
              <w:t>и</w:t>
            </w:r>
            <w:r w:rsidRPr="00A77060">
              <w:rPr>
                <w:rFonts w:ascii="Calibri Light" w:eastAsia="Times New Roman" w:hAnsi="Calibri Light" w:cstheme="majorHAnsi"/>
                <w:color w:val="000000"/>
                <w:sz w:val="20"/>
                <w:szCs w:val="20"/>
                <w:lang w:val="ru-RU"/>
              </w:rPr>
              <w:t xml:space="preserve"> и электроник</w:t>
            </w:r>
            <w:r>
              <w:rPr>
                <w:rFonts w:ascii="Calibri Light" w:eastAsia="Times New Roman" w:hAnsi="Calibri Light" w:cstheme="majorHAnsi"/>
                <w:color w:val="000000"/>
                <w:sz w:val="20"/>
                <w:szCs w:val="20"/>
                <w:lang w:val="ru-RU"/>
              </w:rPr>
              <w:t>и</w:t>
            </w:r>
            <w:r w:rsidRPr="00A77060">
              <w:rPr>
                <w:rFonts w:ascii="Calibri Light" w:eastAsia="Times New Roman" w:hAnsi="Calibri Light" w:cstheme="majorHAnsi"/>
                <w:color w:val="000000"/>
                <w:sz w:val="20"/>
                <w:szCs w:val="20"/>
                <w:lang w:val="ru-RU"/>
              </w:rPr>
              <w:t>, ул. Михаила Садовяну №40/2, муниципий Кишинэу</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1.400,0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1.399,9</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36</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и модернизация зданий </w:t>
            </w:r>
            <w:r w:rsidRPr="00860C43">
              <w:rPr>
                <w:rFonts w:ascii="Calibri Light" w:eastAsia="Times New Roman" w:hAnsi="Calibri Light" w:cstheme="majorHAnsi"/>
                <w:color w:val="000000"/>
                <w:sz w:val="20"/>
                <w:szCs w:val="20"/>
                <w:lang w:val="ru-RU"/>
              </w:rPr>
              <w:t>Образцового центра</w:t>
            </w:r>
            <w:r w:rsidRPr="00A77060">
              <w:rPr>
                <w:rFonts w:ascii="Calibri Light" w:eastAsia="Times New Roman" w:hAnsi="Calibri Light" w:cstheme="majorHAnsi"/>
                <w:color w:val="000000"/>
                <w:sz w:val="20"/>
                <w:szCs w:val="20"/>
                <w:lang w:val="ru-RU"/>
              </w:rPr>
              <w:t xml:space="preserve"> в</w:t>
            </w:r>
            <w:r>
              <w:rPr>
                <w:rFonts w:ascii="Calibri Light" w:eastAsia="Times New Roman" w:hAnsi="Calibri Light" w:cstheme="majorHAnsi"/>
                <w:color w:val="000000"/>
                <w:sz w:val="20"/>
                <w:szCs w:val="20"/>
                <w:lang w:val="ru-RU"/>
              </w:rPr>
              <w:t xml:space="preserve"> области</w:t>
            </w:r>
            <w:r w:rsidRPr="00A77060">
              <w:rPr>
                <w:rFonts w:ascii="Calibri Light" w:eastAsia="Times New Roman" w:hAnsi="Calibri Light" w:cstheme="majorHAnsi"/>
                <w:color w:val="000000"/>
                <w:sz w:val="20"/>
                <w:szCs w:val="20"/>
                <w:lang w:val="ru-RU"/>
              </w:rPr>
              <w:t xml:space="preserve"> транспорт</w:t>
            </w:r>
            <w:r>
              <w:rPr>
                <w:rFonts w:ascii="Calibri Light" w:eastAsia="Times New Roman" w:hAnsi="Calibri Light" w:cstheme="majorHAnsi"/>
                <w:color w:val="000000"/>
                <w:sz w:val="20"/>
                <w:szCs w:val="20"/>
                <w:lang w:val="ru-RU"/>
              </w:rPr>
              <w:t>а</w:t>
            </w:r>
            <w:r w:rsidRPr="00A77060">
              <w:rPr>
                <w:rFonts w:ascii="Calibri Light" w:eastAsia="Times New Roman" w:hAnsi="Calibri Light" w:cstheme="majorHAnsi"/>
                <w:color w:val="000000"/>
                <w:sz w:val="20"/>
                <w:szCs w:val="20"/>
                <w:lang w:val="ru-RU"/>
              </w:rPr>
              <w:t xml:space="preserve">, ул. Сармизежетуса №31, муниципий Кишинэу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58,3</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58,3</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113"/>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37</w:t>
            </w:r>
          </w:p>
        </w:tc>
        <w:tc>
          <w:tcPr>
            <w:tcW w:w="8492" w:type="dxa"/>
            <w:tcBorders>
              <w:top w:val="nil"/>
              <w:left w:val="nil"/>
              <w:bottom w:val="single" w:sz="4" w:space="0" w:color="auto"/>
              <w:right w:val="single" w:sz="4" w:space="0" w:color="auto"/>
            </w:tcBorders>
            <w:vAlign w:val="center"/>
            <w:hideMark/>
          </w:tcPr>
          <w:p w:rsidR="006F53B7" w:rsidRDefault="006F53B7" w:rsidP="004D2946">
            <w:pPr>
              <w:spacing w:after="0" w:line="240" w:lineRule="auto"/>
              <w:ind w:left="-60" w:right="-115"/>
              <w:jc w:val="left"/>
              <w:rPr>
                <w:rFonts w:ascii="Calibri Light" w:eastAsia="Times New Roman" w:hAnsi="Calibri Light" w:cstheme="majorHAnsi"/>
                <w:color w:val="000000"/>
                <w:sz w:val="20"/>
                <w:szCs w:val="20"/>
                <w:lang w:val="ru-RU"/>
              </w:rPr>
            </w:pPr>
            <w:r w:rsidRPr="00860C43">
              <w:rPr>
                <w:rFonts w:ascii="Calibri Light" w:eastAsia="Times New Roman" w:hAnsi="Calibri Light" w:cstheme="majorHAnsi"/>
                <w:color w:val="000000"/>
                <w:sz w:val="20"/>
                <w:szCs w:val="20"/>
                <w:lang w:val="ru-RU"/>
              </w:rPr>
              <w:t>Обновление здания и прилегающей к Государ</w:t>
            </w:r>
            <w:r>
              <w:rPr>
                <w:rFonts w:ascii="Calibri Light" w:eastAsia="Times New Roman" w:hAnsi="Calibri Light" w:cstheme="majorHAnsi"/>
                <w:color w:val="000000"/>
                <w:sz w:val="20"/>
                <w:szCs w:val="20"/>
                <w:lang w:val="ru-RU"/>
              </w:rPr>
              <w:t>ственной</w:t>
            </w:r>
            <w:r w:rsidRPr="00860C43">
              <w:rPr>
                <w:rFonts w:ascii="Calibri Light" w:eastAsia="Times New Roman" w:hAnsi="Calibri Light" w:cstheme="majorHAnsi"/>
                <w:color w:val="000000"/>
                <w:sz w:val="20"/>
                <w:szCs w:val="20"/>
                <w:lang w:val="ru-RU"/>
              </w:rPr>
              <w:t xml:space="preserve"> больнице территории, ул.</w:t>
            </w:r>
            <w:r>
              <w:rPr>
                <w:rFonts w:ascii="Calibri Light" w:eastAsia="Times New Roman" w:hAnsi="Calibri Light" w:cstheme="majorHAnsi"/>
                <w:color w:val="000000"/>
                <w:sz w:val="20"/>
                <w:szCs w:val="20"/>
                <w:lang w:val="ru-RU"/>
              </w:rPr>
              <w:t xml:space="preserve"> </w:t>
            </w:r>
            <w:r w:rsidRPr="00860C43">
              <w:rPr>
                <w:rFonts w:ascii="Calibri Light" w:eastAsia="Times New Roman" w:hAnsi="Calibri Light" w:cstheme="majorHAnsi"/>
                <w:color w:val="000000"/>
                <w:sz w:val="20"/>
                <w:szCs w:val="20"/>
                <w:lang w:val="ru-RU"/>
              </w:rPr>
              <w:t>Друмул</w:t>
            </w:r>
          </w:p>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860C43">
              <w:rPr>
                <w:rFonts w:ascii="Calibri Light" w:eastAsia="Times New Roman" w:hAnsi="Calibri Light" w:cstheme="majorHAnsi"/>
                <w:color w:val="000000"/>
                <w:sz w:val="20"/>
                <w:szCs w:val="20"/>
                <w:lang w:val="ru-RU"/>
              </w:rPr>
              <w:t>Виилор</w:t>
            </w:r>
            <w:r>
              <w:rPr>
                <w:rFonts w:ascii="Calibri Light" w:eastAsia="Times New Roman" w:hAnsi="Calibri Light" w:cstheme="majorHAnsi"/>
                <w:color w:val="000000"/>
                <w:sz w:val="20"/>
                <w:szCs w:val="20"/>
                <w:lang w:val="ru-RU"/>
              </w:rPr>
              <w:t xml:space="preserve"> №</w:t>
            </w:r>
            <w:r w:rsidRPr="00860C43">
              <w:rPr>
                <w:rFonts w:ascii="Calibri Light" w:eastAsia="Times New Roman" w:hAnsi="Calibri Light" w:cstheme="majorHAnsi"/>
                <w:color w:val="000000"/>
                <w:sz w:val="20"/>
                <w:szCs w:val="20"/>
                <w:lang w:val="ru-RU"/>
              </w:rPr>
              <w:t xml:space="preserve">34, </w:t>
            </w:r>
            <w:r w:rsidRPr="00A77060">
              <w:rPr>
                <w:rFonts w:ascii="Calibri Light" w:eastAsia="Times New Roman" w:hAnsi="Calibri Light" w:cstheme="majorHAnsi"/>
                <w:color w:val="000000"/>
                <w:sz w:val="20"/>
                <w:szCs w:val="20"/>
                <w:lang w:val="ru-RU"/>
              </w:rPr>
              <w:t>муниципий Кишинэу</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4.471,4</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4.471,4</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4.409,9</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98,6</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98,6</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lastRenderedPageBreak/>
              <w:t>38</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Проект по капитальным вложениям СИБ №4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6.000,0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100,0</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w:t>
            </w:r>
          </w:p>
        </w:tc>
      </w:tr>
      <w:tr w:rsidR="006F53B7" w:rsidRPr="00A77060" w:rsidTr="004D2946">
        <w:trPr>
          <w:trHeight w:val="418"/>
        </w:trPr>
        <w:tc>
          <w:tcPr>
            <w:tcW w:w="581" w:type="dxa"/>
            <w:tcBorders>
              <w:top w:val="nil"/>
              <w:left w:val="single" w:sz="4" w:space="0" w:color="auto"/>
              <w:bottom w:val="single" w:sz="4" w:space="0" w:color="auto"/>
              <w:right w:val="single" w:sz="4" w:space="0" w:color="auto"/>
            </w:tcBorders>
            <w:shd w:val="clear" w:color="auto" w:fill="F8CBAD"/>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w:t>
            </w:r>
          </w:p>
        </w:tc>
        <w:tc>
          <w:tcPr>
            <w:tcW w:w="8492" w:type="dxa"/>
            <w:tcBorders>
              <w:top w:val="nil"/>
              <w:left w:val="single" w:sz="4" w:space="0" w:color="auto"/>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lef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xml:space="preserve">Всего с исполнением 50%-90% -  17 проектов </w:t>
            </w:r>
          </w:p>
        </w:tc>
        <w:tc>
          <w:tcPr>
            <w:tcW w:w="1175"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righ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681.883,0</w:t>
            </w:r>
          </w:p>
        </w:tc>
        <w:tc>
          <w:tcPr>
            <w:tcW w:w="1175"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righ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532.511,5</w:t>
            </w:r>
          </w:p>
        </w:tc>
        <w:tc>
          <w:tcPr>
            <w:tcW w:w="1175"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righ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427.006,1</w:t>
            </w:r>
          </w:p>
        </w:tc>
        <w:tc>
          <w:tcPr>
            <w:tcW w:w="1402"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center"/>
              <w:rPr>
                <w:rFonts w:ascii="Calibri Light" w:eastAsia="Times New Roman" w:hAnsi="Calibri Light" w:cstheme="majorHAnsi"/>
                <w:b/>
                <w:bCs/>
                <w:sz w:val="20"/>
                <w:szCs w:val="20"/>
                <w:lang w:val="ru-RU"/>
              </w:rPr>
            </w:pPr>
            <w:r w:rsidRPr="00A77060">
              <w:rPr>
                <w:rFonts w:ascii="Calibri Light" w:eastAsia="Times New Roman" w:hAnsi="Calibri Light" w:cstheme="majorHAnsi"/>
                <w:b/>
                <w:bCs/>
                <w:sz w:val="20"/>
                <w:szCs w:val="20"/>
                <w:lang w:val="ru-RU"/>
              </w:rPr>
              <w:t>62,6</w:t>
            </w:r>
          </w:p>
        </w:tc>
        <w:tc>
          <w:tcPr>
            <w:tcW w:w="1276"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center"/>
              <w:rPr>
                <w:rFonts w:ascii="Calibri Light" w:eastAsia="Times New Roman" w:hAnsi="Calibri Light" w:cstheme="majorHAnsi"/>
                <w:b/>
                <w:bCs/>
                <w:sz w:val="20"/>
                <w:szCs w:val="20"/>
                <w:lang w:val="ru-RU"/>
              </w:rPr>
            </w:pPr>
            <w:r w:rsidRPr="00A77060">
              <w:rPr>
                <w:rFonts w:ascii="Calibri Light" w:eastAsia="Times New Roman" w:hAnsi="Calibri Light" w:cstheme="majorHAnsi"/>
                <w:b/>
                <w:bCs/>
                <w:sz w:val="20"/>
                <w:szCs w:val="20"/>
                <w:lang w:val="ru-RU"/>
              </w:rPr>
              <w:t>80,2</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w:t>
            </w:r>
          </w:p>
        </w:tc>
        <w:tc>
          <w:tcPr>
            <w:tcW w:w="8492" w:type="dxa"/>
            <w:tcBorders>
              <w:top w:val="nil"/>
              <w:left w:val="nil"/>
              <w:bottom w:val="single" w:sz="4" w:space="0" w:color="auto"/>
              <w:right w:val="single" w:sz="4" w:space="0" w:color="auto"/>
            </w:tcBorders>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Строительство санитарных блоков на 23 таможенных пунктах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6.620,0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3.820,9</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3.011,6</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45,5</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78,8</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Модернизация инфр</w:t>
            </w:r>
            <w:r>
              <w:rPr>
                <w:rFonts w:ascii="Calibri Light" w:eastAsia="Times New Roman" w:hAnsi="Calibri Light" w:cstheme="majorHAnsi"/>
                <w:color w:val="000000"/>
                <w:sz w:val="20"/>
                <w:szCs w:val="20"/>
                <w:lang w:val="ru-RU"/>
              </w:rPr>
              <w:t>аструктуры Таможенного поста Джюрджю</w:t>
            </w:r>
            <w:r w:rsidRPr="00A77060">
              <w:rPr>
                <w:rFonts w:ascii="Calibri Light" w:eastAsia="Times New Roman" w:hAnsi="Calibri Light" w:cstheme="majorHAnsi"/>
                <w:color w:val="000000"/>
                <w:sz w:val="20"/>
                <w:szCs w:val="20"/>
                <w:lang w:val="ru-RU"/>
              </w:rPr>
              <w:t xml:space="preserve">лешть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5.265,0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4.353,2</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2.337,1</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44,4</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53,7</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3</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Строительство дома ареста в муниципии Бэлць  </w:t>
            </w:r>
          </w:p>
        </w:tc>
        <w:tc>
          <w:tcPr>
            <w:tcW w:w="1175"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48.000,0</w:t>
            </w:r>
          </w:p>
        </w:tc>
        <w:tc>
          <w:tcPr>
            <w:tcW w:w="1175"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22.711,0</w:t>
            </w:r>
          </w:p>
        </w:tc>
        <w:tc>
          <w:tcPr>
            <w:tcW w:w="1175" w:type="dxa"/>
            <w:tcBorders>
              <w:top w:val="nil"/>
              <w:left w:val="nil"/>
              <w:bottom w:val="single" w:sz="4" w:space="0" w:color="auto"/>
              <w:right w:val="single" w:sz="4" w:space="0" w:color="auto"/>
            </w:tcBorders>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20.137,6</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42,0</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88,7</w:t>
            </w:r>
          </w:p>
        </w:tc>
      </w:tr>
      <w:tr w:rsidR="006F53B7" w:rsidRPr="00A77060" w:rsidTr="004D2946">
        <w:trPr>
          <w:trHeight w:val="88"/>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4</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Строительство здания для трех оперативных подразделений Национального</w:t>
            </w:r>
            <w:r>
              <w:rPr>
                <w:rFonts w:ascii="Calibri Light" w:eastAsia="Times New Roman" w:hAnsi="Calibri Light" w:cstheme="majorHAnsi"/>
                <w:color w:val="000000"/>
                <w:sz w:val="20"/>
                <w:szCs w:val="20"/>
                <w:lang w:val="ru-RU"/>
              </w:rPr>
              <w:t xml:space="preserve"> следственного </w:t>
            </w:r>
            <w:r w:rsidRPr="00A77060">
              <w:rPr>
                <w:rFonts w:ascii="Calibri Light" w:eastAsia="Times New Roman" w:hAnsi="Calibri Light" w:cstheme="majorHAnsi"/>
                <w:color w:val="000000"/>
                <w:sz w:val="20"/>
                <w:szCs w:val="20"/>
                <w:lang w:val="ru-RU"/>
              </w:rPr>
              <w:t>инспектората,</w:t>
            </w:r>
            <w:r>
              <w:rPr>
                <w:rFonts w:ascii="Calibri Light" w:eastAsia="Times New Roman" w:hAnsi="Calibri Light" w:cstheme="majorHAnsi"/>
                <w:color w:val="000000"/>
                <w:sz w:val="20"/>
                <w:szCs w:val="20"/>
                <w:lang w:val="ru-RU"/>
              </w:rPr>
              <w:t xml:space="preserve"> </w:t>
            </w:r>
            <w:r w:rsidRPr="00A77060">
              <w:rPr>
                <w:rFonts w:ascii="Calibri Light" w:eastAsia="Times New Roman" w:hAnsi="Calibri Light" w:cstheme="majorHAnsi"/>
                <w:color w:val="000000"/>
                <w:sz w:val="20"/>
                <w:szCs w:val="20"/>
                <w:lang w:val="ru-RU"/>
              </w:rPr>
              <w:t>ул. Букурией №14, муниципий Кишинэу</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13.686,8</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13.686,8</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6.895,9</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50,4</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50,4</w:t>
            </w:r>
          </w:p>
        </w:tc>
      </w:tr>
      <w:tr w:rsidR="006F53B7" w:rsidRPr="00A77060" w:rsidTr="004D2946">
        <w:trPr>
          <w:trHeight w:val="165"/>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5</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Реконструкция периметра охраны Пенитенциарного учреждения №10, село Гоян, муниципий Кишинэу</w:t>
            </w:r>
          </w:p>
        </w:tc>
        <w:tc>
          <w:tcPr>
            <w:tcW w:w="1175"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c>
          <w:tcPr>
            <w:tcW w:w="1175"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1.000,0</w:t>
            </w:r>
          </w:p>
        </w:tc>
        <w:tc>
          <w:tcPr>
            <w:tcW w:w="1175" w:type="dxa"/>
            <w:tcBorders>
              <w:top w:val="nil"/>
              <w:left w:val="nil"/>
              <w:bottom w:val="single" w:sz="4" w:space="0" w:color="auto"/>
              <w:right w:val="single" w:sz="4" w:space="0" w:color="auto"/>
            </w:tcBorders>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572,5</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57,3</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6</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Строительство здания </w:t>
            </w:r>
            <w:r>
              <w:rPr>
                <w:rFonts w:ascii="Calibri Light" w:eastAsia="Times New Roman" w:hAnsi="Calibri Light" w:cstheme="majorHAnsi"/>
                <w:color w:val="000000"/>
                <w:sz w:val="20"/>
                <w:szCs w:val="20"/>
                <w:lang w:val="ru-RU"/>
              </w:rPr>
              <w:t>Участка п</w:t>
            </w:r>
            <w:r w:rsidRPr="00A77060">
              <w:rPr>
                <w:rFonts w:ascii="Calibri Light" w:eastAsia="Times New Roman" w:hAnsi="Calibri Light" w:cstheme="majorHAnsi"/>
                <w:color w:val="000000"/>
                <w:sz w:val="20"/>
                <w:szCs w:val="20"/>
                <w:lang w:val="ru-RU"/>
              </w:rPr>
              <w:t xml:space="preserve">ограничной полиции Сорока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2.104,1</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2.002,1</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1.552,1</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73,8</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77,5</w:t>
            </w:r>
          </w:p>
        </w:tc>
      </w:tr>
      <w:tr w:rsidR="006F53B7" w:rsidRPr="00A77060" w:rsidTr="004D2946">
        <w:trPr>
          <w:trHeight w:val="106"/>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7</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Строительство здания Региональной диспетчерской по чрезвычайным ситуациям Север, муниципий Бэлць</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1.170,0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1.170,0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916,2</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78,3</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78,3</w:t>
            </w:r>
          </w:p>
        </w:tc>
      </w:tr>
      <w:tr w:rsidR="006F53B7" w:rsidRPr="00A77060" w:rsidTr="004D2946">
        <w:trPr>
          <w:trHeight w:val="311"/>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8</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3E7BF7">
              <w:rPr>
                <w:rFonts w:ascii="Calibri Light" w:eastAsia="Times New Roman" w:hAnsi="Calibri Light" w:cstheme="majorHAnsi"/>
                <w:color w:val="000000"/>
                <w:sz w:val="20"/>
                <w:szCs w:val="20"/>
                <w:lang w:val="ru-RU"/>
              </w:rPr>
              <w:t>Реконструкция Республиканского учебного центра для пожарных и спасателей, c</w:t>
            </w:r>
            <w:r>
              <w:rPr>
                <w:rFonts w:ascii="Calibri Light" w:eastAsia="Times New Roman" w:hAnsi="Calibri Light" w:cstheme="majorHAnsi"/>
                <w:color w:val="000000"/>
                <w:sz w:val="20"/>
                <w:szCs w:val="20"/>
                <w:lang w:val="ru-RU"/>
              </w:rPr>
              <w:t xml:space="preserve">ело </w:t>
            </w:r>
            <w:r w:rsidRPr="003E7BF7">
              <w:rPr>
                <w:rFonts w:ascii="Calibri Light" w:eastAsia="Times New Roman" w:hAnsi="Calibri Light" w:cstheme="majorHAnsi"/>
                <w:color w:val="000000"/>
                <w:sz w:val="20"/>
                <w:szCs w:val="20"/>
                <w:lang w:val="ru-RU"/>
              </w:rPr>
              <w:t xml:space="preserve">Рэзень, </w:t>
            </w:r>
            <w:r w:rsidRPr="00A77060">
              <w:rPr>
                <w:rFonts w:ascii="Calibri Light" w:eastAsia="Times New Roman" w:hAnsi="Calibri Light" w:cstheme="majorHAnsi"/>
                <w:color w:val="000000"/>
                <w:sz w:val="20"/>
                <w:szCs w:val="20"/>
                <w:lang w:val="ru-RU"/>
              </w:rPr>
              <w:t>района</w:t>
            </w:r>
            <w:r w:rsidRPr="003E7BF7">
              <w:rPr>
                <w:rFonts w:ascii="Calibri Light" w:eastAsia="Times New Roman" w:hAnsi="Calibri Light" w:cstheme="majorHAnsi"/>
                <w:color w:val="000000"/>
                <w:sz w:val="20"/>
                <w:szCs w:val="20"/>
                <w:lang w:val="ru-RU"/>
              </w:rPr>
              <w:t xml:space="preserve"> Яловень</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1.476,0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1.476,0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1.152,0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78,0</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78,0</w:t>
            </w:r>
          </w:p>
        </w:tc>
      </w:tr>
      <w:tr w:rsidR="006F53B7" w:rsidRPr="00A77060" w:rsidTr="004D2946">
        <w:trPr>
          <w:trHeight w:val="105"/>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9</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Проект „</w:t>
            </w:r>
            <w:r>
              <w:rPr>
                <w:rFonts w:ascii="Calibri Light" w:eastAsia="Times New Roman" w:hAnsi="Calibri Light" w:cstheme="majorHAnsi"/>
                <w:color w:val="000000"/>
                <w:sz w:val="20"/>
                <w:szCs w:val="20"/>
                <w:lang w:val="ru-RU"/>
              </w:rPr>
              <w:t>Реабилитация</w:t>
            </w:r>
            <w:r w:rsidRPr="00A77060">
              <w:rPr>
                <w:rFonts w:ascii="Calibri Light" w:eastAsia="Times New Roman" w:hAnsi="Calibri Light" w:cstheme="majorHAnsi"/>
                <w:color w:val="000000"/>
                <w:sz w:val="20"/>
                <w:szCs w:val="20"/>
                <w:lang w:val="ru-RU"/>
              </w:rPr>
              <w:t xml:space="preserve"> местных дорог”</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512.450,0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402.450,0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335.613,9</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65,5</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83,4</w:t>
            </w:r>
          </w:p>
        </w:tc>
      </w:tr>
      <w:tr w:rsidR="006F53B7" w:rsidRPr="00A77060" w:rsidTr="004D2946">
        <w:trPr>
          <w:trHeight w:val="138"/>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10</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Проект „Программа устойчивости сельск</w:t>
            </w:r>
            <w:r>
              <w:rPr>
                <w:rFonts w:ascii="Calibri Light" w:eastAsia="Times New Roman" w:hAnsi="Calibri Light" w:cstheme="majorHAnsi"/>
                <w:color w:val="000000"/>
                <w:sz w:val="20"/>
                <w:szCs w:val="20"/>
                <w:lang w:val="ru-RU"/>
              </w:rPr>
              <w:t xml:space="preserve">ой местности </w:t>
            </w:r>
            <w:r w:rsidRPr="00A77060">
              <w:rPr>
                <w:rFonts w:ascii="Calibri Light" w:eastAsia="Times New Roman" w:hAnsi="Calibri Light" w:cstheme="majorHAnsi"/>
                <w:color w:val="000000"/>
                <w:sz w:val="20"/>
                <w:szCs w:val="20"/>
                <w:lang w:val="ru-RU"/>
              </w:rPr>
              <w:t>(IFAD VII)”</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22.207,1</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9.407,1</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5.333,2</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24,0</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56,7</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11</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Проект ,,Строительство социального жилья II”</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10.104,0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18.029,5</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10.409,1</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103,0</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57,7</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12</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Реконструкция общежития для спортсменов Спортивного центра по подготовке национальных команд страны, бул. Дачия №72/2, муниципий Кишинэу</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5.354,9</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4.297,9</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80,3</w:t>
            </w:r>
          </w:p>
        </w:tc>
      </w:tr>
      <w:tr w:rsidR="006F53B7" w:rsidRPr="00A77060" w:rsidTr="004D2946">
        <w:trPr>
          <w:trHeight w:val="124"/>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13</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и модернизация зданий </w:t>
            </w:r>
            <w:r w:rsidRPr="00860C43">
              <w:rPr>
                <w:rFonts w:ascii="Calibri Light" w:eastAsia="Times New Roman" w:hAnsi="Calibri Light" w:cstheme="majorHAnsi"/>
                <w:color w:val="000000"/>
                <w:sz w:val="20"/>
                <w:szCs w:val="20"/>
                <w:lang w:val="ru-RU"/>
              </w:rPr>
              <w:t>Образцового центра</w:t>
            </w:r>
            <w:r w:rsidRPr="00A77060">
              <w:rPr>
                <w:rFonts w:ascii="Calibri Light" w:eastAsia="Times New Roman" w:hAnsi="Calibri Light" w:cstheme="majorHAnsi"/>
                <w:color w:val="000000"/>
                <w:sz w:val="20"/>
                <w:szCs w:val="20"/>
                <w:lang w:val="ru-RU"/>
              </w:rPr>
              <w:t xml:space="preserve"> в</w:t>
            </w:r>
            <w:r>
              <w:rPr>
                <w:rFonts w:ascii="Calibri Light" w:eastAsia="Times New Roman" w:hAnsi="Calibri Light" w:cstheme="majorHAnsi"/>
                <w:color w:val="000000"/>
                <w:sz w:val="20"/>
                <w:szCs w:val="20"/>
                <w:lang w:val="ru-RU"/>
              </w:rPr>
              <w:t xml:space="preserve"> области</w:t>
            </w:r>
            <w:r w:rsidRPr="00A77060">
              <w:rPr>
                <w:rFonts w:ascii="Calibri Light" w:eastAsia="Times New Roman" w:hAnsi="Calibri Light" w:cstheme="majorHAnsi"/>
                <w:color w:val="000000"/>
                <w:sz w:val="20"/>
                <w:szCs w:val="20"/>
                <w:lang w:val="ru-RU"/>
              </w:rPr>
              <w:t xml:space="preserve"> энергетик</w:t>
            </w:r>
            <w:r>
              <w:rPr>
                <w:rFonts w:ascii="Calibri Light" w:eastAsia="Times New Roman" w:hAnsi="Calibri Light" w:cstheme="majorHAnsi"/>
                <w:color w:val="000000"/>
                <w:sz w:val="20"/>
                <w:szCs w:val="20"/>
                <w:lang w:val="ru-RU"/>
              </w:rPr>
              <w:t>и и электроники</w:t>
            </w:r>
            <w:r w:rsidRPr="00A77060">
              <w:rPr>
                <w:rFonts w:ascii="Calibri Light" w:eastAsia="Times New Roman" w:hAnsi="Calibri Light" w:cstheme="majorHAnsi"/>
                <w:color w:val="000000"/>
                <w:sz w:val="20"/>
                <w:szCs w:val="20"/>
                <w:lang w:val="ru-RU"/>
              </w:rPr>
              <w:t>, ул. Миле</w:t>
            </w:r>
            <w:r>
              <w:rPr>
                <w:rFonts w:ascii="Calibri Light" w:eastAsia="Times New Roman" w:hAnsi="Calibri Light" w:cstheme="majorHAnsi"/>
                <w:color w:val="000000"/>
                <w:sz w:val="20"/>
                <w:szCs w:val="20"/>
                <w:lang w:val="ru-RU"/>
              </w:rPr>
              <w:t>с</w:t>
            </w:r>
            <w:r w:rsidRPr="00A77060">
              <w:rPr>
                <w:rFonts w:ascii="Calibri Light" w:eastAsia="Times New Roman" w:hAnsi="Calibri Light" w:cstheme="majorHAnsi"/>
                <w:color w:val="000000"/>
                <w:sz w:val="20"/>
                <w:szCs w:val="20"/>
                <w:lang w:val="ru-RU"/>
              </w:rPr>
              <w:t>тиу №12, муниципий Кишинэу</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16.000,0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18.000,0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11.709,5</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73,2</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65,1</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14</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860C43">
              <w:rPr>
                <w:rFonts w:ascii="Calibri Light" w:eastAsia="Times New Roman" w:hAnsi="Calibri Light" w:cstheme="majorHAnsi"/>
                <w:color w:val="000000"/>
                <w:sz w:val="20"/>
                <w:szCs w:val="20"/>
                <w:lang w:val="ru-RU"/>
              </w:rPr>
              <w:t>Строительство приемного отделения экстренной помощи Института скорой медицинской помощи, ул. Тома Чорбэ</w:t>
            </w:r>
            <w:r>
              <w:rPr>
                <w:rFonts w:ascii="Calibri Light" w:eastAsia="Times New Roman" w:hAnsi="Calibri Light" w:cstheme="majorHAnsi"/>
                <w:color w:val="000000"/>
                <w:sz w:val="20"/>
                <w:szCs w:val="20"/>
                <w:lang w:val="ru-RU"/>
              </w:rPr>
              <w:t xml:space="preserve"> №</w:t>
            </w:r>
            <w:r w:rsidRPr="00860C43">
              <w:rPr>
                <w:rFonts w:ascii="Calibri Light" w:eastAsia="Times New Roman" w:hAnsi="Calibri Light" w:cstheme="majorHAnsi"/>
                <w:color w:val="000000"/>
                <w:sz w:val="20"/>
                <w:szCs w:val="20"/>
                <w:lang w:val="ru-RU"/>
              </w:rPr>
              <w:t xml:space="preserve">1, </w:t>
            </w:r>
            <w:r w:rsidRPr="00A77060">
              <w:rPr>
                <w:rFonts w:ascii="Calibri Light" w:eastAsia="Times New Roman" w:hAnsi="Calibri Light" w:cstheme="majorHAnsi"/>
                <w:color w:val="000000"/>
                <w:sz w:val="20"/>
                <w:szCs w:val="20"/>
                <w:lang w:val="ru-RU"/>
              </w:rPr>
              <w:t>муниципий Кишинэу</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24.057,0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14.057,0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11.026,8</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45,8</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78,4</w:t>
            </w:r>
          </w:p>
        </w:tc>
      </w:tr>
      <w:tr w:rsidR="006F53B7" w:rsidRPr="00A77060" w:rsidTr="004D2946">
        <w:trPr>
          <w:trHeight w:val="123"/>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15</w:t>
            </w:r>
          </w:p>
        </w:tc>
        <w:tc>
          <w:tcPr>
            <w:tcW w:w="8492" w:type="dxa"/>
            <w:tcBorders>
              <w:top w:val="nil"/>
              <w:left w:val="nil"/>
              <w:bottom w:val="single" w:sz="4" w:space="0" w:color="auto"/>
              <w:right w:val="single" w:sz="4" w:space="0" w:color="auto"/>
            </w:tcBorders>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Строительство жилого дома для участников ликвидации последствий аварии на Чернобыль</w:t>
            </w:r>
            <w:r>
              <w:rPr>
                <w:rFonts w:ascii="Calibri Light" w:eastAsia="Times New Roman" w:hAnsi="Calibri Light" w:cstheme="majorHAnsi"/>
                <w:color w:val="000000"/>
                <w:sz w:val="20"/>
                <w:szCs w:val="20"/>
                <w:lang w:val="ru-RU"/>
              </w:rPr>
              <w:t>ской</w:t>
            </w:r>
            <w:r w:rsidRPr="00A77060">
              <w:rPr>
                <w:rFonts w:ascii="Calibri Light" w:eastAsia="Times New Roman" w:hAnsi="Calibri Light" w:cstheme="majorHAnsi"/>
                <w:color w:val="000000"/>
                <w:sz w:val="20"/>
                <w:szCs w:val="20"/>
                <w:lang w:val="ru-RU"/>
              </w:rPr>
              <w:t xml:space="preserve"> АЭС, ул. Алба Юлия №91/3, муниципий Кишинэу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385,0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635,0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499,4</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129,7</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78,6</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16</w:t>
            </w:r>
          </w:p>
        </w:tc>
        <w:tc>
          <w:tcPr>
            <w:tcW w:w="8492" w:type="dxa"/>
            <w:tcBorders>
              <w:top w:val="nil"/>
              <w:left w:val="nil"/>
              <w:bottom w:val="single" w:sz="4" w:space="0" w:color="auto"/>
              <w:right w:val="single" w:sz="4" w:space="0" w:color="auto"/>
            </w:tcBorders>
            <w:vAlign w:val="center"/>
            <w:hideMark/>
          </w:tcPr>
          <w:p w:rsidR="006F53B7" w:rsidRDefault="006F53B7" w:rsidP="004D2946">
            <w:pPr>
              <w:spacing w:after="0" w:line="240" w:lineRule="auto"/>
              <w:jc w:val="left"/>
              <w:rPr>
                <w:rFonts w:ascii="Calibri Light" w:eastAsia="Times New Roman" w:hAnsi="Calibri Light" w:cstheme="majorHAnsi"/>
                <w:color w:val="000000"/>
                <w:sz w:val="20"/>
                <w:szCs w:val="20"/>
                <w:lang w:val="ru-RU"/>
              </w:rPr>
            </w:pPr>
            <w:r w:rsidRPr="00860C43">
              <w:rPr>
                <w:rFonts w:ascii="Calibri Light" w:eastAsia="Times New Roman" w:hAnsi="Calibri Light" w:cstheme="majorHAnsi"/>
                <w:color w:val="000000"/>
                <w:sz w:val="20"/>
                <w:szCs w:val="20"/>
                <w:lang w:val="ru-RU"/>
              </w:rPr>
              <w:t>Строительство здания Национального центра по установлению ограничения возможностей и</w:t>
            </w:r>
            <w:r>
              <w:rPr>
                <w:rFonts w:ascii="Calibri Light" w:eastAsia="Times New Roman" w:hAnsi="Calibri Light" w:cstheme="majorHAnsi"/>
                <w:color w:val="000000"/>
                <w:sz w:val="20"/>
                <w:szCs w:val="20"/>
                <w:lang w:val="ru-RU"/>
              </w:rPr>
              <w:t xml:space="preserve"> </w:t>
            </w:r>
          </w:p>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860C43">
              <w:rPr>
                <w:rFonts w:ascii="Calibri Light" w:eastAsia="Times New Roman" w:hAnsi="Calibri Light" w:cstheme="majorHAnsi"/>
                <w:color w:val="000000"/>
                <w:sz w:val="20"/>
                <w:szCs w:val="20"/>
                <w:lang w:val="ru-RU"/>
              </w:rPr>
              <w:t>трудоспособности, ул. Александру Хыждеу</w:t>
            </w:r>
            <w:r>
              <w:rPr>
                <w:rFonts w:ascii="Calibri Light" w:eastAsia="Times New Roman" w:hAnsi="Calibri Light" w:cstheme="majorHAnsi"/>
                <w:color w:val="000000"/>
                <w:sz w:val="20"/>
                <w:szCs w:val="20"/>
                <w:lang w:val="ru-RU"/>
              </w:rPr>
              <w:t xml:space="preserve"> №</w:t>
            </w:r>
            <w:r w:rsidRPr="00860C43">
              <w:rPr>
                <w:rFonts w:ascii="Calibri Light" w:eastAsia="Times New Roman" w:hAnsi="Calibri Light" w:cstheme="majorHAnsi"/>
                <w:color w:val="000000"/>
                <w:sz w:val="20"/>
                <w:szCs w:val="20"/>
                <w:lang w:val="ru-RU"/>
              </w:rPr>
              <w:t xml:space="preserve"> 49, </w:t>
            </w:r>
            <w:r w:rsidRPr="00A77060">
              <w:rPr>
                <w:rFonts w:ascii="Calibri Light" w:eastAsia="Times New Roman" w:hAnsi="Calibri Light" w:cstheme="majorHAnsi"/>
                <w:color w:val="000000"/>
                <w:sz w:val="20"/>
                <w:szCs w:val="20"/>
                <w:lang w:val="ru-RU"/>
              </w:rPr>
              <w:t xml:space="preserve">муниципий Кишинэу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8.260,0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6.260,0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4.818,0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58,3</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77,0</w:t>
            </w:r>
          </w:p>
        </w:tc>
      </w:tr>
      <w:tr w:rsidR="006F53B7" w:rsidRPr="00A77060" w:rsidTr="004D2946">
        <w:trPr>
          <w:trHeight w:val="51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17</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Строительство учебного корпуса Теоретического лицея им. Михая Еминеску из муниципия Комрат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10.098,0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8.098,0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6.723,3</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66,6</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83,0</w:t>
            </w:r>
          </w:p>
        </w:tc>
      </w:tr>
      <w:tr w:rsidR="006F53B7" w:rsidRPr="00A77060" w:rsidTr="004D2946">
        <w:trPr>
          <w:trHeight w:val="429"/>
        </w:trPr>
        <w:tc>
          <w:tcPr>
            <w:tcW w:w="581" w:type="dxa"/>
            <w:tcBorders>
              <w:top w:val="nil"/>
              <w:left w:val="single" w:sz="4" w:space="0" w:color="auto"/>
              <w:bottom w:val="single" w:sz="4" w:space="0" w:color="auto"/>
              <w:right w:val="single" w:sz="4" w:space="0" w:color="auto"/>
            </w:tcBorders>
            <w:shd w:val="clear" w:color="auto" w:fill="F8CBAD"/>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w:t>
            </w:r>
          </w:p>
        </w:tc>
        <w:tc>
          <w:tcPr>
            <w:tcW w:w="8492" w:type="dxa"/>
            <w:tcBorders>
              <w:top w:val="nil"/>
              <w:left w:val="single" w:sz="4" w:space="0" w:color="auto"/>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lef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xml:space="preserve">Всего с исполнением 0,1%-50% - 9 проектов </w:t>
            </w:r>
          </w:p>
        </w:tc>
        <w:tc>
          <w:tcPr>
            <w:tcW w:w="1175"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righ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59.995,8</w:t>
            </w:r>
          </w:p>
        </w:tc>
        <w:tc>
          <w:tcPr>
            <w:tcW w:w="1175"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righ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54.579,9</w:t>
            </w:r>
          </w:p>
        </w:tc>
        <w:tc>
          <w:tcPr>
            <w:tcW w:w="1175"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righ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16.737,1</w:t>
            </w:r>
          </w:p>
        </w:tc>
        <w:tc>
          <w:tcPr>
            <w:tcW w:w="1402"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center"/>
              <w:rPr>
                <w:rFonts w:ascii="Calibri Light" w:eastAsia="Times New Roman" w:hAnsi="Calibri Light" w:cstheme="majorHAnsi"/>
                <w:b/>
                <w:bCs/>
                <w:sz w:val="20"/>
                <w:szCs w:val="20"/>
                <w:lang w:val="ru-RU"/>
              </w:rPr>
            </w:pPr>
            <w:r w:rsidRPr="00A77060">
              <w:rPr>
                <w:rFonts w:ascii="Calibri Light" w:eastAsia="Times New Roman" w:hAnsi="Calibri Light" w:cstheme="majorHAnsi"/>
                <w:b/>
                <w:bCs/>
                <w:sz w:val="20"/>
                <w:szCs w:val="20"/>
                <w:lang w:val="ru-RU"/>
              </w:rPr>
              <w:t>27,9</w:t>
            </w:r>
          </w:p>
        </w:tc>
        <w:tc>
          <w:tcPr>
            <w:tcW w:w="1276"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center"/>
              <w:rPr>
                <w:rFonts w:ascii="Calibri Light" w:eastAsia="Times New Roman" w:hAnsi="Calibri Light" w:cstheme="majorHAnsi"/>
                <w:b/>
                <w:bCs/>
                <w:sz w:val="20"/>
                <w:szCs w:val="20"/>
                <w:lang w:val="ru-RU"/>
              </w:rPr>
            </w:pPr>
            <w:r w:rsidRPr="00A77060">
              <w:rPr>
                <w:rFonts w:ascii="Calibri Light" w:eastAsia="Times New Roman" w:hAnsi="Calibri Light" w:cstheme="majorHAnsi"/>
                <w:b/>
                <w:bCs/>
                <w:sz w:val="20"/>
                <w:szCs w:val="20"/>
                <w:lang w:val="ru-RU"/>
              </w:rPr>
              <w:t>30,7</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Модернизация инфраструктуры </w:t>
            </w:r>
            <w:r>
              <w:rPr>
                <w:rFonts w:ascii="Calibri Light" w:eastAsia="Times New Roman" w:hAnsi="Calibri Light" w:cstheme="majorHAnsi"/>
                <w:color w:val="000000"/>
                <w:sz w:val="20"/>
                <w:szCs w:val="20"/>
                <w:lang w:val="ru-RU"/>
              </w:rPr>
              <w:t>т</w:t>
            </w:r>
            <w:r w:rsidRPr="00A77060">
              <w:rPr>
                <w:rFonts w:ascii="Calibri Light" w:eastAsia="Times New Roman" w:hAnsi="Calibri Light" w:cstheme="majorHAnsi"/>
                <w:color w:val="000000"/>
                <w:sz w:val="20"/>
                <w:szCs w:val="20"/>
                <w:lang w:val="ru-RU"/>
              </w:rPr>
              <w:t xml:space="preserve">аможенного поста Леушень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10.995,8</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10.065,8</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2.899,8</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26,4</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28,8</w:t>
            </w:r>
          </w:p>
        </w:tc>
      </w:tr>
      <w:tr w:rsidR="006F53B7" w:rsidRPr="00A77060" w:rsidTr="004D2946">
        <w:trPr>
          <w:trHeight w:val="102"/>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Создание нового web сайта Государственной налоговой службы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c>
          <w:tcPr>
            <w:tcW w:w="1175" w:type="dxa"/>
            <w:tcBorders>
              <w:top w:val="nil"/>
              <w:left w:val="nil"/>
              <w:bottom w:val="single" w:sz="4" w:space="0" w:color="auto"/>
              <w:right w:val="single" w:sz="4" w:space="0" w:color="auto"/>
            </w:tcBorders>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1.180,0</w:t>
            </w:r>
          </w:p>
        </w:tc>
        <w:tc>
          <w:tcPr>
            <w:tcW w:w="1175" w:type="dxa"/>
            <w:tcBorders>
              <w:top w:val="nil"/>
              <w:left w:val="nil"/>
              <w:bottom w:val="single" w:sz="4" w:space="0" w:color="auto"/>
              <w:right w:val="single" w:sz="4" w:space="0" w:color="auto"/>
            </w:tcBorders>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417,6</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35,4</w:t>
            </w:r>
          </w:p>
        </w:tc>
      </w:tr>
      <w:tr w:rsidR="006F53B7" w:rsidRPr="00A77060" w:rsidTr="004D2946">
        <w:trPr>
          <w:trHeight w:val="133"/>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3</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Строительство комплекса Посольства Республики Молдова в Республике Беларусь, город Минск</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18.000,0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1.500,6</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8,3</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16,7</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4</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Проект „Технико-экономическое обоснование асинхронного соединения MD – RO”</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5.234,1</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1.574,8</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30,1</w:t>
            </w:r>
          </w:p>
        </w:tc>
      </w:tr>
      <w:tr w:rsidR="006F53B7" w:rsidRPr="00A77060" w:rsidTr="004D2946">
        <w:trPr>
          <w:trHeight w:val="87"/>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5</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 xml:space="preserve">Реставрация </w:t>
            </w:r>
            <w:r w:rsidRPr="00A77060">
              <w:rPr>
                <w:rFonts w:ascii="Calibri Light" w:eastAsia="Times New Roman" w:hAnsi="Calibri Light" w:cstheme="majorHAnsi"/>
                <w:color w:val="000000"/>
                <w:sz w:val="20"/>
                <w:szCs w:val="20"/>
                <w:lang w:val="ru-RU"/>
              </w:rPr>
              <w:t xml:space="preserve">здания Органного зала, бул. Штефана чел Маре ши Сфынт №81, муниципий Кишинэу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118,1</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5,9</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23,6</w:t>
            </w:r>
          </w:p>
        </w:tc>
      </w:tr>
      <w:tr w:rsidR="006F53B7" w:rsidRPr="00A77060" w:rsidTr="004D2946">
        <w:trPr>
          <w:trHeight w:val="51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6</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Строительство здания Республиканского музы</w:t>
            </w:r>
            <w:r>
              <w:rPr>
                <w:rFonts w:ascii="Calibri Light" w:eastAsia="Times New Roman" w:hAnsi="Calibri Light" w:cstheme="majorHAnsi"/>
                <w:color w:val="000000"/>
                <w:sz w:val="20"/>
                <w:szCs w:val="20"/>
                <w:lang w:val="ru-RU"/>
              </w:rPr>
              <w:t xml:space="preserve">кально-драматического театра имени </w:t>
            </w:r>
            <w:r w:rsidRPr="00A77060">
              <w:rPr>
                <w:rFonts w:ascii="Calibri Light" w:eastAsia="Times New Roman" w:hAnsi="Calibri Light" w:cstheme="majorHAnsi"/>
                <w:color w:val="000000"/>
                <w:sz w:val="20"/>
                <w:szCs w:val="20"/>
                <w:lang w:val="ru-RU"/>
              </w:rPr>
              <w:t xml:space="preserve">Б. П. Хашдеу, ул. Богдана Петричейку Хашдеу №6, муниципий Кахул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8.000,0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3.336,3</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66,7</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41,7</w:t>
            </w:r>
          </w:p>
        </w:tc>
      </w:tr>
      <w:tr w:rsidR="006F53B7" w:rsidRPr="00A77060" w:rsidTr="004D2946">
        <w:trPr>
          <w:trHeight w:val="134"/>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7</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Реконструкция и модернизация зданий Центра передового опыта в строительстве, ул. Георге Асаки №71, муниципий Кишинэу</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3.600,0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41,7</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0,6</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1,2</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lastRenderedPageBreak/>
              <w:t>8</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Реконструкция операционного блока Института с</w:t>
            </w:r>
            <w:r>
              <w:rPr>
                <w:rFonts w:ascii="Calibri Light" w:eastAsia="Times New Roman" w:hAnsi="Calibri Light" w:cstheme="majorHAnsi"/>
                <w:color w:val="000000"/>
                <w:sz w:val="20"/>
                <w:szCs w:val="20"/>
                <w:lang w:val="ru-RU"/>
              </w:rPr>
              <w:t>к</w:t>
            </w:r>
            <w:r w:rsidRPr="00A77060">
              <w:rPr>
                <w:rFonts w:ascii="Calibri Light" w:eastAsia="Times New Roman" w:hAnsi="Calibri Light" w:cstheme="majorHAnsi"/>
                <w:color w:val="000000"/>
                <w:sz w:val="20"/>
                <w:szCs w:val="20"/>
                <w:lang w:val="ru-RU"/>
              </w:rPr>
              <w:t>о</w:t>
            </w:r>
            <w:r>
              <w:rPr>
                <w:rFonts w:ascii="Calibri Light" w:eastAsia="Times New Roman" w:hAnsi="Calibri Light" w:cstheme="majorHAnsi"/>
                <w:color w:val="000000"/>
                <w:sz w:val="20"/>
                <w:szCs w:val="20"/>
                <w:lang w:val="ru-RU"/>
              </w:rPr>
              <w:t>р</w:t>
            </w:r>
            <w:r w:rsidRPr="00A77060">
              <w:rPr>
                <w:rFonts w:ascii="Calibri Light" w:eastAsia="Times New Roman" w:hAnsi="Calibri Light" w:cstheme="majorHAnsi"/>
                <w:color w:val="000000"/>
                <w:sz w:val="20"/>
                <w:szCs w:val="20"/>
                <w:lang w:val="ru-RU"/>
              </w:rPr>
              <w:t>ой медицин</w:t>
            </w:r>
            <w:r>
              <w:rPr>
                <w:rFonts w:ascii="Calibri Light" w:eastAsia="Times New Roman" w:hAnsi="Calibri Light" w:cstheme="majorHAnsi"/>
                <w:color w:val="000000"/>
                <w:sz w:val="20"/>
                <w:szCs w:val="20"/>
                <w:lang w:val="ru-RU"/>
              </w:rPr>
              <w:t>ской помощи</w:t>
            </w:r>
            <w:r w:rsidRPr="00A77060">
              <w:rPr>
                <w:rFonts w:ascii="Calibri Light" w:eastAsia="Times New Roman" w:hAnsi="Calibri Light" w:cstheme="majorHAnsi"/>
                <w:color w:val="000000"/>
                <w:sz w:val="20"/>
                <w:szCs w:val="20"/>
                <w:lang w:val="ru-RU"/>
              </w:rPr>
              <w:t>, ул. Тома Чорбэ №1, муниципий Кишинэу</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15.000,0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15.000,0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6.648,2</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44,3</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44,3</w:t>
            </w:r>
          </w:p>
        </w:tc>
      </w:tr>
      <w:tr w:rsidR="006F53B7" w:rsidRPr="00A77060" w:rsidTr="004D2946">
        <w:trPr>
          <w:trHeight w:val="134"/>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9</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860C43">
              <w:rPr>
                <w:rFonts w:ascii="Calibri Light" w:eastAsia="Times New Roman" w:hAnsi="Calibri Light" w:cstheme="majorHAnsi"/>
                <w:color w:val="000000"/>
                <w:sz w:val="20"/>
                <w:szCs w:val="20"/>
                <w:lang w:val="ru-RU"/>
              </w:rPr>
              <w:t>Реставрация Церкви Успения Пресвятой Бого</w:t>
            </w:r>
            <w:r>
              <w:rPr>
                <w:rFonts w:ascii="Calibri Light" w:eastAsia="Times New Roman" w:hAnsi="Calibri Light" w:cstheme="majorHAnsi"/>
                <w:color w:val="000000"/>
                <w:sz w:val="20"/>
                <w:szCs w:val="20"/>
                <w:lang w:val="ru-RU"/>
              </w:rPr>
              <w:t>родицы,</w:t>
            </w:r>
            <w:r w:rsidRPr="00A77060">
              <w:rPr>
                <w:rFonts w:ascii="Calibri Light" w:eastAsia="Times New Roman" w:hAnsi="Calibri Light" w:cstheme="majorHAnsi"/>
                <w:color w:val="000000"/>
                <w:sz w:val="20"/>
                <w:szCs w:val="20"/>
                <w:lang w:val="ru-RU"/>
              </w:rPr>
              <w:t xml:space="preserve"> город Кэушень, филиал Национального художественного музея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200,0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10,0</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w:t>
            </w:r>
          </w:p>
        </w:tc>
      </w:tr>
      <w:tr w:rsidR="006F53B7" w:rsidRPr="00A77060" w:rsidTr="004D2946">
        <w:trPr>
          <w:trHeight w:val="417"/>
        </w:trPr>
        <w:tc>
          <w:tcPr>
            <w:tcW w:w="581" w:type="dxa"/>
            <w:tcBorders>
              <w:top w:val="nil"/>
              <w:left w:val="single" w:sz="4" w:space="0" w:color="auto"/>
              <w:bottom w:val="single" w:sz="4" w:space="0" w:color="auto"/>
              <w:right w:val="single" w:sz="4" w:space="0" w:color="auto"/>
            </w:tcBorders>
            <w:shd w:val="clear" w:color="auto" w:fill="F8CBAD"/>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w:t>
            </w:r>
          </w:p>
        </w:tc>
        <w:tc>
          <w:tcPr>
            <w:tcW w:w="8492" w:type="dxa"/>
            <w:tcBorders>
              <w:top w:val="nil"/>
              <w:left w:val="single" w:sz="4" w:space="0" w:color="auto"/>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lef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Всего с исполнением 0,0% - 5 проектов</w:t>
            </w:r>
          </w:p>
        </w:tc>
        <w:tc>
          <w:tcPr>
            <w:tcW w:w="1175"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righ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5.340,4</w:t>
            </w:r>
          </w:p>
        </w:tc>
        <w:tc>
          <w:tcPr>
            <w:tcW w:w="1175"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righ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5.740,4</w:t>
            </w:r>
          </w:p>
        </w:tc>
        <w:tc>
          <w:tcPr>
            <w:tcW w:w="1175"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right"/>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0,0</w:t>
            </w:r>
          </w:p>
        </w:tc>
        <w:tc>
          <w:tcPr>
            <w:tcW w:w="1402"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center"/>
              <w:rPr>
                <w:rFonts w:ascii="Calibri Light" w:eastAsia="Times New Roman" w:hAnsi="Calibri Light" w:cstheme="majorHAnsi"/>
                <w:b/>
                <w:bCs/>
                <w:sz w:val="20"/>
                <w:szCs w:val="20"/>
                <w:lang w:val="ru-RU"/>
              </w:rPr>
            </w:pPr>
            <w:r w:rsidRPr="00A77060">
              <w:rPr>
                <w:rFonts w:ascii="Calibri Light" w:eastAsia="Times New Roman" w:hAnsi="Calibri Light" w:cstheme="majorHAnsi"/>
                <w:b/>
                <w:bCs/>
                <w:sz w:val="20"/>
                <w:szCs w:val="20"/>
                <w:lang w:val="ru-RU"/>
              </w:rPr>
              <w:t>0,0</w:t>
            </w:r>
          </w:p>
        </w:tc>
        <w:tc>
          <w:tcPr>
            <w:tcW w:w="1276" w:type="dxa"/>
            <w:tcBorders>
              <w:top w:val="nil"/>
              <w:left w:val="nil"/>
              <w:bottom w:val="single" w:sz="4" w:space="0" w:color="auto"/>
              <w:right w:val="single" w:sz="4" w:space="0" w:color="auto"/>
            </w:tcBorders>
            <w:shd w:val="clear" w:color="auto" w:fill="F8CBAD"/>
            <w:vAlign w:val="center"/>
            <w:hideMark/>
          </w:tcPr>
          <w:p w:rsidR="006F53B7" w:rsidRPr="00A77060" w:rsidRDefault="006F53B7" w:rsidP="004D2946">
            <w:pPr>
              <w:spacing w:after="0" w:line="240" w:lineRule="auto"/>
              <w:jc w:val="center"/>
              <w:rPr>
                <w:rFonts w:ascii="Calibri Light" w:eastAsia="Times New Roman" w:hAnsi="Calibri Light" w:cstheme="majorHAnsi"/>
                <w:b/>
                <w:bCs/>
                <w:sz w:val="20"/>
                <w:szCs w:val="20"/>
                <w:lang w:val="ru-RU"/>
              </w:rPr>
            </w:pPr>
            <w:r w:rsidRPr="00A77060">
              <w:rPr>
                <w:rFonts w:ascii="Calibri Light" w:eastAsia="Times New Roman" w:hAnsi="Calibri Light" w:cstheme="majorHAnsi"/>
                <w:b/>
                <w:bCs/>
                <w:sz w:val="20"/>
                <w:szCs w:val="20"/>
                <w:lang w:val="ru-RU"/>
              </w:rPr>
              <w:t>0,0</w:t>
            </w:r>
          </w:p>
        </w:tc>
      </w:tr>
      <w:tr w:rsidR="006F53B7" w:rsidRPr="00A77060" w:rsidTr="004D2946">
        <w:trPr>
          <w:trHeight w:val="133"/>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Строительство верто</w:t>
            </w:r>
            <w:r>
              <w:rPr>
                <w:rFonts w:ascii="Calibri Light" w:eastAsia="Times New Roman" w:hAnsi="Calibri Light" w:cstheme="majorHAnsi"/>
                <w:color w:val="000000"/>
                <w:sz w:val="20"/>
                <w:szCs w:val="20"/>
                <w:lang w:val="ru-RU"/>
              </w:rPr>
              <w:t xml:space="preserve">дрома </w:t>
            </w:r>
            <w:r w:rsidRPr="00A77060">
              <w:rPr>
                <w:rFonts w:ascii="Calibri Light" w:eastAsia="Times New Roman" w:hAnsi="Calibri Light" w:cstheme="majorHAnsi"/>
                <w:color w:val="000000"/>
                <w:sz w:val="20"/>
                <w:szCs w:val="20"/>
                <w:lang w:val="ru-RU"/>
              </w:rPr>
              <w:t>для медицинских вертолетов, ул. Николае Тестемицану №29, муниципий Кишинэу</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1.446,8</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1.446,8</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0,0</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Строительство верто</w:t>
            </w:r>
            <w:r>
              <w:rPr>
                <w:rFonts w:ascii="Calibri Light" w:eastAsia="Times New Roman" w:hAnsi="Calibri Light" w:cstheme="majorHAnsi"/>
                <w:color w:val="000000"/>
                <w:sz w:val="20"/>
                <w:szCs w:val="20"/>
                <w:lang w:val="ru-RU"/>
              </w:rPr>
              <w:t xml:space="preserve">дрома </w:t>
            </w:r>
            <w:r w:rsidRPr="00A77060">
              <w:rPr>
                <w:rFonts w:ascii="Calibri Light" w:eastAsia="Times New Roman" w:hAnsi="Calibri Light" w:cstheme="majorHAnsi"/>
                <w:color w:val="000000"/>
                <w:sz w:val="20"/>
                <w:szCs w:val="20"/>
                <w:lang w:val="ru-RU"/>
              </w:rPr>
              <w:t>для медицинских вертолетов, ул. Поамей №21, муниципий Кишинэу</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1.446,8</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1.446,8</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0,0</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3</w:t>
            </w:r>
          </w:p>
        </w:tc>
        <w:tc>
          <w:tcPr>
            <w:tcW w:w="8492" w:type="dxa"/>
            <w:tcBorders>
              <w:top w:val="nil"/>
              <w:left w:val="nil"/>
              <w:bottom w:val="nil"/>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Строительство верто</w:t>
            </w:r>
            <w:r>
              <w:rPr>
                <w:rFonts w:ascii="Calibri Light" w:eastAsia="Times New Roman" w:hAnsi="Calibri Light" w:cstheme="majorHAnsi"/>
                <w:color w:val="000000"/>
                <w:sz w:val="20"/>
                <w:szCs w:val="20"/>
                <w:lang w:val="ru-RU"/>
              </w:rPr>
              <w:t xml:space="preserve">дрома </w:t>
            </w:r>
            <w:r w:rsidRPr="00A77060">
              <w:rPr>
                <w:rFonts w:ascii="Calibri Light" w:eastAsia="Times New Roman" w:hAnsi="Calibri Light" w:cstheme="majorHAnsi"/>
                <w:color w:val="000000"/>
                <w:sz w:val="20"/>
                <w:szCs w:val="20"/>
                <w:lang w:val="ru-RU"/>
              </w:rPr>
              <w:t>для медицинских вертолетов, муниципий Бэлць</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1.446,8</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1.446,8</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0,0</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r>
      <w:tr w:rsidR="006F53B7" w:rsidRPr="00A77060" w:rsidTr="004D2946">
        <w:trPr>
          <w:trHeight w:val="70"/>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4</w:t>
            </w:r>
          </w:p>
        </w:tc>
        <w:tc>
          <w:tcPr>
            <w:tcW w:w="8492" w:type="dxa"/>
            <w:tcBorders>
              <w:top w:val="single" w:sz="4" w:space="0" w:color="auto"/>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здания Музея истории евреев Республики Молдова, муниципий Кишинэу </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0,0</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r>
      <w:tr w:rsidR="006F53B7" w:rsidRPr="00A77060" w:rsidTr="004D2946">
        <w:trPr>
          <w:trHeight w:val="216"/>
        </w:trPr>
        <w:tc>
          <w:tcPr>
            <w:tcW w:w="581" w:type="dxa"/>
            <w:tcBorders>
              <w:top w:val="nil"/>
              <w:left w:val="single" w:sz="4" w:space="0" w:color="auto"/>
              <w:bottom w:val="single" w:sz="4" w:space="0" w:color="auto"/>
              <w:right w:val="single" w:sz="4" w:space="0" w:color="auto"/>
            </w:tcBorders>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5</w:t>
            </w:r>
          </w:p>
        </w:tc>
        <w:tc>
          <w:tcPr>
            <w:tcW w:w="8492" w:type="dxa"/>
            <w:tcBorders>
              <w:top w:val="nil"/>
              <w:left w:val="nil"/>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Восстановление Дома-музея им. Александра Пушкина, ул. Антона Панн №19, муниципий Кишинэу</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900,0</w:t>
            </w:r>
          </w:p>
        </w:tc>
        <w:tc>
          <w:tcPr>
            <w:tcW w:w="1175" w:type="dxa"/>
            <w:tcBorders>
              <w:top w:val="nil"/>
              <w:left w:val="nil"/>
              <w:bottom w:val="single" w:sz="4" w:space="0" w:color="auto"/>
              <w:right w:val="single" w:sz="4" w:space="0" w:color="auto"/>
            </w:tcBorders>
            <w:shd w:val="clear" w:color="auto"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c>
          <w:tcPr>
            <w:tcW w:w="1402"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w:t>
            </w:r>
          </w:p>
        </w:tc>
        <w:tc>
          <w:tcPr>
            <w:tcW w:w="1276" w:type="dxa"/>
            <w:tcBorders>
              <w:top w:val="nil"/>
              <w:left w:val="nil"/>
              <w:bottom w:val="single" w:sz="4" w:space="0" w:color="auto"/>
              <w:right w:val="single" w:sz="4" w:space="0" w:color="auto"/>
            </w:tcBorders>
            <w:shd w:val="clear" w:color="auto"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0,0</w:t>
            </w:r>
          </w:p>
        </w:tc>
      </w:tr>
    </w:tbl>
    <w:p w:rsidR="006F53B7" w:rsidRPr="00A77060" w:rsidRDefault="006F53B7" w:rsidP="006F53B7">
      <w:pPr>
        <w:shd w:val="clear" w:color="auto" w:fill="FFFFFF" w:themeFill="background1"/>
        <w:tabs>
          <w:tab w:val="left" w:pos="142"/>
          <w:tab w:val="left" w:pos="567"/>
          <w:tab w:val="left" w:pos="6237"/>
          <w:tab w:val="left" w:pos="6379"/>
        </w:tabs>
        <w:spacing w:after="0" w:line="276" w:lineRule="auto"/>
        <w:contextualSpacing/>
        <w:jc w:val="left"/>
        <w:rPr>
          <w:rFonts w:ascii="Calibri Light" w:eastAsia="Times New Roman" w:hAnsi="Calibri Light" w:cstheme="majorHAnsi"/>
          <w:i/>
          <w:sz w:val="20"/>
          <w:szCs w:val="24"/>
          <w:lang w:val="ru-RU"/>
        </w:rPr>
      </w:pPr>
      <w:r w:rsidRPr="00A77060">
        <w:rPr>
          <w:rFonts w:ascii="Calibri Light" w:eastAsia="Times New Roman" w:hAnsi="Calibri Light" w:cstheme="majorHAnsi"/>
          <w:b/>
          <w:i/>
          <w:sz w:val="20"/>
          <w:szCs w:val="24"/>
          <w:lang w:val="ru-RU"/>
        </w:rPr>
        <w:t>*Справка:</w:t>
      </w:r>
      <w:r w:rsidRPr="00A77060">
        <w:rPr>
          <w:rFonts w:ascii="Calibri Light" w:eastAsia="Times New Roman" w:hAnsi="Calibri Light" w:cstheme="majorHAnsi"/>
          <w:i/>
          <w:sz w:val="20"/>
          <w:szCs w:val="24"/>
          <w:lang w:val="ru-RU"/>
        </w:rPr>
        <w:t xml:space="preserve"> Не включены ассигнования, исключенные при уточнении годовых Законов о бюджете в сумме 2 024 396,1 тыс. леев.</w:t>
      </w:r>
    </w:p>
    <w:p w:rsidR="006F53B7" w:rsidRPr="00A77060" w:rsidRDefault="006F53B7" w:rsidP="006F53B7">
      <w:pPr>
        <w:shd w:val="clear" w:color="auto" w:fill="FFFFFF" w:themeFill="background1"/>
        <w:tabs>
          <w:tab w:val="left" w:pos="142"/>
          <w:tab w:val="left" w:pos="567"/>
          <w:tab w:val="left" w:pos="6237"/>
          <w:tab w:val="left" w:pos="6379"/>
        </w:tabs>
        <w:spacing w:after="0" w:line="276" w:lineRule="auto"/>
        <w:contextualSpacing/>
        <w:jc w:val="left"/>
        <w:rPr>
          <w:rFonts w:ascii="Calibri Light" w:eastAsia="Times New Roman" w:hAnsi="Calibri Light" w:cstheme="majorHAnsi"/>
          <w:i/>
          <w:sz w:val="20"/>
          <w:szCs w:val="24"/>
          <w:lang w:val="ru-RU" w:eastAsia="ru-RU"/>
        </w:rPr>
      </w:pPr>
      <w:r w:rsidRPr="00A77060">
        <w:rPr>
          <w:rFonts w:ascii="Calibri Light" w:eastAsia="Times New Roman" w:hAnsi="Calibri Light" w:cstheme="majorHAnsi"/>
          <w:b/>
          <w:i/>
          <w:sz w:val="20"/>
          <w:szCs w:val="24"/>
          <w:lang w:val="ru-RU" w:eastAsia="ru-RU"/>
        </w:rPr>
        <w:t>Источник:</w:t>
      </w:r>
      <w:r w:rsidRPr="00A77060">
        <w:rPr>
          <w:rFonts w:ascii="Calibri Light" w:eastAsia="Times New Roman" w:hAnsi="Calibri Light" w:cstheme="majorHAnsi"/>
          <w:i/>
          <w:sz w:val="20"/>
          <w:szCs w:val="24"/>
          <w:lang w:val="ru-RU" w:eastAsia="ru-RU"/>
        </w:rPr>
        <w:t xml:space="preserve"> Информация обобщена аудиторской группой согласно </w:t>
      </w:r>
      <w:proofErr w:type="gramStart"/>
      <w:r w:rsidRPr="00A77060">
        <w:rPr>
          <w:rFonts w:ascii="Calibri Light" w:eastAsia="Times New Roman" w:hAnsi="Calibri Light" w:cstheme="majorHAnsi"/>
          <w:i/>
          <w:sz w:val="20"/>
          <w:szCs w:val="24"/>
          <w:lang w:val="ru-RU" w:eastAsia="ru-RU"/>
        </w:rPr>
        <w:t>Отчету</w:t>
      </w:r>
      <w:proofErr w:type="gramEnd"/>
      <w:r w:rsidRPr="00A77060">
        <w:rPr>
          <w:rFonts w:ascii="Calibri Light" w:eastAsia="Times New Roman" w:hAnsi="Calibri Light" w:cstheme="majorHAnsi"/>
          <w:i/>
          <w:sz w:val="20"/>
          <w:szCs w:val="24"/>
          <w:lang w:val="ru-RU" w:eastAsia="ru-RU"/>
        </w:rPr>
        <w:t xml:space="preserve"> об исполнении государственного бюджета за 2020 год.</w:t>
      </w:r>
    </w:p>
    <w:p w:rsidR="006F53B7" w:rsidRDefault="006F53B7" w:rsidP="006F53B7">
      <w:pPr>
        <w:spacing w:line="276" w:lineRule="auto"/>
        <w:ind w:firstLine="709"/>
        <w:contextualSpacing/>
        <w:rPr>
          <w:rFonts w:ascii="Calibri Light" w:eastAsia="Times New Roman" w:hAnsi="Calibri Light" w:cstheme="majorHAnsi"/>
          <w:b/>
          <w:sz w:val="24"/>
          <w:szCs w:val="24"/>
          <w:lang w:val="ru-RU"/>
        </w:rPr>
      </w:pPr>
    </w:p>
    <w:p w:rsidR="00EF78AC" w:rsidRDefault="00EF78AC" w:rsidP="006F53B7">
      <w:pPr>
        <w:spacing w:line="276" w:lineRule="auto"/>
        <w:ind w:firstLine="709"/>
        <w:contextualSpacing/>
        <w:rPr>
          <w:rFonts w:ascii="Calibri Light" w:eastAsia="Times New Roman" w:hAnsi="Calibri Light" w:cstheme="majorHAnsi"/>
          <w:b/>
          <w:sz w:val="24"/>
          <w:szCs w:val="24"/>
          <w:lang w:val="ru-RU"/>
        </w:rPr>
      </w:pPr>
    </w:p>
    <w:p w:rsidR="00EF78AC" w:rsidRPr="00A77060" w:rsidRDefault="00EF78AC" w:rsidP="006F53B7">
      <w:pPr>
        <w:spacing w:line="276" w:lineRule="auto"/>
        <w:ind w:firstLine="709"/>
        <w:contextualSpacing/>
        <w:rPr>
          <w:rFonts w:ascii="Calibri Light" w:eastAsia="Times New Roman" w:hAnsi="Calibri Light" w:cstheme="majorHAnsi"/>
          <w:b/>
          <w:sz w:val="24"/>
          <w:szCs w:val="24"/>
          <w:lang w:val="ru-RU"/>
        </w:rPr>
        <w:sectPr w:rsidR="00EF78AC" w:rsidRPr="00A77060" w:rsidSect="006E5228">
          <w:pgSz w:w="15840" w:h="12240" w:orient="landscape"/>
          <w:pgMar w:top="284" w:right="851" w:bottom="851" w:left="851" w:header="709" w:footer="709" w:gutter="0"/>
          <w:cols w:space="708"/>
          <w:docGrid w:linePitch="381"/>
        </w:sectPr>
      </w:pPr>
    </w:p>
    <w:p w:rsidR="006F53B7" w:rsidRPr="00A77060" w:rsidRDefault="006F53B7" w:rsidP="006F53B7">
      <w:pPr>
        <w:shd w:val="clear" w:color="auto" w:fill="FFFFFF" w:themeFill="background1"/>
        <w:tabs>
          <w:tab w:val="left" w:pos="284"/>
          <w:tab w:val="left" w:pos="567"/>
          <w:tab w:val="left" w:pos="6237"/>
          <w:tab w:val="left" w:pos="6379"/>
        </w:tabs>
        <w:spacing w:after="0" w:line="276" w:lineRule="auto"/>
        <w:contextualSpacing/>
        <w:jc w:val="right"/>
        <w:rPr>
          <w:rFonts w:ascii="Calibri Light" w:eastAsia="Times New Roman" w:hAnsi="Calibri Light" w:cstheme="majorHAnsi"/>
          <w:b/>
          <w:sz w:val="24"/>
          <w:szCs w:val="24"/>
          <w:lang w:val="ru-RU"/>
        </w:rPr>
      </w:pPr>
      <w:r w:rsidRPr="00A77060">
        <w:rPr>
          <w:rFonts w:ascii="Calibri Light" w:eastAsia="Times New Roman" w:hAnsi="Calibri Light" w:cstheme="majorHAnsi"/>
          <w:b/>
          <w:sz w:val="24"/>
          <w:szCs w:val="24"/>
          <w:lang w:val="ru-RU"/>
        </w:rPr>
        <w:lastRenderedPageBreak/>
        <w:t>Приложение №8</w:t>
      </w:r>
    </w:p>
    <w:p w:rsidR="006F53B7" w:rsidRPr="00A77060" w:rsidRDefault="006F53B7" w:rsidP="004D2946">
      <w:pPr>
        <w:shd w:val="clear" w:color="auto" w:fill="FFFFFF" w:themeFill="background1"/>
        <w:tabs>
          <w:tab w:val="left" w:pos="284"/>
          <w:tab w:val="left" w:pos="993"/>
          <w:tab w:val="left" w:pos="6663"/>
        </w:tabs>
        <w:spacing w:after="0" w:line="276" w:lineRule="auto"/>
        <w:jc w:val="center"/>
        <w:rPr>
          <w:rFonts w:ascii="Calibri Light" w:eastAsia="Times New Roman" w:hAnsi="Calibri Light" w:cstheme="majorHAnsi"/>
          <w:b/>
          <w:bCs/>
          <w:color w:val="000000"/>
          <w:sz w:val="24"/>
          <w:szCs w:val="24"/>
          <w:lang w:val="ru-RU" w:eastAsia="ru-RU"/>
        </w:rPr>
      </w:pPr>
      <w:r w:rsidRPr="00A77060">
        <w:rPr>
          <w:rFonts w:ascii="Calibri Light" w:eastAsia="Times New Roman" w:hAnsi="Calibri Light" w:cstheme="majorHAnsi"/>
          <w:b/>
          <w:bCs/>
          <w:color w:val="000000"/>
          <w:sz w:val="24"/>
          <w:szCs w:val="24"/>
          <w:lang w:val="ru-RU" w:eastAsia="ru-RU"/>
        </w:rPr>
        <w:t xml:space="preserve">Свод инвестиционных проектов, по которым были увеличены свыше 15,0% общая первоначально оцененная стоимость  </w:t>
      </w:r>
    </w:p>
    <w:p w:rsidR="006F53B7" w:rsidRPr="00A77060" w:rsidRDefault="006F53B7" w:rsidP="004D2946">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bCs/>
          <w:color w:val="000000"/>
          <w:sz w:val="24"/>
          <w:szCs w:val="24"/>
          <w:lang w:val="ru-RU" w:eastAsia="ru-RU"/>
        </w:rPr>
      </w:pPr>
      <w:r w:rsidRPr="00A77060">
        <w:rPr>
          <w:rFonts w:ascii="Calibri Light" w:eastAsia="Times New Roman" w:hAnsi="Calibri Light" w:cstheme="majorHAnsi"/>
          <w:b/>
          <w:bCs/>
          <w:color w:val="000000"/>
          <w:sz w:val="24"/>
          <w:szCs w:val="24"/>
          <w:lang w:val="ru-RU" w:eastAsia="ru-RU"/>
        </w:rPr>
        <w:t>(</w:t>
      </w:r>
      <w:r w:rsidRPr="00A77060">
        <w:rPr>
          <w:rFonts w:ascii="Calibri Light" w:eastAsia="Times New Roman" w:hAnsi="Calibri Light" w:cstheme="majorHAnsi"/>
          <w:b/>
          <w:iCs/>
          <w:color w:val="000000"/>
          <w:spacing w:val="2"/>
          <w:sz w:val="24"/>
          <w:szCs w:val="24"/>
          <w:lang w:val="ru-RU" w:eastAsia="ru-RU"/>
        </w:rPr>
        <w:t>млн. леев</w:t>
      </w:r>
      <w:r w:rsidRPr="00A77060">
        <w:rPr>
          <w:rFonts w:ascii="Calibri Light" w:eastAsia="Times New Roman" w:hAnsi="Calibri Light" w:cstheme="majorHAnsi"/>
          <w:b/>
          <w:bCs/>
          <w:color w:val="000000"/>
          <w:sz w:val="24"/>
          <w:szCs w:val="24"/>
          <w:lang w:val="ru-RU" w:eastAsia="ru-RU"/>
        </w:rPr>
        <w:t>)</w:t>
      </w:r>
    </w:p>
    <w:tbl>
      <w:tblPr>
        <w:tblW w:w="15281" w:type="dxa"/>
        <w:tblInd w:w="-815" w:type="dxa"/>
        <w:tblLayout w:type="fixed"/>
        <w:tblLook w:val="04A0" w:firstRow="1" w:lastRow="0" w:firstColumn="1" w:lastColumn="0" w:noHBand="0" w:noVBand="1"/>
      </w:tblPr>
      <w:tblGrid>
        <w:gridCol w:w="521"/>
        <w:gridCol w:w="2569"/>
        <w:gridCol w:w="648"/>
        <w:gridCol w:w="1093"/>
        <w:gridCol w:w="1236"/>
        <w:gridCol w:w="992"/>
        <w:gridCol w:w="993"/>
        <w:gridCol w:w="992"/>
        <w:gridCol w:w="992"/>
        <w:gridCol w:w="992"/>
        <w:gridCol w:w="993"/>
        <w:gridCol w:w="1275"/>
        <w:gridCol w:w="1134"/>
        <w:gridCol w:w="851"/>
      </w:tblGrid>
      <w:tr w:rsidR="006F53B7" w:rsidRPr="007071A4" w:rsidTr="00EF78AC">
        <w:trPr>
          <w:trHeight w:val="1185"/>
        </w:trPr>
        <w:tc>
          <w:tcPr>
            <w:tcW w:w="5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N/o</w:t>
            </w:r>
          </w:p>
        </w:tc>
        <w:tc>
          <w:tcPr>
            <w:tcW w:w="256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xml:space="preserve">Название проекта </w:t>
            </w:r>
          </w:p>
        </w:tc>
        <w:tc>
          <w:tcPr>
            <w:tcW w:w="6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xml:space="preserve">Год запуска </w:t>
            </w:r>
          </w:p>
        </w:tc>
        <w:tc>
          <w:tcPr>
            <w:tcW w:w="10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xml:space="preserve">Источники финанси-рования </w:t>
            </w:r>
          </w:p>
        </w:tc>
        <w:tc>
          <w:tcPr>
            <w:tcW w:w="1236"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6F53B7" w:rsidRPr="00A77060" w:rsidRDefault="006F53B7" w:rsidP="004D2946">
            <w:pPr>
              <w:spacing w:after="0" w:line="240" w:lineRule="auto"/>
              <w:ind w:right="-1"/>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xml:space="preserve">Общая первона-чальная стоимость при запуске проекта </w:t>
            </w:r>
          </w:p>
        </w:tc>
        <w:tc>
          <w:tcPr>
            <w:tcW w:w="7229" w:type="dxa"/>
            <w:gridSpan w:val="7"/>
            <w:tcBorders>
              <w:top w:val="single" w:sz="4" w:space="0" w:color="auto"/>
              <w:left w:val="nil"/>
              <w:bottom w:val="single" w:sz="4" w:space="0" w:color="auto"/>
              <w:right w:val="nil"/>
            </w:tcBorders>
            <w:shd w:val="clear" w:color="000000" w:fill="FFFFFF"/>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xml:space="preserve">Общая стоимость, оцененная МФ в Информационной справке к проекту Закона о ГБ на год: </w:t>
            </w:r>
          </w:p>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p>
        </w:tc>
        <w:tc>
          <w:tcPr>
            <w:tcW w:w="1985" w:type="dxa"/>
            <w:gridSpan w:val="2"/>
            <w:tcBorders>
              <w:top w:val="single" w:sz="8" w:space="0" w:color="auto"/>
              <w:left w:val="single" w:sz="8" w:space="0" w:color="auto"/>
              <w:bottom w:val="single" w:sz="4" w:space="0" w:color="auto"/>
              <w:right w:val="single" w:sz="8" w:space="0" w:color="000000"/>
            </w:tcBorders>
            <w:shd w:val="clear" w:color="000000" w:fill="FFE699"/>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 xml:space="preserve">Общая оцененная стоимость на 2020 год против общей первоначальной стоимости </w:t>
            </w:r>
          </w:p>
        </w:tc>
      </w:tr>
      <w:tr w:rsidR="006F53B7" w:rsidRPr="00A77060" w:rsidTr="00EF78AC">
        <w:trPr>
          <w:trHeight w:val="300"/>
        </w:trPr>
        <w:tc>
          <w:tcPr>
            <w:tcW w:w="521" w:type="dxa"/>
            <w:vMerge/>
            <w:tcBorders>
              <w:top w:val="single" w:sz="4" w:space="0" w:color="auto"/>
              <w:left w:val="single" w:sz="4" w:space="0" w:color="auto"/>
              <w:bottom w:val="single" w:sz="4" w:space="0" w:color="000000"/>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b/>
                <w:bCs/>
                <w:color w:val="000000"/>
                <w:sz w:val="20"/>
                <w:szCs w:val="20"/>
                <w:lang w:val="ru-RU"/>
              </w:rPr>
            </w:pPr>
          </w:p>
        </w:tc>
        <w:tc>
          <w:tcPr>
            <w:tcW w:w="2569" w:type="dxa"/>
            <w:vMerge/>
            <w:tcBorders>
              <w:top w:val="single" w:sz="4" w:space="0" w:color="auto"/>
              <w:left w:val="single" w:sz="4" w:space="0" w:color="auto"/>
              <w:bottom w:val="single" w:sz="4" w:space="0" w:color="000000"/>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b/>
                <w:bCs/>
                <w:color w:val="000000"/>
                <w:sz w:val="20"/>
                <w:szCs w:val="20"/>
                <w:lang w:val="ru-RU"/>
              </w:rPr>
            </w:pPr>
          </w:p>
        </w:tc>
        <w:tc>
          <w:tcPr>
            <w:tcW w:w="648" w:type="dxa"/>
            <w:vMerge/>
            <w:tcBorders>
              <w:top w:val="single" w:sz="4" w:space="0" w:color="auto"/>
              <w:left w:val="single" w:sz="4" w:space="0" w:color="auto"/>
              <w:bottom w:val="single" w:sz="4" w:space="0" w:color="000000"/>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b/>
                <w:bCs/>
                <w:color w:val="000000"/>
                <w:sz w:val="20"/>
                <w:szCs w:val="20"/>
                <w:lang w:val="ru-RU"/>
              </w:rPr>
            </w:pPr>
          </w:p>
        </w:tc>
        <w:tc>
          <w:tcPr>
            <w:tcW w:w="1093" w:type="dxa"/>
            <w:vMerge/>
            <w:tcBorders>
              <w:top w:val="single" w:sz="4" w:space="0" w:color="auto"/>
              <w:left w:val="single" w:sz="4" w:space="0" w:color="auto"/>
              <w:bottom w:val="single" w:sz="4" w:space="0" w:color="000000"/>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theme="majorHAnsi"/>
                <w:b/>
                <w:bCs/>
                <w:color w:val="000000"/>
                <w:sz w:val="20"/>
                <w:szCs w:val="20"/>
                <w:lang w:val="ru-RU"/>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rsidR="006F53B7" w:rsidRPr="00A77060" w:rsidRDefault="006F53B7" w:rsidP="004D2946">
            <w:pPr>
              <w:spacing w:after="0" w:line="240" w:lineRule="auto"/>
              <w:ind w:right="-1"/>
              <w:jc w:val="left"/>
              <w:rPr>
                <w:rFonts w:ascii="Calibri Light" w:eastAsia="Times New Roman" w:hAnsi="Calibri Light" w:cstheme="majorHAnsi"/>
                <w:b/>
                <w:bCs/>
                <w:color w:val="000000"/>
                <w:sz w:val="20"/>
                <w:szCs w:val="20"/>
                <w:lang w:val="ru-RU"/>
              </w:rPr>
            </w:pPr>
          </w:p>
        </w:tc>
        <w:tc>
          <w:tcPr>
            <w:tcW w:w="992"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2014</w:t>
            </w:r>
          </w:p>
        </w:tc>
        <w:tc>
          <w:tcPr>
            <w:tcW w:w="993"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2015</w:t>
            </w:r>
          </w:p>
        </w:tc>
        <w:tc>
          <w:tcPr>
            <w:tcW w:w="992"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2016</w:t>
            </w:r>
          </w:p>
        </w:tc>
        <w:tc>
          <w:tcPr>
            <w:tcW w:w="992"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2017</w:t>
            </w:r>
          </w:p>
        </w:tc>
        <w:tc>
          <w:tcPr>
            <w:tcW w:w="992"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2018</w:t>
            </w:r>
          </w:p>
        </w:tc>
        <w:tc>
          <w:tcPr>
            <w:tcW w:w="993"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2019</w:t>
            </w:r>
          </w:p>
        </w:tc>
        <w:tc>
          <w:tcPr>
            <w:tcW w:w="1275" w:type="dxa"/>
            <w:tcBorders>
              <w:top w:val="nil"/>
              <w:left w:val="nil"/>
              <w:bottom w:val="single" w:sz="4" w:space="0" w:color="auto"/>
              <w:right w:val="nil"/>
            </w:tcBorders>
            <w:shd w:val="clear" w:color="000000" w:fill="FFFFFF"/>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2020</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w:t>
            </w:r>
          </w:p>
        </w:tc>
      </w:tr>
      <w:tr w:rsidR="006F53B7" w:rsidRPr="00A77060" w:rsidTr="00EF78AC">
        <w:trPr>
          <w:trHeight w:val="48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1</w:t>
            </w:r>
          </w:p>
        </w:tc>
        <w:tc>
          <w:tcPr>
            <w:tcW w:w="2569"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2</w:t>
            </w:r>
          </w:p>
        </w:tc>
        <w:tc>
          <w:tcPr>
            <w:tcW w:w="648"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3</w:t>
            </w:r>
          </w:p>
        </w:tc>
        <w:tc>
          <w:tcPr>
            <w:tcW w:w="10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4</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5</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6</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7</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8</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9</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10</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11</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12</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13=12-5</w:t>
            </w:r>
          </w:p>
        </w:tc>
        <w:tc>
          <w:tcPr>
            <w:tcW w:w="851" w:type="dxa"/>
            <w:tcBorders>
              <w:top w:val="nil"/>
              <w:left w:val="nil"/>
              <w:bottom w:val="single" w:sz="4" w:space="0" w:color="auto"/>
              <w:right w:val="single" w:sz="8" w:space="0" w:color="auto"/>
            </w:tcBorders>
            <w:shd w:val="clear" w:color="000000" w:fill="FFE699"/>
            <w:vAlign w:val="center"/>
            <w:hideMark/>
          </w:tcPr>
          <w:p w:rsidR="006F53B7" w:rsidRPr="00A77060" w:rsidRDefault="006F53B7" w:rsidP="004D2946">
            <w:pPr>
              <w:spacing w:after="0" w:line="240" w:lineRule="auto"/>
              <w:ind w:right="-79"/>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14=12/5*</w:t>
            </w:r>
          </w:p>
          <w:p w:rsidR="006F53B7" w:rsidRPr="00A77060" w:rsidRDefault="006F53B7" w:rsidP="004D2946">
            <w:pPr>
              <w:spacing w:after="0" w:line="240" w:lineRule="auto"/>
              <w:ind w:right="-79"/>
              <w:jc w:val="center"/>
              <w:rPr>
                <w:rFonts w:ascii="Calibri Light" w:eastAsia="Times New Roman" w:hAnsi="Calibri Light" w:cstheme="majorHAnsi"/>
                <w:i/>
                <w:iCs/>
                <w:color w:val="000000"/>
                <w:sz w:val="16"/>
                <w:szCs w:val="16"/>
                <w:lang w:val="ru-RU"/>
              </w:rPr>
            </w:pPr>
            <w:r w:rsidRPr="00A77060">
              <w:rPr>
                <w:rFonts w:ascii="Calibri Light" w:eastAsia="Times New Roman" w:hAnsi="Calibri Light" w:cstheme="majorHAnsi"/>
                <w:i/>
                <w:iCs/>
                <w:color w:val="000000"/>
                <w:sz w:val="16"/>
                <w:szCs w:val="16"/>
                <w:lang w:val="ru-RU"/>
              </w:rPr>
              <w:t>100-100</w:t>
            </w:r>
          </w:p>
        </w:tc>
      </w:tr>
      <w:tr w:rsidR="006F53B7" w:rsidRPr="00A77060" w:rsidTr="00EF78AC">
        <w:trPr>
          <w:trHeight w:val="94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w:t>
            </w:r>
          </w:p>
        </w:tc>
        <w:tc>
          <w:tcPr>
            <w:tcW w:w="2569" w:type="dxa"/>
            <w:tcBorders>
              <w:top w:val="nil"/>
              <w:left w:val="nil"/>
              <w:bottom w:val="single" w:sz="4" w:space="0" w:color="auto"/>
              <w:right w:val="single" w:sz="4" w:space="0" w:color="auto"/>
            </w:tcBorders>
            <w:shd w:val="clear" w:color="auto" w:fill="auto"/>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Строительство жилого дома для участников ликвидации последствий аварии на Чернобыль</w:t>
            </w:r>
            <w:r>
              <w:rPr>
                <w:rFonts w:ascii="Calibri Light" w:eastAsia="Times New Roman" w:hAnsi="Calibri Light" w:cstheme="majorHAnsi"/>
                <w:color w:val="000000"/>
                <w:sz w:val="20"/>
                <w:szCs w:val="20"/>
                <w:lang w:val="ru-RU"/>
              </w:rPr>
              <w:t xml:space="preserve">ской </w:t>
            </w:r>
            <w:r w:rsidRPr="00A77060">
              <w:rPr>
                <w:rFonts w:ascii="Calibri Light" w:eastAsia="Times New Roman" w:hAnsi="Calibri Light" w:cstheme="majorHAnsi"/>
                <w:color w:val="000000"/>
                <w:sz w:val="20"/>
                <w:szCs w:val="20"/>
                <w:lang w:val="ru-RU"/>
              </w:rPr>
              <w:t xml:space="preserve">АЭС, ул. Алба Юлия №91/3, муниципий Кишинэу </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2004</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общие средства </w:t>
            </w:r>
          </w:p>
        </w:tc>
        <w:tc>
          <w:tcPr>
            <w:tcW w:w="1236" w:type="dxa"/>
            <w:tcBorders>
              <w:top w:val="nil"/>
              <w:left w:val="nil"/>
              <w:bottom w:val="single" w:sz="4" w:space="0" w:color="auto"/>
              <w:right w:val="single" w:sz="4" w:space="0" w:color="auto"/>
            </w:tcBorders>
            <w:shd w:val="clear" w:color="000000" w:fill="EDEDED"/>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61.359,0</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69.829,6</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2"/>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69.830,0</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69.830,0</w:t>
            </w:r>
          </w:p>
        </w:tc>
        <w:tc>
          <w:tcPr>
            <w:tcW w:w="992" w:type="dxa"/>
            <w:tcBorders>
              <w:top w:val="single" w:sz="4" w:space="0" w:color="auto"/>
              <w:left w:val="nil"/>
              <w:bottom w:val="nil"/>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69.830,0</w:t>
            </w:r>
          </w:p>
        </w:tc>
        <w:tc>
          <w:tcPr>
            <w:tcW w:w="992" w:type="dxa"/>
            <w:tcBorders>
              <w:top w:val="nil"/>
              <w:left w:val="single" w:sz="4" w:space="0" w:color="auto"/>
              <w:bottom w:val="nil"/>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74.412,8</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74.412,8</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74.412,8</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13.053,8</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21,3</w:t>
            </w:r>
          </w:p>
        </w:tc>
      </w:tr>
      <w:tr w:rsidR="006F53B7" w:rsidRPr="00A77060" w:rsidTr="00EF78AC">
        <w:trPr>
          <w:trHeight w:val="82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w:t>
            </w:r>
          </w:p>
        </w:tc>
        <w:tc>
          <w:tcPr>
            <w:tcW w:w="2569"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 xml:space="preserve">Реставрация </w:t>
            </w:r>
            <w:r w:rsidRPr="00A77060">
              <w:rPr>
                <w:rFonts w:ascii="Calibri Light" w:eastAsia="Times New Roman" w:hAnsi="Calibri Light" w:cstheme="majorHAnsi"/>
                <w:color w:val="000000"/>
                <w:sz w:val="20"/>
                <w:szCs w:val="20"/>
                <w:lang w:val="ru-RU"/>
              </w:rPr>
              <w:t>здания Национального художественного музея, ул. 31 Августа 1989 №115, муниципий Кишинэу</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2005</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36.600,0</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2"/>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nil"/>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69.000,0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91.661,3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91.661,3</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91.661,3</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91.661,3</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55.061,3</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150,4</w:t>
            </w:r>
          </w:p>
        </w:tc>
      </w:tr>
      <w:tr w:rsidR="006F53B7" w:rsidRPr="00A77060" w:rsidTr="00EF78AC">
        <w:trPr>
          <w:trHeight w:val="55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3</w:t>
            </w:r>
          </w:p>
        </w:tc>
        <w:tc>
          <w:tcPr>
            <w:tcW w:w="2569"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Pr>
                <w:rFonts w:ascii="Calibri Light" w:eastAsia="Times New Roman" w:hAnsi="Calibri Light" w:cstheme="majorHAnsi"/>
                <w:color w:val="000000"/>
                <w:sz w:val="20"/>
                <w:szCs w:val="20"/>
                <w:lang w:val="ru-RU"/>
              </w:rPr>
              <w:t>Реставрация</w:t>
            </w:r>
            <w:r w:rsidRPr="00A77060">
              <w:rPr>
                <w:rFonts w:ascii="Calibri Light" w:eastAsia="Times New Roman" w:hAnsi="Calibri Light" w:cstheme="majorHAnsi"/>
                <w:color w:val="000000"/>
                <w:sz w:val="20"/>
                <w:szCs w:val="20"/>
                <w:lang w:val="ru-RU"/>
              </w:rPr>
              <w:t xml:space="preserve"> здания Органного зала, бул. Штефана чел Маре ши Сфынт №81, муниципий Кишинэу </w:t>
            </w:r>
          </w:p>
        </w:tc>
        <w:tc>
          <w:tcPr>
            <w:tcW w:w="648"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2008</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23.450,0</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23.480,0</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2"/>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23.480,0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45.000,0</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92.184,9</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92.184,9</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92.185,0</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92.185,0</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68.735,0</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293,1</w:t>
            </w:r>
          </w:p>
        </w:tc>
      </w:tr>
      <w:tr w:rsidR="006F53B7" w:rsidRPr="00A77060" w:rsidTr="00EF78AC">
        <w:trPr>
          <w:trHeight w:val="51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4</w:t>
            </w:r>
          </w:p>
        </w:tc>
        <w:tc>
          <w:tcPr>
            <w:tcW w:w="2569"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Проект „Поддержка Программы в секторе дорог”</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2009</w:t>
            </w:r>
          </w:p>
        </w:tc>
        <w:tc>
          <w:tcPr>
            <w:tcW w:w="1093"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ПФВИ </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6.200.000,0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2"/>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6.200.000,0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2.786.400,8</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39"/>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2.786.400,8</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8.620.000,0</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2"/>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11.013.193,8</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11.620.000,0</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ind w:right="-213"/>
              <w:jc w:val="center"/>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5.420.000,0</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18"/>
                <w:szCs w:val="18"/>
                <w:lang w:val="ru-RU"/>
              </w:rPr>
            </w:pPr>
            <w:r w:rsidRPr="00A77060">
              <w:rPr>
                <w:rFonts w:ascii="Calibri Light" w:eastAsia="Times New Roman" w:hAnsi="Calibri Light" w:cstheme="majorHAnsi"/>
                <w:color w:val="000000"/>
                <w:sz w:val="18"/>
                <w:szCs w:val="18"/>
                <w:lang w:val="ru-RU"/>
              </w:rPr>
              <w:t>87,4</w:t>
            </w:r>
          </w:p>
        </w:tc>
      </w:tr>
      <w:tr w:rsidR="006F53B7" w:rsidRPr="00A77060" w:rsidTr="00EF78AC">
        <w:trPr>
          <w:trHeight w:val="363"/>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5</w:t>
            </w:r>
          </w:p>
        </w:tc>
        <w:tc>
          <w:tcPr>
            <w:tcW w:w="2569"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Строительство дома ареста в муниципии Бэлць </w:t>
            </w:r>
          </w:p>
        </w:tc>
        <w:tc>
          <w:tcPr>
            <w:tcW w:w="648"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2011</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200.000,0</w:t>
            </w:r>
          </w:p>
        </w:tc>
        <w:tc>
          <w:tcPr>
            <w:tcW w:w="992"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200.000,0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ind w:right="-72"/>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250.000,0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250.000,0</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250.000,0</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250.000,0</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50.000,0</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25,0</w:t>
            </w:r>
          </w:p>
        </w:tc>
      </w:tr>
      <w:tr w:rsidR="006F53B7" w:rsidRPr="00A77060" w:rsidTr="00EF78AC">
        <w:trPr>
          <w:trHeight w:val="72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6</w:t>
            </w:r>
          </w:p>
        </w:tc>
        <w:tc>
          <w:tcPr>
            <w:tcW w:w="2569" w:type="dxa"/>
            <w:tcBorders>
              <w:top w:val="nil"/>
              <w:left w:val="nil"/>
              <w:bottom w:val="single" w:sz="4" w:space="0" w:color="auto"/>
              <w:right w:val="single" w:sz="4" w:space="0" w:color="auto"/>
            </w:tcBorders>
            <w:shd w:val="clear" w:color="auto" w:fill="auto"/>
            <w:vAlign w:val="center"/>
            <w:hideMark/>
          </w:tcPr>
          <w:p w:rsidR="006F53B7" w:rsidRPr="00860C43"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860C43">
              <w:rPr>
                <w:rFonts w:ascii="Calibri Light" w:eastAsia="Times New Roman" w:hAnsi="Calibri Light" w:cstheme="majorHAnsi"/>
                <w:color w:val="000000"/>
                <w:sz w:val="20"/>
                <w:szCs w:val="20"/>
                <w:lang w:val="ru-RU"/>
              </w:rPr>
              <w:t xml:space="preserve">Реконструкция здания с сооружением пристройки многофункционального зала Специализированной спортивной школы по боксу, </w:t>
            </w:r>
          </w:p>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lastRenderedPageBreak/>
              <w:t>из села Гримэнкэуць, района Бричень</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lastRenderedPageBreak/>
              <w:t>2012</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12.000,0</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12.000,0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2"/>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19.000,0</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ind w:right="-73"/>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24.054,8</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24.094,8</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12.094,8</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100,8</w:t>
            </w:r>
          </w:p>
        </w:tc>
      </w:tr>
      <w:tr w:rsidR="006F53B7" w:rsidRPr="00A77060" w:rsidTr="00EF78AC">
        <w:trPr>
          <w:trHeight w:val="411"/>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7</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Проект „Строительство пенитенциарного учреждения из муниципия Кишинэу”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2014</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 и ПФВИ</w:t>
            </w:r>
          </w:p>
        </w:tc>
        <w:tc>
          <w:tcPr>
            <w:tcW w:w="1236" w:type="dxa"/>
            <w:tcBorders>
              <w:top w:val="single" w:sz="4" w:space="0" w:color="auto"/>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726.570,0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2"/>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750.000,0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964.054,8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964.054,8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964.054,8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1.174.452,0</w:t>
            </w:r>
          </w:p>
        </w:tc>
        <w:tc>
          <w:tcPr>
            <w:tcW w:w="1275" w:type="dxa"/>
            <w:tcBorders>
              <w:top w:val="single" w:sz="4" w:space="0" w:color="auto"/>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ind w:right="-90"/>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1.292.943,6</w:t>
            </w:r>
          </w:p>
        </w:tc>
        <w:tc>
          <w:tcPr>
            <w:tcW w:w="1134" w:type="dxa"/>
            <w:tcBorders>
              <w:top w:val="single" w:sz="4" w:space="0" w:color="auto"/>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566.373,6</w:t>
            </w:r>
          </w:p>
        </w:tc>
        <w:tc>
          <w:tcPr>
            <w:tcW w:w="851" w:type="dxa"/>
            <w:tcBorders>
              <w:top w:val="single" w:sz="4" w:space="0" w:color="auto"/>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78,0</w:t>
            </w:r>
          </w:p>
        </w:tc>
      </w:tr>
      <w:tr w:rsidR="006F53B7" w:rsidRPr="00A77060" w:rsidTr="00EF78AC">
        <w:trPr>
          <w:trHeight w:val="75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8</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Реконструкция спортивной базы по гребле Спортивного центра подготовк</w:t>
            </w:r>
            <w:r>
              <w:rPr>
                <w:rFonts w:ascii="Calibri Light" w:eastAsia="Times New Roman" w:hAnsi="Calibri Light" w:cstheme="majorHAnsi"/>
                <w:color w:val="000000"/>
                <w:sz w:val="20"/>
                <w:szCs w:val="20"/>
                <w:lang w:val="ru-RU"/>
              </w:rPr>
              <w:t>и</w:t>
            </w:r>
            <w:r w:rsidRPr="00A77060">
              <w:rPr>
                <w:rFonts w:ascii="Calibri Light" w:eastAsia="Times New Roman" w:hAnsi="Calibri Light" w:cstheme="majorHAnsi"/>
                <w:color w:val="000000"/>
                <w:sz w:val="20"/>
                <w:szCs w:val="20"/>
                <w:lang w:val="ru-RU"/>
              </w:rPr>
              <w:t xml:space="preserve"> </w:t>
            </w:r>
            <w:r w:rsidRPr="00860C43">
              <w:rPr>
                <w:rFonts w:ascii="Calibri Light" w:eastAsia="Times New Roman" w:hAnsi="Calibri Light" w:cstheme="majorHAnsi"/>
                <w:color w:val="000000"/>
                <w:sz w:val="20"/>
                <w:szCs w:val="20"/>
                <w:lang w:val="ru-RU"/>
              </w:rPr>
              <w:t xml:space="preserve">национальных </w:t>
            </w:r>
            <w:r w:rsidRPr="00A77060">
              <w:rPr>
                <w:rFonts w:ascii="Calibri Light" w:eastAsia="Times New Roman" w:hAnsi="Calibri Light" w:cstheme="majorHAnsi"/>
                <w:color w:val="000000"/>
                <w:sz w:val="20"/>
                <w:szCs w:val="20"/>
                <w:lang w:val="ru-RU"/>
              </w:rPr>
              <w:t xml:space="preserve">сборных </w:t>
            </w:r>
            <w:r>
              <w:rPr>
                <w:rFonts w:ascii="Calibri Light" w:eastAsia="Times New Roman" w:hAnsi="Calibri Light" w:cstheme="majorHAnsi"/>
                <w:color w:val="000000"/>
                <w:sz w:val="20"/>
                <w:szCs w:val="20"/>
                <w:lang w:val="ru-RU"/>
              </w:rPr>
              <w:t>команд</w:t>
            </w:r>
            <w:r w:rsidRPr="00A77060">
              <w:rPr>
                <w:rFonts w:ascii="Calibri Light" w:eastAsia="Times New Roman" w:hAnsi="Calibri Light" w:cstheme="majorHAnsi"/>
                <w:color w:val="000000"/>
                <w:sz w:val="20"/>
                <w:szCs w:val="20"/>
                <w:lang w:val="ru-RU"/>
              </w:rPr>
              <w:t>, город Ватра, муниципий Кишинэу</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2014</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w:t>
            </w:r>
          </w:p>
        </w:tc>
        <w:tc>
          <w:tcPr>
            <w:tcW w:w="1236" w:type="dxa"/>
            <w:tcBorders>
              <w:top w:val="single" w:sz="4" w:space="0" w:color="auto"/>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2"/>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9.868,8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6.000,0</w:t>
            </w:r>
          </w:p>
        </w:tc>
        <w:tc>
          <w:tcPr>
            <w:tcW w:w="993" w:type="dxa"/>
            <w:tcBorders>
              <w:top w:val="single" w:sz="4" w:space="0" w:color="auto"/>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9.868,8</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9.868,8</w:t>
            </w:r>
          </w:p>
        </w:tc>
        <w:tc>
          <w:tcPr>
            <w:tcW w:w="1134" w:type="dxa"/>
            <w:tcBorders>
              <w:top w:val="single" w:sz="4" w:space="0" w:color="auto"/>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4.868,8</w:t>
            </w:r>
          </w:p>
        </w:tc>
        <w:tc>
          <w:tcPr>
            <w:tcW w:w="851" w:type="dxa"/>
            <w:tcBorders>
              <w:top w:val="single" w:sz="4" w:space="0" w:color="auto"/>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97,4</w:t>
            </w:r>
          </w:p>
        </w:tc>
      </w:tr>
      <w:tr w:rsidR="006F53B7" w:rsidRPr="00A77060" w:rsidTr="00EF78AC">
        <w:trPr>
          <w:trHeight w:val="9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9</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6F53B7" w:rsidRDefault="006F53B7" w:rsidP="004D2946">
            <w:pPr>
              <w:spacing w:after="0" w:line="240" w:lineRule="auto"/>
              <w:jc w:val="left"/>
              <w:rPr>
                <w:rFonts w:ascii="Calibri Light" w:eastAsia="Times New Roman" w:hAnsi="Calibri Light" w:cstheme="majorHAnsi"/>
                <w:color w:val="000000"/>
                <w:sz w:val="20"/>
                <w:szCs w:val="20"/>
                <w:lang w:val="ru-RU"/>
              </w:rPr>
            </w:pPr>
            <w:r w:rsidRPr="00860C43">
              <w:rPr>
                <w:rFonts w:ascii="Calibri Light" w:eastAsia="Times New Roman" w:hAnsi="Calibri Light" w:cstheme="majorHAnsi"/>
                <w:color w:val="000000"/>
                <w:sz w:val="20"/>
                <w:szCs w:val="20"/>
                <w:lang w:val="ru-RU"/>
              </w:rPr>
              <w:t>Строительство здания Национального центра по установлению ограничения возможностей и</w:t>
            </w:r>
            <w:r>
              <w:rPr>
                <w:rFonts w:ascii="Calibri Light" w:eastAsia="Times New Roman" w:hAnsi="Calibri Light" w:cstheme="majorHAnsi"/>
                <w:color w:val="000000"/>
                <w:sz w:val="20"/>
                <w:szCs w:val="20"/>
                <w:lang w:val="ru-RU"/>
              </w:rPr>
              <w:t xml:space="preserve"> </w:t>
            </w:r>
          </w:p>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860C43">
              <w:rPr>
                <w:rFonts w:ascii="Calibri Light" w:eastAsia="Times New Roman" w:hAnsi="Calibri Light" w:cstheme="majorHAnsi"/>
                <w:color w:val="000000"/>
                <w:sz w:val="20"/>
                <w:szCs w:val="20"/>
                <w:lang w:val="ru-RU"/>
              </w:rPr>
              <w:t>трудоспособности, ул. Александру Хыждеу</w:t>
            </w:r>
            <w:r>
              <w:rPr>
                <w:rFonts w:ascii="Calibri Light" w:eastAsia="Times New Roman" w:hAnsi="Calibri Light" w:cstheme="majorHAnsi"/>
                <w:color w:val="000000"/>
                <w:sz w:val="20"/>
                <w:szCs w:val="20"/>
                <w:lang w:val="ru-RU"/>
              </w:rPr>
              <w:t xml:space="preserve"> №</w:t>
            </w:r>
            <w:r w:rsidRPr="00860C43">
              <w:rPr>
                <w:rFonts w:ascii="Calibri Light" w:eastAsia="Times New Roman" w:hAnsi="Calibri Light" w:cstheme="majorHAnsi"/>
                <w:color w:val="000000"/>
                <w:sz w:val="20"/>
                <w:szCs w:val="20"/>
                <w:lang w:val="ru-RU"/>
              </w:rPr>
              <w:t xml:space="preserve"> 49, </w:t>
            </w:r>
            <w:r w:rsidRPr="00A77060">
              <w:rPr>
                <w:rFonts w:ascii="Calibri Light" w:eastAsia="Times New Roman" w:hAnsi="Calibri Light" w:cstheme="majorHAnsi"/>
                <w:color w:val="000000"/>
                <w:sz w:val="20"/>
                <w:szCs w:val="20"/>
                <w:lang w:val="ru-RU"/>
              </w:rPr>
              <w:t xml:space="preserve">муниципий Кишинэу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2014</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w:t>
            </w:r>
          </w:p>
        </w:tc>
        <w:tc>
          <w:tcPr>
            <w:tcW w:w="1236" w:type="dxa"/>
            <w:tcBorders>
              <w:top w:val="single" w:sz="4" w:space="0" w:color="auto"/>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20.611,7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2"/>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20.611,7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20.311,7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33.047,0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33.047,9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1275" w:type="dxa"/>
            <w:tcBorders>
              <w:top w:val="single" w:sz="4" w:space="0" w:color="auto"/>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26.904,2</w:t>
            </w:r>
          </w:p>
        </w:tc>
        <w:tc>
          <w:tcPr>
            <w:tcW w:w="1134" w:type="dxa"/>
            <w:tcBorders>
              <w:top w:val="single" w:sz="4" w:space="0" w:color="auto"/>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6.292,5</w:t>
            </w:r>
          </w:p>
        </w:tc>
        <w:tc>
          <w:tcPr>
            <w:tcW w:w="851" w:type="dxa"/>
            <w:tcBorders>
              <w:top w:val="single" w:sz="4" w:space="0" w:color="auto"/>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30,5</w:t>
            </w:r>
          </w:p>
        </w:tc>
      </w:tr>
      <w:tr w:rsidR="006F53B7" w:rsidRPr="00A77060" w:rsidTr="00EF78AC">
        <w:trPr>
          <w:trHeight w:val="9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10</w:t>
            </w:r>
          </w:p>
        </w:tc>
        <w:tc>
          <w:tcPr>
            <w:tcW w:w="2569"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Строительство здания Республиканского музыкально-драматического театра им. Б. П. Хашдеу, ул. Богдана Петричейку Хашдеу №6, муниципий Кахул </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2015</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21.600,0</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21.600,0</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2"/>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21.600,0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69.000,0</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27.857,8</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28.700,0</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35.420,5</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35.757,5</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14.157,5</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65,5</w:t>
            </w:r>
          </w:p>
        </w:tc>
      </w:tr>
      <w:tr w:rsidR="006F53B7" w:rsidRPr="00A77060" w:rsidTr="00EF78AC">
        <w:trPr>
          <w:trHeight w:val="20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11</w:t>
            </w:r>
          </w:p>
        </w:tc>
        <w:tc>
          <w:tcPr>
            <w:tcW w:w="2569"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Проект „Конкурентоспособ-ное сельское хозяйство”</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2016</w:t>
            </w:r>
          </w:p>
        </w:tc>
        <w:tc>
          <w:tcPr>
            <w:tcW w:w="1093"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ПФВИ</w:t>
            </w:r>
          </w:p>
        </w:tc>
        <w:tc>
          <w:tcPr>
            <w:tcW w:w="1236" w:type="dxa"/>
            <w:tcBorders>
              <w:top w:val="nil"/>
              <w:left w:val="nil"/>
              <w:bottom w:val="single" w:sz="4" w:space="0" w:color="auto"/>
              <w:right w:val="single" w:sz="4" w:space="0" w:color="auto"/>
            </w:tcBorders>
            <w:shd w:val="clear" w:color="000000" w:fill="F2F2F2"/>
            <w:vAlign w:val="center"/>
            <w:hideMark/>
          </w:tcPr>
          <w:p w:rsidR="006F53B7" w:rsidRPr="00A77060" w:rsidRDefault="006F53B7" w:rsidP="004D2946">
            <w:pPr>
              <w:spacing w:after="0" w:line="240" w:lineRule="auto"/>
              <w:ind w:right="-1"/>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83.800,0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ind w:right="-72"/>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83.800,0</w:t>
            </w:r>
          </w:p>
        </w:tc>
        <w:tc>
          <w:tcPr>
            <w:tcW w:w="992"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73"/>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153.924,5</w:t>
            </w:r>
          </w:p>
        </w:tc>
        <w:tc>
          <w:tcPr>
            <w:tcW w:w="993"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167.860,5</w:t>
            </w:r>
          </w:p>
        </w:tc>
        <w:tc>
          <w:tcPr>
            <w:tcW w:w="1275" w:type="dxa"/>
            <w:tcBorders>
              <w:top w:val="nil"/>
              <w:left w:val="nil"/>
              <w:bottom w:val="single" w:sz="4" w:space="0" w:color="auto"/>
              <w:right w:val="nil"/>
            </w:tcBorders>
            <w:shd w:val="clear" w:color="auto" w:fill="auto"/>
            <w:vAlign w:val="center"/>
            <w:hideMark/>
          </w:tcPr>
          <w:p w:rsidR="006F53B7" w:rsidRPr="00A77060" w:rsidRDefault="006F53B7" w:rsidP="004D2946">
            <w:pPr>
              <w:spacing w:after="0" w:line="240" w:lineRule="auto"/>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153.924,5</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70.124,5</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83,7</w:t>
            </w:r>
          </w:p>
        </w:tc>
      </w:tr>
      <w:tr w:rsidR="006F53B7" w:rsidRPr="00A77060" w:rsidTr="00EF78AC">
        <w:trPr>
          <w:trHeight w:val="80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12</w:t>
            </w:r>
          </w:p>
        </w:tc>
        <w:tc>
          <w:tcPr>
            <w:tcW w:w="2569"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и модернизация зданий </w:t>
            </w:r>
            <w:r w:rsidRPr="00860C43">
              <w:rPr>
                <w:rFonts w:ascii="Calibri Light" w:eastAsia="Times New Roman" w:hAnsi="Calibri Light" w:cstheme="majorHAnsi"/>
                <w:color w:val="000000"/>
                <w:sz w:val="20"/>
                <w:szCs w:val="20"/>
                <w:lang w:val="ru-RU"/>
              </w:rPr>
              <w:t>Образцового центра</w:t>
            </w:r>
            <w:r w:rsidRPr="00A77060">
              <w:rPr>
                <w:rFonts w:ascii="Calibri Light" w:eastAsia="Times New Roman" w:hAnsi="Calibri Light" w:cstheme="majorHAnsi"/>
                <w:color w:val="000000"/>
                <w:sz w:val="20"/>
                <w:szCs w:val="20"/>
                <w:lang w:val="ru-RU"/>
              </w:rPr>
              <w:t xml:space="preserve"> в</w:t>
            </w:r>
            <w:r>
              <w:rPr>
                <w:rFonts w:ascii="Calibri Light" w:eastAsia="Times New Roman" w:hAnsi="Calibri Light" w:cstheme="majorHAnsi"/>
                <w:color w:val="000000"/>
                <w:sz w:val="20"/>
                <w:szCs w:val="20"/>
                <w:lang w:val="ru-RU"/>
              </w:rPr>
              <w:t xml:space="preserve"> области</w:t>
            </w:r>
            <w:r w:rsidRPr="00A77060">
              <w:rPr>
                <w:rFonts w:ascii="Calibri Light" w:eastAsia="Times New Roman" w:hAnsi="Calibri Light" w:cstheme="majorHAnsi"/>
                <w:color w:val="000000"/>
                <w:sz w:val="20"/>
                <w:szCs w:val="20"/>
                <w:lang w:val="ru-RU"/>
              </w:rPr>
              <w:t xml:space="preserve"> строительств</w:t>
            </w:r>
            <w:r>
              <w:rPr>
                <w:rFonts w:ascii="Calibri Light" w:eastAsia="Times New Roman" w:hAnsi="Calibri Light" w:cstheme="majorHAnsi"/>
                <w:color w:val="000000"/>
                <w:sz w:val="20"/>
                <w:szCs w:val="20"/>
                <w:lang w:val="ru-RU"/>
              </w:rPr>
              <w:t>а</w:t>
            </w:r>
            <w:r w:rsidRPr="00A77060">
              <w:rPr>
                <w:rFonts w:ascii="Calibri Light" w:eastAsia="Times New Roman" w:hAnsi="Calibri Light" w:cstheme="majorHAnsi"/>
                <w:color w:val="000000"/>
                <w:sz w:val="20"/>
                <w:szCs w:val="20"/>
                <w:lang w:val="ru-RU"/>
              </w:rPr>
              <w:t>,</w:t>
            </w:r>
            <w:r>
              <w:rPr>
                <w:rFonts w:ascii="Calibri Light" w:eastAsia="Times New Roman" w:hAnsi="Calibri Light" w:cstheme="majorHAnsi"/>
                <w:color w:val="000000"/>
                <w:sz w:val="20"/>
                <w:szCs w:val="20"/>
                <w:lang w:val="ru-RU"/>
              </w:rPr>
              <w:t xml:space="preserve"> </w:t>
            </w:r>
            <w:r w:rsidRPr="00A77060">
              <w:rPr>
                <w:rFonts w:ascii="Calibri Light" w:eastAsia="Times New Roman" w:hAnsi="Calibri Light" w:cstheme="majorHAnsi"/>
                <w:color w:val="000000"/>
                <w:sz w:val="20"/>
                <w:szCs w:val="20"/>
                <w:lang w:val="ru-RU"/>
              </w:rPr>
              <w:t>ул. Георге Асаки №71, муниципий Кишинэу</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2016</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26.500,0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26.500,0</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20.500,0</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34.470,8</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38.543,2</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12.043,2</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45,4</w:t>
            </w:r>
          </w:p>
        </w:tc>
      </w:tr>
      <w:tr w:rsidR="006F53B7" w:rsidRPr="00A77060" w:rsidTr="00EF78AC">
        <w:trPr>
          <w:trHeight w:val="80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13</w:t>
            </w:r>
          </w:p>
        </w:tc>
        <w:tc>
          <w:tcPr>
            <w:tcW w:w="2569"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и модернизация зданий </w:t>
            </w:r>
            <w:r w:rsidRPr="00860C43">
              <w:rPr>
                <w:rFonts w:ascii="Calibri Light" w:eastAsia="Times New Roman" w:hAnsi="Calibri Light" w:cstheme="majorHAnsi"/>
                <w:color w:val="000000"/>
                <w:sz w:val="20"/>
                <w:szCs w:val="20"/>
                <w:lang w:val="ru-RU"/>
              </w:rPr>
              <w:t>Образцового центра</w:t>
            </w:r>
            <w:r w:rsidRPr="00A77060">
              <w:rPr>
                <w:rFonts w:ascii="Calibri Light" w:eastAsia="Times New Roman" w:hAnsi="Calibri Light" w:cstheme="majorHAnsi"/>
                <w:color w:val="000000"/>
                <w:sz w:val="20"/>
                <w:szCs w:val="20"/>
                <w:lang w:val="ru-RU"/>
              </w:rPr>
              <w:t xml:space="preserve"> в</w:t>
            </w:r>
            <w:r>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lastRenderedPageBreak/>
              <w:t>области</w:t>
            </w:r>
            <w:r w:rsidRPr="00A77060">
              <w:rPr>
                <w:rFonts w:ascii="Calibri Light" w:eastAsia="Times New Roman" w:hAnsi="Calibri Light" w:cstheme="majorHAnsi"/>
                <w:color w:val="000000"/>
                <w:sz w:val="20"/>
                <w:szCs w:val="20"/>
                <w:lang w:val="ru-RU"/>
              </w:rPr>
              <w:t xml:space="preserve"> энергетик</w:t>
            </w:r>
            <w:r>
              <w:rPr>
                <w:rFonts w:ascii="Calibri Light" w:eastAsia="Times New Roman" w:hAnsi="Calibri Light" w:cstheme="majorHAnsi"/>
                <w:color w:val="000000"/>
                <w:sz w:val="20"/>
                <w:szCs w:val="20"/>
                <w:lang w:val="ru-RU"/>
              </w:rPr>
              <w:t>и</w:t>
            </w:r>
            <w:r w:rsidRPr="00A77060">
              <w:rPr>
                <w:rFonts w:ascii="Calibri Light" w:eastAsia="Times New Roman" w:hAnsi="Calibri Light" w:cstheme="majorHAnsi"/>
                <w:color w:val="000000"/>
                <w:sz w:val="20"/>
                <w:szCs w:val="20"/>
                <w:lang w:val="ru-RU"/>
              </w:rPr>
              <w:t xml:space="preserve"> и электроник</w:t>
            </w:r>
            <w:r>
              <w:rPr>
                <w:rFonts w:ascii="Calibri Light" w:eastAsia="Times New Roman" w:hAnsi="Calibri Light" w:cstheme="majorHAnsi"/>
                <w:color w:val="000000"/>
                <w:sz w:val="20"/>
                <w:szCs w:val="20"/>
                <w:lang w:val="ru-RU"/>
              </w:rPr>
              <w:t>и</w:t>
            </w:r>
            <w:r w:rsidRPr="00A77060">
              <w:rPr>
                <w:rFonts w:ascii="Calibri Light" w:eastAsia="Times New Roman" w:hAnsi="Calibri Light" w:cstheme="majorHAnsi"/>
                <w:color w:val="000000"/>
                <w:sz w:val="20"/>
                <w:szCs w:val="20"/>
                <w:lang w:val="ru-RU"/>
              </w:rPr>
              <w:t>, ул. Миле</w:t>
            </w:r>
            <w:r>
              <w:rPr>
                <w:rFonts w:ascii="Calibri Light" w:eastAsia="Times New Roman" w:hAnsi="Calibri Light" w:cstheme="majorHAnsi"/>
                <w:color w:val="000000"/>
                <w:sz w:val="20"/>
                <w:szCs w:val="20"/>
                <w:lang w:val="ru-RU"/>
              </w:rPr>
              <w:t>с</w:t>
            </w:r>
            <w:r w:rsidRPr="00A77060">
              <w:rPr>
                <w:rFonts w:ascii="Calibri Light" w:eastAsia="Times New Roman" w:hAnsi="Calibri Light" w:cstheme="majorHAnsi"/>
                <w:color w:val="000000"/>
                <w:sz w:val="20"/>
                <w:szCs w:val="20"/>
                <w:lang w:val="ru-RU"/>
              </w:rPr>
              <w:t>тиу №12, муниципий Кишинэу</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lastRenderedPageBreak/>
              <w:t>2016</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24.800,0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24.800,0</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20.600,0</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40.000,0</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43.900,0</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43.900,0</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19.100,0</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77,0</w:t>
            </w:r>
          </w:p>
        </w:tc>
      </w:tr>
      <w:tr w:rsidR="006F53B7" w:rsidRPr="00A77060" w:rsidTr="00EF78AC">
        <w:trPr>
          <w:trHeight w:val="56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14</w:t>
            </w:r>
          </w:p>
        </w:tc>
        <w:tc>
          <w:tcPr>
            <w:tcW w:w="2569"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и модернизация зданий </w:t>
            </w:r>
            <w:r w:rsidRPr="00860C43">
              <w:rPr>
                <w:rFonts w:ascii="Calibri Light" w:eastAsia="Times New Roman" w:hAnsi="Calibri Light" w:cstheme="majorHAnsi"/>
                <w:color w:val="000000"/>
                <w:sz w:val="20"/>
                <w:szCs w:val="20"/>
                <w:lang w:val="ru-RU"/>
              </w:rPr>
              <w:t>Образцового центра</w:t>
            </w:r>
            <w:r w:rsidRPr="00A77060">
              <w:rPr>
                <w:rFonts w:ascii="Calibri Light" w:eastAsia="Times New Roman" w:hAnsi="Calibri Light" w:cstheme="majorHAnsi"/>
                <w:color w:val="000000"/>
                <w:sz w:val="20"/>
                <w:szCs w:val="20"/>
                <w:lang w:val="ru-RU"/>
              </w:rPr>
              <w:t xml:space="preserve"> в</w:t>
            </w:r>
            <w:r>
              <w:rPr>
                <w:rFonts w:ascii="Calibri Light" w:eastAsia="Times New Roman" w:hAnsi="Calibri Light" w:cstheme="majorHAnsi"/>
                <w:color w:val="000000"/>
                <w:sz w:val="20"/>
                <w:szCs w:val="20"/>
                <w:lang w:val="ru-RU"/>
              </w:rPr>
              <w:t xml:space="preserve"> области</w:t>
            </w:r>
            <w:r w:rsidRPr="00A77060">
              <w:rPr>
                <w:rFonts w:ascii="Calibri Light" w:eastAsia="Times New Roman" w:hAnsi="Calibri Light" w:cstheme="majorHAnsi"/>
                <w:color w:val="000000"/>
                <w:sz w:val="20"/>
                <w:szCs w:val="20"/>
                <w:lang w:val="ru-RU"/>
              </w:rPr>
              <w:t xml:space="preserve"> экономик</w:t>
            </w:r>
            <w:r>
              <w:rPr>
                <w:rFonts w:ascii="Calibri Light" w:eastAsia="Times New Roman" w:hAnsi="Calibri Light" w:cstheme="majorHAnsi"/>
                <w:color w:val="000000"/>
                <w:sz w:val="20"/>
                <w:szCs w:val="20"/>
                <w:lang w:val="ru-RU"/>
              </w:rPr>
              <w:t>и</w:t>
            </w:r>
            <w:r w:rsidRPr="00A77060">
              <w:rPr>
                <w:rFonts w:ascii="Calibri Light" w:eastAsia="Times New Roman" w:hAnsi="Calibri Light" w:cstheme="majorHAnsi"/>
                <w:color w:val="000000"/>
                <w:sz w:val="20"/>
                <w:szCs w:val="20"/>
                <w:lang w:val="ru-RU"/>
              </w:rPr>
              <w:t xml:space="preserve"> и финанс</w:t>
            </w:r>
            <w:r>
              <w:rPr>
                <w:rFonts w:ascii="Calibri Light" w:eastAsia="Times New Roman" w:hAnsi="Calibri Light" w:cstheme="majorHAnsi"/>
                <w:color w:val="000000"/>
                <w:sz w:val="20"/>
                <w:szCs w:val="20"/>
                <w:lang w:val="ru-RU"/>
              </w:rPr>
              <w:t>ов</w:t>
            </w:r>
            <w:r w:rsidRPr="00A77060">
              <w:rPr>
                <w:rFonts w:ascii="Calibri Light" w:eastAsia="Times New Roman" w:hAnsi="Calibri Light" w:cstheme="majorHAnsi"/>
                <w:color w:val="000000"/>
                <w:sz w:val="20"/>
                <w:szCs w:val="20"/>
                <w:lang w:val="ru-RU"/>
              </w:rPr>
              <w:t>, ул. Мирон Костин №26/2, муниципий Кишинэу</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2016</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24.000,0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20.000,0</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32.050,0</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33.816,0</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33.816,0</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9.816,0</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40,9</w:t>
            </w:r>
          </w:p>
        </w:tc>
      </w:tr>
      <w:tr w:rsidR="006F53B7" w:rsidRPr="00A77060" w:rsidTr="00EF78AC">
        <w:trPr>
          <w:trHeight w:val="276"/>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15</w:t>
            </w:r>
          </w:p>
        </w:tc>
        <w:tc>
          <w:tcPr>
            <w:tcW w:w="2569"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и модернизация зданий </w:t>
            </w:r>
            <w:r w:rsidRPr="00860C43">
              <w:rPr>
                <w:rFonts w:ascii="Calibri Light" w:eastAsia="Times New Roman" w:hAnsi="Calibri Light" w:cstheme="majorHAnsi"/>
                <w:color w:val="000000"/>
                <w:sz w:val="20"/>
                <w:szCs w:val="20"/>
                <w:lang w:val="ru-RU"/>
              </w:rPr>
              <w:t>Образцового центра</w:t>
            </w:r>
            <w:r w:rsidRPr="00A77060">
              <w:rPr>
                <w:rFonts w:ascii="Calibri Light" w:eastAsia="Times New Roman" w:hAnsi="Calibri Light" w:cstheme="majorHAnsi"/>
                <w:color w:val="000000"/>
                <w:sz w:val="20"/>
                <w:szCs w:val="20"/>
                <w:lang w:val="ru-RU"/>
              </w:rPr>
              <w:t xml:space="preserve"> в</w:t>
            </w:r>
            <w:r>
              <w:rPr>
                <w:rFonts w:ascii="Calibri Light" w:eastAsia="Times New Roman" w:hAnsi="Calibri Light" w:cstheme="majorHAnsi"/>
                <w:color w:val="000000"/>
                <w:sz w:val="20"/>
                <w:szCs w:val="20"/>
                <w:lang w:val="ru-RU"/>
              </w:rPr>
              <w:t xml:space="preserve"> области</w:t>
            </w:r>
            <w:r w:rsidRPr="00A77060">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энергетики и электроники</w:t>
            </w:r>
            <w:r w:rsidRPr="00A77060">
              <w:rPr>
                <w:rFonts w:ascii="Calibri Light" w:eastAsia="Times New Roman" w:hAnsi="Calibri Light" w:cstheme="majorHAnsi"/>
                <w:color w:val="000000"/>
                <w:sz w:val="20"/>
                <w:szCs w:val="20"/>
                <w:lang w:val="ru-RU"/>
              </w:rPr>
              <w:t>, ул. Михаила Садовяну №40/2, муниципий Кишинэу</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2016</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24.000,0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24.000,0</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20.000,0</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31.126,2</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32.566,3</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32.518,2</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8.518,2</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35,5</w:t>
            </w:r>
          </w:p>
        </w:tc>
      </w:tr>
      <w:tr w:rsidR="006F53B7" w:rsidRPr="00A77060" w:rsidTr="00EF78AC">
        <w:trPr>
          <w:trHeight w:val="814"/>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16</w:t>
            </w:r>
          </w:p>
        </w:tc>
        <w:tc>
          <w:tcPr>
            <w:tcW w:w="2569"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и модернизация зданий </w:t>
            </w:r>
            <w:r w:rsidRPr="00860C43">
              <w:rPr>
                <w:rFonts w:ascii="Calibri Light" w:eastAsia="Times New Roman" w:hAnsi="Calibri Light" w:cstheme="majorHAnsi"/>
                <w:color w:val="000000"/>
                <w:sz w:val="20"/>
                <w:szCs w:val="20"/>
                <w:lang w:val="ru-RU"/>
              </w:rPr>
              <w:t>Образцового центра</w:t>
            </w:r>
            <w:r w:rsidRPr="00A77060">
              <w:rPr>
                <w:rFonts w:ascii="Calibri Light" w:eastAsia="Times New Roman" w:hAnsi="Calibri Light" w:cstheme="majorHAnsi"/>
                <w:color w:val="000000"/>
                <w:sz w:val="20"/>
                <w:szCs w:val="20"/>
                <w:lang w:val="ru-RU"/>
              </w:rPr>
              <w:t xml:space="preserve"> в</w:t>
            </w:r>
            <w:r>
              <w:rPr>
                <w:rFonts w:ascii="Calibri Light" w:eastAsia="Times New Roman" w:hAnsi="Calibri Light" w:cstheme="majorHAnsi"/>
                <w:color w:val="000000"/>
                <w:sz w:val="20"/>
                <w:szCs w:val="20"/>
                <w:lang w:val="ru-RU"/>
              </w:rPr>
              <w:t xml:space="preserve"> области</w:t>
            </w:r>
            <w:r w:rsidRPr="00A77060">
              <w:rPr>
                <w:rFonts w:ascii="Calibri Light" w:eastAsia="Times New Roman" w:hAnsi="Calibri Light" w:cstheme="majorHAnsi"/>
                <w:color w:val="000000"/>
                <w:sz w:val="20"/>
                <w:szCs w:val="20"/>
                <w:lang w:val="ru-RU"/>
              </w:rPr>
              <w:t xml:space="preserve"> транспорт</w:t>
            </w:r>
            <w:r>
              <w:rPr>
                <w:rFonts w:ascii="Calibri Light" w:eastAsia="Times New Roman" w:hAnsi="Calibri Light" w:cstheme="majorHAnsi"/>
                <w:color w:val="000000"/>
                <w:sz w:val="20"/>
                <w:szCs w:val="20"/>
                <w:lang w:val="ru-RU"/>
              </w:rPr>
              <w:t>а</w:t>
            </w:r>
            <w:r w:rsidRPr="00A77060">
              <w:rPr>
                <w:rFonts w:ascii="Calibri Light" w:eastAsia="Times New Roman" w:hAnsi="Calibri Light" w:cstheme="majorHAnsi"/>
                <w:color w:val="000000"/>
                <w:sz w:val="20"/>
                <w:szCs w:val="20"/>
                <w:lang w:val="ru-RU"/>
              </w:rPr>
              <w:t>, ул. Сармизежетуса №31, муниципий Кишинэу</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2016</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27.500,0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27.500,0</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21.000,0</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38.230,0</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38.464,9</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37.878,7</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10.378,7</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37,7</w:t>
            </w:r>
          </w:p>
        </w:tc>
      </w:tr>
      <w:tr w:rsidR="006F53B7" w:rsidRPr="00A77060" w:rsidTr="00EF78AC">
        <w:trPr>
          <w:trHeight w:val="102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17</w:t>
            </w:r>
          </w:p>
        </w:tc>
        <w:tc>
          <w:tcPr>
            <w:tcW w:w="2569"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и модернизация зданий </w:t>
            </w:r>
            <w:r w:rsidRPr="00860C43">
              <w:rPr>
                <w:rFonts w:ascii="Calibri Light" w:eastAsia="Times New Roman" w:hAnsi="Calibri Light" w:cstheme="majorHAnsi"/>
                <w:color w:val="000000"/>
                <w:sz w:val="20"/>
                <w:szCs w:val="20"/>
                <w:lang w:val="ru-RU"/>
              </w:rPr>
              <w:t>Образцового центра</w:t>
            </w:r>
            <w:r w:rsidRPr="00A77060">
              <w:rPr>
                <w:rFonts w:ascii="Calibri Light" w:eastAsia="Times New Roman" w:hAnsi="Calibri Light" w:cstheme="majorHAnsi"/>
                <w:color w:val="000000"/>
                <w:sz w:val="20"/>
                <w:szCs w:val="20"/>
                <w:lang w:val="ru-RU"/>
              </w:rPr>
              <w:t xml:space="preserve"> в</w:t>
            </w:r>
            <w:r>
              <w:rPr>
                <w:rFonts w:ascii="Calibri Light" w:eastAsia="Times New Roman" w:hAnsi="Calibri Light" w:cstheme="majorHAnsi"/>
                <w:color w:val="000000"/>
                <w:sz w:val="20"/>
                <w:szCs w:val="20"/>
                <w:lang w:val="ru-RU"/>
              </w:rPr>
              <w:t xml:space="preserve"> области</w:t>
            </w:r>
            <w:r w:rsidRPr="00A77060">
              <w:rPr>
                <w:rFonts w:ascii="Calibri Light" w:eastAsia="Times New Roman" w:hAnsi="Calibri Light" w:cstheme="majorHAnsi"/>
                <w:color w:val="000000"/>
                <w:sz w:val="20"/>
                <w:szCs w:val="20"/>
                <w:lang w:val="ru-RU"/>
              </w:rPr>
              <w:t xml:space="preserve"> художественно</w:t>
            </w:r>
            <w:r>
              <w:rPr>
                <w:rFonts w:ascii="Calibri Light" w:eastAsia="Times New Roman" w:hAnsi="Calibri Light" w:cstheme="majorHAnsi"/>
                <w:color w:val="000000"/>
                <w:sz w:val="20"/>
                <w:szCs w:val="20"/>
                <w:lang w:val="ru-RU"/>
              </w:rPr>
              <w:t>го</w:t>
            </w:r>
            <w:r w:rsidRPr="00A77060">
              <w:rPr>
                <w:rFonts w:ascii="Calibri Light" w:eastAsia="Times New Roman" w:hAnsi="Calibri Light" w:cstheme="majorHAnsi"/>
                <w:color w:val="000000"/>
                <w:sz w:val="20"/>
                <w:szCs w:val="20"/>
                <w:lang w:val="ru-RU"/>
              </w:rPr>
              <w:t xml:space="preserve"> образовани</w:t>
            </w:r>
            <w:r>
              <w:rPr>
                <w:rFonts w:ascii="Calibri Light" w:eastAsia="Times New Roman" w:hAnsi="Calibri Light" w:cstheme="majorHAnsi"/>
                <w:color w:val="000000"/>
                <w:sz w:val="20"/>
                <w:szCs w:val="20"/>
                <w:lang w:val="ru-RU"/>
              </w:rPr>
              <w:t>я</w:t>
            </w:r>
            <w:r w:rsidRPr="00A77060">
              <w:rPr>
                <w:rFonts w:ascii="Calibri Light" w:eastAsia="Times New Roman" w:hAnsi="Calibri Light" w:cstheme="majorHAnsi"/>
                <w:color w:val="000000"/>
                <w:sz w:val="20"/>
                <w:szCs w:val="20"/>
                <w:lang w:val="ru-RU"/>
              </w:rPr>
              <w:t xml:space="preserve"> им. Штефан</w:t>
            </w:r>
            <w:r>
              <w:rPr>
                <w:rFonts w:ascii="Calibri Light" w:eastAsia="Times New Roman" w:hAnsi="Calibri Light" w:cstheme="majorHAnsi"/>
                <w:color w:val="000000"/>
                <w:sz w:val="20"/>
                <w:szCs w:val="20"/>
                <w:lang w:val="ru-RU"/>
              </w:rPr>
              <w:t>а</w:t>
            </w:r>
            <w:r w:rsidRPr="00A77060">
              <w:rPr>
                <w:rFonts w:ascii="Calibri Light" w:eastAsia="Times New Roman" w:hAnsi="Calibri Light" w:cstheme="majorHAnsi"/>
                <w:color w:val="000000"/>
                <w:sz w:val="20"/>
                <w:szCs w:val="20"/>
                <w:lang w:val="ru-RU"/>
              </w:rPr>
              <w:t xml:space="preserve"> Няг</w:t>
            </w:r>
            <w:r>
              <w:rPr>
                <w:rFonts w:ascii="Calibri Light" w:eastAsia="Times New Roman" w:hAnsi="Calibri Light" w:cstheme="majorHAnsi"/>
                <w:color w:val="000000"/>
                <w:sz w:val="20"/>
                <w:szCs w:val="20"/>
                <w:lang w:val="ru-RU"/>
              </w:rPr>
              <w:t>и</w:t>
            </w:r>
            <w:r w:rsidRPr="00A77060">
              <w:rPr>
                <w:rFonts w:ascii="Calibri Light" w:eastAsia="Times New Roman" w:hAnsi="Calibri Light" w:cstheme="majorHAnsi"/>
                <w:color w:val="000000"/>
                <w:sz w:val="20"/>
                <w:szCs w:val="20"/>
                <w:lang w:val="ru-RU"/>
              </w:rPr>
              <w:t>, ул. Христо Ботева №4, муниципий Кишинэу</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2017</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33.000,0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33.000,0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33.000,0</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50.125,2</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50.125,2</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17.125,2</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51,9</w:t>
            </w:r>
          </w:p>
        </w:tc>
      </w:tr>
      <w:tr w:rsidR="006F53B7" w:rsidRPr="00A77060" w:rsidTr="00EF78AC">
        <w:trPr>
          <w:trHeight w:val="76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18</w:t>
            </w:r>
          </w:p>
        </w:tc>
        <w:tc>
          <w:tcPr>
            <w:tcW w:w="2569" w:type="dxa"/>
            <w:tcBorders>
              <w:top w:val="nil"/>
              <w:left w:val="nil"/>
              <w:bottom w:val="single" w:sz="4" w:space="0" w:color="auto"/>
              <w:right w:val="single" w:sz="4" w:space="0" w:color="auto"/>
            </w:tcBorders>
            <w:shd w:val="clear" w:color="auto" w:fill="auto"/>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1707B">
              <w:rPr>
                <w:rFonts w:ascii="Calibri Light" w:eastAsia="Times New Roman" w:hAnsi="Calibri Light" w:cstheme="majorHAnsi"/>
                <w:color w:val="000000"/>
                <w:sz w:val="20"/>
                <w:szCs w:val="20"/>
                <w:lang w:val="ru-RU"/>
              </w:rPr>
              <w:t xml:space="preserve">Строительство коммуникационной магистрали и Центра приграничного сотрудничества Липкань, </w:t>
            </w:r>
            <w:r w:rsidRPr="00A77060">
              <w:rPr>
                <w:rFonts w:ascii="Calibri Light" w:eastAsia="Times New Roman" w:hAnsi="Calibri Light" w:cstheme="majorHAnsi"/>
                <w:color w:val="000000"/>
                <w:sz w:val="20"/>
                <w:szCs w:val="20"/>
                <w:lang w:val="ru-RU"/>
              </w:rPr>
              <w:t xml:space="preserve">района Бричень </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2017</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 и ПФВИ</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74.150,4</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74.150,4</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73.808,0</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86.090,7</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11.940,3</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16,1</w:t>
            </w:r>
          </w:p>
        </w:tc>
      </w:tr>
      <w:tr w:rsidR="006F53B7" w:rsidRPr="00A77060" w:rsidTr="00EF78AC">
        <w:trPr>
          <w:trHeight w:val="51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lastRenderedPageBreak/>
              <w:t>19</w:t>
            </w:r>
          </w:p>
        </w:tc>
        <w:tc>
          <w:tcPr>
            <w:tcW w:w="2569"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здания </w:t>
            </w:r>
            <w:r>
              <w:rPr>
                <w:rFonts w:ascii="Calibri Light" w:eastAsia="Times New Roman" w:hAnsi="Calibri Light" w:cstheme="majorHAnsi"/>
                <w:color w:val="000000"/>
                <w:sz w:val="20"/>
                <w:szCs w:val="20"/>
                <w:lang w:val="ru-RU"/>
              </w:rPr>
              <w:t>Участка</w:t>
            </w:r>
            <w:r w:rsidRPr="00A77060">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п</w:t>
            </w:r>
            <w:r w:rsidRPr="00A77060">
              <w:rPr>
                <w:rFonts w:ascii="Calibri Light" w:eastAsia="Times New Roman" w:hAnsi="Calibri Light" w:cstheme="majorHAnsi"/>
                <w:color w:val="000000"/>
                <w:sz w:val="20"/>
                <w:szCs w:val="20"/>
                <w:lang w:val="ru-RU"/>
              </w:rPr>
              <w:t xml:space="preserve">ограничной полиции Брынза, района Кахул </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2017</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 и ПФВИ</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8.482,8</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8.482,8</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8.474,2</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11.703,8</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3.221,0</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38,0</w:t>
            </w:r>
          </w:p>
        </w:tc>
      </w:tr>
      <w:tr w:rsidR="006F53B7" w:rsidRPr="00A77060" w:rsidTr="00EF78AC">
        <w:trPr>
          <w:trHeight w:val="468"/>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20</w:t>
            </w:r>
          </w:p>
        </w:tc>
        <w:tc>
          <w:tcPr>
            <w:tcW w:w="2569"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здания </w:t>
            </w:r>
            <w:r>
              <w:rPr>
                <w:rFonts w:ascii="Calibri Light" w:eastAsia="Times New Roman" w:hAnsi="Calibri Light" w:cstheme="majorHAnsi"/>
                <w:color w:val="000000"/>
                <w:sz w:val="20"/>
                <w:szCs w:val="20"/>
                <w:lang w:val="ru-RU"/>
              </w:rPr>
              <w:t>Участка</w:t>
            </w:r>
            <w:r w:rsidRPr="00A77060">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п</w:t>
            </w:r>
            <w:r w:rsidRPr="00A77060">
              <w:rPr>
                <w:rFonts w:ascii="Calibri Light" w:eastAsia="Times New Roman" w:hAnsi="Calibri Light" w:cstheme="majorHAnsi"/>
                <w:color w:val="000000"/>
                <w:sz w:val="20"/>
                <w:szCs w:val="20"/>
                <w:lang w:val="ru-RU"/>
              </w:rPr>
              <w:t xml:space="preserve">ограничной полиции Стояновка, района Кантемир </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2017</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 и ПФВИ</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8.482,8</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8.482,8</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8.474,2</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11.237,3</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2.754,5</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32,5</w:t>
            </w:r>
          </w:p>
        </w:tc>
      </w:tr>
      <w:tr w:rsidR="006F53B7" w:rsidRPr="00A77060" w:rsidTr="00EF78AC">
        <w:trPr>
          <w:trHeight w:val="51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21</w:t>
            </w:r>
          </w:p>
        </w:tc>
        <w:tc>
          <w:tcPr>
            <w:tcW w:w="2569"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здания </w:t>
            </w:r>
            <w:r>
              <w:rPr>
                <w:rFonts w:ascii="Calibri Light" w:eastAsia="Times New Roman" w:hAnsi="Calibri Light" w:cstheme="majorHAnsi"/>
                <w:color w:val="000000"/>
                <w:sz w:val="20"/>
                <w:szCs w:val="20"/>
                <w:lang w:val="ru-RU"/>
              </w:rPr>
              <w:t>Участка</w:t>
            </w:r>
            <w:r w:rsidRPr="00A77060">
              <w:rPr>
                <w:rFonts w:ascii="Calibri Light" w:eastAsia="Times New Roman" w:hAnsi="Calibri Light" w:cstheme="majorHAnsi"/>
                <w:color w:val="000000"/>
                <w:sz w:val="20"/>
                <w:szCs w:val="20"/>
                <w:lang w:val="ru-RU"/>
              </w:rPr>
              <w:t xml:space="preserve"> </w:t>
            </w:r>
            <w:r>
              <w:rPr>
                <w:rFonts w:ascii="Calibri Light" w:eastAsia="Times New Roman" w:hAnsi="Calibri Light" w:cstheme="majorHAnsi"/>
                <w:color w:val="000000"/>
                <w:sz w:val="20"/>
                <w:szCs w:val="20"/>
                <w:lang w:val="ru-RU"/>
              </w:rPr>
              <w:t>п</w:t>
            </w:r>
            <w:r w:rsidRPr="00A77060">
              <w:rPr>
                <w:rFonts w:ascii="Calibri Light" w:eastAsia="Times New Roman" w:hAnsi="Calibri Light" w:cstheme="majorHAnsi"/>
                <w:color w:val="000000"/>
                <w:sz w:val="20"/>
                <w:szCs w:val="20"/>
                <w:lang w:val="ru-RU"/>
              </w:rPr>
              <w:t>ограничной полиции Точень, района Кантемир</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2017</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 и ПФВИ</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8.482,8</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8.482,8</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8.474,2</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10.782,9</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2.300,1</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27,1</w:t>
            </w:r>
          </w:p>
        </w:tc>
      </w:tr>
      <w:tr w:rsidR="006F53B7" w:rsidRPr="00A77060" w:rsidTr="00EF78AC">
        <w:trPr>
          <w:trHeight w:val="51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22</w:t>
            </w:r>
          </w:p>
        </w:tc>
        <w:tc>
          <w:tcPr>
            <w:tcW w:w="2569"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Реконструкция здания </w:t>
            </w:r>
            <w:r>
              <w:rPr>
                <w:rFonts w:ascii="Calibri Light" w:eastAsia="Times New Roman" w:hAnsi="Calibri Light" w:cstheme="majorHAnsi"/>
                <w:color w:val="000000"/>
                <w:sz w:val="20"/>
                <w:szCs w:val="20"/>
                <w:lang w:val="ru-RU"/>
              </w:rPr>
              <w:t>Участка п</w:t>
            </w:r>
            <w:r w:rsidRPr="00A77060">
              <w:rPr>
                <w:rFonts w:ascii="Calibri Light" w:eastAsia="Times New Roman" w:hAnsi="Calibri Light" w:cstheme="majorHAnsi"/>
                <w:color w:val="000000"/>
                <w:sz w:val="20"/>
                <w:szCs w:val="20"/>
                <w:lang w:val="ru-RU"/>
              </w:rPr>
              <w:t>ограничной полиции Валя Маре, района Унгень</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2017</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 и ПФВИ</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8.482,8</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8.482,8</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8.474,2</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11.104,0</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2.621,2</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30,9</w:t>
            </w:r>
          </w:p>
        </w:tc>
      </w:tr>
      <w:tr w:rsidR="006F53B7" w:rsidRPr="00A77060" w:rsidTr="00EF78AC">
        <w:trPr>
          <w:trHeight w:val="76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w:t>
            </w:r>
            <w:r w:rsidRPr="00860C43">
              <w:rPr>
                <w:rFonts w:ascii="Calibri Light" w:eastAsia="Times New Roman" w:hAnsi="Calibri Light" w:cstheme="majorHAnsi"/>
                <w:b/>
                <w:bCs/>
                <w:color w:val="000000"/>
                <w:sz w:val="20"/>
                <w:szCs w:val="20"/>
                <w:lang w:val="ru-RU"/>
              </w:rPr>
              <w:t>3</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Строительство </w:t>
            </w:r>
            <w:r w:rsidRPr="003E7BF7">
              <w:rPr>
                <w:rFonts w:ascii="Calibri Light" w:eastAsia="Times New Roman" w:hAnsi="Calibri Light" w:cstheme="majorHAnsi"/>
                <w:color w:val="000000"/>
                <w:sz w:val="20"/>
                <w:szCs w:val="20"/>
                <w:lang w:val="ru-RU"/>
              </w:rPr>
              <w:t>здания Интегрированного центра по подгото</w:t>
            </w:r>
            <w:r>
              <w:rPr>
                <w:rFonts w:ascii="Calibri Light" w:eastAsia="Times New Roman" w:hAnsi="Calibri Light" w:cstheme="majorHAnsi"/>
                <w:color w:val="000000"/>
                <w:sz w:val="20"/>
                <w:szCs w:val="20"/>
                <w:lang w:val="ru-RU"/>
              </w:rPr>
              <w:t>вке в сфере примене-ния законода</w:t>
            </w:r>
            <w:r w:rsidRPr="003E7BF7">
              <w:rPr>
                <w:rFonts w:ascii="Calibri Light" w:eastAsia="Times New Roman" w:hAnsi="Calibri Light" w:cstheme="majorHAnsi"/>
                <w:color w:val="000000"/>
                <w:sz w:val="20"/>
                <w:szCs w:val="20"/>
                <w:lang w:val="ru-RU"/>
              </w:rPr>
              <w:t>тельства, ул. Николае Димо</w:t>
            </w:r>
            <w:r>
              <w:rPr>
                <w:rFonts w:ascii="Calibri Light" w:eastAsia="Times New Roman" w:hAnsi="Calibri Light" w:cstheme="majorHAnsi"/>
                <w:color w:val="000000"/>
                <w:sz w:val="20"/>
                <w:szCs w:val="20"/>
                <w:lang w:val="ru-RU"/>
              </w:rPr>
              <w:t xml:space="preserve"> №</w:t>
            </w:r>
            <w:r w:rsidRPr="003E7BF7">
              <w:rPr>
                <w:rFonts w:ascii="Calibri Light" w:eastAsia="Times New Roman" w:hAnsi="Calibri Light" w:cstheme="majorHAnsi"/>
                <w:color w:val="000000"/>
                <w:sz w:val="20"/>
                <w:szCs w:val="20"/>
                <w:lang w:val="ru-RU"/>
              </w:rPr>
              <w:t xml:space="preserve">30, </w:t>
            </w:r>
            <w:r w:rsidRPr="00A77060">
              <w:rPr>
                <w:rFonts w:ascii="Calibri Light" w:eastAsia="Times New Roman" w:hAnsi="Calibri Light" w:cstheme="majorHAnsi"/>
                <w:color w:val="000000"/>
                <w:sz w:val="20"/>
                <w:szCs w:val="20"/>
                <w:lang w:val="ru-RU"/>
              </w:rPr>
              <w:t>муниципий Кишинэу</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2017</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w:t>
            </w:r>
          </w:p>
        </w:tc>
        <w:tc>
          <w:tcPr>
            <w:tcW w:w="1236" w:type="dxa"/>
            <w:tcBorders>
              <w:top w:val="single" w:sz="4" w:space="0" w:color="auto"/>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177.055,0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single" w:sz="4" w:space="0" w:color="auto"/>
              <w:left w:val="nil"/>
              <w:bottom w:val="single" w:sz="4" w:space="0" w:color="auto"/>
              <w:right w:val="nil"/>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208.100,0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206.700,0</w:t>
            </w:r>
          </w:p>
        </w:tc>
        <w:tc>
          <w:tcPr>
            <w:tcW w:w="1275" w:type="dxa"/>
            <w:tcBorders>
              <w:top w:val="single" w:sz="4" w:space="0" w:color="auto"/>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220.000,0</w:t>
            </w:r>
          </w:p>
        </w:tc>
        <w:tc>
          <w:tcPr>
            <w:tcW w:w="1134" w:type="dxa"/>
            <w:tcBorders>
              <w:top w:val="single" w:sz="4" w:space="0" w:color="auto"/>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42.945,0</w:t>
            </w:r>
          </w:p>
        </w:tc>
        <w:tc>
          <w:tcPr>
            <w:tcW w:w="851" w:type="dxa"/>
            <w:tcBorders>
              <w:top w:val="single" w:sz="4" w:space="0" w:color="auto"/>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24,3</w:t>
            </w:r>
          </w:p>
        </w:tc>
      </w:tr>
      <w:tr w:rsidR="006F53B7" w:rsidRPr="00A77060" w:rsidTr="00EF78AC">
        <w:trPr>
          <w:trHeight w:val="765"/>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24</w:t>
            </w:r>
          </w:p>
        </w:tc>
        <w:tc>
          <w:tcPr>
            <w:tcW w:w="2569" w:type="dxa"/>
            <w:tcBorders>
              <w:top w:val="single" w:sz="4" w:space="0" w:color="auto"/>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Реконструкция бассейна Центрального спортивного клуба „Динамо”, ул. Георге Асаки №23, муниципий Кишинэу</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2018</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w:t>
            </w:r>
          </w:p>
        </w:tc>
        <w:tc>
          <w:tcPr>
            <w:tcW w:w="1236" w:type="dxa"/>
            <w:tcBorders>
              <w:top w:val="single" w:sz="4" w:space="0" w:color="auto"/>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18.776,4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ind w:right="-73"/>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1275" w:type="dxa"/>
            <w:tcBorders>
              <w:top w:val="single" w:sz="4" w:space="0" w:color="auto"/>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26.495,8</w:t>
            </w:r>
          </w:p>
        </w:tc>
        <w:tc>
          <w:tcPr>
            <w:tcW w:w="1134" w:type="dxa"/>
            <w:tcBorders>
              <w:top w:val="single" w:sz="4" w:space="0" w:color="auto"/>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7.719,4</w:t>
            </w:r>
          </w:p>
        </w:tc>
        <w:tc>
          <w:tcPr>
            <w:tcW w:w="851" w:type="dxa"/>
            <w:tcBorders>
              <w:top w:val="single" w:sz="4" w:space="0" w:color="auto"/>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41,1</w:t>
            </w:r>
          </w:p>
        </w:tc>
      </w:tr>
      <w:tr w:rsidR="006F53B7" w:rsidRPr="00A77060" w:rsidTr="00EF78AC">
        <w:trPr>
          <w:trHeight w:val="49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25</w:t>
            </w:r>
          </w:p>
        </w:tc>
        <w:tc>
          <w:tcPr>
            <w:tcW w:w="2569"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860C43">
              <w:rPr>
                <w:rFonts w:ascii="Calibri Light" w:eastAsia="Times New Roman" w:hAnsi="Calibri Light" w:cstheme="majorHAnsi"/>
                <w:color w:val="000000"/>
                <w:sz w:val="20"/>
                <w:szCs w:val="20"/>
                <w:lang w:val="ru-RU"/>
              </w:rPr>
              <w:t>Строительство приемного отделения экстренной помощи Института скорой медицинской помощи, ул. Тома Чорбэ</w:t>
            </w:r>
            <w:r>
              <w:rPr>
                <w:rFonts w:ascii="Calibri Light" w:eastAsia="Times New Roman" w:hAnsi="Calibri Light" w:cstheme="majorHAnsi"/>
                <w:color w:val="000000"/>
                <w:sz w:val="20"/>
                <w:szCs w:val="20"/>
                <w:lang w:val="ru-RU"/>
              </w:rPr>
              <w:t xml:space="preserve"> №</w:t>
            </w:r>
            <w:r w:rsidRPr="00860C43">
              <w:rPr>
                <w:rFonts w:ascii="Calibri Light" w:eastAsia="Times New Roman" w:hAnsi="Calibri Light" w:cstheme="majorHAnsi"/>
                <w:color w:val="000000"/>
                <w:sz w:val="20"/>
                <w:szCs w:val="20"/>
                <w:lang w:val="ru-RU"/>
              </w:rPr>
              <w:t xml:space="preserve">1, </w:t>
            </w:r>
            <w:r w:rsidRPr="00A77060">
              <w:rPr>
                <w:rFonts w:ascii="Calibri Light" w:eastAsia="Times New Roman" w:hAnsi="Calibri Light" w:cstheme="majorHAnsi"/>
                <w:color w:val="000000"/>
                <w:sz w:val="20"/>
                <w:szCs w:val="20"/>
                <w:lang w:val="ru-RU"/>
              </w:rPr>
              <w:t xml:space="preserve">муниципий Кишинэу </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2018</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 и ПФВИ</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29.802,2</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p>
        </w:tc>
        <w:tc>
          <w:tcPr>
            <w:tcW w:w="993"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ind w:right="-73"/>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32.005,0</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29.607,8</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50.597,5</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20.795,3</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69,8</w:t>
            </w:r>
          </w:p>
        </w:tc>
      </w:tr>
      <w:tr w:rsidR="006F53B7" w:rsidRPr="00A77060" w:rsidTr="00EF78AC">
        <w:trPr>
          <w:trHeight w:val="70"/>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t>26</w:t>
            </w:r>
          </w:p>
        </w:tc>
        <w:tc>
          <w:tcPr>
            <w:tcW w:w="2569"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Проект</w:t>
            </w:r>
            <w:r>
              <w:rPr>
                <w:rFonts w:ascii="Calibri Light" w:eastAsia="Times New Roman" w:hAnsi="Calibri Light" w:cstheme="majorHAnsi"/>
                <w:color w:val="000000"/>
                <w:sz w:val="20"/>
                <w:szCs w:val="20"/>
                <w:lang w:val="ru-RU"/>
              </w:rPr>
              <w:t xml:space="preserve"> </w:t>
            </w:r>
            <w:r w:rsidRPr="00A77060">
              <w:rPr>
                <w:rFonts w:ascii="Calibri Light" w:eastAsia="Times New Roman" w:hAnsi="Calibri Light" w:cstheme="majorHAnsi"/>
                <w:color w:val="000000"/>
                <w:sz w:val="20"/>
                <w:szCs w:val="20"/>
                <w:lang w:val="ru-RU"/>
              </w:rPr>
              <w:t>„Восстановление дорог при поддержке Республики Беларусь”</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2019</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 и ПФВИ</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sz w:val="20"/>
                <w:szCs w:val="20"/>
                <w:lang w:val="ru-RU"/>
              </w:rPr>
            </w:pPr>
            <w:r w:rsidRPr="00A77060">
              <w:rPr>
                <w:rFonts w:ascii="Calibri Light" w:eastAsia="Times New Roman" w:hAnsi="Calibri Light" w:cstheme="majorHAnsi"/>
                <w:sz w:val="20"/>
                <w:szCs w:val="20"/>
                <w:lang w:val="ru-RU"/>
              </w:rPr>
              <w:t>300.000,0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300.000,0</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805.300,3</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505.300,3</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168,4</w:t>
            </w:r>
          </w:p>
        </w:tc>
      </w:tr>
      <w:tr w:rsidR="006F53B7" w:rsidRPr="00A77060" w:rsidTr="00EF78AC">
        <w:trPr>
          <w:trHeight w:val="389"/>
        </w:trPr>
        <w:tc>
          <w:tcPr>
            <w:tcW w:w="521"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theme="majorHAnsi"/>
                <w:b/>
                <w:bCs/>
                <w:color w:val="000000"/>
                <w:sz w:val="20"/>
                <w:szCs w:val="20"/>
                <w:lang w:val="ru-RU"/>
              </w:rPr>
            </w:pPr>
            <w:r w:rsidRPr="00A77060">
              <w:rPr>
                <w:rFonts w:ascii="Calibri Light" w:eastAsia="Times New Roman" w:hAnsi="Calibri Light" w:cstheme="majorHAnsi"/>
                <w:b/>
                <w:bCs/>
                <w:color w:val="000000"/>
                <w:sz w:val="20"/>
                <w:szCs w:val="20"/>
                <w:lang w:val="ru-RU"/>
              </w:rPr>
              <w:lastRenderedPageBreak/>
              <w:t>27</w:t>
            </w:r>
          </w:p>
        </w:tc>
        <w:tc>
          <w:tcPr>
            <w:tcW w:w="2569" w:type="dxa"/>
            <w:tcBorders>
              <w:top w:val="nil"/>
              <w:left w:val="nil"/>
              <w:bottom w:val="single" w:sz="4" w:space="0" w:color="auto"/>
              <w:right w:val="single" w:sz="4" w:space="0" w:color="auto"/>
            </w:tcBorders>
            <w:shd w:val="clear" w:color="auto" w:fill="auto"/>
            <w:vAlign w:val="center"/>
            <w:hideMark/>
          </w:tcPr>
          <w:p w:rsidR="006F53B7"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860C43">
              <w:rPr>
                <w:rFonts w:ascii="Calibri Light" w:eastAsia="Times New Roman" w:hAnsi="Calibri Light" w:cstheme="majorHAnsi"/>
                <w:color w:val="000000"/>
                <w:sz w:val="20"/>
                <w:szCs w:val="20"/>
                <w:lang w:val="ru-RU"/>
              </w:rPr>
              <w:t>Обновление здания и прилегающей к Государ</w:t>
            </w:r>
            <w:r>
              <w:rPr>
                <w:rFonts w:ascii="Calibri Light" w:eastAsia="Times New Roman" w:hAnsi="Calibri Light" w:cstheme="majorHAnsi"/>
                <w:color w:val="000000"/>
                <w:sz w:val="20"/>
                <w:szCs w:val="20"/>
                <w:lang w:val="ru-RU"/>
              </w:rPr>
              <w:t>ственной</w:t>
            </w:r>
            <w:r w:rsidRPr="00860C43">
              <w:rPr>
                <w:rFonts w:ascii="Calibri Light" w:eastAsia="Times New Roman" w:hAnsi="Calibri Light" w:cstheme="majorHAnsi"/>
                <w:color w:val="000000"/>
                <w:sz w:val="20"/>
                <w:szCs w:val="20"/>
                <w:lang w:val="ru-RU"/>
              </w:rPr>
              <w:t xml:space="preserve"> больнице территории, ул.Друмул</w:t>
            </w:r>
          </w:p>
          <w:p w:rsidR="006F53B7" w:rsidRPr="00A77060" w:rsidRDefault="006F53B7" w:rsidP="004D2946">
            <w:pPr>
              <w:spacing w:after="0" w:line="240" w:lineRule="auto"/>
              <w:ind w:right="-115"/>
              <w:jc w:val="left"/>
              <w:rPr>
                <w:rFonts w:ascii="Calibri Light" w:eastAsia="Times New Roman" w:hAnsi="Calibri Light" w:cstheme="majorHAnsi"/>
                <w:color w:val="000000"/>
                <w:sz w:val="20"/>
                <w:szCs w:val="20"/>
                <w:lang w:val="ru-RU"/>
              </w:rPr>
            </w:pPr>
            <w:r w:rsidRPr="00860C43">
              <w:rPr>
                <w:rFonts w:ascii="Calibri Light" w:eastAsia="Times New Roman" w:hAnsi="Calibri Light" w:cstheme="majorHAnsi"/>
                <w:color w:val="000000"/>
                <w:sz w:val="20"/>
                <w:szCs w:val="20"/>
                <w:lang w:val="ru-RU"/>
              </w:rPr>
              <w:t xml:space="preserve"> Виилор</w:t>
            </w:r>
            <w:r>
              <w:rPr>
                <w:rFonts w:ascii="Calibri Light" w:eastAsia="Times New Roman" w:hAnsi="Calibri Light" w:cstheme="majorHAnsi"/>
                <w:color w:val="000000"/>
                <w:sz w:val="20"/>
                <w:szCs w:val="20"/>
                <w:lang w:val="ru-RU"/>
              </w:rPr>
              <w:t xml:space="preserve"> №</w:t>
            </w:r>
            <w:r w:rsidRPr="00860C43">
              <w:rPr>
                <w:rFonts w:ascii="Calibri Light" w:eastAsia="Times New Roman" w:hAnsi="Calibri Light" w:cstheme="majorHAnsi"/>
                <w:color w:val="000000"/>
                <w:sz w:val="20"/>
                <w:szCs w:val="20"/>
                <w:lang w:val="ru-RU"/>
              </w:rPr>
              <w:t xml:space="preserve">34, </w:t>
            </w:r>
            <w:r w:rsidRPr="00A77060">
              <w:rPr>
                <w:rFonts w:ascii="Calibri Light" w:eastAsia="Times New Roman" w:hAnsi="Calibri Light" w:cstheme="majorHAnsi"/>
                <w:color w:val="000000"/>
                <w:sz w:val="20"/>
                <w:szCs w:val="20"/>
                <w:lang w:val="ru-RU"/>
              </w:rPr>
              <w:t>муниципий Кишинэу</w:t>
            </w:r>
          </w:p>
        </w:tc>
        <w:tc>
          <w:tcPr>
            <w:tcW w:w="648"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2019</w:t>
            </w:r>
          </w:p>
        </w:tc>
        <w:tc>
          <w:tcPr>
            <w:tcW w:w="1093"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ind w:right="-111"/>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общие средства</w:t>
            </w:r>
          </w:p>
        </w:tc>
        <w:tc>
          <w:tcPr>
            <w:tcW w:w="1236" w:type="dxa"/>
            <w:tcBorders>
              <w:top w:val="nil"/>
              <w:left w:val="nil"/>
              <w:bottom w:val="single" w:sz="4" w:space="0" w:color="auto"/>
              <w:right w:val="single" w:sz="4" w:space="0" w:color="auto"/>
            </w:tcBorders>
            <w:shd w:val="clear" w:color="000000" w:fill="F2F2F2"/>
            <w:noWrap/>
            <w:vAlign w:val="center"/>
            <w:hideMark/>
          </w:tcPr>
          <w:p w:rsidR="006F53B7" w:rsidRPr="00A77060" w:rsidRDefault="006F53B7" w:rsidP="004D2946">
            <w:pPr>
              <w:spacing w:after="0" w:line="240" w:lineRule="auto"/>
              <w:ind w:right="-1"/>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6.000,0</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F53B7" w:rsidRPr="00A77060" w:rsidRDefault="006F53B7" w:rsidP="004D2946">
            <w:pPr>
              <w:spacing w:after="0" w:line="240" w:lineRule="auto"/>
              <w:jc w:val="lef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38.464,9</w:t>
            </w:r>
          </w:p>
        </w:tc>
        <w:tc>
          <w:tcPr>
            <w:tcW w:w="1275" w:type="dxa"/>
            <w:tcBorders>
              <w:top w:val="nil"/>
              <w:left w:val="nil"/>
              <w:bottom w:val="single" w:sz="4" w:space="0" w:color="auto"/>
              <w:right w:val="nil"/>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10.206,2</w:t>
            </w:r>
          </w:p>
        </w:tc>
        <w:tc>
          <w:tcPr>
            <w:tcW w:w="1134" w:type="dxa"/>
            <w:tcBorders>
              <w:top w:val="nil"/>
              <w:left w:val="single" w:sz="8" w:space="0" w:color="auto"/>
              <w:bottom w:val="single" w:sz="4" w:space="0" w:color="auto"/>
              <w:right w:val="single" w:sz="4"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4.206,2</w:t>
            </w:r>
          </w:p>
        </w:tc>
        <w:tc>
          <w:tcPr>
            <w:tcW w:w="851" w:type="dxa"/>
            <w:tcBorders>
              <w:top w:val="nil"/>
              <w:left w:val="nil"/>
              <w:bottom w:val="single" w:sz="4" w:space="0" w:color="auto"/>
              <w:right w:val="single" w:sz="8" w:space="0" w:color="auto"/>
            </w:tcBorders>
            <w:shd w:val="clear" w:color="000000" w:fill="FFE699"/>
            <w:noWrap/>
            <w:vAlign w:val="center"/>
            <w:hideMark/>
          </w:tcPr>
          <w:p w:rsidR="006F53B7" w:rsidRPr="00A77060" w:rsidRDefault="006F53B7" w:rsidP="004D2946">
            <w:pPr>
              <w:spacing w:after="0" w:line="240" w:lineRule="auto"/>
              <w:jc w:val="cente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70,1</w:t>
            </w:r>
          </w:p>
        </w:tc>
      </w:tr>
    </w:tbl>
    <w:p w:rsidR="006F53B7" w:rsidRPr="00A77060" w:rsidRDefault="006F53B7" w:rsidP="004D2946">
      <w:pPr>
        <w:jc w:val="left"/>
        <w:rPr>
          <w:rFonts w:ascii="Calibri Light" w:hAnsi="Calibri Light" w:cstheme="majorHAnsi"/>
          <w:b/>
          <w:i/>
          <w:sz w:val="20"/>
          <w:szCs w:val="20"/>
          <w:lang w:val="ru-RU"/>
        </w:rPr>
      </w:pPr>
      <w:r w:rsidRPr="00A77060">
        <w:rPr>
          <w:rFonts w:ascii="Calibri Light" w:hAnsi="Calibri Light" w:cstheme="majorHAnsi"/>
          <w:b/>
          <w:i/>
          <w:sz w:val="20"/>
          <w:szCs w:val="20"/>
          <w:lang w:val="ru-RU"/>
        </w:rPr>
        <w:t xml:space="preserve">Источник: </w:t>
      </w:r>
      <w:r w:rsidRPr="00A77060">
        <w:rPr>
          <w:rFonts w:ascii="Calibri Light" w:hAnsi="Calibri Light" w:cstheme="majorHAnsi"/>
          <w:bCs/>
          <w:i/>
          <w:sz w:val="20"/>
          <w:szCs w:val="20"/>
          <w:lang w:val="ru-RU"/>
        </w:rPr>
        <w:t>Информационные справки к проекту Закона о ГБ на 2014 -2020 годы.</w:t>
      </w:r>
    </w:p>
    <w:p w:rsidR="006F53B7" w:rsidRDefault="006F53B7" w:rsidP="004D2946">
      <w:pPr>
        <w:spacing w:after="0"/>
        <w:jc w:val="right"/>
        <w:rPr>
          <w:rFonts w:ascii="Calibri Light" w:hAnsi="Calibri Light" w:cstheme="majorHAnsi"/>
          <w:b/>
          <w:sz w:val="24"/>
          <w:szCs w:val="24"/>
          <w:lang w:val="ru-RU"/>
        </w:rPr>
      </w:pPr>
    </w:p>
    <w:p w:rsidR="006F53B7" w:rsidRPr="00A77060" w:rsidRDefault="006F53B7" w:rsidP="004D2946">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sz w:val="24"/>
          <w:szCs w:val="24"/>
          <w:lang w:val="ru-RU"/>
        </w:rPr>
      </w:pPr>
      <w:r w:rsidRPr="00A77060">
        <w:rPr>
          <w:rFonts w:ascii="Calibri Light" w:eastAsia="Times New Roman" w:hAnsi="Calibri Light" w:cstheme="majorHAnsi"/>
          <w:b/>
          <w:sz w:val="24"/>
          <w:szCs w:val="24"/>
          <w:lang w:val="ru-RU"/>
        </w:rPr>
        <w:t>Приложение №9</w:t>
      </w:r>
    </w:p>
    <w:p w:rsidR="006F53B7" w:rsidRPr="00A77060" w:rsidRDefault="006F53B7" w:rsidP="004D2946">
      <w:pPr>
        <w:jc w:val="center"/>
        <w:rPr>
          <w:rFonts w:ascii="Calibri Light" w:hAnsi="Calibri Light" w:cstheme="majorHAnsi"/>
          <w:b/>
          <w:sz w:val="24"/>
          <w:szCs w:val="24"/>
          <w:lang w:val="ru-RU"/>
        </w:rPr>
      </w:pPr>
      <w:r w:rsidRPr="00A77060">
        <w:rPr>
          <w:rFonts w:ascii="Calibri Light" w:eastAsia="Times New Roman" w:hAnsi="Calibri Light" w:cstheme="majorHAnsi"/>
          <w:b/>
          <w:bCs/>
          <w:color w:val="000000"/>
          <w:sz w:val="24"/>
          <w:szCs w:val="24"/>
          <w:lang w:val="ru-RU"/>
        </w:rPr>
        <w:t xml:space="preserve">Анализ изменений, внесенных в Закон о государственном бюджете на 2020 год </w:t>
      </w:r>
    </w:p>
    <w:tbl>
      <w:tblPr>
        <w:tblW w:w="14004" w:type="dxa"/>
        <w:tblInd w:w="-5" w:type="dxa"/>
        <w:tblLook w:val="04A0" w:firstRow="1" w:lastRow="0" w:firstColumn="1" w:lastColumn="0" w:noHBand="0" w:noVBand="1"/>
      </w:tblPr>
      <w:tblGrid>
        <w:gridCol w:w="3402"/>
        <w:gridCol w:w="1245"/>
        <w:gridCol w:w="1205"/>
        <w:gridCol w:w="1125"/>
        <w:gridCol w:w="1125"/>
        <w:gridCol w:w="1125"/>
        <w:gridCol w:w="1262"/>
        <w:gridCol w:w="1230"/>
        <w:gridCol w:w="1153"/>
        <w:gridCol w:w="1230"/>
      </w:tblGrid>
      <w:tr w:rsidR="006F53B7" w:rsidRPr="00A77060" w:rsidTr="004D2946">
        <w:trPr>
          <w:trHeight w:val="315"/>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 xml:space="preserve">Показатели </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 xml:space="preserve">Утверждено </w:t>
            </w:r>
          </w:p>
        </w:tc>
        <w:tc>
          <w:tcPr>
            <w:tcW w:w="4580" w:type="dxa"/>
            <w:gridSpan w:val="4"/>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 xml:space="preserve">Изменения, внесенные Парламентом  </w:t>
            </w:r>
          </w:p>
        </w:tc>
        <w:tc>
          <w:tcPr>
            <w:tcW w:w="1242" w:type="dxa"/>
            <w:vMerge w:val="restart"/>
            <w:tcBorders>
              <w:top w:val="single" w:sz="4" w:space="0" w:color="auto"/>
              <w:left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Окончатель-но на основании  ст.18</w:t>
            </w:r>
          </w:p>
        </w:tc>
        <w:tc>
          <w:tcPr>
            <w:tcW w:w="3555" w:type="dxa"/>
            <w:gridSpan w:val="3"/>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Отклонения (+/-)</w:t>
            </w:r>
          </w:p>
        </w:tc>
      </w:tr>
      <w:tr w:rsidR="006F53B7" w:rsidRPr="00A77060" w:rsidTr="004D2946">
        <w:trPr>
          <w:trHeight w:val="765"/>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Calibri Light"/>
                <w:b/>
                <w:bCs/>
                <w:color w:val="000000"/>
                <w:sz w:val="20"/>
                <w:szCs w:val="20"/>
                <w:lang w:val="ru-RU"/>
              </w:rPr>
            </w:pPr>
          </w:p>
        </w:tc>
        <w:tc>
          <w:tcPr>
            <w:tcW w:w="1225"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Calibri Light"/>
                <w:i/>
                <w:iCs/>
                <w:color w:val="000000"/>
                <w:sz w:val="20"/>
                <w:szCs w:val="20"/>
                <w:lang w:val="ru-RU"/>
              </w:rPr>
            </w:pPr>
            <w:r w:rsidRPr="00A77060">
              <w:rPr>
                <w:rFonts w:ascii="Calibri Light" w:eastAsia="Times New Roman" w:hAnsi="Calibri Light" w:cs="Calibri Light"/>
                <w:i/>
                <w:iCs/>
                <w:color w:val="000000"/>
                <w:sz w:val="20"/>
                <w:szCs w:val="20"/>
                <w:lang w:val="ru-RU"/>
              </w:rPr>
              <w:t>Закон №172 от 19.12.2019</w:t>
            </w:r>
          </w:p>
        </w:tc>
        <w:tc>
          <w:tcPr>
            <w:tcW w:w="1205"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Calibri Light"/>
                <w:i/>
                <w:iCs/>
                <w:color w:val="000000"/>
                <w:sz w:val="20"/>
                <w:szCs w:val="20"/>
                <w:lang w:val="ru-RU"/>
              </w:rPr>
            </w:pPr>
            <w:r w:rsidRPr="00A77060">
              <w:rPr>
                <w:rFonts w:ascii="Calibri Light" w:eastAsia="Times New Roman" w:hAnsi="Calibri Light" w:cs="Calibri Light"/>
                <w:i/>
                <w:iCs/>
                <w:color w:val="000000"/>
                <w:sz w:val="20"/>
                <w:szCs w:val="20"/>
                <w:lang w:val="ru-RU"/>
              </w:rPr>
              <w:t>Закон №61 от 23.04.2020</w:t>
            </w:r>
          </w:p>
        </w:tc>
        <w:tc>
          <w:tcPr>
            <w:tcW w:w="1125"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Calibri Light"/>
                <w:i/>
                <w:iCs/>
                <w:color w:val="000000"/>
                <w:sz w:val="20"/>
                <w:szCs w:val="20"/>
                <w:lang w:val="ru-RU"/>
              </w:rPr>
            </w:pPr>
            <w:r w:rsidRPr="00A77060">
              <w:rPr>
                <w:rFonts w:ascii="Calibri Light" w:eastAsia="Times New Roman" w:hAnsi="Calibri Light" w:cs="Calibri Light"/>
                <w:i/>
                <w:iCs/>
                <w:color w:val="000000"/>
                <w:sz w:val="20"/>
                <w:szCs w:val="20"/>
                <w:lang w:val="ru-RU"/>
              </w:rPr>
              <w:t>Закон №131 от 12.07.2020</w:t>
            </w:r>
          </w:p>
        </w:tc>
        <w:tc>
          <w:tcPr>
            <w:tcW w:w="1125" w:type="dxa"/>
            <w:tcBorders>
              <w:top w:val="nil"/>
              <w:left w:val="nil"/>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jc w:val="center"/>
              <w:rPr>
                <w:rFonts w:ascii="Calibri Light" w:eastAsia="Times New Roman" w:hAnsi="Calibri Light" w:cs="Calibri Light"/>
                <w:i/>
                <w:iCs/>
                <w:color w:val="000000"/>
                <w:sz w:val="20"/>
                <w:szCs w:val="20"/>
                <w:lang w:val="ru-RU"/>
              </w:rPr>
            </w:pPr>
            <w:r w:rsidRPr="00A77060">
              <w:rPr>
                <w:rFonts w:ascii="Calibri Light" w:eastAsia="Times New Roman" w:hAnsi="Calibri Light" w:cs="Calibri Light"/>
                <w:i/>
                <w:iCs/>
                <w:color w:val="000000"/>
                <w:sz w:val="20"/>
                <w:szCs w:val="20"/>
                <w:lang w:val="ru-RU"/>
              </w:rPr>
              <w:t>Закон №144 от 16.07.2020</w:t>
            </w:r>
          </w:p>
        </w:tc>
        <w:tc>
          <w:tcPr>
            <w:tcW w:w="1125"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Calibri Light"/>
                <w:i/>
                <w:iCs/>
                <w:color w:val="000000"/>
                <w:sz w:val="20"/>
                <w:szCs w:val="20"/>
                <w:lang w:val="ru-RU"/>
              </w:rPr>
            </w:pPr>
            <w:r w:rsidRPr="00A77060">
              <w:rPr>
                <w:rFonts w:ascii="Calibri Light" w:eastAsia="Times New Roman" w:hAnsi="Calibri Light" w:cs="Calibri Light"/>
                <w:i/>
                <w:iCs/>
                <w:color w:val="000000"/>
                <w:sz w:val="20"/>
                <w:szCs w:val="20"/>
                <w:lang w:val="ru-RU"/>
              </w:rPr>
              <w:t>Закон №173 от 11.09.2020</w:t>
            </w:r>
          </w:p>
        </w:tc>
        <w:tc>
          <w:tcPr>
            <w:tcW w:w="1242" w:type="dxa"/>
            <w:vMerge/>
            <w:tcBorders>
              <w:left w:val="single" w:sz="4" w:space="0" w:color="auto"/>
              <w:bottom w:val="single" w:sz="4" w:space="0" w:color="auto"/>
              <w:right w:val="single" w:sz="4" w:space="0" w:color="auto"/>
            </w:tcBorders>
            <w:vAlign w:val="center"/>
            <w:hideMark/>
          </w:tcPr>
          <w:p w:rsidR="006F53B7" w:rsidRPr="00A77060" w:rsidRDefault="006F53B7" w:rsidP="004D2946">
            <w:pPr>
              <w:spacing w:after="0" w:line="240" w:lineRule="auto"/>
              <w:jc w:val="left"/>
              <w:rPr>
                <w:rFonts w:ascii="Calibri Light" w:eastAsia="Times New Roman" w:hAnsi="Calibri Light" w:cs="Calibri Light"/>
                <w:b/>
                <w:bCs/>
                <w:color w:val="000000"/>
                <w:sz w:val="20"/>
                <w:szCs w:val="20"/>
                <w:lang w:val="ru-RU"/>
              </w:rPr>
            </w:pPr>
          </w:p>
        </w:tc>
        <w:tc>
          <w:tcPr>
            <w:tcW w:w="1210"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последнее изменение/ утверждено</w:t>
            </w:r>
          </w:p>
        </w:tc>
        <w:tc>
          <w:tcPr>
            <w:tcW w:w="1135"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оконча-тельно / последнее изменение</w:t>
            </w:r>
          </w:p>
        </w:tc>
        <w:tc>
          <w:tcPr>
            <w:tcW w:w="1210"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оконча-тельно / утверждено</w:t>
            </w:r>
          </w:p>
        </w:tc>
      </w:tr>
      <w:tr w:rsidR="006F53B7" w:rsidRPr="00A77060" w:rsidTr="004D2946">
        <w:trPr>
          <w:trHeight w:val="300"/>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Calibri Light"/>
                <w:i/>
                <w:iCs/>
                <w:color w:val="000000"/>
                <w:sz w:val="16"/>
                <w:szCs w:val="16"/>
                <w:lang w:val="ru-RU"/>
              </w:rPr>
            </w:pPr>
            <w:r w:rsidRPr="00A77060">
              <w:rPr>
                <w:rFonts w:ascii="Calibri Light" w:eastAsia="Times New Roman" w:hAnsi="Calibri Light" w:cs="Calibri Light"/>
                <w:i/>
                <w:iCs/>
                <w:color w:val="000000"/>
                <w:sz w:val="16"/>
                <w:szCs w:val="16"/>
                <w:lang w:val="ru-RU"/>
              </w:rPr>
              <w:t>1</w:t>
            </w:r>
          </w:p>
        </w:tc>
        <w:tc>
          <w:tcPr>
            <w:tcW w:w="1225"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Calibri Light"/>
                <w:i/>
                <w:iCs/>
                <w:color w:val="000000"/>
                <w:sz w:val="16"/>
                <w:szCs w:val="16"/>
                <w:lang w:val="ru-RU"/>
              </w:rPr>
            </w:pPr>
            <w:r w:rsidRPr="00A77060">
              <w:rPr>
                <w:rFonts w:ascii="Calibri Light" w:eastAsia="Times New Roman" w:hAnsi="Calibri Light" w:cs="Calibri Light"/>
                <w:i/>
                <w:iCs/>
                <w:color w:val="000000"/>
                <w:sz w:val="16"/>
                <w:szCs w:val="16"/>
                <w:lang w:val="ru-RU"/>
              </w:rPr>
              <w:t>2</w:t>
            </w:r>
          </w:p>
        </w:tc>
        <w:tc>
          <w:tcPr>
            <w:tcW w:w="1205"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Calibri Light"/>
                <w:i/>
                <w:iCs/>
                <w:color w:val="000000"/>
                <w:sz w:val="16"/>
                <w:szCs w:val="16"/>
                <w:lang w:val="ru-RU"/>
              </w:rPr>
            </w:pPr>
            <w:r w:rsidRPr="00A77060">
              <w:rPr>
                <w:rFonts w:ascii="Calibri Light" w:eastAsia="Times New Roman" w:hAnsi="Calibri Light" w:cs="Calibri Light"/>
                <w:i/>
                <w:iCs/>
                <w:color w:val="000000"/>
                <w:sz w:val="16"/>
                <w:szCs w:val="16"/>
                <w:lang w:val="ru-RU"/>
              </w:rPr>
              <w:t>3</w:t>
            </w:r>
          </w:p>
        </w:tc>
        <w:tc>
          <w:tcPr>
            <w:tcW w:w="1125"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Calibri Light"/>
                <w:i/>
                <w:iCs/>
                <w:color w:val="000000"/>
                <w:sz w:val="16"/>
                <w:szCs w:val="16"/>
                <w:lang w:val="ru-RU"/>
              </w:rPr>
            </w:pPr>
            <w:r w:rsidRPr="00A77060">
              <w:rPr>
                <w:rFonts w:ascii="Calibri Light" w:eastAsia="Times New Roman" w:hAnsi="Calibri Light" w:cs="Calibri Light"/>
                <w:i/>
                <w:iCs/>
                <w:color w:val="000000"/>
                <w:sz w:val="16"/>
                <w:szCs w:val="16"/>
                <w:lang w:val="ru-RU"/>
              </w:rPr>
              <w:t>4</w:t>
            </w:r>
          </w:p>
        </w:tc>
        <w:tc>
          <w:tcPr>
            <w:tcW w:w="1125"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Calibri Light"/>
                <w:i/>
                <w:iCs/>
                <w:color w:val="000000"/>
                <w:sz w:val="16"/>
                <w:szCs w:val="16"/>
                <w:lang w:val="ru-RU"/>
              </w:rPr>
            </w:pPr>
            <w:r w:rsidRPr="00A77060">
              <w:rPr>
                <w:rFonts w:ascii="Calibri Light" w:eastAsia="Times New Roman" w:hAnsi="Calibri Light" w:cs="Calibri Light"/>
                <w:i/>
                <w:iCs/>
                <w:color w:val="000000"/>
                <w:sz w:val="16"/>
                <w:szCs w:val="16"/>
                <w:lang w:val="ru-RU"/>
              </w:rPr>
              <w:t>5</w:t>
            </w:r>
          </w:p>
        </w:tc>
        <w:tc>
          <w:tcPr>
            <w:tcW w:w="1125"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Calibri Light"/>
                <w:i/>
                <w:iCs/>
                <w:color w:val="000000"/>
                <w:sz w:val="16"/>
                <w:szCs w:val="16"/>
                <w:lang w:val="ru-RU"/>
              </w:rPr>
            </w:pPr>
            <w:r w:rsidRPr="00A77060">
              <w:rPr>
                <w:rFonts w:ascii="Calibri Light" w:eastAsia="Times New Roman" w:hAnsi="Calibri Light" w:cs="Calibri Light"/>
                <w:i/>
                <w:iCs/>
                <w:color w:val="000000"/>
                <w:sz w:val="16"/>
                <w:szCs w:val="16"/>
                <w:lang w:val="ru-RU"/>
              </w:rPr>
              <w:t>6</w:t>
            </w:r>
          </w:p>
        </w:tc>
        <w:tc>
          <w:tcPr>
            <w:tcW w:w="1242" w:type="dxa"/>
            <w:tcBorders>
              <w:top w:val="nil"/>
              <w:left w:val="nil"/>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center"/>
              <w:rPr>
                <w:rFonts w:ascii="Calibri Light" w:eastAsia="Times New Roman" w:hAnsi="Calibri Light" w:cs="Calibri Light"/>
                <w:i/>
                <w:iCs/>
                <w:color w:val="000000"/>
                <w:sz w:val="16"/>
                <w:szCs w:val="16"/>
                <w:lang w:val="ru-RU"/>
              </w:rPr>
            </w:pPr>
            <w:r w:rsidRPr="00A77060">
              <w:rPr>
                <w:rFonts w:ascii="Calibri Light" w:eastAsia="Times New Roman" w:hAnsi="Calibri Light" w:cs="Calibri Light"/>
                <w:i/>
                <w:iCs/>
                <w:color w:val="000000"/>
                <w:sz w:val="16"/>
                <w:szCs w:val="16"/>
                <w:lang w:val="ru-RU"/>
              </w:rPr>
              <w:t>7</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Calibri Light"/>
                <w:i/>
                <w:iCs/>
                <w:color w:val="000000"/>
                <w:sz w:val="16"/>
                <w:szCs w:val="16"/>
                <w:lang w:val="ru-RU"/>
              </w:rPr>
            </w:pPr>
            <w:r w:rsidRPr="00A77060">
              <w:rPr>
                <w:rFonts w:ascii="Calibri Light" w:eastAsia="Times New Roman" w:hAnsi="Calibri Light" w:cs="Calibri Light"/>
                <w:i/>
                <w:iCs/>
                <w:color w:val="000000"/>
                <w:sz w:val="16"/>
                <w:szCs w:val="16"/>
                <w:lang w:val="ru-RU"/>
              </w:rPr>
              <w:t>8=6-2</w:t>
            </w:r>
          </w:p>
        </w:tc>
        <w:tc>
          <w:tcPr>
            <w:tcW w:w="113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Calibri Light"/>
                <w:i/>
                <w:iCs/>
                <w:color w:val="000000"/>
                <w:sz w:val="16"/>
                <w:szCs w:val="16"/>
                <w:lang w:val="ru-RU"/>
              </w:rPr>
            </w:pPr>
            <w:r w:rsidRPr="00A77060">
              <w:rPr>
                <w:rFonts w:ascii="Calibri Light" w:eastAsia="Times New Roman" w:hAnsi="Calibri Light" w:cs="Calibri Light"/>
                <w:i/>
                <w:iCs/>
                <w:color w:val="000000"/>
                <w:sz w:val="16"/>
                <w:szCs w:val="16"/>
                <w:lang w:val="ru-RU"/>
              </w:rPr>
              <w:t>9=7-6</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center"/>
              <w:rPr>
                <w:rFonts w:ascii="Calibri Light" w:eastAsia="Times New Roman" w:hAnsi="Calibri Light" w:cs="Calibri Light"/>
                <w:i/>
                <w:iCs/>
                <w:color w:val="000000"/>
                <w:sz w:val="16"/>
                <w:szCs w:val="16"/>
                <w:lang w:val="ru-RU"/>
              </w:rPr>
            </w:pPr>
            <w:r w:rsidRPr="00A77060">
              <w:rPr>
                <w:rFonts w:ascii="Calibri Light" w:eastAsia="Times New Roman" w:hAnsi="Calibri Light" w:cs="Calibri Light"/>
                <w:i/>
                <w:iCs/>
                <w:color w:val="000000"/>
                <w:sz w:val="16"/>
                <w:szCs w:val="16"/>
                <w:lang w:val="ru-RU"/>
              </w:rPr>
              <w:t>10=7-2</w:t>
            </w:r>
          </w:p>
        </w:tc>
      </w:tr>
      <w:tr w:rsidR="006F53B7" w:rsidRPr="00A77060" w:rsidTr="004D2946">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lef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I. Доходы,</w:t>
            </w:r>
            <w:r w:rsidRPr="00A77060">
              <w:rPr>
                <w:rFonts w:ascii="Calibri Light" w:eastAsia="Times New Roman" w:hAnsi="Calibri Light" w:cs="Calibri Light"/>
                <w:i/>
                <w:iCs/>
                <w:color w:val="000000"/>
                <w:sz w:val="20"/>
                <w:szCs w:val="20"/>
                <w:lang w:val="ru-RU"/>
              </w:rPr>
              <w:t xml:space="preserve"> в том числе:</w:t>
            </w:r>
          </w:p>
        </w:tc>
        <w:tc>
          <w:tcPr>
            <w:tcW w:w="12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44.136,6</w:t>
            </w:r>
          </w:p>
        </w:tc>
        <w:tc>
          <w:tcPr>
            <w:tcW w:w="120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37.798,6</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37.851,0</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37.851,0</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37.201,5</w:t>
            </w:r>
          </w:p>
        </w:tc>
        <w:tc>
          <w:tcPr>
            <w:tcW w:w="124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37.281,2</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-6.935,1</w:t>
            </w:r>
          </w:p>
        </w:tc>
        <w:tc>
          <w:tcPr>
            <w:tcW w:w="113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79,7</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-6.855,4</w:t>
            </w:r>
          </w:p>
        </w:tc>
      </w:tr>
      <w:tr w:rsidR="006F53B7" w:rsidRPr="00A77060" w:rsidTr="004D2946">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lef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 xml:space="preserve">налоги и сборы </w:t>
            </w:r>
          </w:p>
        </w:tc>
        <w:tc>
          <w:tcPr>
            <w:tcW w:w="12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40.536,2</w:t>
            </w:r>
          </w:p>
        </w:tc>
        <w:tc>
          <w:tcPr>
            <w:tcW w:w="120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34.657,3</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34.657,3</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34.657,3</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34.226,7</w:t>
            </w:r>
          </w:p>
        </w:tc>
        <w:tc>
          <w:tcPr>
            <w:tcW w:w="124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34.226,7</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-6.309,5</w:t>
            </w:r>
          </w:p>
        </w:tc>
        <w:tc>
          <w:tcPr>
            <w:tcW w:w="113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0,0</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-6.309,5</w:t>
            </w:r>
          </w:p>
        </w:tc>
      </w:tr>
      <w:tr w:rsidR="006F53B7" w:rsidRPr="00A77060" w:rsidTr="004D2946">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lef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 xml:space="preserve">полученные гранты </w:t>
            </w:r>
          </w:p>
        </w:tc>
        <w:tc>
          <w:tcPr>
            <w:tcW w:w="12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1.773,5</w:t>
            </w:r>
          </w:p>
        </w:tc>
        <w:tc>
          <w:tcPr>
            <w:tcW w:w="120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1.154,7</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1.155,1</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1.155,1</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933,4</w:t>
            </w:r>
          </w:p>
        </w:tc>
        <w:tc>
          <w:tcPr>
            <w:tcW w:w="124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952,1</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-840,1</w:t>
            </w:r>
          </w:p>
        </w:tc>
        <w:tc>
          <w:tcPr>
            <w:tcW w:w="113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18,7</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-821,4</w:t>
            </w:r>
          </w:p>
        </w:tc>
      </w:tr>
      <w:tr w:rsidR="006F53B7" w:rsidRPr="00A77060" w:rsidTr="004D2946">
        <w:trPr>
          <w:trHeight w:val="30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lef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 xml:space="preserve">другие доходы </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1.800,3</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1.957,9</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2.009,9</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2.009,9</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2.023,7</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2.084,6</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223,4</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60,9</w:t>
            </w:r>
          </w:p>
        </w:tc>
        <w:tc>
          <w:tcPr>
            <w:tcW w:w="1210" w:type="dxa"/>
            <w:tcBorders>
              <w:top w:val="single" w:sz="4" w:space="0" w:color="auto"/>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284,3</w:t>
            </w:r>
          </w:p>
        </w:tc>
      </w:tr>
      <w:tr w:rsidR="006F53B7" w:rsidRPr="00A77060" w:rsidTr="004D2946">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lef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 xml:space="preserve">трансферты, полученные в рамках НПБ  </w:t>
            </w:r>
          </w:p>
        </w:tc>
        <w:tc>
          <w:tcPr>
            <w:tcW w:w="12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26,7</w:t>
            </w:r>
          </w:p>
        </w:tc>
        <w:tc>
          <w:tcPr>
            <w:tcW w:w="120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28,7</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28,7</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28,7</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17,8</w:t>
            </w:r>
          </w:p>
        </w:tc>
        <w:tc>
          <w:tcPr>
            <w:tcW w:w="124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17,8</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-8,9</w:t>
            </w:r>
          </w:p>
        </w:tc>
        <w:tc>
          <w:tcPr>
            <w:tcW w:w="113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0,0</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-8,9</w:t>
            </w:r>
          </w:p>
        </w:tc>
      </w:tr>
      <w:tr w:rsidR="006F53B7" w:rsidRPr="00A77060" w:rsidTr="004D2946">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lef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II. Расходы и нефинансовые активы, всего,</w:t>
            </w:r>
            <w:r w:rsidRPr="00A77060">
              <w:rPr>
                <w:rFonts w:ascii="Calibri Light" w:eastAsia="Times New Roman" w:hAnsi="Calibri Light" w:cs="Calibri Light"/>
                <w:i/>
                <w:iCs/>
                <w:color w:val="000000"/>
                <w:sz w:val="20"/>
                <w:szCs w:val="20"/>
                <w:lang w:val="ru-RU"/>
              </w:rPr>
              <w:t xml:space="preserve"> в том числе:</w:t>
            </w:r>
          </w:p>
        </w:tc>
        <w:tc>
          <w:tcPr>
            <w:tcW w:w="12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51.551,9</w:t>
            </w:r>
          </w:p>
        </w:tc>
        <w:tc>
          <w:tcPr>
            <w:tcW w:w="120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53.773,8</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55.057,6</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55.057,6</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53.200,9</w:t>
            </w:r>
          </w:p>
        </w:tc>
        <w:tc>
          <w:tcPr>
            <w:tcW w:w="124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53.280,6</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1.649,0</w:t>
            </w:r>
          </w:p>
        </w:tc>
        <w:tc>
          <w:tcPr>
            <w:tcW w:w="113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79,7</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1.728,7</w:t>
            </w:r>
          </w:p>
        </w:tc>
      </w:tr>
      <w:tr w:rsidR="006F53B7" w:rsidRPr="00A77060" w:rsidTr="004D2946">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jc w:val="lef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 xml:space="preserve">расходы на персонал </w:t>
            </w:r>
          </w:p>
        </w:tc>
        <w:tc>
          <w:tcPr>
            <w:tcW w:w="1225"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7.010,0</w:t>
            </w:r>
          </w:p>
        </w:tc>
        <w:tc>
          <w:tcPr>
            <w:tcW w:w="1205"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7.149,0</w:t>
            </w:r>
          </w:p>
        </w:tc>
        <w:tc>
          <w:tcPr>
            <w:tcW w:w="1125"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7.322,4</w:t>
            </w:r>
          </w:p>
        </w:tc>
        <w:tc>
          <w:tcPr>
            <w:tcW w:w="1125"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7.322,4</w:t>
            </w:r>
          </w:p>
        </w:tc>
        <w:tc>
          <w:tcPr>
            <w:tcW w:w="1125"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7.389,4</w:t>
            </w:r>
          </w:p>
        </w:tc>
        <w:tc>
          <w:tcPr>
            <w:tcW w:w="1242"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7.347,8</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379,4</w:t>
            </w:r>
          </w:p>
        </w:tc>
        <w:tc>
          <w:tcPr>
            <w:tcW w:w="113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-41,6</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337,8</w:t>
            </w:r>
          </w:p>
        </w:tc>
      </w:tr>
      <w:tr w:rsidR="006F53B7" w:rsidRPr="00A77060" w:rsidTr="004D2946">
        <w:trPr>
          <w:trHeight w:val="30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jc w:val="lef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 xml:space="preserve">трансферты, предоставленные в рамках НПБ  </w:t>
            </w:r>
          </w:p>
        </w:tc>
        <w:tc>
          <w:tcPr>
            <w:tcW w:w="1225"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24.847,2</w:t>
            </w:r>
          </w:p>
        </w:tc>
        <w:tc>
          <w:tcPr>
            <w:tcW w:w="1205"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26.178,5</w:t>
            </w:r>
          </w:p>
        </w:tc>
        <w:tc>
          <w:tcPr>
            <w:tcW w:w="1125"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27.076,0</w:t>
            </w:r>
          </w:p>
        </w:tc>
        <w:tc>
          <w:tcPr>
            <w:tcW w:w="1125"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27.076,0</w:t>
            </w:r>
          </w:p>
        </w:tc>
        <w:tc>
          <w:tcPr>
            <w:tcW w:w="1125"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27.484,4</w:t>
            </w:r>
          </w:p>
        </w:tc>
        <w:tc>
          <w:tcPr>
            <w:tcW w:w="1242"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27.941,0</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2.637,2</w:t>
            </w:r>
          </w:p>
        </w:tc>
        <w:tc>
          <w:tcPr>
            <w:tcW w:w="113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456,6</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3.093,8</w:t>
            </w:r>
          </w:p>
        </w:tc>
      </w:tr>
      <w:tr w:rsidR="006F53B7" w:rsidRPr="00A77060" w:rsidTr="004D2946">
        <w:trPr>
          <w:trHeight w:val="510"/>
        </w:trPr>
        <w:tc>
          <w:tcPr>
            <w:tcW w:w="3402" w:type="dxa"/>
            <w:tcBorders>
              <w:top w:val="nil"/>
              <w:left w:val="single" w:sz="4" w:space="0" w:color="auto"/>
              <w:bottom w:val="single" w:sz="4" w:space="0" w:color="auto"/>
              <w:right w:val="single" w:sz="4" w:space="0" w:color="auto"/>
            </w:tcBorders>
            <w:shd w:val="clear" w:color="000000" w:fill="FFFFFF"/>
            <w:vAlign w:val="center"/>
            <w:hideMark/>
          </w:tcPr>
          <w:p w:rsidR="006F53B7" w:rsidRPr="00A77060" w:rsidRDefault="006F53B7" w:rsidP="004D2946">
            <w:pPr>
              <w:spacing w:after="0" w:line="240" w:lineRule="auto"/>
              <w:jc w:val="lef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 xml:space="preserve">капитальные вложения в незавершенные материальные активы </w:t>
            </w:r>
          </w:p>
        </w:tc>
        <w:tc>
          <w:tcPr>
            <w:tcW w:w="1225"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4.133,4</w:t>
            </w:r>
          </w:p>
        </w:tc>
        <w:tc>
          <w:tcPr>
            <w:tcW w:w="1205"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1.866,6</w:t>
            </w:r>
          </w:p>
        </w:tc>
        <w:tc>
          <w:tcPr>
            <w:tcW w:w="1125"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1.868,1</w:t>
            </w:r>
          </w:p>
        </w:tc>
        <w:tc>
          <w:tcPr>
            <w:tcW w:w="1125"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1.868,1</w:t>
            </w:r>
          </w:p>
        </w:tc>
        <w:tc>
          <w:tcPr>
            <w:tcW w:w="1125"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1.598,7</w:t>
            </w:r>
          </w:p>
        </w:tc>
        <w:tc>
          <w:tcPr>
            <w:tcW w:w="1242" w:type="dxa"/>
            <w:tcBorders>
              <w:top w:val="nil"/>
              <w:left w:val="nil"/>
              <w:bottom w:val="single" w:sz="4" w:space="0" w:color="auto"/>
              <w:right w:val="single" w:sz="4" w:space="0" w:color="auto"/>
            </w:tcBorders>
            <w:shd w:val="clear" w:color="000000" w:fill="FFFFFF"/>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1.598,7</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-2.534,7</w:t>
            </w:r>
          </w:p>
        </w:tc>
        <w:tc>
          <w:tcPr>
            <w:tcW w:w="113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0,0</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-2.534,7</w:t>
            </w:r>
          </w:p>
        </w:tc>
      </w:tr>
      <w:tr w:rsidR="006F53B7" w:rsidRPr="00A77060" w:rsidTr="004D2946">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lef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 xml:space="preserve">III. Бюджетный остаток </w:t>
            </w:r>
          </w:p>
        </w:tc>
        <w:tc>
          <w:tcPr>
            <w:tcW w:w="12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-7.415,3</w:t>
            </w:r>
          </w:p>
        </w:tc>
        <w:tc>
          <w:tcPr>
            <w:tcW w:w="120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-15.975,2</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-17.206,6</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-17.206,6</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-15.999,4</w:t>
            </w:r>
          </w:p>
        </w:tc>
        <w:tc>
          <w:tcPr>
            <w:tcW w:w="124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-15.999,4</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-8.584,1</w:t>
            </w:r>
          </w:p>
        </w:tc>
        <w:tc>
          <w:tcPr>
            <w:tcW w:w="113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0,0</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-8.584,1</w:t>
            </w:r>
          </w:p>
        </w:tc>
      </w:tr>
      <w:tr w:rsidR="006F53B7" w:rsidRPr="00A77060" w:rsidTr="004D2946">
        <w:trPr>
          <w:trHeight w:val="33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lef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 xml:space="preserve">IV. Источники финансирования, </w:t>
            </w:r>
            <w:r w:rsidRPr="00A77060">
              <w:rPr>
                <w:rFonts w:ascii="Calibri Light" w:eastAsia="Times New Roman" w:hAnsi="Calibri Light" w:cs="Calibri Light"/>
                <w:i/>
                <w:iCs/>
                <w:color w:val="000000"/>
                <w:sz w:val="20"/>
                <w:szCs w:val="20"/>
                <w:lang w:val="ru-RU"/>
              </w:rPr>
              <w:t>в том числе:</w:t>
            </w:r>
          </w:p>
        </w:tc>
        <w:tc>
          <w:tcPr>
            <w:tcW w:w="12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7.415,3</w:t>
            </w:r>
          </w:p>
        </w:tc>
        <w:tc>
          <w:tcPr>
            <w:tcW w:w="120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15.975,2</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17.206,6</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17.206,6</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15.999,4</w:t>
            </w:r>
          </w:p>
        </w:tc>
        <w:tc>
          <w:tcPr>
            <w:tcW w:w="124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15.999,4</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8.584,1</w:t>
            </w:r>
          </w:p>
        </w:tc>
        <w:tc>
          <w:tcPr>
            <w:tcW w:w="113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0,0</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8.584,1</w:t>
            </w:r>
          </w:p>
        </w:tc>
      </w:tr>
      <w:tr w:rsidR="006F53B7" w:rsidRPr="00A77060" w:rsidTr="004D2946">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lef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lastRenderedPageBreak/>
              <w:t xml:space="preserve">внутренние обязательства </w:t>
            </w:r>
          </w:p>
        </w:tc>
        <w:tc>
          <w:tcPr>
            <w:tcW w:w="12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411,1</w:t>
            </w:r>
          </w:p>
        </w:tc>
        <w:tc>
          <w:tcPr>
            <w:tcW w:w="120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525,1</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514,9</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514,9</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518,1</w:t>
            </w:r>
          </w:p>
        </w:tc>
        <w:tc>
          <w:tcPr>
            <w:tcW w:w="124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518,1</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107,0</w:t>
            </w:r>
          </w:p>
        </w:tc>
        <w:tc>
          <w:tcPr>
            <w:tcW w:w="113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0,0</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107,0</w:t>
            </w:r>
          </w:p>
        </w:tc>
      </w:tr>
      <w:tr w:rsidR="006F53B7" w:rsidRPr="00A77060" w:rsidTr="004D2946">
        <w:trPr>
          <w:trHeight w:val="30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lef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 xml:space="preserve">долги </w:t>
            </w:r>
          </w:p>
        </w:tc>
        <w:tc>
          <w:tcPr>
            <w:tcW w:w="12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7.984,5</w:t>
            </w:r>
          </w:p>
        </w:tc>
        <w:tc>
          <w:tcPr>
            <w:tcW w:w="120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17.850,3</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21.930,3</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21.930,3</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19.860,1</w:t>
            </w:r>
          </w:p>
        </w:tc>
        <w:tc>
          <w:tcPr>
            <w:tcW w:w="124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19.860,1</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11.875,7</w:t>
            </w:r>
          </w:p>
        </w:tc>
        <w:tc>
          <w:tcPr>
            <w:tcW w:w="113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0,0</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color w:val="000000"/>
                <w:sz w:val="20"/>
                <w:szCs w:val="20"/>
                <w:lang w:val="ru-RU"/>
              </w:rPr>
            </w:pPr>
            <w:r w:rsidRPr="00A77060">
              <w:rPr>
                <w:rFonts w:ascii="Calibri Light" w:eastAsia="Times New Roman" w:hAnsi="Calibri Light" w:cs="Calibri Light"/>
                <w:color w:val="000000"/>
                <w:sz w:val="20"/>
                <w:szCs w:val="20"/>
                <w:lang w:val="ru-RU"/>
              </w:rPr>
              <w:t>11.875,7</w:t>
            </w:r>
          </w:p>
        </w:tc>
      </w:tr>
      <w:tr w:rsidR="006F53B7" w:rsidRPr="00A77060" w:rsidTr="004D2946">
        <w:trPr>
          <w:trHeight w:val="51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6F53B7" w:rsidRPr="00A77060" w:rsidRDefault="006F53B7" w:rsidP="004D2946">
            <w:pPr>
              <w:spacing w:after="0" w:line="240" w:lineRule="auto"/>
              <w:jc w:val="lef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 xml:space="preserve">Изменение остатка денежных средств  </w:t>
            </w:r>
          </w:p>
        </w:tc>
        <w:tc>
          <w:tcPr>
            <w:tcW w:w="12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886,1</w:t>
            </w:r>
          </w:p>
        </w:tc>
        <w:tc>
          <w:tcPr>
            <w:tcW w:w="120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-784,9</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-3.623,3</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-3.623,3</w:t>
            </w:r>
          </w:p>
        </w:tc>
        <w:tc>
          <w:tcPr>
            <w:tcW w:w="112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-3.037,7</w:t>
            </w:r>
          </w:p>
        </w:tc>
        <w:tc>
          <w:tcPr>
            <w:tcW w:w="1242"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-3.037,7</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-3.923,8</w:t>
            </w:r>
          </w:p>
        </w:tc>
        <w:tc>
          <w:tcPr>
            <w:tcW w:w="1135"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0,0</w:t>
            </w:r>
          </w:p>
        </w:tc>
        <w:tc>
          <w:tcPr>
            <w:tcW w:w="1210" w:type="dxa"/>
            <w:tcBorders>
              <w:top w:val="nil"/>
              <w:left w:val="nil"/>
              <w:bottom w:val="single" w:sz="4" w:space="0" w:color="auto"/>
              <w:right w:val="single" w:sz="4" w:space="0" w:color="auto"/>
            </w:tcBorders>
            <w:shd w:val="clear" w:color="auto" w:fill="auto"/>
            <w:noWrap/>
            <w:vAlign w:val="center"/>
            <w:hideMark/>
          </w:tcPr>
          <w:p w:rsidR="006F53B7" w:rsidRPr="00A77060" w:rsidRDefault="006F53B7" w:rsidP="004D2946">
            <w:pPr>
              <w:spacing w:after="0" w:line="240" w:lineRule="auto"/>
              <w:jc w:val="right"/>
              <w:rPr>
                <w:rFonts w:ascii="Calibri Light" w:eastAsia="Times New Roman" w:hAnsi="Calibri Light" w:cs="Calibri Light"/>
                <w:b/>
                <w:bCs/>
                <w:color w:val="000000"/>
                <w:sz w:val="20"/>
                <w:szCs w:val="20"/>
                <w:lang w:val="ru-RU"/>
              </w:rPr>
            </w:pPr>
            <w:r w:rsidRPr="00A77060">
              <w:rPr>
                <w:rFonts w:ascii="Calibri Light" w:eastAsia="Times New Roman" w:hAnsi="Calibri Light" w:cs="Calibri Light"/>
                <w:b/>
                <w:bCs/>
                <w:color w:val="000000"/>
                <w:sz w:val="20"/>
                <w:szCs w:val="20"/>
                <w:lang w:val="ru-RU"/>
              </w:rPr>
              <w:t>-3.923,8</w:t>
            </w:r>
          </w:p>
        </w:tc>
      </w:tr>
    </w:tbl>
    <w:p w:rsidR="006F53B7" w:rsidRPr="00A77060" w:rsidRDefault="006F53B7" w:rsidP="004D2946">
      <w:pPr>
        <w:jc w:val="left"/>
        <w:rPr>
          <w:rFonts w:ascii="Calibri Light" w:eastAsia="Times New Roman" w:hAnsi="Calibri Light" w:cstheme="majorHAnsi"/>
          <w:i/>
          <w:iCs/>
          <w:color w:val="000000"/>
          <w:sz w:val="20"/>
          <w:szCs w:val="20"/>
          <w:lang w:val="ru-RU"/>
        </w:rPr>
      </w:pPr>
      <w:r w:rsidRPr="00A77060">
        <w:rPr>
          <w:rFonts w:ascii="Calibri Light" w:hAnsi="Calibri Light" w:cstheme="majorHAnsi"/>
          <w:b/>
          <w:i/>
          <w:sz w:val="20"/>
          <w:szCs w:val="20"/>
          <w:lang w:val="ru-RU"/>
        </w:rPr>
        <w:t xml:space="preserve">Источник: </w:t>
      </w:r>
      <w:r w:rsidRPr="00A77060">
        <w:rPr>
          <w:rFonts w:ascii="Calibri Light" w:eastAsia="Times New Roman" w:hAnsi="Calibri Light" w:cstheme="majorHAnsi"/>
          <w:bCs/>
          <w:i/>
          <w:color w:val="000000"/>
          <w:sz w:val="20"/>
          <w:szCs w:val="20"/>
          <w:lang w:val="ru-RU"/>
        </w:rPr>
        <w:t xml:space="preserve">Закон о государственном бюджете на 2020 год, Отчет об исполнении государственного бюджета согласно экономической классификации по состоянию на </w:t>
      </w:r>
      <w:r w:rsidRPr="00A77060">
        <w:rPr>
          <w:rFonts w:ascii="Calibri Light" w:eastAsia="Times New Roman" w:hAnsi="Calibri Light" w:cstheme="majorHAnsi"/>
          <w:i/>
          <w:iCs/>
          <w:color w:val="000000"/>
          <w:sz w:val="20"/>
          <w:szCs w:val="20"/>
          <w:lang w:val="ru-RU"/>
        </w:rPr>
        <w:t>31.12.2020.</w:t>
      </w:r>
    </w:p>
    <w:p w:rsidR="006F53B7" w:rsidRPr="00A77060" w:rsidRDefault="006F53B7" w:rsidP="004D2946">
      <w:pPr>
        <w:spacing w:after="0" w:line="276" w:lineRule="auto"/>
        <w:jc w:val="right"/>
        <w:rPr>
          <w:rFonts w:ascii="Calibri Light" w:eastAsia="Times New Roman" w:hAnsi="Calibri Light" w:cstheme="majorHAnsi"/>
          <w:b/>
          <w:sz w:val="24"/>
          <w:szCs w:val="24"/>
          <w:lang w:val="ru-RU" w:eastAsia="ru-RU"/>
        </w:rPr>
      </w:pPr>
      <w:r w:rsidRPr="00A77060">
        <w:rPr>
          <w:rFonts w:ascii="Calibri Light" w:eastAsia="Times New Roman" w:hAnsi="Calibri Light" w:cstheme="majorHAnsi"/>
          <w:b/>
          <w:sz w:val="24"/>
          <w:szCs w:val="24"/>
          <w:lang w:val="ru-RU"/>
        </w:rPr>
        <w:t>Приложение №</w:t>
      </w:r>
      <w:r w:rsidRPr="00A77060">
        <w:rPr>
          <w:rFonts w:ascii="Calibri Light" w:eastAsia="Times New Roman" w:hAnsi="Calibri Light" w:cstheme="majorHAnsi"/>
          <w:b/>
          <w:sz w:val="24"/>
          <w:szCs w:val="24"/>
          <w:lang w:val="ru-RU" w:eastAsia="ru-RU"/>
        </w:rPr>
        <w:t>10</w:t>
      </w:r>
    </w:p>
    <w:p w:rsidR="006F53B7" w:rsidRPr="00A77060" w:rsidRDefault="006F53B7" w:rsidP="004D2946">
      <w:pPr>
        <w:spacing w:after="0" w:line="276" w:lineRule="auto"/>
        <w:jc w:val="center"/>
        <w:rPr>
          <w:rFonts w:ascii="Calibri Light" w:eastAsia="Times New Roman" w:hAnsi="Calibri Light" w:cstheme="majorHAnsi"/>
          <w:b/>
          <w:sz w:val="24"/>
          <w:szCs w:val="24"/>
          <w:lang w:val="ru-RU" w:eastAsia="ru-RU"/>
        </w:rPr>
      </w:pPr>
      <w:r w:rsidRPr="00A77060">
        <w:rPr>
          <w:rFonts w:ascii="Calibri Light" w:eastAsia="Times New Roman" w:hAnsi="Calibri Light" w:cstheme="majorHAnsi"/>
          <w:b/>
          <w:sz w:val="24"/>
          <w:szCs w:val="24"/>
          <w:lang w:val="ru-RU" w:eastAsia="ru-RU"/>
        </w:rPr>
        <w:t>Анализ исполнения расходов государственного бюджета в аспекте экономической классификации за 2020 год</w:t>
      </w:r>
    </w:p>
    <w:p w:rsidR="006F53B7" w:rsidRPr="00A77060" w:rsidRDefault="006F53B7" w:rsidP="004D2946">
      <w:pPr>
        <w:spacing w:after="0" w:line="276" w:lineRule="auto"/>
        <w:jc w:val="center"/>
        <w:rPr>
          <w:rFonts w:ascii="Calibri Light" w:eastAsia="Times New Roman" w:hAnsi="Calibri Light" w:cstheme="majorHAnsi"/>
          <w:b/>
          <w:sz w:val="24"/>
          <w:szCs w:val="24"/>
          <w:lang w:val="ru-RU" w:eastAsia="ru-RU"/>
        </w:rPr>
      </w:pPr>
      <w:r w:rsidRPr="00A77060">
        <w:rPr>
          <w:rFonts w:ascii="Calibri Light" w:eastAsia="Times New Roman" w:hAnsi="Calibri Light" w:cstheme="majorHAnsi"/>
          <w:b/>
          <w:sz w:val="24"/>
          <w:szCs w:val="24"/>
          <w:lang w:val="ru-RU" w:eastAsia="ru-RU"/>
        </w:rPr>
        <w:t xml:space="preserve">по сравнению с 2019 годом </w:t>
      </w:r>
    </w:p>
    <w:p w:rsidR="006F53B7" w:rsidRPr="00A77060" w:rsidRDefault="006F53B7" w:rsidP="004D2946">
      <w:pPr>
        <w:spacing w:after="0" w:line="276" w:lineRule="auto"/>
        <w:ind w:right="1664"/>
        <w:jc w:val="right"/>
        <w:rPr>
          <w:rFonts w:ascii="Calibri Light" w:eastAsia="Times New Roman" w:hAnsi="Calibri Light" w:cstheme="majorHAnsi"/>
          <w:b/>
          <w:sz w:val="24"/>
          <w:szCs w:val="24"/>
          <w:lang w:val="ru-RU" w:eastAsia="ru-RU"/>
        </w:rPr>
      </w:pPr>
      <w:r w:rsidRPr="00A77060">
        <w:rPr>
          <w:rFonts w:ascii="Calibri Light" w:eastAsia="Times New Roman" w:hAnsi="Calibri Light" w:cstheme="majorHAnsi"/>
          <w:b/>
          <w:sz w:val="24"/>
          <w:szCs w:val="24"/>
          <w:lang w:val="ru-RU" w:eastAsia="ru-RU"/>
        </w:rPr>
        <w:t>(</w:t>
      </w:r>
      <w:r w:rsidRPr="00A77060">
        <w:rPr>
          <w:rFonts w:ascii="Calibri Light" w:eastAsia="Times New Roman" w:hAnsi="Calibri Light" w:cstheme="majorHAnsi"/>
          <w:b/>
          <w:iCs/>
          <w:color w:val="000000"/>
          <w:spacing w:val="2"/>
          <w:sz w:val="24"/>
          <w:szCs w:val="24"/>
          <w:lang w:val="ru-RU" w:eastAsia="ru-RU"/>
        </w:rPr>
        <w:t>млн. леев)</w:t>
      </w:r>
    </w:p>
    <w:tbl>
      <w:tblPr>
        <w:tblStyle w:val="GridTable1Light12"/>
        <w:tblW w:w="12185" w:type="dxa"/>
        <w:jc w:val="center"/>
        <w:tblLayout w:type="fixed"/>
        <w:tblLook w:val="04A0" w:firstRow="1" w:lastRow="0" w:firstColumn="1" w:lastColumn="0" w:noHBand="0" w:noVBand="1"/>
      </w:tblPr>
      <w:tblGrid>
        <w:gridCol w:w="3964"/>
        <w:gridCol w:w="993"/>
        <w:gridCol w:w="992"/>
        <w:gridCol w:w="992"/>
        <w:gridCol w:w="993"/>
        <w:gridCol w:w="1133"/>
        <w:gridCol w:w="985"/>
        <w:gridCol w:w="7"/>
        <w:gridCol w:w="992"/>
        <w:gridCol w:w="1127"/>
        <w:gridCol w:w="7"/>
      </w:tblGrid>
      <w:tr w:rsidR="006F53B7" w:rsidRPr="007071A4" w:rsidTr="004D2946">
        <w:trPr>
          <w:gridAfter w:val="1"/>
          <w:cnfStyle w:val="100000000000" w:firstRow="1" w:lastRow="0" w:firstColumn="0" w:lastColumn="0" w:oddVBand="0" w:evenVBand="0" w:oddHBand="0" w:evenHBand="0" w:firstRowFirstColumn="0" w:firstRowLastColumn="0" w:lastRowFirstColumn="0" w:lastRowLastColumn="0"/>
          <w:wAfter w:w="7" w:type="dxa"/>
          <w:jc w:val="center"/>
        </w:trPr>
        <w:tc>
          <w:tcPr>
            <w:cnfStyle w:val="001000000000" w:firstRow="0" w:lastRow="0" w:firstColumn="1" w:lastColumn="0" w:oddVBand="0" w:evenVBand="0" w:oddHBand="0" w:evenHBand="0" w:firstRowFirstColumn="0" w:firstRowLastColumn="0" w:lastRowFirstColumn="0" w:lastRowLastColumn="0"/>
            <w:tcW w:w="3964" w:type="dxa"/>
            <w:vMerge w:val="restart"/>
            <w:vAlign w:val="center"/>
          </w:tcPr>
          <w:p w:rsidR="006F53B7" w:rsidRPr="00A77060" w:rsidRDefault="006F53B7" w:rsidP="004D2946">
            <w:pPr>
              <w:jc w:val="center"/>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Расходы</w:t>
            </w:r>
          </w:p>
        </w:tc>
        <w:tc>
          <w:tcPr>
            <w:tcW w:w="993" w:type="dxa"/>
            <w:vMerge w:val="restart"/>
            <w:vAlign w:val="center"/>
          </w:tcPr>
          <w:p w:rsidR="006F53B7" w:rsidRPr="00A77060" w:rsidRDefault="006F53B7" w:rsidP="004D2946">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proofErr w:type="gramStart"/>
            <w:r w:rsidRPr="00A77060">
              <w:rPr>
                <w:rFonts w:ascii="Calibri Light" w:eastAsia="Times New Roman" w:hAnsi="Calibri Light" w:cstheme="majorHAnsi"/>
                <w:sz w:val="20"/>
                <w:szCs w:val="20"/>
                <w:lang w:val="ru-RU" w:eastAsia="ru-RU"/>
              </w:rPr>
              <w:t>Утвержде-но</w:t>
            </w:r>
            <w:proofErr w:type="gramEnd"/>
            <w:r w:rsidRPr="00A77060">
              <w:rPr>
                <w:rFonts w:ascii="Calibri Light" w:eastAsia="Times New Roman" w:hAnsi="Calibri Light" w:cstheme="majorHAnsi"/>
                <w:sz w:val="20"/>
                <w:szCs w:val="20"/>
                <w:lang w:val="ru-RU" w:eastAsia="ru-RU"/>
              </w:rPr>
              <w:t xml:space="preserve"> на год</w:t>
            </w:r>
          </w:p>
          <w:p w:rsidR="006F53B7" w:rsidRPr="00A77060" w:rsidRDefault="006F53B7" w:rsidP="004D2946">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p>
        </w:tc>
        <w:tc>
          <w:tcPr>
            <w:tcW w:w="992" w:type="dxa"/>
            <w:vMerge w:val="restart"/>
            <w:vAlign w:val="center"/>
          </w:tcPr>
          <w:p w:rsidR="006F53B7" w:rsidRPr="00A77060" w:rsidRDefault="006F53B7" w:rsidP="004D2946">
            <w:pPr>
              <w:ind w:right="-111"/>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Уточнено на год</w:t>
            </w:r>
          </w:p>
          <w:p w:rsidR="006F53B7" w:rsidRPr="00A77060" w:rsidRDefault="006F53B7" w:rsidP="004D2946">
            <w:pPr>
              <w:ind w:right="-111"/>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p>
        </w:tc>
        <w:tc>
          <w:tcPr>
            <w:tcW w:w="992" w:type="dxa"/>
            <w:vMerge w:val="restart"/>
            <w:vAlign w:val="center"/>
          </w:tcPr>
          <w:p w:rsidR="006F53B7" w:rsidRPr="00A77060" w:rsidRDefault="006F53B7" w:rsidP="004D2946">
            <w:pPr>
              <w:ind w:right="-124"/>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Исполнено в 2020 году</w:t>
            </w:r>
          </w:p>
        </w:tc>
        <w:tc>
          <w:tcPr>
            <w:tcW w:w="2126" w:type="dxa"/>
            <w:gridSpan w:val="2"/>
            <w:vAlign w:val="center"/>
          </w:tcPr>
          <w:p w:rsidR="006F53B7" w:rsidRPr="00A77060" w:rsidRDefault="006F53B7" w:rsidP="004D2946">
            <w:pPr>
              <w:ind w:right="-106"/>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Исполнено против уточненного на год </w:t>
            </w:r>
          </w:p>
        </w:tc>
        <w:tc>
          <w:tcPr>
            <w:tcW w:w="985" w:type="dxa"/>
            <w:vAlign w:val="center"/>
          </w:tcPr>
          <w:p w:rsidR="006F53B7" w:rsidRPr="00A77060" w:rsidRDefault="006F53B7" w:rsidP="004D2946">
            <w:pPr>
              <w:ind w:right="-114"/>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Исполнено в 2019 году</w:t>
            </w:r>
          </w:p>
        </w:tc>
        <w:tc>
          <w:tcPr>
            <w:tcW w:w="2126" w:type="dxa"/>
            <w:gridSpan w:val="3"/>
            <w:vAlign w:val="center"/>
          </w:tcPr>
          <w:p w:rsidR="006F53B7" w:rsidRPr="00A77060" w:rsidRDefault="006F53B7" w:rsidP="004D2946">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Исполнено в текущем году против  предыдущего года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3964" w:type="dxa"/>
            <w:vMerge/>
            <w:vAlign w:val="center"/>
          </w:tcPr>
          <w:p w:rsidR="006F53B7" w:rsidRPr="00A77060" w:rsidRDefault="006F53B7" w:rsidP="004D2946">
            <w:pPr>
              <w:jc w:val="center"/>
              <w:rPr>
                <w:rFonts w:ascii="Calibri Light" w:eastAsia="Times New Roman" w:hAnsi="Calibri Light" w:cstheme="majorHAnsi"/>
                <w:sz w:val="20"/>
                <w:szCs w:val="20"/>
                <w:lang w:val="ru-RU" w:eastAsia="ru-RU"/>
              </w:rPr>
            </w:pPr>
          </w:p>
        </w:tc>
        <w:tc>
          <w:tcPr>
            <w:tcW w:w="993" w:type="dxa"/>
            <w:vMerge/>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992" w:type="dxa"/>
            <w:vMerge/>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992" w:type="dxa"/>
            <w:vMerge/>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993" w:type="dxa"/>
            <w:vAlign w:val="center"/>
          </w:tcPr>
          <w:p w:rsidR="006F53B7" w:rsidRPr="00A77060" w:rsidRDefault="006F53B7" w:rsidP="004D2946">
            <w:pPr>
              <w:ind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A77060">
              <w:rPr>
                <w:rFonts w:ascii="Calibri Light" w:eastAsia="Times New Roman" w:hAnsi="Calibri Light" w:cstheme="majorHAnsi"/>
                <w:b/>
                <w:sz w:val="20"/>
                <w:szCs w:val="20"/>
                <w:lang w:val="ru-RU" w:eastAsia="ru-RU"/>
              </w:rPr>
              <w:t>отклонения (+/-)</w:t>
            </w:r>
          </w:p>
        </w:tc>
        <w:tc>
          <w:tcPr>
            <w:tcW w:w="1133"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A77060">
              <w:rPr>
                <w:rFonts w:ascii="Calibri Light" w:eastAsia="Times New Roman" w:hAnsi="Calibri Light" w:cstheme="majorHAnsi"/>
                <w:b/>
                <w:sz w:val="20"/>
                <w:szCs w:val="20"/>
                <w:lang w:val="ru-RU" w:eastAsia="ru-RU"/>
              </w:rPr>
              <w:t>в %</w:t>
            </w:r>
          </w:p>
        </w:tc>
        <w:tc>
          <w:tcPr>
            <w:tcW w:w="992" w:type="dxa"/>
            <w:gridSpan w:val="2"/>
            <w:vAlign w:val="center"/>
          </w:tcPr>
          <w:p w:rsidR="006F53B7" w:rsidRPr="00A77060" w:rsidRDefault="006F53B7" w:rsidP="004D2946">
            <w:pPr>
              <w:ind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992" w:type="dxa"/>
            <w:vAlign w:val="center"/>
          </w:tcPr>
          <w:p w:rsidR="006F53B7" w:rsidRPr="00A77060" w:rsidRDefault="006F53B7" w:rsidP="004D2946">
            <w:pPr>
              <w:ind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A77060">
              <w:rPr>
                <w:rFonts w:ascii="Calibri Light" w:eastAsia="Times New Roman" w:hAnsi="Calibri Light" w:cstheme="majorHAnsi"/>
                <w:b/>
                <w:sz w:val="20"/>
                <w:szCs w:val="20"/>
                <w:lang w:val="ru-RU" w:eastAsia="ru-RU"/>
              </w:rPr>
              <w:t>отклонения (+/-)</w:t>
            </w:r>
          </w:p>
        </w:tc>
        <w:tc>
          <w:tcPr>
            <w:tcW w:w="1134" w:type="dxa"/>
            <w:gridSpan w:val="2"/>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A77060">
              <w:rPr>
                <w:rFonts w:ascii="Calibri Light" w:eastAsia="Times New Roman" w:hAnsi="Calibri Light" w:cstheme="majorHAnsi"/>
                <w:b/>
                <w:sz w:val="20"/>
                <w:szCs w:val="20"/>
                <w:lang w:val="ru-RU" w:eastAsia="ru-RU"/>
              </w:rPr>
              <w:t>в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6F53B7" w:rsidRPr="00A77060" w:rsidRDefault="006F53B7" w:rsidP="004D2946">
            <w:pPr>
              <w:ind w:right="-105"/>
              <w:jc w:val="center"/>
              <w:rPr>
                <w:rFonts w:ascii="Calibri Light" w:eastAsia="Times New Roman" w:hAnsi="Calibri Light" w:cstheme="majorHAnsi"/>
                <w:b w:val="0"/>
                <w:i/>
                <w:sz w:val="16"/>
                <w:szCs w:val="16"/>
                <w:lang w:val="ru-RU" w:eastAsia="ru-RU"/>
              </w:rPr>
            </w:pPr>
            <w:r w:rsidRPr="00A77060">
              <w:rPr>
                <w:rFonts w:ascii="Calibri Light" w:eastAsia="Times New Roman" w:hAnsi="Calibri Light" w:cstheme="majorHAnsi"/>
                <w:b w:val="0"/>
                <w:i/>
                <w:sz w:val="16"/>
                <w:szCs w:val="16"/>
                <w:lang w:val="ru-RU" w:eastAsia="ru-RU"/>
              </w:rPr>
              <w:t>1</w:t>
            </w:r>
          </w:p>
        </w:tc>
        <w:tc>
          <w:tcPr>
            <w:tcW w:w="993" w:type="dxa"/>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16"/>
                <w:szCs w:val="16"/>
                <w:lang w:val="ru-RU" w:eastAsia="ru-RU"/>
              </w:rPr>
            </w:pPr>
            <w:r w:rsidRPr="00A77060">
              <w:rPr>
                <w:rFonts w:ascii="Calibri Light" w:eastAsia="Times New Roman" w:hAnsi="Calibri Light" w:cstheme="majorHAnsi"/>
                <w:i/>
                <w:sz w:val="16"/>
                <w:szCs w:val="16"/>
                <w:lang w:val="ru-RU" w:eastAsia="ru-RU"/>
              </w:rPr>
              <w:t>2</w:t>
            </w:r>
          </w:p>
        </w:tc>
        <w:tc>
          <w:tcPr>
            <w:tcW w:w="992" w:type="dxa"/>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6"/>
                <w:szCs w:val="16"/>
                <w:lang w:val="ru-RU"/>
              </w:rPr>
            </w:pPr>
            <w:r w:rsidRPr="00A77060">
              <w:rPr>
                <w:rFonts w:ascii="Calibri Light" w:eastAsia="Times New Roman" w:hAnsi="Calibri Light" w:cstheme="majorHAnsi"/>
                <w:i/>
                <w:color w:val="000000"/>
                <w:sz w:val="16"/>
                <w:szCs w:val="16"/>
                <w:lang w:val="ru-RU"/>
              </w:rPr>
              <w:t>3</w:t>
            </w:r>
          </w:p>
        </w:tc>
        <w:tc>
          <w:tcPr>
            <w:tcW w:w="992" w:type="dxa"/>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16"/>
                <w:szCs w:val="16"/>
                <w:lang w:val="ru-RU" w:eastAsia="ru-RU"/>
              </w:rPr>
            </w:pPr>
            <w:r w:rsidRPr="00A77060">
              <w:rPr>
                <w:rFonts w:ascii="Calibri Light" w:eastAsia="Times New Roman" w:hAnsi="Calibri Light" w:cstheme="majorHAnsi"/>
                <w:i/>
                <w:sz w:val="16"/>
                <w:szCs w:val="16"/>
                <w:lang w:val="ru-RU" w:eastAsia="ru-RU"/>
              </w:rPr>
              <w:t>4</w:t>
            </w:r>
          </w:p>
        </w:tc>
        <w:tc>
          <w:tcPr>
            <w:tcW w:w="993" w:type="dxa"/>
          </w:tcPr>
          <w:p w:rsidR="006F53B7" w:rsidRPr="00A77060" w:rsidRDefault="006F53B7" w:rsidP="004D2946">
            <w:pPr>
              <w:ind w:right="-3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color w:val="000000"/>
                <w:sz w:val="16"/>
                <w:szCs w:val="16"/>
                <w:lang w:val="ru-RU"/>
              </w:rPr>
            </w:pPr>
            <w:r w:rsidRPr="00A77060">
              <w:rPr>
                <w:rFonts w:ascii="Calibri Light" w:eastAsia="Times New Roman" w:hAnsi="Calibri Light" w:cstheme="majorHAnsi"/>
                <w:bCs/>
                <w:i/>
                <w:color w:val="000000"/>
                <w:sz w:val="16"/>
                <w:szCs w:val="16"/>
                <w:lang w:val="ru-RU"/>
              </w:rPr>
              <w:t>5=4-3</w:t>
            </w:r>
          </w:p>
        </w:tc>
        <w:tc>
          <w:tcPr>
            <w:tcW w:w="1133" w:type="dxa"/>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A77060">
              <w:rPr>
                <w:rFonts w:ascii="Calibri Light" w:hAnsi="Calibri Light" w:cstheme="majorHAnsi"/>
                <w:i/>
                <w:sz w:val="16"/>
                <w:szCs w:val="16"/>
                <w:lang w:val="ru-RU"/>
              </w:rPr>
              <w:t>6=4/3*100</w:t>
            </w:r>
          </w:p>
        </w:tc>
        <w:tc>
          <w:tcPr>
            <w:tcW w:w="992" w:type="dxa"/>
            <w:gridSpan w:val="2"/>
          </w:tcPr>
          <w:p w:rsidR="006F53B7" w:rsidRPr="00A77060" w:rsidRDefault="006F53B7" w:rsidP="004D2946">
            <w:pPr>
              <w:ind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A77060">
              <w:rPr>
                <w:rFonts w:ascii="Calibri Light" w:hAnsi="Calibri Light" w:cstheme="majorHAnsi"/>
                <w:i/>
                <w:sz w:val="16"/>
                <w:szCs w:val="16"/>
                <w:lang w:val="ru-RU"/>
              </w:rPr>
              <w:t>7</w:t>
            </w:r>
          </w:p>
        </w:tc>
        <w:tc>
          <w:tcPr>
            <w:tcW w:w="992" w:type="dxa"/>
          </w:tcPr>
          <w:p w:rsidR="006F53B7" w:rsidRPr="00A77060" w:rsidRDefault="006F53B7" w:rsidP="004D2946">
            <w:pPr>
              <w:ind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A77060">
              <w:rPr>
                <w:rFonts w:ascii="Calibri Light" w:hAnsi="Calibri Light" w:cstheme="majorHAnsi"/>
                <w:i/>
                <w:sz w:val="16"/>
                <w:szCs w:val="16"/>
                <w:lang w:val="ru-RU"/>
              </w:rPr>
              <w:t>8=4-7</w:t>
            </w:r>
          </w:p>
        </w:tc>
        <w:tc>
          <w:tcPr>
            <w:tcW w:w="1134" w:type="dxa"/>
            <w:gridSpan w:val="2"/>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A77060">
              <w:rPr>
                <w:rFonts w:ascii="Calibri Light" w:hAnsi="Calibri Light" w:cstheme="majorHAnsi"/>
                <w:i/>
                <w:sz w:val="16"/>
                <w:szCs w:val="16"/>
                <w:lang w:val="ru-RU"/>
              </w:rPr>
              <w:t>9=4/7*100</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6F53B7" w:rsidRPr="00A77060" w:rsidRDefault="006F53B7" w:rsidP="004D2946">
            <w:pPr>
              <w:ind w:right="-105"/>
              <w:jc w:val="left"/>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РАСХОДЫ И НЕФИНАНСОВЫЕ АКТИВЫ, всего: </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51.551,9</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53.280,6</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49.635,4</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-3.645,2</w:t>
            </w:r>
          </w:p>
        </w:tc>
        <w:tc>
          <w:tcPr>
            <w:tcW w:w="113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93,2</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43.073,9</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6.561,5</w:t>
            </w:r>
          </w:p>
        </w:tc>
        <w:tc>
          <w:tcPr>
            <w:tcW w:w="1134" w:type="dxa"/>
            <w:gridSpan w:val="2"/>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115,2</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6F53B7" w:rsidRPr="00A77060" w:rsidRDefault="006F53B7" w:rsidP="004D2946">
            <w:pPr>
              <w:ind w:right="-105"/>
              <w:jc w:val="left"/>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РАСХОДЫ, всего, </w:t>
            </w:r>
            <w:r w:rsidRPr="00A77060">
              <w:rPr>
                <w:rFonts w:ascii="Calibri Light" w:eastAsia="Times New Roman" w:hAnsi="Calibri Light" w:cstheme="majorHAnsi"/>
                <w:i/>
                <w:sz w:val="20"/>
                <w:szCs w:val="20"/>
                <w:lang w:val="ru-RU" w:eastAsia="ru-RU"/>
              </w:rPr>
              <w:t>из которых:</w:t>
            </w:r>
          </w:p>
        </w:tc>
        <w:tc>
          <w:tcPr>
            <w:tcW w:w="993" w:type="dxa"/>
            <w:tcBorders>
              <w:top w:val="nil"/>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44.931,5</w:t>
            </w:r>
          </w:p>
        </w:tc>
        <w:tc>
          <w:tcPr>
            <w:tcW w:w="992" w:type="dxa"/>
            <w:tcBorders>
              <w:top w:val="nil"/>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49.023,8</w:t>
            </w:r>
          </w:p>
        </w:tc>
        <w:tc>
          <w:tcPr>
            <w:tcW w:w="992" w:type="dxa"/>
            <w:tcBorders>
              <w:top w:val="nil"/>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46.077,9</w:t>
            </w:r>
          </w:p>
        </w:tc>
        <w:tc>
          <w:tcPr>
            <w:tcW w:w="993" w:type="dxa"/>
            <w:tcBorders>
              <w:top w:val="nil"/>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-2.945,8</w:t>
            </w:r>
          </w:p>
        </w:tc>
        <w:tc>
          <w:tcPr>
            <w:tcW w:w="1133" w:type="dxa"/>
            <w:tcBorders>
              <w:top w:val="nil"/>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94,0</w:t>
            </w:r>
          </w:p>
        </w:tc>
        <w:tc>
          <w:tcPr>
            <w:tcW w:w="992" w:type="dxa"/>
            <w:gridSpan w:val="2"/>
            <w:tcBorders>
              <w:top w:val="single" w:sz="8" w:space="0" w:color="999999"/>
              <w:left w:val="nil"/>
              <w:bottom w:val="nil"/>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40.060,2</w:t>
            </w:r>
          </w:p>
        </w:tc>
        <w:tc>
          <w:tcPr>
            <w:tcW w:w="992" w:type="dxa"/>
            <w:tcBorders>
              <w:top w:val="nil"/>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6.017,7</w:t>
            </w:r>
          </w:p>
        </w:tc>
        <w:tc>
          <w:tcPr>
            <w:tcW w:w="1134" w:type="dxa"/>
            <w:gridSpan w:val="2"/>
            <w:tcBorders>
              <w:top w:val="nil"/>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115,0</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6F53B7" w:rsidRPr="00A77060" w:rsidRDefault="006F53B7" w:rsidP="004D2946">
            <w:pPr>
              <w:rPr>
                <w:rFonts w:ascii="Calibri Light" w:eastAsia="Times New Roman" w:hAnsi="Calibri Light" w:cstheme="majorHAnsi"/>
                <w:sz w:val="20"/>
                <w:szCs w:val="20"/>
                <w:lang w:val="ru-RU" w:eastAsia="ru-RU"/>
              </w:rPr>
            </w:pPr>
            <w:r w:rsidRPr="00A77060">
              <w:rPr>
                <w:rFonts w:ascii="Calibri Light" w:eastAsia="Times New Roman" w:hAnsi="Calibri Light" w:cstheme="majorHAnsi"/>
                <w:bCs w:val="0"/>
                <w:sz w:val="20"/>
                <w:szCs w:val="20"/>
                <w:lang w:val="ru-RU" w:eastAsia="ru-RU"/>
              </w:rPr>
              <w:t>Расход</w:t>
            </w:r>
            <w:r w:rsidRPr="00A77060">
              <w:rPr>
                <w:rFonts w:ascii="Calibri Light" w:eastAsia="Times New Roman" w:hAnsi="Calibri Light" w:cstheme="majorHAnsi"/>
                <w:sz w:val="20"/>
                <w:szCs w:val="20"/>
                <w:lang w:val="ru-RU" w:eastAsia="ru-RU"/>
              </w:rPr>
              <w:t xml:space="preserve">ы на персонал </w:t>
            </w:r>
          </w:p>
        </w:tc>
        <w:tc>
          <w:tcPr>
            <w:tcW w:w="993" w:type="dxa"/>
            <w:tcBorders>
              <w:top w:val="nil"/>
              <w:left w:val="nil"/>
              <w:bottom w:val="single" w:sz="4" w:space="0" w:color="auto"/>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7.010,0</w:t>
            </w:r>
          </w:p>
        </w:tc>
        <w:tc>
          <w:tcPr>
            <w:tcW w:w="992" w:type="dxa"/>
            <w:tcBorders>
              <w:top w:val="nil"/>
              <w:left w:val="nil"/>
              <w:bottom w:val="single" w:sz="4" w:space="0" w:color="auto"/>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7.347,8</w:t>
            </w:r>
          </w:p>
        </w:tc>
        <w:tc>
          <w:tcPr>
            <w:tcW w:w="992" w:type="dxa"/>
            <w:tcBorders>
              <w:top w:val="nil"/>
              <w:left w:val="nil"/>
              <w:bottom w:val="single" w:sz="4" w:space="0" w:color="auto"/>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7.040,6</w:t>
            </w:r>
          </w:p>
        </w:tc>
        <w:tc>
          <w:tcPr>
            <w:tcW w:w="993" w:type="dxa"/>
            <w:tcBorders>
              <w:top w:val="nil"/>
              <w:left w:val="nil"/>
              <w:bottom w:val="single" w:sz="4" w:space="0" w:color="auto"/>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-307,2</w:t>
            </w:r>
          </w:p>
        </w:tc>
        <w:tc>
          <w:tcPr>
            <w:tcW w:w="1133" w:type="dxa"/>
            <w:tcBorders>
              <w:top w:val="nil"/>
              <w:left w:val="nil"/>
              <w:bottom w:val="single" w:sz="4" w:space="0" w:color="auto"/>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95,8</w:t>
            </w:r>
          </w:p>
        </w:tc>
        <w:tc>
          <w:tcPr>
            <w:tcW w:w="992" w:type="dxa"/>
            <w:gridSpan w:val="2"/>
            <w:tcBorders>
              <w:top w:val="single" w:sz="8" w:space="0" w:color="999999"/>
              <w:left w:val="nil"/>
              <w:bottom w:val="single" w:sz="4" w:space="0" w:color="auto"/>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6.465,3</w:t>
            </w:r>
          </w:p>
        </w:tc>
        <w:tc>
          <w:tcPr>
            <w:tcW w:w="992" w:type="dxa"/>
            <w:tcBorders>
              <w:top w:val="nil"/>
              <w:left w:val="nil"/>
              <w:bottom w:val="single" w:sz="4" w:space="0" w:color="auto"/>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575,3</w:t>
            </w:r>
          </w:p>
        </w:tc>
        <w:tc>
          <w:tcPr>
            <w:tcW w:w="1134" w:type="dxa"/>
            <w:gridSpan w:val="2"/>
            <w:tcBorders>
              <w:top w:val="nil"/>
              <w:left w:val="nil"/>
              <w:bottom w:val="single" w:sz="4" w:space="0" w:color="auto"/>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108,9</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6F53B7" w:rsidRPr="00A77060" w:rsidRDefault="006F53B7" w:rsidP="004D2946">
            <w:pPr>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Товары и услуги  </w:t>
            </w:r>
          </w:p>
        </w:tc>
        <w:tc>
          <w:tcPr>
            <w:tcW w:w="993" w:type="dxa"/>
            <w:tcBorders>
              <w:top w:val="single" w:sz="4" w:space="0" w:color="auto"/>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2.509,8</w:t>
            </w:r>
          </w:p>
        </w:tc>
        <w:tc>
          <w:tcPr>
            <w:tcW w:w="992" w:type="dxa"/>
            <w:tcBorders>
              <w:top w:val="single" w:sz="4" w:space="0" w:color="auto"/>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2.106,1</w:t>
            </w:r>
          </w:p>
        </w:tc>
        <w:tc>
          <w:tcPr>
            <w:tcW w:w="992" w:type="dxa"/>
            <w:tcBorders>
              <w:top w:val="single" w:sz="4" w:space="0" w:color="auto"/>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1.666,3</w:t>
            </w:r>
          </w:p>
        </w:tc>
        <w:tc>
          <w:tcPr>
            <w:tcW w:w="993" w:type="dxa"/>
            <w:tcBorders>
              <w:top w:val="single" w:sz="4" w:space="0" w:color="auto"/>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-439,8</w:t>
            </w:r>
          </w:p>
        </w:tc>
        <w:tc>
          <w:tcPr>
            <w:tcW w:w="1133" w:type="dxa"/>
            <w:tcBorders>
              <w:top w:val="single" w:sz="4" w:space="0" w:color="auto"/>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79,1</w:t>
            </w:r>
          </w:p>
        </w:tc>
        <w:tc>
          <w:tcPr>
            <w:tcW w:w="992" w:type="dxa"/>
            <w:gridSpan w:val="2"/>
            <w:tcBorders>
              <w:top w:val="single" w:sz="4" w:space="0" w:color="auto"/>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1.725,2</w:t>
            </w:r>
          </w:p>
        </w:tc>
        <w:tc>
          <w:tcPr>
            <w:tcW w:w="992" w:type="dxa"/>
            <w:tcBorders>
              <w:top w:val="single" w:sz="4" w:space="0" w:color="auto"/>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-58,9</w:t>
            </w:r>
          </w:p>
        </w:tc>
        <w:tc>
          <w:tcPr>
            <w:tcW w:w="1134" w:type="dxa"/>
            <w:gridSpan w:val="2"/>
            <w:tcBorders>
              <w:top w:val="single" w:sz="4" w:space="0" w:color="auto"/>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96,6</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6F53B7" w:rsidRPr="00A77060" w:rsidRDefault="006F53B7" w:rsidP="004D2946">
            <w:pPr>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Проценты </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1.947,5</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1.765,6</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1.684,2</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-81,4</w:t>
            </w:r>
          </w:p>
        </w:tc>
        <w:tc>
          <w:tcPr>
            <w:tcW w:w="113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95,4</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1.619,6</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64,6</w:t>
            </w:r>
          </w:p>
        </w:tc>
        <w:tc>
          <w:tcPr>
            <w:tcW w:w="1134" w:type="dxa"/>
            <w:gridSpan w:val="2"/>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104,0</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6F53B7" w:rsidRPr="00A77060" w:rsidRDefault="006F53B7" w:rsidP="004D2946">
            <w:pPr>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Субсидии </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3.964,9</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5.453,0</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5.102,1</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-350,9</w:t>
            </w:r>
          </w:p>
        </w:tc>
        <w:tc>
          <w:tcPr>
            <w:tcW w:w="113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93,6</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3.895,0</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1.207,2</w:t>
            </w:r>
          </w:p>
        </w:tc>
        <w:tc>
          <w:tcPr>
            <w:tcW w:w="1134" w:type="dxa"/>
            <w:gridSpan w:val="2"/>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131,0</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6F53B7" w:rsidRPr="00A77060" w:rsidRDefault="006F53B7" w:rsidP="004D2946">
            <w:pPr>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Предоставленные гранты  </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54,2</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312,7</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248,5</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-64,2</w:t>
            </w:r>
          </w:p>
        </w:tc>
        <w:tc>
          <w:tcPr>
            <w:tcW w:w="113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79,5</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32,9</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215,6</w:t>
            </w:r>
          </w:p>
        </w:tc>
        <w:tc>
          <w:tcPr>
            <w:tcW w:w="1134" w:type="dxa"/>
            <w:gridSpan w:val="2"/>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755,4</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6F53B7" w:rsidRPr="00A77060" w:rsidRDefault="006F53B7" w:rsidP="004D2946">
            <w:pPr>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Социальные пособия  </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496,4</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594,3</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518,7</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-75,6</w:t>
            </w:r>
          </w:p>
        </w:tc>
        <w:tc>
          <w:tcPr>
            <w:tcW w:w="113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87,3</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399,3</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119,4</w:t>
            </w:r>
          </w:p>
        </w:tc>
        <w:tc>
          <w:tcPr>
            <w:tcW w:w="1134" w:type="dxa"/>
            <w:gridSpan w:val="2"/>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129,9</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6F53B7" w:rsidRPr="00A77060" w:rsidRDefault="006F53B7" w:rsidP="004D2946">
            <w:pPr>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Другие </w:t>
            </w:r>
            <w:r w:rsidRPr="00A77060">
              <w:rPr>
                <w:rFonts w:ascii="Calibri Light" w:eastAsia="Times New Roman" w:hAnsi="Calibri Light" w:cstheme="majorHAnsi"/>
                <w:bCs w:val="0"/>
                <w:sz w:val="20"/>
                <w:szCs w:val="20"/>
                <w:lang w:val="ru-RU" w:eastAsia="ru-RU"/>
              </w:rPr>
              <w:t>расход</w:t>
            </w:r>
            <w:r w:rsidRPr="00A77060">
              <w:rPr>
                <w:rFonts w:ascii="Calibri Light" w:eastAsia="Times New Roman" w:hAnsi="Calibri Light" w:cstheme="majorHAnsi"/>
                <w:sz w:val="20"/>
                <w:szCs w:val="20"/>
                <w:lang w:val="ru-RU" w:eastAsia="ru-RU"/>
              </w:rPr>
              <w:t xml:space="preserve">ы  </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4.101,6</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3.503,3</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2.896,6</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-606,7</w:t>
            </w:r>
          </w:p>
        </w:tc>
        <w:tc>
          <w:tcPr>
            <w:tcW w:w="113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82,7</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2.824,2</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72,4</w:t>
            </w:r>
          </w:p>
        </w:tc>
        <w:tc>
          <w:tcPr>
            <w:tcW w:w="1134" w:type="dxa"/>
            <w:gridSpan w:val="2"/>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102,6</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6F53B7" w:rsidRPr="00A77060" w:rsidRDefault="006F53B7" w:rsidP="004D2946">
            <w:pPr>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Трансферты, предоставленные в рамках НПБ</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24.847,2</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27.941,0</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26.921,0</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-1.020,0</w:t>
            </w:r>
          </w:p>
        </w:tc>
        <w:tc>
          <w:tcPr>
            <w:tcW w:w="113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96,3</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23.098,8</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3.822,2</w:t>
            </w:r>
          </w:p>
        </w:tc>
        <w:tc>
          <w:tcPr>
            <w:tcW w:w="1134" w:type="dxa"/>
            <w:gridSpan w:val="2"/>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116,5</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6F53B7" w:rsidRPr="00A77060" w:rsidRDefault="006F53B7" w:rsidP="004D2946">
            <w:pPr>
              <w:ind w:right="-115"/>
              <w:jc w:val="left"/>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НЕФИНАНСОВЫЕ АКТИВЫ, </w:t>
            </w:r>
          </w:p>
          <w:p w:rsidR="006F53B7" w:rsidRPr="00A77060" w:rsidRDefault="006F53B7" w:rsidP="004D2946">
            <w:pPr>
              <w:ind w:right="-115"/>
              <w:jc w:val="left"/>
              <w:rPr>
                <w:rFonts w:ascii="Calibri Light" w:eastAsia="Times New Roman" w:hAnsi="Calibri Light" w:cstheme="majorHAnsi"/>
                <w:i/>
                <w:sz w:val="20"/>
                <w:szCs w:val="20"/>
                <w:lang w:val="ru-RU" w:eastAsia="ru-RU"/>
              </w:rPr>
            </w:pPr>
            <w:r w:rsidRPr="00A77060">
              <w:rPr>
                <w:rFonts w:ascii="Calibri Light" w:eastAsia="Times New Roman" w:hAnsi="Calibri Light" w:cstheme="majorHAnsi"/>
                <w:i/>
                <w:sz w:val="20"/>
                <w:szCs w:val="20"/>
                <w:lang w:val="ru-RU" w:eastAsia="ru-RU"/>
              </w:rPr>
              <w:t>из которых:</w:t>
            </w:r>
          </w:p>
        </w:tc>
        <w:tc>
          <w:tcPr>
            <w:tcW w:w="993" w:type="dxa"/>
            <w:tcBorders>
              <w:top w:val="single" w:sz="8" w:space="0" w:color="999999"/>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6.620,4</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4.256,8</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3.557,5</w:t>
            </w:r>
          </w:p>
        </w:tc>
        <w:tc>
          <w:tcPr>
            <w:tcW w:w="993" w:type="dxa"/>
            <w:tcBorders>
              <w:top w:val="single" w:sz="8" w:space="0" w:color="999999"/>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-699,3</w:t>
            </w:r>
          </w:p>
        </w:tc>
        <w:tc>
          <w:tcPr>
            <w:tcW w:w="1133" w:type="dxa"/>
            <w:tcBorders>
              <w:top w:val="single" w:sz="8" w:space="0" w:color="999999"/>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83,6</w:t>
            </w:r>
          </w:p>
        </w:tc>
        <w:tc>
          <w:tcPr>
            <w:tcW w:w="992" w:type="dxa"/>
            <w:gridSpan w:val="2"/>
            <w:tcBorders>
              <w:top w:val="single" w:sz="8" w:space="0" w:color="999999"/>
              <w:left w:val="nil"/>
              <w:bottom w:val="nil"/>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3.013,7</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543,8</w:t>
            </w:r>
          </w:p>
        </w:tc>
        <w:tc>
          <w:tcPr>
            <w:tcW w:w="1134" w:type="dxa"/>
            <w:gridSpan w:val="2"/>
            <w:tcBorders>
              <w:top w:val="single" w:sz="8" w:space="0" w:color="999999"/>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118,0</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6F53B7" w:rsidRPr="00A77060" w:rsidRDefault="006F53B7" w:rsidP="004D2946">
            <w:pPr>
              <w:rPr>
                <w:rFonts w:ascii="Calibri Light" w:eastAsia="Times New Roman" w:hAnsi="Calibri Light" w:cstheme="majorHAnsi"/>
                <w:sz w:val="20"/>
                <w:szCs w:val="20"/>
                <w:lang w:val="ru-RU" w:eastAsia="ru-RU"/>
              </w:rPr>
            </w:pPr>
            <w:r w:rsidRPr="00A77060">
              <w:rPr>
                <w:rFonts w:ascii="Calibri Light" w:eastAsia="Times New Roman" w:hAnsi="Calibri Light" w:cstheme="majorHAnsi"/>
                <w:bCs w:val="0"/>
                <w:sz w:val="20"/>
                <w:szCs w:val="20"/>
                <w:lang w:val="ru-RU" w:eastAsia="ru-RU"/>
              </w:rPr>
              <w:t>Основные средства</w:t>
            </w:r>
            <w:r w:rsidRPr="00A77060">
              <w:rPr>
                <w:rFonts w:ascii="Calibri Light" w:eastAsia="Times New Roman" w:hAnsi="Calibri Light" w:cstheme="majorHAnsi"/>
                <w:sz w:val="20"/>
                <w:szCs w:val="20"/>
                <w:lang w:val="ru-RU" w:eastAsia="ru-RU"/>
              </w:rPr>
              <w:t xml:space="preserve">, </w:t>
            </w:r>
            <w:r w:rsidRPr="00A77060">
              <w:rPr>
                <w:rFonts w:ascii="Calibri Light" w:eastAsia="Times New Roman" w:hAnsi="Calibri Light" w:cstheme="majorHAnsi"/>
                <w:bCs w:val="0"/>
                <w:i/>
                <w:sz w:val="20"/>
                <w:szCs w:val="20"/>
                <w:lang w:val="ru-RU" w:eastAsia="ru-RU"/>
              </w:rPr>
              <w:t>в том числе</w:t>
            </w:r>
            <w:r w:rsidRPr="00A77060">
              <w:rPr>
                <w:rFonts w:ascii="Calibri Light" w:eastAsia="Times New Roman" w:hAnsi="Calibri Light" w:cstheme="majorHAnsi"/>
                <w:i/>
                <w:sz w:val="20"/>
                <w:szCs w:val="20"/>
                <w:lang w:val="ru-RU" w:eastAsia="ru-RU"/>
              </w:rPr>
              <w:t>:</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5.599,5</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3.069,8</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2.647,3</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-422,6</w:t>
            </w:r>
          </w:p>
        </w:tc>
        <w:tc>
          <w:tcPr>
            <w:tcW w:w="113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86,2</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2.114,8</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532,5</w:t>
            </w:r>
          </w:p>
        </w:tc>
        <w:tc>
          <w:tcPr>
            <w:tcW w:w="1134" w:type="dxa"/>
            <w:gridSpan w:val="2"/>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125,2</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6F53B7" w:rsidRPr="00A77060" w:rsidRDefault="006F53B7" w:rsidP="004D2946">
            <w:pPr>
              <w:ind w:right="-114"/>
              <w:rPr>
                <w:rFonts w:ascii="Calibri Light" w:eastAsia="Times New Roman" w:hAnsi="Calibri Light" w:cstheme="majorHAnsi"/>
                <w:i/>
                <w:sz w:val="20"/>
                <w:szCs w:val="20"/>
                <w:lang w:val="ru-RU" w:eastAsia="ru-RU"/>
              </w:rPr>
            </w:pPr>
            <w:r w:rsidRPr="00A77060">
              <w:rPr>
                <w:rFonts w:ascii="Calibri Light" w:eastAsia="Times New Roman" w:hAnsi="Calibri Light" w:cstheme="majorHAnsi"/>
                <w:i/>
                <w:sz w:val="20"/>
                <w:szCs w:val="20"/>
                <w:lang w:val="ru-RU" w:eastAsia="ru-RU"/>
              </w:rPr>
              <w:t xml:space="preserve">незавершенные капитальные вложения в активы </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4.133,4</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1.598,7</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1.524,2</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-74,5</w:t>
            </w:r>
          </w:p>
        </w:tc>
        <w:tc>
          <w:tcPr>
            <w:tcW w:w="113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95,3</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color w:val="000000"/>
                <w:sz w:val="20"/>
                <w:szCs w:val="20"/>
                <w:lang w:val="ru-RU"/>
              </w:rPr>
            </w:pPr>
            <w:r w:rsidRPr="00A77060">
              <w:rPr>
                <w:rFonts w:ascii="Calibri Light" w:hAnsi="Calibri Light" w:cs="Calibri Light"/>
                <w:i/>
                <w:iCs/>
                <w:color w:val="000000"/>
                <w:sz w:val="20"/>
                <w:szCs w:val="20"/>
                <w:lang w:val="ru-RU"/>
              </w:rPr>
              <w:t>1.278,7</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245,5</w:t>
            </w:r>
          </w:p>
        </w:tc>
        <w:tc>
          <w:tcPr>
            <w:tcW w:w="1134" w:type="dxa"/>
            <w:gridSpan w:val="2"/>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119,2</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6F53B7" w:rsidRPr="00A77060" w:rsidRDefault="006F53B7" w:rsidP="004D2946">
            <w:pPr>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Оборотные материальные запасы</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993,1</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1.160,7</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895,9</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-264,8</w:t>
            </w:r>
          </w:p>
        </w:tc>
        <w:tc>
          <w:tcPr>
            <w:tcW w:w="113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77,2</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867,1</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28,8</w:t>
            </w:r>
          </w:p>
        </w:tc>
        <w:tc>
          <w:tcPr>
            <w:tcW w:w="1134" w:type="dxa"/>
            <w:gridSpan w:val="2"/>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103,3</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6F53B7" w:rsidRPr="00A77060" w:rsidRDefault="006F53B7" w:rsidP="004D2946">
            <w:pPr>
              <w:jc w:val="left"/>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lastRenderedPageBreak/>
              <w:t xml:space="preserve">Незавершенное производство, готовая продукция, молодняк животных на откорме </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-4,2</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-4,0</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-4,8</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-0,8</w:t>
            </w:r>
          </w:p>
        </w:tc>
        <w:tc>
          <w:tcPr>
            <w:tcW w:w="113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119,7</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-4,6</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-0,2</w:t>
            </w:r>
          </w:p>
        </w:tc>
        <w:tc>
          <w:tcPr>
            <w:tcW w:w="1134" w:type="dxa"/>
            <w:gridSpan w:val="2"/>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104,2</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3964" w:type="dxa"/>
          </w:tcPr>
          <w:p w:rsidR="006F53B7" w:rsidRPr="00A77060" w:rsidRDefault="006F53B7" w:rsidP="004D2946">
            <w:pPr>
              <w:jc w:val="left"/>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Товары </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32,0</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30,2</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19,0</w:t>
            </w:r>
          </w:p>
        </w:tc>
        <w:tc>
          <w:tcPr>
            <w:tcW w:w="99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-11,2</w:t>
            </w:r>
          </w:p>
        </w:tc>
        <w:tc>
          <w:tcPr>
            <w:tcW w:w="113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63,0</w:t>
            </w:r>
          </w:p>
        </w:tc>
        <w:tc>
          <w:tcPr>
            <w:tcW w:w="992" w:type="dxa"/>
            <w:gridSpan w:val="2"/>
            <w:tcBorders>
              <w:top w:val="single" w:sz="8" w:space="0" w:color="999999"/>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36,4</w:t>
            </w:r>
          </w:p>
        </w:tc>
        <w:tc>
          <w:tcPr>
            <w:tcW w:w="99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-17,3</w:t>
            </w:r>
          </w:p>
        </w:tc>
        <w:tc>
          <w:tcPr>
            <w:tcW w:w="1134" w:type="dxa"/>
            <w:gridSpan w:val="2"/>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52,3</w:t>
            </w:r>
          </w:p>
        </w:tc>
      </w:tr>
    </w:tbl>
    <w:p w:rsidR="006F53B7" w:rsidRPr="00A77060" w:rsidRDefault="006F53B7" w:rsidP="00EF78AC">
      <w:pPr>
        <w:spacing w:after="0" w:line="276" w:lineRule="auto"/>
        <w:ind w:firstLine="720"/>
        <w:rPr>
          <w:rFonts w:ascii="Calibri Light" w:eastAsia="Times New Roman" w:hAnsi="Calibri Light" w:cstheme="majorHAnsi"/>
          <w:b/>
          <w:i/>
          <w:sz w:val="20"/>
          <w:szCs w:val="24"/>
          <w:lang w:val="ru-RU" w:eastAsia="ru-RU"/>
        </w:rPr>
      </w:pPr>
      <w:r w:rsidRPr="00A77060">
        <w:rPr>
          <w:rFonts w:ascii="Calibri Light" w:hAnsi="Calibri Light" w:cstheme="majorHAnsi"/>
          <w:b/>
          <w:i/>
          <w:sz w:val="20"/>
          <w:szCs w:val="20"/>
          <w:lang w:val="ru-RU"/>
        </w:rPr>
        <w:t>Источник:</w:t>
      </w:r>
      <w:r w:rsidRPr="00A77060">
        <w:rPr>
          <w:rFonts w:ascii="Calibri Light" w:hAnsi="Calibri Light" w:cstheme="majorHAnsi"/>
          <w:sz w:val="20"/>
          <w:szCs w:val="20"/>
          <w:lang w:val="ru-RU"/>
        </w:rPr>
        <w:t xml:space="preserve"> </w:t>
      </w:r>
      <w:r w:rsidRPr="00A77060">
        <w:rPr>
          <w:rFonts w:ascii="Calibri Light" w:hAnsi="Calibri Light" w:cstheme="majorHAnsi"/>
          <w:i/>
          <w:sz w:val="20"/>
          <w:szCs w:val="20"/>
          <w:lang w:val="ru-RU"/>
        </w:rPr>
        <w:t>Данные</w:t>
      </w:r>
      <w:r w:rsidRPr="00A77060">
        <w:rPr>
          <w:rFonts w:ascii="Calibri Light" w:hAnsi="Calibri Light" w:cstheme="majorHAnsi"/>
          <w:sz w:val="20"/>
          <w:szCs w:val="20"/>
          <w:lang w:val="ru-RU"/>
        </w:rPr>
        <w:t xml:space="preserve"> </w:t>
      </w:r>
      <w:r w:rsidRPr="00A77060">
        <w:rPr>
          <w:rFonts w:ascii="Calibri Light" w:eastAsia="MS Mincho" w:hAnsi="Calibri Light" w:cstheme="majorHAnsi"/>
          <w:i/>
          <w:sz w:val="20"/>
          <w:szCs w:val="20"/>
          <w:lang w:val="ru-RU" w:eastAsia="ja-JP"/>
        </w:rPr>
        <w:t xml:space="preserve">обобщены аудиторской группой согласно </w:t>
      </w:r>
      <w:proofErr w:type="gramStart"/>
      <w:r w:rsidRPr="00A77060">
        <w:rPr>
          <w:rFonts w:ascii="Calibri Light" w:eastAsia="MS Mincho" w:hAnsi="Calibri Light" w:cstheme="majorHAnsi"/>
          <w:i/>
          <w:sz w:val="20"/>
          <w:szCs w:val="20"/>
          <w:lang w:val="ru-RU" w:eastAsia="ja-JP"/>
        </w:rPr>
        <w:t>Отчету</w:t>
      </w:r>
      <w:proofErr w:type="gramEnd"/>
      <w:r w:rsidRPr="00A77060">
        <w:rPr>
          <w:rFonts w:ascii="Calibri Light" w:eastAsia="MS Mincho" w:hAnsi="Calibri Light" w:cstheme="majorHAnsi"/>
          <w:i/>
          <w:sz w:val="20"/>
          <w:szCs w:val="20"/>
          <w:lang w:val="ru-RU" w:eastAsia="ja-JP"/>
        </w:rPr>
        <w:t xml:space="preserve"> об исполнении государственного бюджета за </w:t>
      </w:r>
      <w:r w:rsidRPr="00A77060">
        <w:rPr>
          <w:rFonts w:ascii="Calibri Light" w:eastAsia="Times New Roman" w:hAnsi="Calibri Light" w:cstheme="majorHAnsi"/>
          <w:i/>
          <w:sz w:val="20"/>
          <w:szCs w:val="24"/>
          <w:lang w:val="ru-RU" w:eastAsia="ru-RU"/>
        </w:rPr>
        <w:t>2020 год, Форма №8.</w:t>
      </w:r>
    </w:p>
    <w:p w:rsidR="006F53B7" w:rsidRPr="00A77060" w:rsidRDefault="006F53B7" w:rsidP="004D2946">
      <w:pPr>
        <w:spacing w:after="0" w:line="276" w:lineRule="auto"/>
        <w:rPr>
          <w:rFonts w:ascii="Calibri Light" w:eastAsia="Times New Roman" w:hAnsi="Calibri Light" w:cstheme="majorHAnsi"/>
          <w:i/>
          <w:sz w:val="20"/>
          <w:szCs w:val="24"/>
          <w:lang w:val="ru-RU" w:eastAsia="ru-RU"/>
        </w:rPr>
      </w:pPr>
    </w:p>
    <w:p w:rsidR="006F53B7" w:rsidRPr="00A77060" w:rsidRDefault="006F53B7" w:rsidP="004D2946">
      <w:pPr>
        <w:shd w:val="clear" w:color="auto" w:fill="FFFFFF" w:themeFill="background1"/>
        <w:tabs>
          <w:tab w:val="left" w:pos="284"/>
          <w:tab w:val="left" w:pos="993"/>
          <w:tab w:val="left" w:pos="6663"/>
        </w:tabs>
        <w:spacing w:after="0" w:line="276" w:lineRule="auto"/>
        <w:contextualSpacing/>
        <w:jc w:val="right"/>
        <w:rPr>
          <w:rFonts w:ascii="Calibri Light" w:eastAsia="Times New Roman" w:hAnsi="Calibri Light" w:cstheme="majorHAnsi"/>
          <w:b/>
          <w:sz w:val="24"/>
          <w:szCs w:val="24"/>
          <w:lang w:val="ru-RU"/>
        </w:rPr>
      </w:pPr>
      <w:r w:rsidRPr="00A77060">
        <w:rPr>
          <w:rFonts w:ascii="Calibri Light" w:eastAsia="Times New Roman" w:hAnsi="Calibri Light" w:cstheme="majorHAnsi"/>
          <w:b/>
          <w:sz w:val="24"/>
          <w:szCs w:val="24"/>
          <w:lang w:val="ru-RU"/>
        </w:rPr>
        <w:t>Приложение №11</w:t>
      </w:r>
    </w:p>
    <w:p w:rsidR="006F53B7" w:rsidRPr="00A77060" w:rsidRDefault="006F53B7" w:rsidP="004D2946">
      <w:pPr>
        <w:spacing w:after="0" w:line="276" w:lineRule="auto"/>
        <w:jc w:val="center"/>
        <w:rPr>
          <w:rFonts w:ascii="Calibri Light" w:eastAsia="Times New Roman" w:hAnsi="Calibri Light" w:cstheme="majorHAnsi"/>
          <w:b/>
          <w:sz w:val="24"/>
          <w:szCs w:val="24"/>
          <w:lang w:val="ru-RU" w:eastAsia="ru-RU"/>
        </w:rPr>
      </w:pPr>
      <w:r w:rsidRPr="00A77060">
        <w:rPr>
          <w:rFonts w:ascii="Calibri Light" w:eastAsia="Times New Roman" w:hAnsi="Calibri Light" w:cstheme="majorHAnsi"/>
          <w:b/>
          <w:sz w:val="24"/>
          <w:szCs w:val="24"/>
          <w:lang w:val="ru-RU" w:eastAsia="ru-RU"/>
        </w:rPr>
        <w:t xml:space="preserve">Анализ исполнения расходов государственного бюджета согласно функциональной классификации за 2020 год </w:t>
      </w:r>
    </w:p>
    <w:p w:rsidR="006F53B7" w:rsidRPr="00A77060" w:rsidRDefault="006F53B7" w:rsidP="004D2946">
      <w:pPr>
        <w:spacing w:after="0" w:line="276" w:lineRule="auto"/>
        <w:jc w:val="center"/>
        <w:rPr>
          <w:rFonts w:ascii="Calibri Light" w:eastAsia="Times New Roman" w:hAnsi="Calibri Light" w:cstheme="majorHAnsi"/>
          <w:b/>
          <w:sz w:val="24"/>
          <w:szCs w:val="24"/>
          <w:lang w:val="ru-RU" w:eastAsia="ru-RU"/>
        </w:rPr>
      </w:pPr>
      <w:r w:rsidRPr="00A77060">
        <w:rPr>
          <w:rFonts w:ascii="Calibri Light" w:eastAsia="Times New Roman" w:hAnsi="Calibri Light" w:cstheme="majorHAnsi"/>
          <w:b/>
          <w:sz w:val="24"/>
          <w:szCs w:val="24"/>
          <w:lang w:val="ru-RU" w:eastAsia="ru-RU"/>
        </w:rPr>
        <w:t xml:space="preserve">по сравнению с 2019 годом </w:t>
      </w:r>
    </w:p>
    <w:p w:rsidR="006F53B7" w:rsidRPr="00A77060" w:rsidRDefault="006F53B7" w:rsidP="004D2946">
      <w:pPr>
        <w:spacing w:after="0" w:line="276" w:lineRule="auto"/>
        <w:jc w:val="right"/>
        <w:rPr>
          <w:rFonts w:ascii="Calibri Light" w:eastAsia="Times New Roman" w:hAnsi="Calibri Light" w:cstheme="majorHAnsi"/>
          <w:b/>
          <w:sz w:val="24"/>
          <w:szCs w:val="24"/>
          <w:lang w:val="ru-RU" w:eastAsia="ru-RU"/>
        </w:rPr>
      </w:pPr>
      <w:r w:rsidRPr="00A77060">
        <w:rPr>
          <w:rFonts w:ascii="Calibri Light" w:eastAsia="Times New Roman" w:hAnsi="Calibri Light" w:cstheme="majorHAnsi"/>
          <w:b/>
          <w:sz w:val="24"/>
          <w:szCs w:val="24"/>
          <w:lang w:val="ru-RU" w:eastAsia="ru-RU"/>
        </w:rPr>
        <w:t xml:space="preserve"> (</w:t>
      </w:r>
      <w:r w:rsidRPr="00A77060">
        <w:rPr>
          <w:rFonts w:ascii="Calibri Light" w:eastAsia="Times New Roman" w:hAnsi="Calibri Light" w:cstheme="majorHAnsi"/>
          <w:b/>
          <w:iCs/>
          <w:color w:val="000000"/>
          <w:spacing w:val="2"/>
          <w:sz w:val="24"/>
          <w:szCs w:val="24"/>
          <w:lang w:val="ru-RU" w:eastAsia="ru-RU"/>
        </w:rPr>
        <w:t>млн. леев</w:t>
      </w:r>
      <w:r w:rsidRPr="00A77060">
        <w:rPr>
          <w:rFonts w:ascii="Calibri Light" w:eastAsia="Times New Roman" w:hAnsi="Calibri Light" w:cstheme="majorHAnsi"/>
          <w:b/>
          <w:sz w:val="24"/>
          <w:szCs w:val="24"/>
          <w:lang w:val="ru-RU" w:eastAsia="ru-RU"/>
        </w:rPr>
        <w:t xml:space="preserve"> i)</w:t>
      </w:r>
    </w:p>
    <w:tbl>
      <w:tblPr>
        <w:tblStyle w:val="GridTable1Light12"/>
        <w:tblW w:w="13183" w:type="dxa"/>
        <w:tblInd w:w="279" w:type="dxa"/>
        <w:tblLayout w:type="fixed"/>
        <w:tblLook w:val="04A0" w:firstRow="1" w:lastRow="0" w:firstColumn="1" w:lastColumn="0" w:noHBand="0" w:noVBand="1"/>
      </w:tblPr>
      <w:tblGrid>
        <w:gridCol w:w="3969"/>
        <w:gridCol w:w="1002"/>
        <w:gridCol w:w="982"/>
        <w:gridCol w:w="1276"/>
        <w:gridCol w:w="864"/>
        <w:gridCol w:w="979"/>
        <w:gridCol w:w="853"/>
        <w:gridCol w:w="1134"/>
        <w:gridCol w:w="992"/>
        <w:gridCol w:w="1132"/>
      </w:tblGrid>
      <w:tr w:rsidR="006F53B7" w:rsidRPr="007071A4" w:rsidTr="004D2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vMerge w:val="restart"/>
            <w:vAlign w:val="center"/>
          </w:tcPr>
          <w:p w:rsidR="006F53B7" w:rsidRPr="00A77060" w:rsidRDefault="006F53B7" w:rsidP="004D2946">
            <w:pPr>
              <w:jc w:val="center"/>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br w:type="page"/>
              <w:t xml:space="preserve">Показатели </w:t>
            </w:r>
          </w:p>
        </w:tc>
        <w:tc>
          <w:tcPr>
            <w:tcW w:w="1002" w:type="dxa"/>
            <w:vMerge w:val="restart"/>
            <w:vAlign w:val="center"/>
          </w:tcPr>
          <w:p w:rsidR="006F53B7" w:rsidRPr="00A77060" w:rsidRDefault="006F53B7" w:rsidP="004D2946">
            <w:pPr>
              <w:spacing w:line="276" w:lineRule="auto"/>
              <w:ind w:right="-79"/>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 xml:space="preserve">Утверж-дено </w:t>
            </w:r>
          </w:p>
        </w:tc>
        <w:tc>
          <w:tcPr>
            <w:tcW w:w="982" w:type="dxa"/>
            <w:vMerge w:val="restart"/>
            <w:vAlign w:val="center"/>
          </w:tcPr>
          <w:p w:rsidR="006F53B7" w:rsidRPr="00A77060" w:rsidRDefault="006F53B7" w:rsidP="004D2946">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Times New Roman" w:hAnsi="Calibri Light" w:cstheme="majorHAnsi"/>
                <w:sz w:val="20"/>
                <w:szCs w:val="20"/>
                <w:lang w:val="ru-RU" w:eastAsia="ru-RU"/>
              </w:rPr>
              <w:t>Уточне-но</w:t>
            </w:r>
          </w:p>
        </w:tc>
        <w:tc>
          <w:tcPr>
            <w:tcW w:w="1276" w:type="dxa"/>
            <w:vMerge w:val="restart"/>
            <w:vAlign w:val="center"/>
          </w:tcPr>
          <w:p w:rsidR="006F53B7" w:rsidRPr="00A77060" w:rsidRDefault="006F53B7" w:rsidP="004D2946">
            <w:pPr>
              <w:ind w:right="-124"/>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Исполнено в 2020 году</w:t>
            </w:r>
          </w:p>
        </w:tc>
        <w:tc>
          <w:tcPr>
            <w:tcW w:w="864" w:type="dxa"/>
            <w:vMerge w:val="restart"/>
            <w:vAlign w:val="center"/>
          </w:tcPr>
          <w:p w:rsidR="006F53B7" w:rsidRPr="00A77060" w:rsidRDefault="006F53B7" w:rsidP="004D2946">
            <w:pPr>
              <w:ind w:right="-106"/>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Удельный вес в общих расходах  </w:t>
            </w:r>
          </w:p>
        </w:tc>
        <w:tc>
          <w:tcPr>
            <w:tcW w:w="1832" w:type="dxa"/>
            <w:gridSpan w:val="2"/>
            <w:vAlign w:val="center"/>
          </w:tcPr>
          <w:p w:rsidR="006F53B7" w:rsidRPr="00A77060" w:rsidRDefault="006F53B7" w:rsidP="004D2946">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Исполнено против уточненного за год </w:t>
            </w:r>
          </w:p>
        </w:tc>
        <w:tc>
          <w:tcPr>
            <w:tcW w:w="1134" w:type="dxa"/>
            <w:vMerge w:val="restart"/>
            <w:vAlign w:val="center"/>
          </w:tcPr>
          <w:p w:rsidR="006F53B7" w:rsidRPr="00A77060" w:rsidRDefault="006F53B7" w:rsidP="004D2946">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Исполнено в 2019 году</w:t>
            </w:r>
          </w:p>
        </w:tc>
        <w:tc>
          <w:tcPr>
            <w:tcW w:w="2124" w:type="dxa"/>
            <w:gridSpan w:val="2"/>
            <w:vAlign w:val="center"/>
          </w:tcPr>
          <w:p w:rsidR="006F53B7" w:rsidRPr="00A77060" w:rsidRDefault="006F53B7" w:rsidP="004D2946">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Исполнено в текущем году против предыдущего  </w:t>
            </w:r>
          </w:p>
        </w:tc>
      </w:tr>
      <w:tr w:rsidR="006F53B7" w:rsidRPr="00A77060" w:rsidTr="004D2946">
        <w:tc>
          <w:tcPr>
            <w:cnfStyle w:val="001000000000" w:firstRow="0" w:lastRow="0" w:firstColumn="1" w:lastColumn="0" w:oddVBand="0" w:evenVBand="0" w:oddHBand="0" w:evenHBand="0" w:firstRowFirstColumn="0" w:firstRowLastColumn="0" w:lastRowFirstColumn="0" w:lastRowLastColumn="0"/>
            <w:tcW w:w="3969" w:type="dxa"/>
            <w:vMerge/>
            <w:vAlign w:val="center"/>
          </w:tcPr>
          <w:p w:rsidR="006F53B7" w:rsidRPr="00A77060" w:rsidRDefault="006F53B7" w:rsidP="004D2946">
            <w:pPr>
              <w:jc w:val="center"/>
              <w:rPr>
                <w:rFonts w:ascii="Calibri Light" w:eastAsia="Times New Roman" w:hAnsi="Calibri Light" w:cstheme="majorHAnsi"/>
                <w:sz w:val="20"/>
                <w:szCs w:val="20"/>
                <w:lang w:val="ru-RU" w:eastAsia="ru-RU"/>
              </w:rPr>
            </w:pPr>
          </w:p>
        </w:tc>
        <w:tc>
          <w:tcPr>
            <w:tcW w:w="1002" w:type="dxa"/>
            <w:vMerge/>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982" w:type="dxa"/>
            <w:vMerge/>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1276" w:type="dxa"/>
            <w:vMerge/>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864" w:type="dxa"/>
            <w:vMerge/>
          </w:tcPr>
          <w:p w:rsidR="006F53B7" w:rsidRPr="00A77060" w:rsidRDefault="006F53B7" w:rsidP="004D2946">
            <w:pPr>
              <w:ind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979" w:type="dxa"/>
            <w:vAlign w:val="center"/>
          </w:tcPr>
          <w:p w:rsidR="006F53B7" w:rsidRPr="00A77060" w:rsidRDefault="006F53B7" w:rsidP="004D2946">
            <w:pPr>
              <w:ind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A77060">
              <w:rPr>
                <w:rFonts w:ascii="Calibri Light" w:eastAsia="Times New Roman" w:hAnsi="Calibri Light" w:cstheme="majorHAnsi"/>
                <w:b/>
                <w:sz w:val="20"/>
                <w:szCs w:val="20"/>
                <w:lang w:val="ru-RU" w:eastAsia="ru-RU"/>
              </w:rPr>
              <w:t>отклонения (+/-)</w:t>
            </w:r>
          </w:p>
        </w:tc>
        <w:tc>
          <w:tcPr>
            <w:tcW w:w="853"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A77060">
              <w:rPr>
                <w:rFonts w:ascii="Calibri Light" w:eastAsia="Times New Roman" w:hAnsi="Calibri Light" w:cstheme="majorHAnsi"/>
                <w:b/>
                <w:sz w:val="20"/>
                <w:szCs w:val="20"/>
                <w:lang w:val="ru-RU" w:eastAsia="ru-RU"/>
              </w:rPr>
              <w:t>в %</w:t>
            </w:r>
          </w:p>
        </w:tc>
        <w:tc>
          <w:tcPr>
            <w:tcW w:w="1134" w:type="dxa"/>
            <w:vMerge/>
            <w:vAlign w:val="center"/>
          </w:tcPr>
          <w:p w:rsidR="006F53B7" w:rsidRPr="00A77060" w:rsidRDefault="006F53B7" w:rsidP="004D2946">
            <w:pPr>
              <w:ind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p>
        </w:tc>
        <w:tc>
          <w:tcPr>
            <w:tcW w:w="992" w:type="dxa"/>
            <w:vAlign w:val="center"/>
          </w:tcPr>
          <w:p w:rsidR="006F53B7" w:rsidRPr="00A77060" w:rsidRDefault="006F53B7" w:rsidP="004D2946">
            <w:pPr>
              <w:ind w:right="-113"/>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A77060">
              <w:rPr>
                <w:rFonts w:ascii="Calibri Light" w:eastAsia="Times New Roman" w:hAnsi="Calibri Light" w:cstheme="majorHAnsi"/>
                <w:b/>
                <w:sz w:val="20"/>
                <w:szCs w:val="20"/>
                <w:lang w:val="ru-RU" w:eastAsia="ru-RU"/>
              </w:rPr>
              <w:t>отклонения (+/-)</w:t>
            </w:r>
          </w:p>
        </w:tc>
        <w:tc>
          <w:tcPr>
            <w:tcW w:w="1132"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sz w:val="20"/>
                <w:szCs w:val="20"/>
                <w:lang w:val="ru-RU" w:eastAsia="ru-RU"/>
              </w:rPr>
            </w:pPr>
            <w:r w:rsidRPr="00A77060">
              <w:rPr>
                <w:rFonts w:ascii="Calibri Light" w:eastAsia="Times New Roman" w:hAnsi="Calibri Light" w:cstheme="majorHAnsi"/>
                <w:b/>
                <w:sz w:val="20"/>
                <w:szCs w:val="20"/>
                <w:lang w:val="ru-RU" w:eastAsia="ru-RU"/>
              </w:rPr>
              <w:t>в %</w:t>
            </w:r>
          </w:p>
        </w:tc>
      </w:tr>
      <w:tr w:rsidR="006F53B7" w:rsidRPr="00A77060" w:rsidTr="004D2946">
        <w:tc>
          <w:tcPr>
            <w:cnfStyle w:val="001000000000" w:firstRow="0" w:lastRow="0" w:firstColumn="1" w:lastColumn="0" w:oddVBand="0" w:evenVBand="0" w:oddHBand="0" w:evenHBand="0" w:firstRowFirstColumn="0" w:firstRowLastColumn="0" w:lastRowFirstColumn="0" w:lastRowLastColumn="0"/>
            <w:tcW w:w="3969" w:type="dxa"/>
          </w:tcPr>
          <w:p w:rsidR="006F53B7" w:rsidRPr="00A77060" w:rsidRDefault="006F53B7" w:rsidP="004D2946">
            <w:pPr>
              <w:ind w:right="-105"/>
              <w:jc w:val="center"/>
              <w:rPr>
                <w:rFonts w:ascii="Calibri Light" w:eastAsia="Times New Roman" w:hAnsi="Calibri Light" w:cstheme="majorHAnsi"/>
                <w:b w:val="0"/>
                <w:i/>
                <w:sz w:val="16"/>
                <w:szCs w:val="16"/>
                <w:lang w:val="ru-RU" w:eastAsia="ru-RU"/>
              </w:rPr>
            </w:pPr>
            <w:r w:rsidRPr="00A77060">
              <w:rPr>
                <w:rFonts w:ascii="Calibri Light" w:eastAsia="Times New Roman" w:hAnsi="Calibri Light" w:cstheme="majorHAnsi"/>
                <w:b w:val="0"/>
                <w:i/>
                <w:sz w:val="16"/>
                <w:szCs w:val="16"/>
                <w:lang w:val="ru-RU" w:eastAsia="ru-RU"/>
              </w:rPr>
              <w:t>1</w:t>
            </w:r>
          </w:p>
        </w:tc>
        <w:tc>
          <w:tcPr>
            <w:tcW w:w="1002" w:type="dxa"/>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6"/>
                <w:szCs w:val="16"/>
                <w:lang w:val="ru-RU"/>
              </w:rPr>
            </w:pPr>
            <w:r w:rsidRPr="00A77060">
              <w:rPr>
                <w:rFonts w:ascii="Calibri Light" w:eastAsia="Times New Roman" w:hAnsi="Calibri Light" w:cstheme="majorHAnsi"/>
                <w:i/>
                <w:color w:val="000000"/>
                <w:sz w:val="16"/>
                <w:szCs w:val="16"/>
                <w:lang w:val="ru-RU"/>
              </w:rPr>
              <w:t>2</w:t>
            </w:r>
          </w:p>
        </w:tc>
        <w:tc>
          <w:tcPr>
            <w:tcW w:w="982" w:type="dxa"/>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color w:val="000000"/>
                <w:sz w:val="16"/>
                <w:szCs w:val="16"/>
                <w:lang w:val="ru-RU"/>
              </w:rPr>
            </w:pPr>
            <w:r w:rsidRPr="00A77060">
              <w:rPr>
                <w:rFonts w:ascii="Calibri Light" w:eastAsia="Times New Roman" w:hAnsi="Calibri Light" w:cstheme="majorHAnsi"/>
                <w:i/>
                <w:color w:val="000000"/>
                <w:sz w:val="16"/>
                <w:szCs w:val="16"/>
                <w:lang w:val="ru-RU"/>
              </w:rPr>
              <w:t>3</w:t>
            </w:r>
          </w:p>
        </w:tc>
        <w:tc>
          <w:tcPr>
            <w:tcW w:w="1276" w:type="dxa"/>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
                <w:sz w:val="16"/>
                <w:szCs w:val="16"/>
                <w:lang w:val="ru-RU" w:eastAsia="ru-RU"/>
              </w:rPr>
            </w:pPr>
            <w:r w:rsidRPr="00A77060">
              <w:rPr>
                <w:rFonts w:ascii="Calibri Light" w:eastAsia="Times New Roman" w:hAnsi="Calibri Light" w:cstheme="majorHAnsi"/>
                <w:i/>
                <w:sz w:val="16"/>
                <w:szCs w:val="16"/>
                <w:lang w:val="ru-RU" w:eastAsia="ru-RU"/>
              </w:rPr>
              <w:t>4</w:t>
            </w:r>
          </w:p>
        </w:tc>
        <w:tc>
          <w:tcPr>
            <w:tcW w:w="864" w:type="dxa"/>
          </w:tcPr>
          <w:p w:rsidR="006F53B7" w:rsidRPr="00A77060" w:rsidRDefault="006F53B7" w:rsidP="004D2946">
            <w:pPr>
              <w:ind w:right="-3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color w:val="000000"/>
                <w:sz w:val="16"/>
                <w:szCs w:val="16"/>
                <w:lang w:val="ru-RU"/>
              </w:rPr>
            </w:pPr>
            <w:r w:rsidRPr="00A77060">
              <w:rPr>
                <w:rFonts w:ascii="Calibri Light" w:eastAsia="Times New Roman" w:hAnsi="Calibri Light" w:cstheme="majorHAnsi"/>
                <w:bCs/>
                <w:i/>
                <w:color w:val="000000"/>
                <w:sz w:val="16"/>
                <w:szCs w:val="16"/>
                <w:lang w:val="ru-RU"/>
              </w:rPr>
              <w:t>5</w:t>
            </w:r>
          </w:p>
        </w:tc>
        <w:tc>
          <w:tcPr>
            <w:tcW w:w="979" w:type="dxa"/>
          </w:tcPr>
          <w:p w:rsidR="006F53B7" w:rsidRPr="00A77060" w:rsidRDefault="006F53B7" w:rsidP="004D2946">
            <w:pPr>
              <w:ind w:right="-3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color w:val="000000"/>
                <w:sz w:val="16"/>
                <w:szCs w:val="16"/>
                <w:lang w:val="ru-RU"/>
              </w:rPr>
            </w:pPr>
            <w:r w:rsidRPr="00A77060">
              <w:rPr>
                <w:rFonts w:ascii="Calibri Light" w:eastAsia="Times New Roman" w:hAnsi="Calibri Light" w:cstheme="majorHAnsi"/>
                <w:bCs/>
                <w:i/>
                <w:color w:val="000000"/>
                <w:sz w:val="16"/>
                <w:szCs w:val="16"/>
                <w:lang w:val="ru-RU"/>
              </w:rPr>
              <w:t>6=4-3</w:t>
            </w:r>
          </w:p>
        </w:tc>
        <w:tc>
          <w:tcPr>
            <w:tcW w:w="853" w:type="dxa"/>
          </w:tcPr>
          <w:p w:rsidR="006F53B7" w:rsidRPr="00A77060" w:rsidRDefault="006F53B7" w:rsidP="004D2946">
            <w:pPr>
              <w:ind w:right="-111"/>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A77060">
              <w:rPr>
                <w:rFonts w:ascii="Calibri Light" w:hAnsi="Calibri Light" w:cstheme="majorHAnsi"/>
                <w:i/>
                <w:sz w:val="16"/>
                <w:szCs w:val="16"/>
                <w:lang w:val="ru-RU"/>
              </w:rPr>
              <w:t>7=4/3*100</w:t>
            </w:r>
          </w:p>
        </w:tc>
        <w:tc>
          <w:tcPr>
            <w:tcW w:w="1134" w:type="dxa"/>
          </w:tcPr>
          <w:p w:rsidR="006F53B7" w:rsidRPr="00A77060" w:rsidRDefault="006F53B7" w:rsidP="004D2946">
            <w:pPr>
              <w:ind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A77060">
              <w:rPr>
                <w:rFonts w:ascii="Calibri Light" w:hAnsi="Calibri Light" w:cstheme="majorHAnsi"/>
                <w:i/>
                <w:sz w:val="16"/>
                <w:szCs w:val="16"/>
                <w:lang w:val="ru-RU"/>
              </w:rPr>
              <w:t>8</w:t>
            </w:r>
          </w:p>
        </w:tc>
        <w:tc>
          <w:tcPr>
            <w:tcW w:w="992" w:type="dxa"/>
          </w:tcPr>
          <w:p w:rsidR="006F53B7" w:rsidRPr="00A77060" w:rsidRDefault="006F53B7" w:rsidP="004D2946">
            <w:pPr>
              <w:ind w:right="-113"/>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A77060">
              <w:rPr>
                <w:rFonts w:ascii="Calibri Light" w:hAnsi="Calibri Light" w:cstheme="majorHAnsi"/>
                <w:i/>
                <w:sz w:val="16"/>
                <w:szCs w:val="16"/>
                <w:lang w:val="ru-RU"/>
              </w:rPr>
              <w:t>9=4-8</w:t>
            </w:r>
          </w:p>
        </w:tc>
        <w:tc>
          <w:tcPr>
            <w:tcW w:w="1132" w:type="dxa"/>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theme="majorHAnsi"/>
                <w:i/>
                <w:sz w:val="16"/>
                <w:szCs w:val="16"/>
                <w:lang w:val="ru-RU"/>
              </w:rPr>
            </w:pPr>
            <w:r w:rsidRPr="00A77060">
              <w:rPr>
                <w:rFonts w:ascii="Calibri Light" w:hAnsi="Calibri Light" w:cstheme="majorHAnsi"/>
                <w:i/>
                <w:sz w:val="16"/>
                <w:szCs w:val="16"/>
                <w:lang w:val="ru-RU"/>
              </w:rPr>
              <w:t>10=4/8*100</w:t>
            </w:r>
          </w:p>
        </w:tc>
      </w:tr>
      <w:tr w:rsidR="004D2946" w:rsidRPr="00A77060" w:rsidTr="004D2946">
        <w:tc>
          <w:tcPr>
            <w:cnfStyle w:val="001000000000" w:firstRow="0" w:lastRow="0" w:firstColumn="1" w:lastColumn="0" w:oddVBand="0" w:evenVBand="0" w:oddHBand="0" w:evenHBand="0" w:firstRowFirstColumn="0" w:firstRowLastColumn="0" w:lastRowFirstColumn="0" w:lastRowLastColumn="0"/>
            <w:tcW w:w="3969" w:type="dxa"/>
          </w:tcPr>
          <w:p w:rsidR="006F53B7" w:rsidRPr="00A77060" w:rsidRDefault="006F53B7" w:rsidP="004D2946">
            <w:pPr>
              <w:ind w:right="-105"/>
              <w:jc w:val="left"/>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РАСХОДЫ, всего:</w:t>
            </w:r>
          </w:p>
        </w:tc>
        <w:tc>
          <w:tcPr>
            <w:tcW w:w="100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A77060">
              <w:rPr>
                <w:rFonts w:ascii="Calibri Light" w:hAnsi="Calibri Light" w:cstheme="majorHAnsi"/>
                <w:b/>
                <w:bCs/>
                <w:sz w:val="20"/>
                <w:szCs w:val="20"/>
                <w:lang w:val="ru-RU"/>
              </w:rPr>
              <w:t>51.551,9</w:t>
            </w:r>
          </w:p>
        </w:tc>
        <w:tc>
          <w:tcPr>
            <w:tcW w:w="98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A77060">
              <w:rPr>
                <w:rFonts w:ascii="Calibri Light" w:hAnsi="Calibri Light" w:cstheme="majorHAnsi"/>
                <w:b/>
                <w:bCs/>
                <w:sz w:val="20"/>
                <w:szCs w:val="20"/>
                <w:lang w:val="ru-RU"/>
              </w:rPr>
              <w:t>53.280,6</w:t>
            </w:r>
          </w:p>
        </w:tc>
        <w:tc>
          <w:tcPr>
            <w:tcW w:w="1276"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A77060">
              <w:rPr>
                <w:rFonts w:ascii="Calibri Light" w:hAnsi="Calibri Light" w:cstheme="majorHAnsi"/>
                <w:b/>
                <w:bCs/>
                <w:sz w:val="20"/>
                <w:szCs w:val="20"/>
                <w:lang w:val="ru-RU"/>
              </w:rPr>
              <w:t>49.635,4</w:t>
            </w:r>
          </w:p>
        </w:tc>
        <w:tc>
          <w:tcPr>
            <w:tcW w:w="864" w:type="dxa"/>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color w:val="000000"/>
                <w:sz w:val="20"/>
                <w:szCs w:val="20"/>
                <w:lang w:val="ru-RU"/>
              </w:rPr>
            </w:pPr>
            <w:r w:rsidRPr="00A77060">
              <w:rPr>
                <w:rFonts w:ascii="Calibri Light" w:hAnsi="Calibri Light" w:cstheme="majorHAnsi"/>
                <w:b/>
                <w:bCs/>
                <w:color w:val="000000"/>
                <w:sz w:val="20"/>
                <w:szCs w:val="20"/>
                <w:lang w:val="ru-RU"/>
              </w:rPr>
              <w:t>100%</w:t>
            </w:r>
          </w:p>
        </w:tc>
        <w:tc>
          <w:tcPr>
            <w:tcW w:w="979"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-3.645,2</w:t>
            </w:r>
          </w:p>
        </w:tc>
        <w:tc>
          <w:tcPr>
            <w:tcW w:w="85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93,2</w:t>
            </w:r>
          </w:p>
        </w:tc>
        <w:tc>
          <w:tcPr>
            <w:tcW w:w="1134"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
                <w:bCs/>
                <w:sz w:val="20"/>
                <w:szCs w:val="20"/>
                <w:lang w:val="ru-RU"/>
              </w:rPr>
            </w:pPr>
            <w:r w:rsidRPr="00A77060">
              <w:rPr>
                <w:rFonts w:ascii="Calibri Light" w:hAnsi="Calibri Light" w:cstheme="majorHAnsi"/>
                <w:b/>
                <w:bCs/>
                <w:sz w:val="20"/>
                <w:szCs w:val="20"/>
                <w:lang w:val="ru-RU"/>
              </w:rPr>
              <w:t>43.073,9</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6.561,50</w:t>
            </w:r>
          </w:p>
        </w:tc>
        <w:tc>
          <w:tcPr>
            <w:tcW w:w="113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color w:val="000000"/>
                <w:sz w:val="20"/>
                <w:szCs w:val="20"/>
                <w:lang w:val="ru-RU"/>
              </w:rPr>
            </w:pPr>
            <w:r w:rsidRPr="00A77060">
              <w:rPr>
                <w:rFonts w:ascii="Calibri Light" w:hAnsi="Calibri Light" w:cs="Calibri Light"/>
                <w:b/>
                <w:bCs/>
                <w:color w:val="000000"/>
                <w:sz w:val="20"/>
                <w:szCs w:val="20"/>
                <w:lang w:val="ru-RU"/>
              </w:rPr>
              <w:t>115,2</w:t>
            </w:r>
          </w:p>
        </w:tc>
      </w:tr>
      <w:tr w:rsidR="006F53B7" w:rsidRPr="00A77060" w:rsidTr="004D2946">
        <w:tc>
          <w:tcPr>
            <w:cnfStyle w:val="001000000000" w:firstRow="0" w:lastRow="0" w:firstColumn="1" w:lastColumn="0" w:oddVBand="0" w:evenVBand="0" w:oddHBand="0" w:evenHBand="0" w:firstRowFirstColumn="0" w:firstRowLastColumn="0" w:lastRowFirstColumn="0" w:lastRowLastColumn="0"/>
            <w:tcW w:w="3969" w:type="dxa"/>
          </w:tcPr>
          <w:p w:rsidR="006F53B7" w:rsidRPr="00A77060" w:rsidRDefault="006F53B7" w:rsidP="004D2946">
            <w:pPr>
              <w:ind w:right="37"/>
              <w:jc w:val="left"/>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Государственные услуги общего назначения  </w:t>
            </w:r>
          </w:p>
        </w:tc>
        <w:tc>
          <w:tcPr>
            <w:tcW w:w="100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7.965,6</w:t>
            </w:r>
          </w:p>
        </w:tc>
        <w:tc>
          <w:tcPr>
            <w:tcW w:w="98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8.290,8</w:t>
            </w:r>
          </w:p>
        </w:tc>
        <w:tc>
          <w:tcPr>
            <w:tcW w:w="1276"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7.622,5</w:t>
            </w:r>
          </w:p>
        </w:tc>
        <w:tc>
          <w:tcPr>
            <w:tcW w:w="864"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15,4</w:t>
            </w:r>
          </w:p>
        </w:tc>
        <w:tc>
          <w:tcPr>
            <w:tcW w:w="979"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-668,3</w:t>
            </w:r>
          </w:p>
        </w:tc>
        <w:tc>
          <w:tcPr>
            <w:tcW w:w="85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91,9</w:t>
            </w:r>
          </w:p>
        </w:tc>
        <w:tc>
          <w:tcPr>
            <w:tcW w:w="1134"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7.147,8</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474,7</w:t>
            </w:r>
          </w:p>
        </w:tc>
        <w:tc>
          <w:tcPr>
            <w:tcW w:w="113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106,6</w:t>
            </w:r>
          </w:p>
        </w:tc>
      </w:tr>
      <w:tr w:rsidR="004D2946" w:rsidRPr="00A77060" w:rsidTr="004D2946">
        <w:tc>
          <w:tcPr>
            <w:cnfStyle w:val="001000000000" w:firstRow="0" w:lastRow="0" w:firstColumn="1" w:lastColumn="0" w:oddVBand="0" w:evenVBand="0" w:oddHBand="0" w:evenHBand="0" w:firstRowFirstColumn="0" w:firstRowLastColumn="0" w:lastRowFirstColumn="0" w:lastRowLastColumn="0"/>
            <w:tcW w:w="3969" w:type="dxa"/>
            <w:vAlign w:val="bottom"/>
          </w:tcPr>
          <w:p w:rsidR="006F53B7" w:rsidRPr="00A77060" w:rsidRDefault="006F53B7" w:rsidP="004D2946">
            <w:pP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eastAsia="ru-RU"/>
              </w:rPr>
              <w:t>Национальная оборона</w:t>
            </w:r>
            <w:r w:rsidRPr="00A77060">
              <w:rPr>
                <w:rFonts w:ascii="Calibri Light" w:eastAsia="Times New Roman" w:hAnsi="Calibri Light" w:cstheme="majorHAnsi"/>
                <w:color w:val="000000"/>
                <w:sz w:val="20"/>
                <w:szCs w:val="20"/>
                <w:lang w:val="ru-RU"/>
              </w:rPr>
              <w:t xml:space="preserve"> </w:t>
            </w:r>
          </w:p>
        </w:tc>
        <w:tc>
          <w:tcPr>
            <w:tcW w:w="100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650,1</w:t>
            </w:r>
          </w:p>
        </w:tc>
        <w:tc>
          <w:tcPr>
            <w:tcW w:w="98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641,9</w:t>
            </w:r>
          </w:p>
        </w:tc>
        <w:tc>
          <w:tcPr>
            <w:tcW w:w="1276"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637,4</w:t>
            </w:r>
          </w:p>
        </w:tc>
        <w:tc>
          <w:tcPr>
            <w:tcW w:w="864"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1,3</w:t>
            </w:r>
          </w:p>
        </w:tc>
        <w:tc>
          <w:tcPr>
            <w:tcW w:w="979"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-4,5</w:t>
            </w:r>
          </w:p>
        </w:tc>
        <w:tc>
          <w:tcPr>
            <w:tcW w:w="85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99,3</w:t>
            </w:r>
          </w:p>
        </w:tc>
        <w:tc>
          <w:tcPr>
            <w:tcW w:w="1134"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598,5</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38,9</w:t>
            </w:r>
          </w:p>
        </w:tc>
        <w:tc>
          <w:tcPr>
            <w:tcW w:w="113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106,5</w:t>
            </w:r>
          </w:p>
        </w:tc>
      </w:tr>
      <w:tr w:rsidR="004D2946" w:rsidRPr="00A77060" w:rsidTr="004D2946">
        <w:tc>
          <w:tcPr>
            <w:cnfStyle w:val="001000000000" w:firstRow="0" w:lastRow="0" w:firstColumn="1" w:lastColumn="0" w:oddVBand="0" w:evenVBand="0" w:oddHBand="0" w:evenHBand="0" w:firstRowFirstColumn="0" w:firstRowLastColumn="0" w:lastRowFirstColumn="0" w:lastRowLastColumn="0"/>
            <w:tcW w:w="3969" w:type="dxa"/>
            <w:vAlign w:val="bottom"/>
          </w:tcPr>
          <w:p w:rsidR="006F53B7" w:rsidRPr="00A77060" w:rsidRDefault="006F53B7" w:rsidP="004D2946">
            <w:pP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eastAsia="ru-RU"/>
              </w:rPr>
              <w:t xml:space="preserve">Общественный порядок и национальная безопасность  </w:t>
            </w:r>
          </w:p>
        </w:tc>
        <w:tc>
          <w:tcPr>
            <w:tcW w:w="100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5.256,1</w:t>
            </w:r>
          </w:p>
        </w:tc>
        <w:tc>
          <w:tcPr>
            <w:tcW w:w="98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4.906,7</w:t>
            </w:r>
          </w:p>
        </w:tc>
        <w:tc>
          <w:tcPr>
            <w:tcW w:w="1276"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4.750,4</w:t>
            </w:r>
          </w:p>
        </w:tc>
        <w:tc>
          <w:tcPr>
            <w:tcW w:w="864"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9,6</w:t>
            </w:r>
          </w:p>
        </w:tc>
        <w:tc>
          <w:tcPr>
            <w:tcW w:w="979"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-156,3</w:t>
            </w:r>
          </w:p>
        </w:tc>
        <w:tc>
          <w:tcPr>
            <w:tcW w:w="85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96,8</w:t>
            </w:r>
          </w:p>
        </w:tc>
        <w:tc>
          <w:tcPr>
            <w:tcW w:w="1134"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4.304,6</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445,8</w:t>
            </w:r>
          </w:p>
        </w:tc>
        <w:tc>
          <w:tcPr>
            <w:tcW w:w="113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110,4</w:t>
            </w:r>
          </w:p>
        </w:tc>
      </w:tr>
      <w:tr w:rsidR="004D2946" w:rsidRPr="00A77060" w:rsidTr="004D2946">
        <w:tc>
          <w:tcPr>
            <w:cnfStyle w:val="001000000000" w:firstRow="0" w:lastRow="0" w:firstColumn="1" w:lastColumn="0" w:oddVBand="0" w:evenVBand="0" w:oddHBand="0" w:evenHBand="0" w:firstRowFirstColumn="0" w:firstRowLastColumn="0" w:lastRowFirstColumn="0" w:lastRowLastColumn="0"/>
            <w:tcW w:w="3969" w:type="dxa"/>
            <w:vAlign w:val="bottom"/>
          </w:tcPr>
          <w:p w:rsidR="006F53B7" w:rsidRPr="00A77060" w:rsidRDefault="006F53B7" w:rsidP="004D2946">
            <w:pP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Услуги в области экономики </w:t>
            </w:r>
          </w:p>
        </w:tc>
        <w:tc>
          <w:tcPr>
            <w:tcW w:w="100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9.635,2</w:t>
            </w:r>
          </w:p>
        </w:tc>
        <w:tc>
          <w:tcPr>
            <w:tcW w:w="98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8.467,7</w:t>
            </w:r>
          </w:p>
        </w:tc>
        <w:tc>
          <w:tcPr>
            <w:tcW w:w="1276"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7.831,7</w:t>
            </w:r>
          </w:p>
        </w:tc>
        <w:tc>
          <w:tcPr>
            <w:tcW w:w="864"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15,8</w:t>
            </w:r>
          </w:p>
        </w:tc>
        <w:tc>
          <w:tcPr>
            <w:tcW w:w="979"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-636,0</w:t>
            </w:r>
          </w:p>
        </w:tc>
        <w:tc>
          <w:tcPr>
            <w:tcW w:w="85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92,5</w:t>
            </w:r>
          </w:p>
        </w:tc>
        <w:tc>
          <w:tcPr>
            <w:tcW w:w="1134"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6.192,6</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1.639,1</w:t>
            </w:r>
          </w:p>
        </w:tc>
        <w:tc>
          <w:tcPr>
            <w:tcW w:w="113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126,5</w:t>
            </w:r>
          </w:p>
        </w:tc>
      </w:tr>
      <w:tr w:rsidR="004D2946" w:rsidRPr="00A77060" w:rsidTr="004D2946">
        <w:tc>
          <w:tcPr>
            <w:cnfStyle w:val="001000000000" w:firstRow="0" w:lastRow="0" w:firstColumn="1" w:lastColumn="0" w:oddVBand="0" w:evenVBand="0" w:oddHBand="0" w:evenHBand="0" w:firstRowFirstColumn="0" w:firstRowLastColumn="0" w:lastRowFirstColumn="0" w:lastRowLastColumn="0"/>
            <w:tcW w:w="3969" w:type="dxa"/>
            <w:vAlign w:val="bottom"/>
          </w:tcPr>
          <w:p w:rsidR="006F53B7" w:rsidRPr="00A77060" w:rsidRDefault="006F53B7" w:rsidP="004D2946">
            <w:pP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Охрана окружающей среды  </w:t>
            </w:r>
          </w:p>
        </w:tc>
        <w:tc>
          <w:tcPr>
            <w:tcW w:w="100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268,4</w:t>
            </w:r>
          </w:p>
        </w:tc>
        <w:tc>
          <w:tcPr>
            <w:tcW w:w="98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285,9</w:t>
            </w:r>
          </w:p>
        </w:tc>
        <w:tc>
          <w:tcPr>
            <w:tcW w:w="1276"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232,3</w:t>
            </w:r>
          </w:p>
        </w:tc>
        <w:tc>
          <w:tcPr>
            <w:tcW w:w="864" w:type="dxa"/>
            <w:tcBorders>
              <w:top w:val="nil"/>
              <w:left w:val="nil"/>
              <w:bottom w:val="single" w:sz="4" w:space="0" w:color="auto"/>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0,5</w:t>
            </w:r>
          </w:p>
        </w:tc>
        <w:tc>
          <w:tcPr>
            <w:tcW w:w="979" w:type="dxa"/>
            <w:tcBorders>
              <w:top w:val="nil"/>
              <w:left w:val="nil"/>
              <w:bottom w:val="single" w:sz="4" w:space="0" w:color="auto"/>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-53,6</w:t>
            </w:r>
          </w:p>
        </w:tc>
        <w:tc>
          <w:tcPr>
            <w:tcW w:w="853" w:type="dxa"/>
            <w:tcBorders>
              <w:top w:val="nil"/>
              <w:left w:val="nil"/>
              <w:bottom w:val="single" w:sz="4" w:space="0" w:color="auto"/>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81,3</w:t>
            </w:r>
          </w:p>
        </w:tc>
        <w:tc>
          <w:tcPr>
            <w:tcW w:w="1134" w:type="dxa"/>
            <w:tcBorders>
              <w:bottom w:val="single" w:sz="4" w:space="0" w:color="auto"/>
            </w:tcBorders>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133,7</w:t>
            </w:r>
          </w:p>
        </w:tc>
        <w:tc>
          <w:tcPr>
            <w:tcW w:w="992" w:type="dxa"/>
            <w:tcBorders>
              <w:top w:val="single" w:sz="8" w:space="0" w:color="999999"/>
              <w:left w:val="single" w:sz="8" w:space="0" w:color="999999"/>
              <w:bottom w:val="single" w:sz="4" w:space="0" w:color="auto"/>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98,6</w:t>
            </w:r>
          </w:p>
        </w:tc>
        <w:tc>
          <w:tcPr>
            <w:tcW w:w="1132" w:type="dxa"/>
            <w:tcBorders>
              <w:top w:val="nil"/>
              <w:left w:val="nil"/>
              <w:bottom w:val="single" w:sz="4" w:space="0" w:color="auto"/>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173,7</w:t>
            </w:r>
          </w:p>
        </w:tc>
      </w:tr>
      <w:tr w:rsidR="004D2946" w:rsidRPr="00A77060" w:rsidTr="004D2946">
        <w:tc>
          <w:tcPr>
            <w:cnfStyle w:val="001000000000" w:firstRow="0" w:lastRow="0" w:firstColumn="1" w:lastColumn="0" w:oddVBand="0" w:evenVBand="0" w:oddHBand="0" w:evenHBand="0" w:firstRowFirstColumn="0" w:firstRowLastColumn="0" w:lastRowFirstColumn="0" w:lastRowLastColumn="0"/>
            <w:tcW w:w="3969" w:type="dxa"/>
            <w:vAlign w:val="bottom"/>
          </w:tcPr>
          <w:p w:rsidR="006F53B7" w:rsidRPr="00A77060" w:rsidRDefault="006F53B7" w:rsidP="004D2946">
            <w:pP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eastAsia="ru-RU"/>
              </w:rPr>
              <w:t>Жилищно-коммунальное хозяйство</w:t>
            </w:r>
            <w:r w:rsidRPr="00A77060">
              <w:rPr>
                <w:rFonts w:ascii="Calibri Light" w:eastAsia="Times New Roman" w:hAnsi="Calibri Light" w:cstheme="majorHAnsi"/>
                <w:color w:val="000000"/>
                <w:sz w:val="20"/>
                <w:szCs w:val="20"/>
                <w:lang w:val="ru-RU"/>
              </w:rPr>
              <w:t xml:space="preserve"> </w:t>
            </w:r>
          </w:p>
        </w:tc>
        <w:tc>
          <w:tcPr>
            <w:tcW w:w="100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409,9</w:t>
            </w:r>
          </w:p>
        </w:tc>
        <w:tc>
          <w:tcPr>
            <w:tcW w:w="98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426,0</w:t>
            </w:r>
          </w:p>
        </w:tc>
        <w:tc>
          <w:tcPr>
            <w:tcW w:w="1276"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346,5</w:t>
            </w:r>
          </w:p>
        </w:tc>
        <w:tc>
          <w:tcPr>
            <w:tcW w:w="864" w:type="dxa"/>
            <w:tcBorders>
              <w:top w:val="single" w:sz="4" w:space="0" w:color="auto"/>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0,7</w:t>
            </w:r>
          </w:p>
        </w:tc>
        <w:tc>
          <w:tcPr>
            <w:tcW w:w="979" w:type="dxa"/>
            <w:tcBorders>
              <w:top w:val="single" w:sz="4" w:space="0" w:color="auto"/>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-79,5</w:t>
            </w:r>
          </w:p>
        </w:tc>
        <w:tc>
          <w:tcPr>
            <w:tcW w:w="853" w:type="dxa"/>
            <w:tcBorders>
              <w:top w:val="single" w:sz="4" w:space="0" w:color="auto"/>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81,3</w:t>
            </w:r>
          </w:p>
        </w:tc>
        <w:tc>
          <w:tcPr>
            <w:tcW w:w="1134" w:type="dxa"/>
            <w:tcBorders>
              <w:top w:val="single" w:sz="4" w:space="0" w:color="auto"/>
            </w:tcBorders>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292,2</w:t>
            </w:r>
          </w:p>
        </w:tc>
        <w:tc>
          <w:tcPr>
            <w:tcW w:w="992" w:type="dxa"/>
            <w:tcBorders>
              <w:top w:val="single" w:sz="4" w:space="0" w:color="auto"/>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54,3</w:t>
            </w:r>
          </w:p>
        </w:tc>
        <w:tc>
          <w:tcPr>
            <w:tcW w:w="1132" w:type="dxa"/>
            <w:tcBorders>
              <w:top w:val="single" w:sz="4" w:space="0" w:color="auto"/>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118,6</w:t>
            </w:r>
          </w:p>
        </w:tc>
      </w:tr>
      <w:tr w:rsidR="004D2946" w:rsidRPr="00A77060" w:rsidTr="004D2946">
        <w:tc>
          <w:tcPr>
            <w:cnfStyle w:val="001000000000" w:firstRow="0" w:lastRow="0" w:firstColumn="1" w:lastColumn="0" w:oddVBand="0" w:evenVBand="0" w:oddHBand="0" w:evenHBand="0" w:firstRowFirstColumn="0" w:firstRowLastColumn="0" w:lastRowFirstColumn="0" w:lastRowLastColumn="0"/>
            <w:tcW w:w="3969" w:type="dxa"/>
            <w:vAlign w:val="bottom"/>
          </w:tcPr>
          <w:p w:rsidR="006F53B7" w:rsidRPr="00A77060" w:rsidRDefault="006F53B7" w:rsidP="004D2946">
            <w:pP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eastAsia="ru-RU"/>
              </w:rPr>
              <w:t xml:space="preserve">Здравоохранение  </w:t>
            </w:r>
          </w:p>
        </w:tc>
        <w:tc>
          <w:tcPr>
            <w:tcW w:w="100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4.537,3</w:t>
            </w:r>
          </w:p>
        </w:tc>
        <w:tc>
          <w:tcPr>
            <w:tcW w:w="98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5.660,7</w:t>
            </w:r>
          </w:p>
        </w:tc>
        <w:tc>
          <w:tcPr>
            <w:tcW w:w="1276"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4.943,3</w:t>
            </w:r>
          </w:p>
        </w:tc>
        <w:tc>
          <w:tcPr>
            <w:tcW w:w="864"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10,0</w:t>
            </w:r>
          </w:p>
        </w:tc>
        <w:tc>
          <w:tcPr>
            <w:tcW w:w="979"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-717,4</w:t>
            </w:r>
          </w:p>
        </w:tc>
        <w:tc>
          <w:tcPr>
            <w:tcW w:w="85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87,3</w:t>
            </w:r>
          </w:p>
        </w:tc>
        <w:tc>
          <w:tcPr>
            <w:tcW w:w="1134"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3.786,7</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1.156,6</w:t>
            </w:r>
          </w:p>
        </w:tc>
        <w:tc>
          <w:tcPr>
            <w:tcW w:w="113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130,5</w:t>
            </w:r>
          </w:p>
        </w:tc>
      </w:tr>
      <w:tr w:rsidR="004D2946" w:rsidRPr="00A77060" w:rsidTr="004D2946">
        <w:tc>
          <w:tcPr>
            <w:cnfStyle w:val="001000000000" w:firstRow="0" w:lastRow="0" w:firstColumn="1" w:lastColumn="0" w:oddVBand="0" w:evenVBand="0" w:oddHBand="0" w:evenHBand="0" w:firstRowFirstColumn="0" w:firstRowLastColumn="0" w:lastRowFirstColumn="0" w:lastRowLastColumn="0"/>
            <w:tcW w:w="3969" w:type="dxa"/>
            <w:vAlign w:val="bottom"/>
          </w:tcPr>
          <w:p w:rsidR="006F53B7" w:rsidRPr="00A77060" w:rsidRDefault="006F53B7" w:rsidP="004D2946">
            <w:pP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Культура, спорт, молодежь, культы и отдых </w:t>
            </w:r>
          </w:p>
        </w:tc>
        <w:tc>
          <w:tcPr>
            <w:tcW w:w="100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890,1</w:t>
            </w:r>
          </w:p>
        </w:tc>
        <w:tc>
          <w:tcPr>
            <w:tcW w:w="98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868,2</w:t>
            </w:r>
          </w:p>
        </w:tc>
        <w:tc>
          <w:tcPr>
            <w:tcW w:w="1276"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825,7</w:t>
            </w:r>
          </w:p>
        </w:tc>
        <w:tc>
          <w:tcPr>
            <w:tcW w:w="864"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1,7</w:t>
            </w:r>
          </w:p>
        </w:tc>
        <w:tc>
          <w:tcPr>
            <w:tcW w:w="979"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-42,5</w:t>
            </w:r>
          </w:p>
        </w:tc>
        <w:tc>
          <w:tcPr>
            <w:tcW w:w="85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95,1</w:t>
            </w:r>
          </w:p>
        </w:tc>
        <w:tc>
          <w:tcPr>
            <w:tcW w:w="1134"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809,5</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16,2</w:t>
            </w:r>
          </w:p>
        </w:tc>
        <w:tc>
          <w:tcPr>
            <w:tcW w:w="113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102,0</w:t>
            </w:r>
          </w:p>
        </w:tc>
      </w:tr>
      <w:tr w:rsidR="004D2946" w:rsidRPr="00A77060" w:rsidTr="004D2946">
        <w:tc>
          <w:tcPr>
            <w:cnfStyle w:val="001000000000" w:firstRow="0" w:lastRow="0" w:firstColumn="1" w:lastColumn="0" w:oddVBand="0" w:evenVBand="0" w:oddHBand="0" w:evenHBand="0" w:firstRowFirstColumn="0" w:firstRowLastColumn="0" w:lastRowFirstColumn="0" w:lastRowLastColumn="0"/>
            <w:tcW w:w="3969" w:type="dxa"/>
            <w:vAlign w:val="bottom"/>
          </w:tcPr>
          <w:p w:rsidR="006F53B7" w:rsidRPr="00A77060" w:rsidRDefault="006F53B7" w:rsidP="004D2946">
            <w:pP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Образование  </w:t>
            </w:r>
          </w:p>
        </w:tc>
        <w:tc>
          <w:tcPr>
            <w:tcW w:w="100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12.362,2</w:t>
            </w:r>
          </w:p>
        </w:tc>
        <w:tc>
          <w:tcPr>
            <w:tcW w:w="98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12.365,3</w:t>
            </w:r>
          </w:p>
        </w:tc>
        <w:tc>
          <w:tcPr>
            <w:tcW w:w="1276"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11.887,0</w:t>
            </w:r>
          </w:p>
        </w:tc>
        <w:tc>
          <w:tcPr>
            <w:tcW w:w="864"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23,9</w:t>
            </w:r>
          </w:p>
        </w:tc>
        <w:tc>
          <w:tcPr>
            <w:tcW w:w="979"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-478,3</w:t>
            </w:r>
          </w:p>
        </w:tc>
        <w:tc>
          <w:tcPr>
            <w:tcW w:w="85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96,1</w:t>
            </w:r>
          </w:p>
        </w:tc>
        <w:tc>
          <w:tcPr>
            <w:tcW w:w="1134"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11.045,6</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841,4</w:t>
            </w:r>
          </w:p>
        </w:tc>
        <w:tc>
          <w:tcPr>
            <w:tcW w:w="113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107,6</w:t>
            </w:r>
          </w:p>
        </w:tc>
      </w:tr>
      <w:tr w:rsidR="004D2946" w:rsidRPr="00A77060" w:rsidTr="004D2946">
        <w:tc>
          <w:tcPr>
            <w:cnfStyle w:val="001000000000" w:firstRow="0" w:lastRow="0" w:firstColumn="1" w:lastColumn="0" w:oddVBand="0" w:evenVBand="0" w:oddHBand="0" w:evenHBand="0" w:firstRowFirstColumn="0" w:firstRowLastColumn="0" w:lastRowFirstColumn="0" w:lastRowLastColumn="0"/>
            <w:tcW w:w="3969" w:type="dxa"/>
            <w:vAlign w:val="bottom"/>
          </w:tcPr>
          <w:p w:rsidR="006F53B7" w:rsidRPr="00A77060" w:rsidRDefault="006F53B7" w:rsidP="004D2946">
            <w:pPr>
              <w:rPr>
                <w:rFonts w:ascii="Calibri Light" w:eastAsia="Times New Roman" w:hAnsi="Calibri Light" w:cstheme="majorHAnsi"/>
                <w:color w:val="000000"/>
                <w:sz w:val="20"/>
                <w:szCs w:val="20"/>
                <w:lang w:val="ru-RU"/>
              </w:rPr>
            </w:pPr>
            <w:r w:rsidRPr="00A77060">
              <w:rPr>
                <w:rFonts w:ascii="Calibri Light" w:eastAsia="Times New Roman" w:hAnsi="Calibri Light" w:cstheme="majorHAnsi"/>
                <w:color w:val="000000"/>
                <w:sz w:val="20"/>
                <w:szCs w:val="20"/>
                <w:lang w:val="ru-RU"/>
              </w:rPr>
              <w:t xml:space="preserve">Социальная защита </w:t>
            </w:r>
          </w:p>
        </w:tc>
        <w:tc>
          <w:tcPr>
            <w:tcW w:w="100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9.577,0</w:t>
            </w:r>
          </w:p>
        </w:tc>
        <w:tc>
          <w:tcPr>
            <w:tcW w:w="982"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11.367,4</w:t>
            </w:r>
          </w:p>
        </w:tc>
        <w:tc>
          <w:tcPr>
            <w:tcW w:w="1276"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10.558,6</w:t>
            </w:r>
          </w:p>
        </w:tc>
        <w:tc>
          <w:tcPr>
            <w:tcW w:w="864"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21,3</w:t>
            </w:r>
          </w:p>
        </w:tc>
        <w:tc>
          <w:tcPr>
            <w:tcW w:w="979"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-808,8</w:t>
            </w:r>
          </w:p>
        </w:tc>
        <w:tc>
          <w:tcPr>
            <w:tcW w:w="853"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92,9</w:t>
            </w:r>
          </w:p>
        </w:tc>
        <w:tc>
          <w:tcPr>
            <w:tcW w:w="1134" w:type="dxa"/>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20"/>
                <w:szCs w:val="20"/>
                <w:lang w:val="ru-RU"/>
              </w:rPr>
            </w:pPr>
            <w:r w:rsidRPr="00A77060">
              <w:rPr>
                <w:rFonts w:ascii="Calibri Light" w:hAnsi="Calibri Light" w:cstheme="majorHAnsi"/>
                <w:bCs/>
                <w:sz w:val="20"/>
                <w:szCs w:val="20"/>
                <w:lang w:val="ru-RU"/>
              </w:rPr>
              <w:t>8.762,7</w:t>
            </w:r>
          </w:p>
        </w:tc>
        <w:tc>
          <w:tcPr>
            <w:tcW w:w="992" w:type="dxa"/>
            <w:tcBorders>
              <w:top w:val="single" w:sz="8" w:space="0" w:color="999999"/>
              <w:left w:val="single" w:sz="8" w:space="0" w:color="999999"/>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1.795,9</w:t>
            </w:r>
          </w:p>
        </w:tc>
        <w:tc>
          <w:tcPr>
            <w:tcW w:w="1132" w:type="dxa"/>
            <w:tcBorders>
              <w:top w:val="nil"/>
              <w:left w:val="nil"/>
              <w:bottom w:val="single" w:sz="8" w:space="0" w:color="999999"/>
              <w:right w:val="single" w:sz="8" w:space="0" w:color="999999"/>
            </w:tcBorders>
            <w:shd w:val="clear" w:color="auto" w:fill="auto"/>
            <w:vAlign w:val="center"/>
          </w:tcPr>
          <w:p w:rsidR="006F53B7" w:rsidRPr="00A77060" w:rsidRDefault="006F53B7" w:rsidP="004D2946">
            <w:pPr>
              <w:jc w:val="right"/>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0000"/>
                <w:sz w:val="20"/>
                <w:szCs w:val="20"/>
                <w:lang w:val="ru-RU"/>
              </w:rPr>
            </w:pPr>
            <w:r w:rsidRPr="00A77060">
              <w:rPr>
                <w:rFonts w:ascii="Calibri Light" w:hAnsi="Calibri Light" w:cs="Calibri Light"/>
                <w:color w:val="000000"/>
                <w:sz w:val="20"/>
                <w:szCs w:val="20"/>
                <w:lang w:val="ru-RU"/>
              </w:rPr>
              <w:t>120,5</w:t>
            </w:r>
          </w:p>
        </w:tc>
      </w:tr>
    </w:tbl>
    <w:p w:rsidR="006F53B7" w:rsidRPr="00A77060" w:rsidRDefault="006F53B7" w:rsidP="004D2946">
      <w:pPr>
        <w:spacing w:after="0" w:line="240" w:lineRule="auto"/>
        <w:ind w:right="-660"/>
        <w:rPr>
          <w:rFonts w:ascii="Calibri Light" w:eastAsia="MS Mincho" w:hAnsi="Calibri Light" w:cstheme="majorHAnsi"/>
          <w:i/>
          <w:sz w:val="20"/>
          <w:szCs w:val="20"/>
          <w:lang w:val="ru-RU" w:eastAsia="ja-JP"/>
        </w:rPr>
      </w:pPr>
      <w:r w:rsidRPr="00A77060">
        <w:rPr>
          <w:rFonts w:ascii="Calibri Light" w:hAnsi="Calibri Light" w:cstheme="majorHAnsi"/>
          <w:b/>
          <w:i/>
          <w:sz w:val="20"/>
          <w:szCs w:val="20"/>
          <w:lang w:val="ru-RU"/>
        </w:rPr>
        <w:t>Источник:</w:t>
      </w:r>
      <w:r w:rsidRPr="00A77060">
        <w:rPr>
          <w:rFonts w:ascii="Calibri Light" w:hAnsi="Calibri Light" w:cstheme="majorHAnsi"/>
          <w:sz w:val="20"/>
          <w:szCs w:val="20"/>
          <w:lang w:val="ru-RU"/>
        </w:rPr>
        <w:t xml:space="preserve"> </w:t>
      </w:r>
      <w:r w:rsidRPr="00A77060">
        <w:rPr>
          <w:rFonts w:ascii="Calibri Light" w:eastAsia="MS Mincho" w:hAnsi="Calibri Light" w:cstheme="majorHAnsi"/>
          <w:i/>
          <w:sz w:val="20"/>
          <w:szCs w:val="20"/>
          <w:lang w:val="ru-RU" w:eastAsia="ja-JP"/>
        </w:rPr>
        <w:t xml:space="preserve">Информация обобщена аудиторской группой согласно </w:t>
      </w:r>
      <w:proofErr w:type="gramStart"/>
      <w:r w:rsidRPr="00A77060">
        <w:rPr>
          <w:rFonts w:ascii="Calibri Light" w:eastAsia="MS Mincho" w:hAnsi="Calibri Light" w:cstheme="majorHAnsi"/>
          <w:i/>
          <w:sz w:val="20"/>
          <w:szCs w:val="20"/>
          <w:lang w:val="ru-RU" w:eastAsia="ja-JP"/>
        </w:rPr>
        <w:t>Отчетам</w:t>
      </w:r>
      <w:proofErr w:type="gramEnd"/>
      <w:r w:rsidRPr="00A77060">
        <w:rPr>
          <w:rFonts w:ascii="Calibri Light" w:eastAsia="MS Mincho" w:hAnsi="Calibri Light" w:cstheme="majorHAnsi"/>
          <w:i/>
          <w:sz w:val="20"/>
          <w:szCs w:val="20"/>
          <w:lang w:val="ru-RU" w:eastAsia="ja-JP"/>
        </w:rPr>
        <w:t xml:space="preserve"> об исполнении государственного бюджета за </w:t>
      </w:r>
      <w:r w:rsidRPr="00A77060">
        <w:rPr>
          <w:rFonts w:ascii="Calibri Light" w:eastAsia="Times New Roman" w:hAnsi="Calibri Light" w:cstheme="majorHAnsi"/>
          <w:i/>
          <w:sz w:val="20"/>
          <w:szCs w:val="24"/>
          <w:lang w:val="ru-RU" w:eastAsia="ru-RU"/>
        </w:rPr>
        <w:t>2019-2020 годы, Форма №4.</w:t>
      </w:r>
    </w:p>
    <w:p w:rsidR="006F53B7" w:rsidRPr="00A77060" w:rsidRDefault="006F53B7" w:rsidP="004D2946">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sz w:val="24"/>
          <w:szCs w:val="24"/>
          <w:lang w:val="ru-RU"/>
        </w:rPr>
      </w:pPr>
    </w:p>
    <w:p w:rsidR="005627D8" w:rsidRDefault="005627D8" w:rsidP="004D2946">
      <w:pPr>
        <w:spacing w:line="276" w:lineRule="auto"/>
        <w:jc w:val="right"/>
        <w:rPr>
          <w:rFonts w:ascii="Calibri Light" w:eastAsia="Times New Roman" w:hAnsi="Calibri Light" w:cstheme="majorHAnsi"/>
          <w:b/>
          <w:sz w:val="24"/>
          <w:szCs w:val="24"/>
          <w:lang w:val="ru-RU"/>
        </w:rPr>
      </w:pPr>
    </w:p>
    <w:p w:rsidR="005627D8" w:rsidRDefault="005627D8" w:rsidP="004D2946">
      <w:pPr>
        <w:spacing w:line="276" w:lineRule="auto"/>
        <w:jc w:val="right"/>
        <w:rPr>
          <w:rFonts w:ascii="Calibri Light" w:eastAsia="Times New Roman" w:hAnsi="Calibri Light" w:cstheme="majorHAnsi"/>
          <w:b/>
          <w:sz w:val="24"/>
          <w:szCs w:val="24"/>
          <w:lang w:val="ru-RU"/>
        </w:rPr>
      </w:pPr>
    </w:p>
    <w:p w:rsidR="006F53B7" w:rsidRPr="00A77060" w:rsidRDefault="006F53B7" w:rsidP="004D2946">
      <w:pPr>
        <w:spacing w:line="276" w:lineRule="auto"/>
        <w:jc w:val="right"/>
        <w:rPr>
          <w:rFonts w:ascii="Calibri Light" w:eastAsia="Times New Roman" w:hAnsi="Calibri Light" w:cstheme="majorHAnsi"/>
          <w:b/>
          <w:sz w:val="24"/>
          <w:szCs w:val="24"/>
          <w:lang w:val="ru-RU"/>
        </w:rPr>
      </w:pPr>
      <w:r w:rsidRPr="00A77060">
        <w:rPr>
          <w:rFonts w:ascii="Calibri Light" w:eastAsia="Times New Roman" w:hAnsi="Calibri Light" w:cstheme="majorHAnsi"/>
          <w:b/>
          <w:sz w:val="24"/>
          <w:szCs w:val="24"/>
          <w:lang w:val="ru-RU"/>
        </w:rPr>
        <w:lastRenderedPageBreak/>
        <w:t>Приложение №12</w:t>
      </w:r>
    </w:p>
    <w:p w:rsidR="006F53B7" w:rsidRPr="00A77060" w:rsidRDefault="006F53B7" w:rsidP="004D2946">
      <w:pPr>
        <w:spacing w:after="0" w:line="276" w:lineRule="auto"/>
        <w:ind w:right="1"/>
        <w:jc w:val="center"/>
        <w:rPr>
          <w:rFonts w:ascii="Calibri Light" w:eastAsia="MS Mincho" w:hAnsi="Calibri Light" w:cstheme="majorHAnsi"/>
          <w:b/>
          <w:sz w:val="24"/>
          <w:szCs w:val="24"/>
          <w:lang w:val="ru-RU" w:eastAsia="ja-JP"/>
        </w:rPr>
      </w:pPr>
      <w:r w:rsidRPr="00A77060">
        <w:rPr>
          <w:rFonts w:ascii="Calibri Light" w:eastAsia="MS Mincho" w:hAnsi="Calibri Light" w:cstheme="majorHAnsi"/>
          <w:b/>
          <w:sz w:val="24"/>
          <w:szCs w:val="24"/>
          <w:lang w:val="ru-RU" w:eastAsia="ja-JP"/>
        </w:rPr>
        <w:t xml:space="preserve">Свод исполнения трансфертов специального назначения из ГБ в ВАТЕ в 2020 году  </w:t>
      </w:r>
    </w:p>
    <w:p w:rsidR="006F53B7" w:rsidRPr="00A77060" w:rsidRDefault="006F53B7" w:rsidP="004D2946">
      <w:pPr>
        <w:spacing w:after="0" w:line="276" w:lineRule="auto"/>
        <w:ind w:right="-37"/>
        <w:jc w:val="right"/>
        <w:rPr>
          <w:rFonts w:ascii="Calibri Light" w:eastAsia="MS Mincho" w:hAnsi="Calibri Light" w:cstheme="majorHAnsi"/>
          <w:b/>
          <w:sz w:val="24"/>
          <w:szCs w:val="24"/>
          <w:lang w:val="ru-RU" w:eastAsia="ja-JP"/>
        </w:rPr>
      </w:pPr>
      <w:r w:rsidRPr="00A77060">
        <w:rPr>
          <w:rFonts w:ascii="Calibri Light" w:eastAsia="MS Mincho" w:hAnsi="Calibri Light" w:cstheme="majorHAnsi"/>
          <w:b/>
          <w:sz w:val="24"/>
          <w:szCs w:val="24"/>
          <w:lang w:val="ru-RU" w:eastAsia="ja-JP"/>
        </w:rPr>
        <w:t>(</w:t>
      </w:r>
      <w:r w:rsidRPr="00A77060">
        <w:rPr>
          <w:rFonts w:ascii="Calibri Light" w:eastAsia="Times New Roman" w:hAnsi="Calibri Light" w:cstheme="majorHAnsi"/>
          <w:b/>
          <w:iCs/>
          <w:color w:val="000000"/>
          <w:spacing w:val="2"/>
          <w:sz w:val="24"/>
          <w:szCs w:val="24"/>
          <w:lang w:val="ru-RU" w:eastAsia="ru-RU"/>
        </w:rPr>
        <w:t>млн. леев</w:t>
      </w:r>
      <w:r w:rsidRPr="00A77060">
        <w:rPr>
          <w:rFonts w:ascii="Calibri Light" w:eastAsia="MS Mincho" w:hAnsi="Calibri Light" w:cstheme="majorHAnsi"/>
          <w:b/>
          <w:sz w:val="24"/>
          <w:szCs w:val="24"/>
          <w:lang w:val="ru-RU" w:eastAsia="ja-JP"/>
        </w:rPr>
        <w:t>)</w:t>
      </w:r>
    </w:p>
    <w:tbl>
      <w:tblPr>
        <w:tblStyle w:val="GridTable1Light1"/>
        <w:tblW w:w="13750" w:type="dxa"/>
        <w:tblInd w:w="-147" w:type="dxa"/>
        <w:tblLayout w:type="fixed"/>
        <w:tblLook w:val="04A0" w:firstRow="1" w:lastRow="0" w:firstColumn="1" w:lastColumn="0" w:noHBand="0" w:noVBand="1"/>
      </w:tblPr>
      <w:tblGrid>
        <w:gridCol w:w="6804"/>
        <w:gridCol w:w="851"/>
        <w:gridCol w:w="850"/>
        <w:gridCol w:w="850"/>
        <w:gridCol w:w="850"/>
        <w:gridCol w:w="851"/>
        <w:gridCol w:w="851"/>
        <w:gridCol w:w="851"/>
        <w:gridCol w:w="992"/>
      </w:tblGrid>
      <w:tr w:rsidR="006F53B7" w:rsidRPr="007071A4" w:rsidTr="004D2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center"/>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 xml:space="preserve">Трансферты </w:t>
            </w:r>
          </w:p>
        </w:tc>
        <w:tc>
          <w:tcPr>
            <w:tcW w:w="851"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spacing w:line="276" w:lineRule="auto"/>
              <w:ind w:right="-79"/>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 xml:space="preserve">Утверж-дено </w:t>
            </w:r>
          </w:p>
        </w:tc>
        <w:tc>
          <w:tcPr>
            <w:tcW w:w="850"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Times New Roman" w:hAnsi="Calibri Light" w:cstheme="majorHAnsi"/>
                <w:sz w:val="20"/>
                <w:szCs w:val="20"/>
                <w:lang w:val="ru-RU" w:eastAsia="ru-RU"/>
              </w:rPr>
              <w:t>Уточне-но</w:t>
            </w:r>
          </w:p>
        </w:tc>
        <w:tc>
          <w:tcPr>
            <w:tcW w:w="850"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spacing w:line="276"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Times New Roman" w:hAnsi="Calibri Light" w:cstheme="majorHAnsi"/>
                <w:sz w:val="20"/>
                <w:szCs w:val="20"/>
                <w:lang w:val="ru-RU" w:eastAsia="ru-RU"/>
              </w:rPr>
              <w:t>Испол-нено</w:t>
            </w:r>
          </w:p>
        </w:tc>
        <w:tc>
          <w:tcPr>
            <w:tcW w:w="1701" w:type="dxa"/>
            <w:gridSpan w:val="2"/>
            <w:tcBorders>
              <w:top w:val="single" w:sz="4" w:space="0" w:color="999999" w:themeColor="text1" w:themeTint="66"/>
              <w:left w:val="single" w:sz="4" w:space="0" w:color="999999" w:themeColor="text1" w:themeTint="66"/>
              <w:bottom w:val="single" w:sz="2" w:space="0" w:color="F5F4F4" w:themeColor="background2" w:themeTint="66" w:themeShade="BF"/>
              <w:right w:val="single" w:sz="4" w:space="0" w:color="999999" w:themeColor="text1" w:themeTint="66"/>
            </w:tcBorders>
            <w:vAlign w:val="center"/>
            <w:hideMark/>
          </w:tcPr>
          <w:p w:rsidR="006F53B7" w:rsidRPr="00A77060" w:rsidRDefault="006F53B7" w:rsidP="004D2946">
            <w:pPr>
              <w:spacing w:line="254"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b w:val="0"/>
                <w:bCs w:val="0"/>
                <w:sz w:val="20"/>
                <w:szCs w:val="20"/>
                <w:lang w:val="ru-RU"/>
              </w:rPr>
            </w:pPr>
            <w:r w:rsidRPr="00A77060">
              <w:rPr>
                <w:rFonts w:ascii="Calibri Light" w:eastAsia="Times New Roman" w:hAnsi="Calibri Light" w:cstheme="majorHAnsi"/>
                <w:sz w:val="20"/>
                <w:szCs w:val="20"/>
                <w:lang w:val="ru-RU" w:eastAsia="ru-RU"/>
              </w:rPr>
              <w:t xml:space="preserve">Исполнено по сравнению с уточнено </w:t>
            </w:r>
          </w:p>
          <w:p w:rsidR="006F53B7" w:rsidRPr="00A77060" w:rsidRDefault="006F53B7" w:rsidP="004D2946">
            <w:pPr>
              <w:spacing w:line="254"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p>
        </w:tc>
        <w:tc>
          <w:tcPr>
            <w:tcW w:w="851" w:type="dxa"/>
            <w:vMerge w:val="restar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Испол-нено в 2019 году </w:t>
            </w:r>
          </w:p>
        </w:tc>
        <w:tc>
          <w:tcPr>
            <w:tcW w:w="1843" w:type="dxa"/>
            <w:gridSpan w:val="2"/>
            <w:tcBorders>
              <w:top w:val="single" w:sz="4" w:space="0" w:color="999999" w:themeColor="text1" w:themeTint="66"/>
              <w:left w:val="single" w:sz="4" w:space="0" w:color="999999" w:themeColor="text1" w:themeTint="66"/>
              <w:bottom w:val="single" w:sz="2" w:space="0" w:color="F5F4F4" w:themeColor="background2" w:themeTint="66" w:themeShade="BF"/>
              <w:right w:val="single" w:sz="4" w:space="0" w:color="999999" w:themeColor="text1" w:themeTint="66"/>
            </w:tcBorders>
            <w:vAlign w:val="center"/>
            <w:hideMark/>
          </w:tcPr>
          <w:p w:rsidR="006F53B7" w:rsidRPr="00A77060" w:rsidRDefault="006F53B7" w:rsidP="004D2946">
            <w:pPr>
              <w:spacing w:line="254" w:lineRule="auto"/>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Times New Roman" w:hAnsi="Calibri Light" w:cstheme="majorHAnsi"/>
                <w:sz w:val="20"/>
                <w:szCs w:val="20"/>
                <w:lang w:val="ru-RU" w:eastAsia="ru-RU"/>
              </w:rPr>
              <w:t xml:space="preserve">Исполнено в </w:t>
            </w:r>
            <w:r w:rsidRPr="00A77060">
              <w:rPr>
                <w:rFonts w:ascii="Calibri Light" w:eastAsia="MS Mincho" w:hAnsi="Calibri Light" w:cstheme="majorHAnsi"/>
                <w:sz w:val="20"/>
                <w:szCs w:val="20"/>
                <w:lang w:val="ru-RU"/>
              </w:rPr>
              <w:t>2020 году против 2019 года</w:t>
            </w:r>
          </w:p>
        </w:tc>
      </w:tr>
      <w:tr w:rsidR="006F53B7" w:rsidRPr="00A77060" w:rsidTr="004D2946">
        <w:tc>
          <w:tcPr>
            <w:cnfStyle w:val="001000000000" w:firstRow="0" w:lastRow="0" w:firstColumn="1" w:lastColumn="0" w:oddVBand="0" w:evenVBand="0" w:oddHBand="0" w:evenHBand="0" w:firstRowFirstColumn="0" w:firstRowLastColumn="0" w:lastRowFirstColumn="0" w:lastRowLastColumn="0"/>
            <w:tcW w:w="6804"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rPr>
                <w:rFonts w:ascii="Calibri Light" w:eastAsia="MS Mincho" w:hAnsi="Calibri Light" w:cstheme="majorHAnsi"/>
                <w:sz w:val="20"/>
                <w:szCs w:val="20"/>
                <w:lang w:val="ru-RU"/>
              </w:rPr>
            </w:pPr>
          </w:p>
        </w:tc>
        <w:tc>
          <w:tcPr>
            <w:tcW w:w="851"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bCs/>
                <w:sz w:val="20"/>
                <w:szCs w:val="20"/>
                <w:lang w:val="ru-RU"/>
              </w:rPr>
            </w:pPr>
          </w:p>
        </w:tc>
        <w:tc>
          <w:tcPr>
            <w:tcW w:w="85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bCs/>
                <w:sz w:val="20"/>
                <w:szCs w:val="20"/>
                <w:lang w:val="ru-RU"/>
              </w:rPr>
            </w:pPr>
          </w:p>
        </w:tc>
        <w:tc>
          <w:tcPr>
            <w:tcW w:w="850"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p>
        </w:tc>
        <w:tc>
          <w:tcPr>
            <w:tcW w:w="850" w:type="dxa"/>
            <w:tcBorders>
              <w:top w:val="single" w:sz="2" w:space="0" w:color="F5F4F4" w:themeColor="background2" w:themeTint="66" w:themeShade="BF"/>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themeColor="text1"/>
                <w:sz w:val="20"/>
                <w:szCs w:val="20"/>
                <w:lang w:val="ru-RU" w:eastAsia="ru-RU"/>
              </w:rPr>
            </w:pPr>
            <w:r w:rsidRPr="00A77060">
              <w:rPr>
                <w:rFonts w:ascii="Calibri Light" w:eastAsia="Times New Roman" w:hAnsi="Calibri Light" w:cstheme="majorHAnsi"/>
                <w:b/>
                <w:color w:val="000000" w:themeColor="text1"/>
                <w:sz w:val="20"/>
                <w:szCs w:val="20"/>
                <w:lang w:val="ru-RU" w:eastAsia="ru-RU"/>
              </w:rPr>
              <w:t>(+/-)</w:t>
            </w:r>
          </w:p>
        </w:tc>
        <w:tc>
          <w:tcPr>
            <w:tcW w:w="851" w:type="dxa"/>
            <w:tcBorders>
              <w:top w:val="single" w:sz="2" w:space="0" w:color="F5F4F4" w:themeColor="background2" w:themeTint="66" w:themeShade="BF"/>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themeColor="text1"/>
                <w:sz w:val="20"/>
                <w:szCs w:val="20"/>
                <w:lang w:val="ru-RU" w:eastAsia="ru-RU"/>
              </w:rPr>
            </w:pPr>
            <w:r w:rsidRPr="00A77060">
              <w:rPr>
                <w:rFonts w:ascii="Calibri Light" w:eastAsia="Times New Roman" w:hAnsi="Calibri Light" w:cstheme="majorHAnsi"/>
                <w:b/>
                <w:color w:val="000000" w:themeColor="text1"/>
                <w:sz w:val="20"/>
                <w:szCs w:val="20"/>
                <w:lang w:val="ru-RU" w:eastAsia="ru-RU"/>
              </w:rPr>
              <w:t>(%)</w:t>
            </w:r>
          </w:p>
        </w:tc>
        <w:tc>
          <w:tcPr>
            <w:tcW w:w="851" w:type="dxa"/>
            <w:vMerge/>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p>
        </w:tc>
        <w:tc>
          <w:tcPr>
            <w:tcW w:w="851" w:type="dxa"/>
            <w:tcBorders>
              <w:top w:val="single" w:sz="2" w:space="0" w:color="F5F4F4" w:themeColor="background2" w:themeTint="66" w:themeShade="BF"/>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themeColor="text1"/>
                <w:sz w:val="20"/>
                <w:szCs w:val="20"/>
                <w:lang w:val="ru-RU" w:eastAsia="ru-RU"/>
              </w:rPr>
            </w:pPr>
            <w:r w:rsidRPr="00A77060">
              <w:rPr>
                <w:rFonts w:ascii="Calibri Light" w:eastAsia="Times New Roman" w:hAnsi="Calibri Light" w:cstheme="majorHAnsi"/>
                <w:b/>
                <w:color w:val="000000" w:themeColor="text1"/>
                <w:sz w:val="20"/>
                <w:szCs w:val="20"/>
                <w:lang w:val="ru-RU" w:eastAsia="ru-RU"/>
              </w:rPr>
              <w:t>(+/-)</w:t>
            </w:r>
          </w:p>
        </w:tc>
        <w:tc>
          <w:tcPr>
            <w:tcW w:w="992" w:type="dxa"/>
            <w:tcBorders>
              <w:top w:val="single" w:sz="2" w:space="0" w:color="F5F4F4" w:themeColor="background2" w:themeTint="66" w:themeShade="BF"/>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color w:val="000000" w:themeColor="text1"/>
                <w:sz w:val="20"/>
                <w:szCs w:val="20"/>
                <w:lang w:val="ru-RU" w:eastAsia="ru-RU"/>
              </w:rPr>
            </w:pPr>
            <w:r w:rsidRPr="00A77060">
              <w:rPr>
                <w:rFonts w:ascii="Calibri Light" w:eastAsia="Times New Roman" w:hAnsi="Calibri Light" w:cstheme="majorHAnsi"/>
                <w:b/>
                <w:color w:val="000000" w:themeColor="text1"/>
                <w:sz w:val="20"/>
                <w:szCs w:val="20"/>
                <w:lang w:val="ru-RU" w:eastAsia="ru-RU"/>
              </w:rPr>
              <w:t>(%)</w:t>
            </w:r>
          </w:p>
        </w:tc>
      </w:tr>
      <w:tr w:rsidR="006F53B7" w:rsidRPr="00A77060" w:rsidTr="004D2946">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center"/>
              <w:rPr>
                <w:rFonts w:ascii="Calibri Light" w:eastAsia="MS Mincho" w:hAnsi="Calibri Light" w:cstheme="majorHAnsi"/>
                <w:b w:val="0"/>
                <w:i/>
                <w:sz w:val="16"/>
                <w:szCs w:val="20"/>
                <w:lang w:val="ru-RU"/>
              </w:rPr>
            </w:pPr>
            <w:r w:rsidRPr="00A77060">
              <w:rPr>
                <w:rFonts w:ascii="Calibri Light" w:eastAsia="MS Mincho" w:hAnsi="Calibri Light" w:cstheme="majorHAnsi"/>
                <w:i/>
                <w:sz w:val="16"/>
                <w:szCs w:val="20"/>
                <w:lang w:val="ru-RU"/>
              </w:rPr>
              <w:t>1</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spacing w:line="254"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lang w:val="ru-RU"/>
              </w:rPr>
            </w:pPr>
            <w:r w:rsidRPr="00A77060">
              <w:rPr>
                <w:rFonts w:ascii="Calibri Light" w:eastAsia="MS Mincho" w:hAnsi="Calibri Light" w:cstheme="majorHAnsi"/>
                <w:i/>
                <w:sz w:val="16"/>
                <w:szCs w:val="20"/>
                <w:lang w:val="ru-RU"/>
              </w:rPr>
              <w:t>2</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spacing w:line="254"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lang w:val="ru-RU"/>
              </w:rPr>
            </w:pPr>
            <w:r w:rsidRPr="00A77060">
              <w:rPr>
                <w:rFonts w:ascii="Calibri Light" w:eastAsia="MS Mincho" w:hAnsi="Calibri Light" w:cstheme="majorHAnsi"/>
                <w:i/>
                <w:sz w:val="16"/>
                <w:szCs w:val="20"/>
                <w:lang w:val="ru-RU"/>
              </w:rPr>
              <w:t>3</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spacing w:line="254"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lang w:val="ru-RU"/>
              </w:rPr>
            </w:pPr>
            <w:r w:rsidRPr="00A77060">
              <w:rPr>
                <w:rFonts w:ascii="Calibri Light" w:eastAsia="MS Mincho" w:hAnsi="Calibri Light" w:cstheme="majorHAnsi"/>
                <w:i/>
                <w:sz w:val="16"/>
                <w:szCs w:val="20"/>
                <w:lang w:val="ru-RU"/>
              </w:rPr>
              <w:t>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spacing w:line="254"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lang w:val="ru-RU"/>
              </w:rPr>
            </w:pPr>
            <w:r w:rsidRPr="00A77060">
              <w:rPr>
                <w:rFonts w:ascii="Calibri Light" w:eastAsia="MS Mincho" w:hAnsi="Calibri Light" w:cstheme="majorHAnsi"/>
                <w:i/>
                <w:sz w:val="16"/>
                <w:szCs w:val="20"/>
                <w:lang w:val="ru-RU"/>
              </w:rPr>
              <w:t>5=4-3</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spacing w:line="254"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lang w:val="ru-RU"/>
              </w:rPr>
            </w:pPr>
            <w:r w:rsidRPr="00A77060">
              <w:rPr>
                <w:rFonts w:ascii="Calibri Light" w:eastAsia="MS Mincho" w:hAnsi="Calibri Light" w:cstheme="majorHAnsi"/>
                <w:i/>
                <w:sz w:val="16"/>
                <w:szCs w:val="20"/>
                <w:lang w:val="ru-RU"/>
              </w:rPr>
              <w:t>6=4/3*100</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spacing w:line="254"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lang w:val="ru-RU"/>
              </w:rPr>
            </w:pPr>
            <w:r w:rsidRPr="00A77060">
              <w:rPr>
                <w:rFonts w:ascii="Calibri Light" w:eastAsia="MS Mincho" w:hAnsi="Calibri Light" w:cstheme="majorHAnsi"/>
                <w:i/>
                <w:sz w:val="16"/>
                <w:szCs w:val="20"/>
                <w:lang w:val="ru-RU"/>
              </w:rPr>
              <w:t>7</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spacing w:line="254"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lang w:val="ru-RU"/>
              </w:rPr>
            </w:pPr>
            <w:r w:rsidRPr="00A77060">
              <w:rPr>
                <w:rFonts w:ascii="Calibri Light" w:eastAsia="MS Mincho" w:hAnsi="Calibri Light" w:cstheme="majorHAnsi"/>
                <w:i/>
                <w:sz w:val="16"/>
                <w:szCs w:val="20"/>
                <w:lang w:val="ru-RU"/>
              </w:rPr>
              <w:t>8=4-7</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spacing w:line="254" w:lineRule="auto"/>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20"/>
                <w:lang w:val="ru-RU"/>
              </w:rPr>
            </w:pPr>
            <w:r w:rsidRPr="00A77060">
              <w:rPr>
                <w:rFonts w:ascii="Calibri Light" w:eastAsia="MS Mincho" w:hAnsi="Calibri Light" w:cstheme="majorHAnsi"/>
                <w:i/>
                <w:sz w:val="16"/>
                <w:szCs w:val="20"/>
                <w:lang w:val="ru-RU"/>
              </w:rPr>
              <w:t>9=4/7*100</w:t>
            </w:r>
          </w:p>
        </w:tc>
      </w:tr>
      <w:tr w:rsidR="006F53B7" w:rsidRPr="00A77060" w:rsidTr="004D2946">
        <w:trPr>
          <w:trHeight w:val="211"/>
        </w:trPr>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rPr>
                <w:rFonts w:ascii="Calibri Light" w:eastAsia="MS Mincho" w:hAnsi="Calibri Light" w:cstheme="majorHAnsi"/>
                <w:b w:val="0"/>
                <w:sz w:val="20"/>
                <w:szCs w:val="20"/>
                <w:lang w:val="ru-RU"/>
              </w:rPr>
            </w:pPr>
            <w:r w:rsidRPr="00A77060">
              <w:rPr>
                <w:rFonts w:ascii="Calibri Light" w:eastAsia="MS Mincho" w:hAnsi="Calibri Light" w:cstheme="majorHAnsi"/>
                <w:i/>
                <w:sz w:val="20"/>
                <w:szCs w:val="20"/>
                <w:lang w:val="ru-RU"/>
              </w:rPr>
              <w:t>Общий итог</w:t>
            </w:r>
            <w:r w:rsidRPr="00A77060">
              <w:rPr>
                <w:rFonts w:ascii="Calibri Light" w:eastAsia="MS Mincho" w:hAnsi="Calibri Light" w:cstheme="majorHAnsi"/>
                <w:sz w:val="20"/>
                <w:szCs w:val="20"/>
                <w:lang w:val="ru-RU"/>
              </w:rPr>
              <w:t xml:space="preserve">, </w:t>
            </w:r>
            <w:r w:rsidRPr="00A77060">
              <w:rPr>
                <w:rFonts w:ascii="Calibri Light" w:eastAsia="MS Mincho" w:hAnsi="Calibri Light" w:cstheme="majorHAnsi"/>
                <w:i/>
                <w:sz w:val="20"/>
                <w:szCs w:val="20"/>
                <w:lang w:val="ru-RU"/>
              </w:rPr>
              <w:t>в том числе для:</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szCs w:val="20"/>
                <w:lang w:val="ru-RU"/>
              </w:rPr>
            </w:pPr>
            <w:r w:rsidRPr="00A77060">
              <w:rPr>
                <w:rFonts w:ascii="Calibri Light" w:eastAsia="MS Mincho" w:hAnsi="Calibri Light" w:cstheme="majorHAnsi"/>
                <w:b/>
                <w:sz w:val="20"/>
                <w:szCs w:val="20"/>
                <w:lang w:val="ru-RU"/>
              </w:rPr>
              <w:t>11 065,1</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szCs w:val="20"/>
                <w:lang w:val="ru-RU"/>
              </w:rPr>
            </w:pPr>
            <w:r w:rsidRPr="00A77060">
              <w:rPr>
                <w:rFonts w:ascii="Calibri Light" w:eastAsia="MS Mincho" w:hAnsi="Calibri Light" w:cstheme="majorHAnsi"/>
                <w:b/>
                <w:sz w:val="20"/>
                <w:szCs w:val="20"/>
                <w:lang w:val="ru-RU"/>
              </w:rPr>
              <w:t>11 212,8</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szCs w:val="20"/>
                <w:lang w:val="ru-RU"/>
              </w:rPr>
            </w:pPr>
            <w:r w:rsidRPr="00A77060">
              <w:rPr>
                <w:rFonts w:ascii="Calibri Light" w:eastAsia="MS Mincho" w:hAnsi="Calibri Light" w:cstheme="majorHAnsi"/>
                <w:b/>
                <w:sz w:val="20"/>
                <w:szCs w:val="20"/>
                <w:lang w:val="ru-RU"/>
              </w:rPr>
              <w:t>10 770,4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szCs w:val="20"/>
                <w:lang w:val="ru-RU"/>
              </w:rPr>
            </w:pPr>
            <w:r w:rsidRPr="00A77060">
              <w:rPr>
                <w:rFonts w:ascii="Calibri Light" w:eastAsia="MS Mincho" w:hAnsi="Calibri Light" w:cstheme="majorHAnsi"/>
                <w:b/>
                <w:sz w:val="20"/>
                <w:szCs w:val="20"/>
                <w:lang w:val="ru-RU"/>
              </w:rPr>
              <w:t>-442,4</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i/>
                <w:sz w:val="20"/>
                <w:szCs w:val="20"/>
                <w:lang w:val="ru-RU"/>
              </w:rPr>
            </w:pPr>
            <w:r w:rsidRPr="00A77060">
              <w:rPr>
                <w:rFonts w:ascii="Calibri Light" w:eastAsia="MS Mincho" w:hAnsi="Calibri Light" w:cstheme="majorHAnsi"/>
                <w:b/>
                <w:i/>
                <w:sz w:val="20"/>
                <w:szCs w:val="20"/>
                <w:lang w:val="ru-RU"/>
              </w:rPr>
              <w:t>96,1</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szCs w:val="20"/>
                <w:lang w:val="ru-RU"/>
              </w:rPr>
            </w:pPr>
            <w:r w:rsidRPr="00A77060">
              <w:rPr>
                <w:rFonts w:ascii="Calibri Light" w:eastAsia="MS Mincho" w:hAnsi="Calibri Light" w:cstheme="majorHAnsi"/>
                <w:b/>
                <w:sz w:val="20"/>
                <w:szCs w:val="20"/>
                <w:lang w:val="ru-RU"/>
              </w:rPr>
              <w:t>9 522,4</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szCs w:val="20"/>
                <w:lang w:val="ru-RU"/>
              </w:rPr>
            </w:pPr>
            <w:r w:rsidRPr="00A77060">
              <w:rPr>
                <w:rFonts w:ascii="Calibri Light" w:eastAsia="MS Mincho" w:hAnsi="Calibri Light" w:cstheme="majorHAnsi"/>
                <w:b/>
                <w:sz w:val="20"/>
                <w:szCs w:val="20"/>
                <w:lang w:val="ru-RU"/>
              </w:rPr>
              <w:t>+1 248,0</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i/>
                <w:sz w:val="20"/>
                <w:szCs w:val="20"/>
                <w:lang w:val="ru-RU"/>
              </w:rPr>
            </w:pPr>
            <w:r w:rsidRPr="00A77060">
              <w:rPr>
                <w:rFonts w:ascii="Calibri Light" w:eastAsia="MS Mincho" w:hAnsi="Calibri Light" w:cstheme="majorHAnsi"/>
                <w:b/>
                <w:i/>
                <w:sz w:val="20"/>
                <w:szCs w:val="20"/>
                <w:lang w:val="ru-RU"/>
              </w:rPr>
              <w:t>113,1</w:t>
            </w:r>
          </w:p>
        </w:tc>
      </w:tr>
      <w:tr w:rsidR="006F53B7" w:rsidRPr="00A77060" w:rsidTr="004D2946">
        <w:trPr>
          <w:trHeight w:val="203"/>
        </w:trPr>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F53B7" w:rsidRPr="00A77060" w:rsidRDefault="006F53B7" w:rsidP="004D2946">
            <w:pPr>
              <w:ind w:right="1"/>
              <w:rPr>
                <w:rFonts w:ascii="Calibri Light" w:eastAsia="MS Mincho" w:hAnsi="Calibri Light" w:cstheme="majorHAnsi"/>
                <w:b w:val="0"/>
                <w:sz w:val="20"/>
                <w:szCs w:val="20"/>
                <w:lang w:val="ru-RU"/>
              </w:rPr>
            </w:pPr>
            <w:r w:rsidRPr="00A77060">
              <w:rPr>
                <w:rFonts w:ascii="Calibri Light" w:eastAsia="MS Mincho" w:hAnsi="Calibri Light" w:cstheme="majorHAnsi"/>
                <w:sz w:val="20"/>
                <w:szCs w:val="20"/>
                <w:lang w:val="ru-RU"/>
              </w:rPr>
              <w:t xml:space="preserve">среднего образования </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9 352,4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9 422,7</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9 141,7</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-281,0</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lang w:val="ru-RU"/>
              </w:rPr>
            </w:pPr>
            <w:r w:rsidRPr="00A77060">
              <w:rPr>
                <w:rFonts w:ascii="Calibri Light" w:eastAsia="MS Mincho" w:hAnsi="Calibri Light" w:cstheme="majorHAnsi"/>
                <w:i/>
                <w:sz w:val="20"/>
                <w:szCs w:val="20"/>
                <w:lang w:val="ru-RU"/>
              </w:rPr>
              <w:t>97,0</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8 101,5</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+1 040,2</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lang w:val="ru-RU"/>
              </w:rPr>
            </w:pPr>
            <w:r w:rsidRPr="00A77060">
              <w:rPr>
                <w:rFonts w:ascii="Calibri Light" w:eastAsia="MS Mincho" w:hAnsi="Calibri Light" w:cstheme="majorHAnsi"/>
                <w:i/>
                <w:sz w:val="20"/>
                <w:szCs w:val="20"/>
                <w:lang w:val="ru-RU"/>
              </w:rPr>
              <w:t>112,8</w:t>
            </w:r>
          </w:p>
        </w:tc>
      </w:tr>
      <w:tr w:rsidR="006F53B7" w:rsidRPr="00A77060" w:rsidTr="004D2946">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F53B7" w:rsidRPr="00A77060" w:rsidRDefault="006F53B7" w:rsidP="004D2946">
            <w:pPr>
              <w:ind w:right="1"/>
              <w:rPr>
                <w:rFonts w:ascii="Calibri Light" w:eastAsia="MS Mincho" w:hAnsi="Calibri Light" w:cstheme="majorHAnsi"/>
                <w:b w:val="0"/>
                <w:sz w:val="20"/>
                <w:szCs w:val="20"/>
                <w:lang w:val="ru-RU"/>
              </w:rPr>
            </w:pPr>
            <w:r w:rsidRPr="00A77060">
              <w:rPr>
                <w:rFonts w:ascii="Calibri Light" w:eastAsia="MS Mincho" w:hAnsi="Calibri Light" w:cstheme="majorHAnsi"/>
                <w:sz w:val="20"/>
                <w:szCs w:val="20"/>
                <w:lang w:val="ru-RU"/>
              </w:rPr>
              <w:t xml:space="preserve">приобретения школьного оборудования и школьной мебели и оснащения лабораторий в рамках ПРОМ </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47,0</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51,5</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41,1</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-10,4</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lang w:val="ru-RU"/>
              </w:rPr>
            </w:pPr>
            <w:r w:rsidRPr="00A77060">
              <w:rPr>
                <w:rFonts w:ascii="Calibri Light" w:eastAsia="MS Mincho" w:hAnsi="Calibri Light" w:cstheme="majorHAnsi"/>
                <w:i/>
                <w:sz w:val="20"/>
                <w:szCs w:val="20"/>
                <w:lang w:val="ru-RU"/>
              </w:rPr>
              <w:t>79,8</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11,8</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+29,3</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lang w:val="ru-RU"/>
              </w:rPr>
            </w:pPr>
            <w:r w:rsidRPr="00A77060">
              <w:rPr>
                <w:rFonts w:ascii="Calibri Light" w:eastAsia="MS Mincho" w:hAnsi="Calibri Light" w:cstheme="majorHAnsi"/>
                <w:i/>
                <w:sz w:val="20"/>
                <w:szCs w:val="20"/>
                <w:lang w:val="ru-RU"/>
              </w:rPr>
              <w:t>348,3</w:t>
            </w:r>
          </w:p>
        </w:tc>
      </w:tr>
      <w:tr w:rsidR="006F53B7" w:rsidRPr="00A77060" w:rsidTr="004D2946">
        <w:trPr>
          <w:trHeight w:val="276"/>
        </w:trPr>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F53B7" w:rsidRPr="00A77060" w:rsidRDefault="006F53B7" w:rsidP="004D2946">
            <w:pPr>
              <w:ind w:right="1"/>
              <w:rPr>
                <w:rFonts w:ascii="Calibri Light" w:eastAsia="MS Mincho" w:hAnsi="Calibri Light" w:cstheme="majorHAnsi"/>
                <w:b w:val="0"/>
                <w:sz w:val="20"/>
                <w:szCs w:val="20"/>
                <w:lang w:val="ru-RU"/>
              </w:rPr>
            </w:pPr>
            <w:r w:rsidRPr="00A77060">
              <w:rPr>
                <w:rFonts w:ascii="Calibri Light" w:eastAsia="MS Mincho" w:hAnsi="Calibri Light" w:cstheme="majorHAnsi"/>
                <w:sz w:val="20"/>
                <w:szCs w:val="20"/>
                <w:lang w:val="ru-RU"/>
              </w:rPr>
              <w:t xml:space="preserve">спортивных школ </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215,3</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216,6</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210,8</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-5,8</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lang w:val="ru-RU"/>
              </w:rPr>
            </w:pPr>
            <w:r w:rsidRPr="00A77060">
              <w:rPr>
                <w:rFonts w:ascii="Calibri Light" w:eastAsia="MS Mincho" w:hAnsi="Calibri Light" w:cstheme="majorHAnsi"/>
                <w:i/>
                <w:sz w:val="20"/>
                <w:szCs w:val="20"/>
                <w:lang w:val="ru-RU"/>
              </w:rPr>
              <w:t>97,3</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199,2</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+11,6</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lang w:val="ru-RU"/>
              </w:rPr>
            </w:pPr>
            <w:r w:rsidRPr="00A77060">
              <w:rPr>
                <w:rFonts w:ascii="Calibri Light" w:eastAsia="MS Mincho" w:hAnsi="Calibri Light" w:cstheme="majorHAnsi"/>
                <w:i/>
                <w:sz w:val="20"/>
                <w:szCs w:val="20"/>
                <w:lang w:val="ru-RU"/>
              </w:rPr>
              <w:t>105,8</w:t>
            </w:r>
          </w:p>
        </w:tc>
      </w:tr>
      <w:tr w:rsidR="006F53B7" w:rsidRPr="00A77060" w:rsidTr="004D2946">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F53B7" w:rsidRPr="00A77060" w:rsidRDefault="006F53B7" w:rsidP="004D2946">
            <w:pPr>
              <w:ind w:right="1"/>
              <w:rPr>
                <w:rFonts w:ascii="Calibri Light" w:eastAsia="MS Mincho" w:hAnsi="Calibri Light" w:cstheme="majorHAnsi"/>
                <w:b w:val="0"/>
                <w:sz w:val="20"/>
                <w:szCs w:val="20"/>
                <w:lang w:val="ru-RU"/>
              </w:rPr>
            </w:pPr>
            <w:r w:rsidRPr="00A77060">
              <w:rPr>
                <w:rFonts w:ascii="Calibri Light" w:eastAsia="MS Mincho" w:hAnsi="Calibri Light" w:cstheme="majorHAnsi"/>
                <w:sz w:val="20"/>
                <w:szCs w:val="20"/>
                <w:lang w:val="ru-RU"/>
              </w:rPr>
              <w:t xml:space="preserve">социальной помощи </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252,4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252,4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200,9</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-51,4</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lang w:val="ru-RU"/>
              </w:rPr>
            </w:pPr>
            <w:r w:rsidRPr="00A77060">
              <w:rPr>
                <w:rFonts w:ascii="Calibri Light" w:eastAsia="MS Mincho" w:hAnsi="Calibri Light" w:cstheme="majorHAnsi"/>
                <w:i/>
                <w:sz w:val="20"/>
                <w:szCs w:val="20"/>
                <w:lang w:val="ru-RU"/>
              </w:rPr>
              <w:t>79,6</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199,4</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+1,5</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lang w:val="ru-RU"/>
              </w:rPr>
            </w:pPr>
            <w:r w:rsidRPr="00A77060">
              <w:rPr>
                <w:rFonts w:ascii="Calibri Light" w:eastAsia="MS Mincho" w:hAnsi="Calibri Light" w:cstheme="majorHAnsi"/>
                <w:i/>
                <w:sz w:val="20"/>
                <w:szCs w:val="20"/>
                <w:lang w:val="ru-RU"/>
              </w:rPr>
              <w:t>100,8</w:t>
            </w:r>
          </w:p>
        </w:tc>
      </w:tr>
      <w:tr w:rsidR="006F53B7" w:rsidRPr="00A77060" w:rsidTr="004D2946">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F53B7" w:rsidRPr="00A77060" w:rsidRDefault="006F53B7" w:rsidP="004D2946">
            <w:pPr>
              <w:ind w:right="1"/>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 xml:space="preserve">компенсации льгот от уплаты земельного налога владельцам сельскохозяйственных земель, расположенных за трассой Рыбница-Тирасполь </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0,6</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0,6</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0,6</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0,0</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lang w:val="ru-RU"/>
              </w:rPr>
            </w:pPr>
            <w:r w:rsidRPr="00A77060">
              <w:rPr>
                <w:rFonts w:ascii="Calibri Light" w:eastAsia="MS Mincho" w:hAnsi="Calibri Light" w:cstheme="majorHAnsi"/>
                <w:i/>
                <w:sz w:val="20"/>
                <w:szCs w:val="20"/>
                <w:lang w:val="ru-RU"/>
              </w:rPr>
              <w:t>100,0</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0,6</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0,0</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lang w:val="ru-RU"/>
              </w:rPr>
            </w:pPr>
            <w:r w:rsidRPr="00A77060">
              <w:rPr>
                <w:rFonts w:ascii="Calibri Light" w:eastAsia="MS Mincho" w:hAnsi="Calibri Light" w:cstheme="majorHAnsi"/>
                <w:i/>
                <w:sz w:val="20"/>
                <w:szCs w:val="20"/>
                <w:lang w:val="ru-RU"/>
              </w:rPr>
              <w:t>100,0</w:t>
            </w:r>
          </w:p>
        </w:tc>
      </w:tr>
      <w:tr w:rsidR="006F53B7" w:rsidRPr="00A77060" w:rsidTr="004D2946">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F53B7" w:rsidRPr="00A77060" w:rsidRDefault="006F53B7" w:rsidP="004D2946">
            <w:pPr>
              <w:ind w:right="1"/>
              <w:rPr>
                <w:rFonts w:ascii="Calibri Light" w:eastAsia="MS Mincho" w:hAnsi="Calibri Light" w:cstheme="majorHAnsi"/>
                <w:b w:val="0"/>
                <w:sz w:val="20"/>
                <w:szCs w:val="20"/>
                <w:lang w:val="ru-RU"/>
              </w:rPr>
            </w:pPr>
            <w:r w:rsidRPr="00A77060">
              <w:rPr>
                <w:rFonts w:ascii="Calibri Light" w:eastAsia="MS Mincho" w:hAnsi="Calibri Light" w:cstheme="majorHAnsi"/>
                <w:sz w:val="20"/>
                <w:szCs w:val="20"/>
                <w:lang w:val="ru-RU"/>
              </w:rPr>
              <w:t xml:space="preserve">капитальных расходов </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110,8</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111,2</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104,4</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-6,8</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lang w:val="ru-RU"/>
              </w:rPr>
            </w:pPr>
            <w:r w:rsidRPr="00A77060">
              <w:rPr>
                <w:rFonts w:ascii="Calibri Light" w:eastAsia="MS Mincho" w:hAnsi="Calibri Light" w:cstheme="majorHAnsi"/>
                <w:i/>
                <w:sz w:val="20"/>
                <w:szCs w:val="20"/>
                <w:lang w:val="ru-RU"/>
              </w:rPr>
              <w:t>93,9</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199,4</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-95,0</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lang w:val="ru-RU"/>
              </w:rPr>
            </w:pPr>
            <w:r w:rsidRPr="00A77060">
              <w:rPr>
                <w:rFonts w:ascii="Calibri Light" w:eastAsia="MS Mincho" w:hAnsi="Calibri Light" w:cstheme="majorHAnsi"/>
                <w:i/>
                <w:sz w:val="20"/>
                <w:szCs w:val="20"/>
                <w:lang w:val="ru-RU"/>
              </w:rPr>
              <w:t>52,4</w:t>
            </w:r>
          </w:p>
        </w:tc>
      </w:tr>
      <w:tr w:rsidR="006F53B7" w:rsidRPr="00A77060" w:rsidTr="004D2946">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F53B7" w:rsidRPr="00A77060" w:rsidRDefault="006F53B7" w:rsidP="004D2946">
            <w:pPr>
              <w:ind w:right="1"/>
              <w:rPr>
                <w:rFonts w:ascii="Calibri Light" w:eastAsia="MS Mincho" w:hAnsi="Calibri Light" w:cstheme="majorHAnsi"/>
                <w:b w:val="0"/>
                <w:sz w:val="20"/>
                <w:szCs w:val="20"/>
                <w:lang w:val="ru-RU"/>
              </w:rPr>
            </w:pPr>
            <w:r w:rsidRPr="00A77060">
              <w:rPr>
                <w:rFonts w:ascii="Calibri Light" w:eastAsia="MS Mincho" w:hAnsi="Calibri Light" w:cstheme="majorHAnsi"/>
                <w:sz w:val="20"/>
                <w:szCs w:val="20"/>
                <w:lang w:val="ru-RU"/>
              </w:rPr>
              <w:t xml:space="preserve">инфраструктуры местных дорог </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1 021, 9</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1 021,9</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988,6</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33,3</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lang w:val="ru-RU"/>
              </w:rPr>
            </w:pPr>
            <w:r w:rsidRPr="00A77060">
              <w:rPr>
                <w:rFonts w:ascii="Calibri Light" w:eastAsia="MS Mincho" w:hAnsi="Calibri Light" w:cstheme="majorHAnsi"/>
                <w:i/>
                <w:sz w:val="20"/>
                <w:szCs w:val="20"/>
                <w:lang w:val="ru-RU"/>
              </w:rPr>
              <w:t>96,7</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745,7</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+242,9</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lang w:val="ru-RU"/>
              </w:rPr>
            </w:pPr>
            <w:r w:rsidRPr="00A77060">
              <w:rPr>
                <w:rFonts w:ascii="Calibri Light" w:eastAsia="MS Mincho" w:hAnsi="Calibri Light" w:cstheme="majorHAnsi"/>
                <w:i/>
                <w:sz w:val="20"/>
                <w:szCs w:val="20"/>
                <w:lang w:val="ru-RU"/>
              </w:rPr>
              <w:t>132,6</w:t>
            </w:r>
          </w:p>
        </w:tc>
      </w:tr>
      <w:tr w:rsidR="006F53B7" w:rsidRPr="00A77060" w:rsidTr="004D2946">
        <w:tc>
          <w:tcPr>
            <w:cnfStyle w:val="001000000000" w:firstRow="0" w:lastRow="0" w:firstColumn="1" w:lastColumn="0" w:oddVBand="0" w:evenVBand="0" w:oddHBand="0" w:evenHBand="0" w:firstRowFirstColumn="0" w:firstRowLastColumn="0" w:lastRowFirstColumn="0" w:lastRowLastColumn="0"/>
            <w:tcW w:w="680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6F53B7" w:rsidRPr="00A77060" w:rsidRDefault="006F53B7" w:rsidP="004D2946">
            <w:pPr>
              <w:ind w:right="1"/>
              <w:rPr>
                <w:rFonts w:ascii="Calibri Light" w:eastAsia="MS Mincho" w:hAnsi="Calibri Light" w:cstheme="majorHAnsi"/>
                <w:b w:val="0"/>
                <w:sz w:val="20"/>
                <w:szCs w:val="20"/>
                <w:lang w:val="ru-RU"/>
              </w:rPr>
            </w:pPr>
            <w:r w:rsidRPr="00A77060">
              <w:rPr>
                <w:rFonts w:ascii="Calibri Light" w:eastAsia="MS Mincho" w:hAnsi="Calibri Light" w:cstheme="majorHAnsi"/>
                <w:sz w:val="20"/>
                <w:szCs w:val="20"/>
                <w:lang w:val="ru-RU"/>
              </w:rPr>
              <w:t xml:space="preserve">из Фонда поддержки населения для минимального пакета услуг </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64,7</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135,7</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82,2</w:t>
            </w:r>
          </w:p>
        </w:tc>
        <w:tc>
          <w:tcPr>
            <w:tcW w:w="85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53,5</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lang w:val="ru-RU"/>
              </w:rPr>
            </w:pPr>
            <w:r w:rsidRPr="00A77060">
              <w:rPr>
                <w:rFonts w:ascii="Calibri Light" w:eastAsia="MS Mincho" w:hAnsi="Calibri Light" w:cstheme="majorHAnsi"/>
                <w:i/>
                <w:sz w:val="20"/>
                <w:szCs w:val="20"/>
                <w:lang w:val="ru-RU"/>
              </w:rPr>
              <w:t>60,6</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62,0</w:t>
            </w:r>
          </w:p>
        </w:tc>
        <w:tc>
          <w:tcPr>
            <w:tcW w:w="8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szCs w:val="20"/>
                <w:lang w:val="ru-RU"/>
              </w:rPr>
            </w:pPr>
            <w:r w:rsidRPr="00A77060">
              <w:rPr>
                <w:rFonts w:ascii="Calibri Light" w:eastAsia="MS Mincho" w:hAnsi="Calibri Light" w:cstheme="majorHAnsi"/>
                <w:sz w:val="20"/>
                <w:szCs w:val="20"/>
                <w:lang w:val="ru-RU"/>
              </w:rPr>
              <w:t>+20,2</w:t>
            </w:r>
          </w:p>
        </w:tc>
        <w:tc>
          <w:tcPr>
            <w:tcW w:w="992"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20"/>
                <w:szCs w:val="20"/>
                <w:lang w:val="ru-RU"/>
              </w:rPr>
            </w:pPr>
            <w:r w:rsidRPr="00A77060">
              <w:rPr>
                <w:rFonts w:ascii="Calibri Light" w:eastAsia="MS Mincho" w:hAnsi="Calibri Light" w:cstheme="majorHAnsi"/>
                <w:i/>
                <w:sz w:val="20"/>
                <w:szCs w:val="20"/>
                <w:lang w:val="ru-RU"/>
              </w:rPr>
              <w:t>132,6</w:t>
            </w:r>
          </w:p>
        </w:tc>
      </w:tr>
    </w:tbl>
    <w:p w:rsidR="006F53B7" w:rsidRPr="00A77060" w:rsidRDefault="006F53B7" w:rsidP="004D2946">
      <w:pPr>
        <w:shd w:val="clear" w:color="auto" w:fill="FFFFFF" w:themeFill="background1"/>
        <w:spacing w:after="0" w:line="276" w:lineRule="auto"/>
        <w:ind w:right="-377"/>
        <w:rPr>
          <w:rFonts w:ascii="Calibri Light" w:eastAsia="MS Mincho" w:hAnsi="Calibri Light" w:cstheme="majorHAnsi"/>
          <w:i/>
          <w:sz w:val="20"/>
          <w:szCs w:val="20"/>
          <w:lang w:val="ru-RU" w:eastAsia="ja-JP"/>
        </w:rPr>
      </w:pPr>
      <w:r w:rsidRPr="00A77060">
        <w:rPr>
          <w:rFonts w:ascii="Calibri Light" w:hAnsi="Calibri Light" w:cstheme="majorHAnsi"/>
          <w:b/>
          <w:i/>
          <w:sz w:val="20"/>
          <w:szCs w:val="20"/>
          <w:lang w:val="ru-RU"/>
        </w:rPr>
        <w:t>Источник:</w:t>
      </w:r>
      <w:r w:rsidRPr="00A77060">
        <w:rPr>
          <w:rFonts w:ascii="Calibri Light" w:hAnsi="Calibri Light" w:cstheme="majorHAnsi"/>
          <w:sz w:val="20"/>
          <w:szCs w:val="20"/>
          <w:lang w:val="ru-RU"/>
        </w:rPr>
        <w:t xml:space="preserve"> </w:t>
      </w:r>
      <w:r w:rsidRPr="00A77060">
        <w:rPr>
          <w:rFonts w:ascii="Calibri Light" w:hAnsi="Calibri Light" w:cstheme="majorHAnsi"/>
          <w:i/>
          <w:sz w:val="20"/>
          <w:szCs w:val="20"/>
          <w:lang w:val="ru-RU"/>
        </w:rPr>
        <w:t>Данные</w:t>
      </w:r>
      <w:r w:rsidRPr="00A77060">
        <w:rPr>
          <w:rFonts w:ascii="Calibri Light" w:hAnsi="Calibri Light" w:cstheme="majorHAnsi"/>
          <w:sz w:val="20"/>
          <w:szCs w:val="20"/>
          <w:lang w:val="ru-RU"/>
        </w:rPr>
        <w:t xml:space="preserve"> </w:t>
      </w:r>
      <w:r w:rsidRPr="00A77060">
        <w:rPr>
          <w:rFonts w:ascii="Calibri Light" w:eastAsia="MS Mincho" w:hAnsi="Calibri Light" w:cstheme="majorHAnsi"/>
          <w:i/>
          <w:sz w:val="20"/>
          <w:szCs w:val="20"/>
          <w:lang w:val="ru-RU" w:eastAsia="ja-JP"/>
        </w:rPr>
        <w:t xml:space="preserve">обобщены аудиторской группой из Отчетов Министерства финансов об исполнении государственного бюджета за </w:t>
      </w:r>
      <w:r w:rsidRPr="00A77060">
        <w:rPr>
          <w:rFonts w:ascii="Calibri Light" w:hAnsi="Calibri Light" w:cstheme="majorHAnsi"/>
          <w:i/>
          <w:sz w:val="20"/>
          <w:szCs w:val="16"/>
          <w:lang w:val="ru-RU"/>
        </w:rPr>
        <w:t>2019-2020 годы.</w:t>
      </w:r>
    </w:p>
    <w:p w:rsidR="006F53B7" w:rsidRPr="00A77060" w:rsidRDefault="006F53B7" w:rsidP="004D2946">
      <w:pPr>
        <w:spacing w:after="0" w:line="276" w:lineRule="auto"/>
        <w:jc w:val="right"/>
        <w:rPr>
          <w:rFonts w:ascii="Calibri Light" w:eastAsia="Times New Roman" w:hAnsi="Calibri Light" w:cstheme="majorHAnsi"/>
          <w:b/>
          <w:sz w:val="24"/>
          <w:szCs w:val="24"/>
          <w:lang w:val="ru-RU"/>
        </w:rPr>
      </w:pPr>
    </w:p>
    <w:p w:rsidR="006F53B7" w:rsidRDefault="006F53B7" w:rsidP="004D2946">
      <w:pPr>
        <w:spacing w:after="0" w:line="276" w:lineRule="auto"/>
        <w:jc w:val="right"/>
        <w:rPr>
          <w:rFonts w:ascii="Calibri Light" w:eastAsia="Times New Roman" w:hAnsi="Calibri Light" w:cstheme="majorHAnsi"/>
          <w:b/>
          <w:sz w:val="24"/>
          <w:szCs w:val="24"/>
          <w:lang w:val="ru-RU"/>
        </w:rPr>
      </w:pPr>
    </w:p>
    <w:p w:rsidR="006F53B7" w:rsidRDefault="006F53B7" w:rsidP="004D2946">
      <w:pPr>
        <w:spacing w:after="0" w:line="276" w:lineRule="auto"/>
        <w:jc w:val="right"/>
        <w:rPr>
          <w:rFonts w:ascii="Calibri Light" w:eastAsia="Times New Roman" w:hAnsi="Calibri Light" w:cstheme="majorHAnsi"/>
          <w:b/>
          <w:sz w:val="24"/>
          <w:szCs w:val="24"/>
          <w:lang w:val="ru-RU"/>
        </w:rPr>
      </w:pPr>
    </w:p>
    <w:p w:rsidR="005627D8" w:rsidRDefault="005627D8" w:rsidP="004D2946">
      <w:pPr>
        <w:spacing w:after="0" w:line="276" w:lineRule="auto"/>
        <w:jc w:val="right"/>
        <w:rPr>
          <w:rFonts w:ascii="Calibri Light" w:eastAsia="Times New Roman" w:hAnsi="Calibri Light" w:cstheme="majorHAnsi"/>
          <w:b/>
          <w:sz w:val="24"/>
          <w:szCs w:val="24"/>
          <w:lang w:val="ru-RU"/>
        </w:rPr>
      </w:pPr>
    </w:p>
    <w:p w:rsidR="005627D8" w:rsidRDefault="005627D8" w:rsidP="004D2946">
      <w:pPr>
        <w:spacing w:after="0" w:line="276" w:lineRule="auto"/>
        <w:jc w:val="right"/>
        <w:rPr>
          <w:rFonts w:ascii="Calibri Light" w:eastAsia="Times New Roman" w:hAnsi="Calibri Light" w:cstheme="majorHAnsi"/>
          <w:b/>
          <w:sz w:val="24"/>
          <w:szCs w:val="24"/>
          <w:lang w:val="ru-RU"/>
        </w:rPr>
      </w:pPr>
    </w:p>
    <w:p w:rsidR="005627D8" w:rsidRDefault="005627D8" w:rsidP="004D2946">
      <w:pPr>
        <w:spacing w:after="0" w:line="276" w:lineRule="auto"/>
        <w:jc w:val="right"/>
        <w:rPr>
          <w:rFonts w:ascii="Calibri Light" w:eastAsia="Times New Roman" w:hAnsi="Calibri Light" w:cstheme="majorHAnsi"/>
          <w:b/>
          <w:sz w:val="24"/>
          <w:szCs w:val="24"/>
          <w:lang w:val="ru-RU"/>
        </w:rPr>
      </w:pPr>
    </w:p>
    <w:p w:rsidR="005627D8" w:rsidRDefault="005627D8" w:rsidP="004D2946">
      <w:pPr>
        <w:spacing w:after="0" w:line="276" w:lineRule="auto"/>
        <w:jc w:val="right"/>
        <w:rPr>
          <w:rFonts w:ascii="Calibri Light" w:eastAsia="Times New Roman" w:hAnsi="Calibri Light" w:cstheme="majorHAnsi"/>
          <w:b/>
          <w:sz w:val="24"/>
          <w:szCs w:val="24"/>
          <w:lang w:val="ru-RU"/>
        </w:rPr>
      </w:pPr>
    </w:p>
    <w:p w:rsidR="006F53B7" w:rsidRPr="00A77060" w:rsidRDefault="006F53B7" w:rsidP="004D2946">
      <w:pPr>
        <w:spacing w:after="0" w:line="276" w:lineRule="auto"/>
        <w:jc w:val="right"/>
        <w:rPr>
          <w:rFonts w:ascii="Calibri Light" w:eastAsia="Times New Roman" w:hAnsi="Calibri Light" w:cstheme="majorHAnsi"/>
          <w:b/>
          <w:sz w:val="24"/>
          <w:szCs w:val="24"/>
          <w:lang w:val="ru-RU"/>
        </w:rPr>
      </w:pPr>
      <w:r w:rsidRPr="00A77060">
        <w:rPr>
          <w:rFonts w:ascii="Calibri Light" w:eastAsia="Times New Roman" w:hAnsi="Calibri Light" w:cstheme="majorHAnsi"/>
          <w:b/>
          <w:sz w:val="24"/>
          <w:szCs w:val="24"/>
          <w:lang w:val="ru-RU"/>
        </w:rPr>
        <w:lastRenderedPageBreak/>
        <w:t>Приложение №13</w:t>
      </w:r>
    </w:p>
    <w:p w:rsidR="006F53B7" w:rsidRPr="00A77060" w:rsidRDefault="006F53B7" w:rsidP="004D2946">
      <w:pPr>
        <w:shd w:val="clear" w:color="auto" w:fill="FFFFFF" w:themeFill="background1"/>
        <w:spacing w:after="0" w:line="276" w:lineRule="auto"/>
        <w:ind w:right="1"/>
        <w:jc w:val="center"/>
        <w:rPr>
          <w:rFonts w:ascii="Calibri Light" w:eastAsia="MS Mincho" w:hAnsi="Calibri Light" w:cstheme="majorHAnsi"/>
          <w:b/>
          <w:sz w:val="24"/>
          <w:szCs w:val="24"/>
          <w:lang w:val="ru-RU" w:eastAsia="ja-JP"/>
        </w:rPr>
      </w:pPr>
      <w:r w:rsidRPr="00A77060">
        <w:rPr>
          <w:rFonts w:ascii="Calibri Light" w:eastAsia="MS Mincho" w:hAnsi="Calibri Light" w:cstheme="majorHAnsi"/>
          <w:b/>
          <w:sz w:val="24"/>
          <w:szCs w:val="24"/>
          <w:lang w:val="ru-RU" w:eastAsia="ja-JP"/>
        </w:rPr>
        <w:t>Свод исполнения трансфертов из государственного бюджета другим бюджетам за 2020 год</w:t>
      </w:r>
    </w:p>
    <w:p w:rsidR="006F53B7" w:rsidRPr="00A77060" w:rsidRDefault="006F53B7" w:rsidP="004D2946">
      <w:pPr>
        <w:spacing w:after="0" w:line="276" w:lineRule="auto"/>
        <w:ind w:right="2372"/>
        <w:jc w:val="right"/>
        <w:rPr>
          <w:rFonts w:ascii="Calibri Light" w:eastAsia="Times New Roman" w:hAnsi="Calibri Light" w:cstheme="majorHAnsi"/>
          <w:b/>
          <w:strike/>
          <w:sz w:val="24"/>
          <w:szCs w:val="24"/>
          <w:highlight w:val="yellow"/>
          <w:lang w:val="ru-RU"/>
        </w:rPr>
      </w:pPr>
      <w:r w:rsidRPr="00A77060">
        <w:rPr>
          <w:rFonts w:ascii="Calibri Light" w:eastAsia="MS Mincho" w:hAnsi="Calibri Light" w:cstheme="majorHAnsi"/>
          <w:b/>
          <w:sz w:val="24"/>
          <w:szCs w:val="24"/>
          <w:lang w:val="ru-RU" w:eastAsia="ja-JP"/>
        </w:rPr>
        <w:t>(</w:t>
      </w:r>
      <w:r w:rsidRPr="00A77060">
        <w:rPr>
          <w:rFonts w:ascii="Calibri Light" w:eastAsia="Times New Roman" w:hAnsi="Calibri Light" w:cstheme="majorHAnsi"/>
          <w:b/>
          <w:iCs/>
          <w:color w:val="000000"/>
          <w:spacing w:val="2"/>
          <w:sz w:val="24"/>
          <w:szCs w:val="24"/>
          <w:lang w:val="ru-RU" w:eastAsia="ru-RU"/>
        </w:rPr>
        <w:t>млн. леев</w:t>
      </w:r>
      <w:r w:rsidRPr="00A77060">
        <w:rPr>
          <w:rFonts w:ascii="Calibri Light" w:eastAsia="MS Mincho" w:hAnsi="Calibri Light" w:cstheme="majorHAnsi"/>
          <w:b/>
          <w:sz w:val="24"/>
          <w:szCs w:val="24"/>
          <w:lang w:val="ru-RU" w:eastAsia="ja-JP"/>
        </w:rPr>
        <w:t>)</w:t>
      </w:r>
    </w:p>
    <w:tbl>
      <w:tblPr>
        <w:tblStyle w:val="GridTable1Light1"/>
        <w:tblW w:w="9480" w:type="dxa"/>
        <w:jc w:val="center"/>
        <w:tblLook w:val="04A0" w:firstRow="1" w:lastRow="0" w:firstColumn="1" w:lastColumn="0" w:noHBand="0" w:noVBand="1"/>
      </w:tblPr>
      <w:tblGrid>
        <w:gridCol w:w="893"/>
        <w:gridCol w:w="1246"/>
        <w:gridCol w:w="1009"/>
        <w:gridCol w:w="1153"/>
        <w:gridCol w:w="866"/>
        <w:gridCol w:w="958"/>
        <w:gridCol w:w="1449"/>
        <w:gridCol w:w="895"/>
        <w:gridCol w:w="1011"/>
      </w:tblGrid>
      <w:tr w:rsidR="006F53B7" w:rsidRPr="007071A4" w:rsidTr="004D29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99" w:type="dxa"/>
            <w:vMerge w:val="restart"/>
            <w:vAlign w:val="center"/>
          </w:tcPr>
          <w:p w:rsidR="006F53B7" w:rsidRPr="00A77060" w:rsidRDefault="006F53B7" w:rsidP="004D2946">
            <w:pPr>
              <w:ind w:right="1"/>
              <w:jc w:val="center"/>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Бюджет</w:t>
            </w:r>
          </w:p>
        </w:tc>
        <w:tc>
          <w:tcPr>
            <w:tcW w:w="1124" w:type="dxa"/>
            <w:vMerge w:val="restart"/>
            <w:vAlign w:val="center"/>
          </w:tcPr>
          <w:p w:rsidR="006F53B7" w:rsidRPr="00A77060" w:rsidRDefault="006F53B7" w:rsidP="004D2946">
            <w:pPr>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 xml:space="preserve">Утверждено </w:t>
            </w:r>
          </w:p>
        </w:tc>
        <w:tc>
          <w:tcPr>
            <w:tcW w:w="954" w:type="dxa"/>
            <w:vMerge w:val="restart"/>
            <w:vAlign w:val="center"/>
          </w:tcPr>
          <w:p w:rsidR="006F53B7" w:rsidRPr="00A77060" w:rsidRDefault="006F53B7" w:rsidP="004D2946">
            <w:pPr>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Times New Roman" w:hAnsi="Calibri Light" w:cstheme="majorHAnsi"/>
                <w:sz w:val="20"/>
                <w:szCs w:val="20"/>
                <w:lang w:val="ru-RU" w:eastAsia="ru-RU"/>
              </w:rPr>
              <w:t>Уточнено</w:t>
            </w:r>
          </w:p>
        </w:tc>
        <w:tc>
          <w:tcPr>
            <w:tcW w:w="1032" w:type="dxa"/>
            <w:vMerge w:val="restart"/>
            <w:vAlign w:val="center"/>
          </w:tcPr>
          <w:p w:rsidR="006F53B7" w:rsidRPr="00A77060" w:rsidRDefault="006F53B7" w:rsidP="004D2946">
            <w:pPr>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Times New Roman" w:hAnsi="Calibri Light" w:cstheme="majorHAnsi"/>
                <w:sz w:val="20"/>
                <w:szCs w:val="20"/>
                <w:lang w:val="ru-RU" w:eastAsia="ru-RU"/>
              </w:rPr>
              <w:t>Исполнено</w:t>
            </w:r>
          </w:p>
        </w:tc>
        <w:tc>
          <w:tcPr>
            <w:tcW w:w="1906" w:type="dxa"/>
            <w:gridSpan w:val="2"/>
            <w:vAlign w:val="center"/>
          </w:tcPr>
          <w:p w:rsidR="006F53B7" w:rsidRPr="00A77060" w:rsidRDefault="006F53B7" w:rsidP="004D2946">
            <w:pPr>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Times New Roman" w:hAnsi="Calibri Light" w:cstheme="majorHAnsi"/>
                <w:sz w:val="20"/>
                <w:szCs w:val="20"/>
                <w:lang w:val="ru-RU" w:eastAsia="ru-RU"/>
              </w:rPr>
              <w:t xml:space="preserve">Исполнено по сравнению с уточненным  </w:t>
            </w:r>
          </w:p>
        </w:tc>
        <w:tc>
          <w:tcPr>
            <w:tcW w:w="1523" w:type="dxa"/>
            <w:vMerge w:val="restart"/>
            <w:vAlign w:val="center"/>
          </w:tcPr>
          <w:p w:rsidR="006F53B7" w:rsidRPr="00A77060" w:rsidRDefault="006F53B7" w:rsidP="004D2946">
            <w:pPr>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Times New Roman" w:hAnsi="Calibri Light" w:cstheme="majorHAnsi"/>
                <w:sz w:val="20"/>
                <w:szCs w:val="20"/>
                <w:lang w:val="ru-RU" w:eastAsia="ru-RU"/>
              </w:rPr>
              <w:t xml:space="preserve">Исполнено в предыдущем году </w:t>
            </w:r>
            <w:r w:rsidRPr="00A77060">
              <w:rPr>
                <w:rFonts w:ascii="Calibri Light" w:eastAsia="MS Mincho" w:hAnsi="Calibri Light" w:cstheme="majorHAnsi"/>
                <w:sz w:val="20"/>
                <w:lang w:val="ru-RU" w:eastAsia="ja-JP"/>
              </w:rPr>
              <w:t xml:space="preserve"> </w:t>
            </w:r>
          </w:p>
        </w:tc>
        <w:tc>
          <w:tcPr>
            <w:tcW w:w="2042" w:type="dxa"/>
            <w:gridSpan w:val="2"/>
            <w:vAlign w:val="center"/>
          </w:tcPr>
          <w:p w:rsidR="006F53B7" w:rsidRPr="00A77060" w:rsidRDefault="006F53B7" w:rsidP="004D2946">
            <w:pPr>
              <w:ind w:right="1"/>
              <w:jc w:val="center"/>
              <w:cnfStyle w:val="100000000000" w:firstRow="1"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 xml:space="preserve">Исполнено в 2020 году </w:t>
            </w:r>
            <w:r w:rsidRPr="00A77060">
              <w:rPr>
                <w:rFonts w:ascii="Calibri Light" w:eastAsia="Times New Roman" w:hAnsi="Calibri Light" w:cstheme="majorHAnsi"/>
                <w:sz w:val="20"/>
                <w:szCs w:val="20"/>
                <w:lang w:val="ru-RU" w:eastAsia="ru-RU"/>
              </w:rPr>
              <w:t xml:space="preserve">по сравнению с предыдущим годом </w:t>
            </w:r>
            <w:r w:rsidRPr="00A77060">
              <w:rPr>
                <w:rFonts w:ascii="Calibri Light" w:eastAsia="MS Mincho" w:hAnsi="Calibri Light" w:cstheme="majorHAnsi"/>
                <w:sz w:val="20"/>
                <w:lang w:val="ru-RU" w:eastAsia="ja-JP"/>
              </w:rPr>
              <w:t xml:space="preserve">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899" w:type="dxa"/>
            <w:vMerge/>
            <w:vAlign w:val="center"/>
          </w:tcPr>
          <w:p w:rsidR="006F53B7" w:rsidRPr="00A77060" w:rsidRDefault="006F53B7" w:rsidP="004D2946">
            <w:pPr>
              <w:ind w:right="1"/>
              <w:jc w:val="center"/>
              <w:rPr>
                <w:rFonts w:ascii="Calibri Light" w:eastAsia="MS Mincho" w:hAnsi="Calibri Light" w:cstheme="majorHAnsi"/>
                <w:sz w:val="20"/>
                <w:lang w:val="ru-RU" w:eastAsia="ja-JP"/>
              </w:rPr>
            </w:pPr>
          </w:p>
        </w:tc>
        <w:tc>
          <w:tcPr>
            <w:tcW w:w="1124" w:type="dxa"/>
            <w:vMerge/>
            <w:vAlign w:val="center"/>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p>
        </w:tc>
        <w:tc>
          <w:tcPr>
            <w:tcW w:w="954" w:type="dxa"/>
            <w:vMerge/>
            <w:vAlign w:val="center"/>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p>
        </w:tc>
        <w:tc>
          <w:tcPr>
            <w:tcW w:w="1032" w:type="dxa"/>
            <w:vMerge/>
            <w:vAlign w:val="center"/>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p>
        </w:tc>
        <w:tc>
          <w:tcPr>
            <w:tcW w:w="925" w:type="dxa"/>
            <w:vAlign w:val="center"/>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w:t>
            </w:r>
          </w:p>
        </w:tc>
        <w:tc>
          <w:tcPr>
            <w:tcW w:w="981" w:type="dxa"/>
            <w:vAlign w:val="center"/>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w:t>
            </w:r>
          </w:p>
        </w:tc>
        <w:tc>
          <w:tcPr>
            <w:tcW w:w="1523" w:type="dxa"/>
            <w:vMerge/>
            <w:vAlign w:val="center"/>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p>
        </w:tc>
        <w:tc>
          <w:tcPr>
            <w:tcW w:w="973" w:type="dxa"/>
            <w:vAlign w:val="center"/>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w:t>
            </w:r>
          </w:p>
        </w:tc>
        <w:tc>
          <w:tcPr>
            <w:tcW w:w="1069" w:type="dxa"/>
            <w:vAlign w:val="center"/>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w:t>
            </w:r>
          </w:p>
        </w:tc>
      </w:tr>
      <w:tr w:rsidR="006F53B7" w:rsidRPr="00A77060" w:rsidTr="004D2946">
        <w:trPr>
          <w:trHeight w:val="64"/>
          <w:jc w:val="center"/>
        </w:trPr>
        <w:tc>
          <w:tcPr>
            <w:cnfStyle w:val="001000000000" w:firstRow="0" w:lastRow="0" w:firstColumn="1" w:lastColumn="0" w:oddVBand="0" w:evenVBand="0" w:oddHBand="0" w:evenHBand="0" w:firstRowFirstColumn="0" w:firstRowLastColumn="0" w:lastRowFirstColumn="0" w:lastRowLastColumn="0"/>
            <w:tcW w:w="899" w:type="dxa"/>
          </w:tcPr>
          <w:p w:rsidR="006F53B7" w:rsidRPr="00A77060" w:rsidRDefault="006F53B7" w:rsidP="004D2946">
            <w:pPr>
              <w:ind w:right="1"/>
              <w:jc w:val="center"/>
              <w:rPr>
                <w:rFonts w:ascii="Calibri Light" w:eastAsia="MS Mincho" w:hAnsi="Calibri Light" w:cstheme="majorHAnsi"/>
                <w:i/>
                <w:sz w:val="16"/>
                <w:szCs w:val="16"/>
                <w:lang w:val="ru-RU" w:eastAsia="ja-JP"/>
              </w:rPr>
            </w:pPr>
            <w:r w:rsidRPr="00A77060">
              <w:rPr>
                <w:rFonts w:ascii="Calibri Light" w:eastAsia="MS Mincho" w:hAnsi="Calibri Light" w:cstheme="majorHAnsi"/>
                <w:i/>
                <w:sz w:val="16"/>
                <w:szCs w:val="16"/>
                <w:lang w:val="ru-RU" w:eastAsia="ja-JP"/>
              </w:rPr>
              <w:t>1</w:t>
            </w:r>
          </w:p>
        </w:tc>
        <w:tc>
          <w:tcPr>
            <w:tcW w:w="1124" w:type="dxa"/>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16"/>
                <w:lang w:val="ru-RU" w:eastAsia="ja-JP"/>
              </w:rPr>
            </w:pPr>
            <w:r w:rsidRPr="00A77060">
              <w:rPr>
                <w:rFonts w:ascii="Calibri Light" w:eastAsia="MS Mincho" w:hAnsi="Calibri Light" w:cstheme="majorHAnsi"/>
                <w:i/>
                <w:sz w:val="16"/>
                <w:szCs w:val="16"/>
                <w:lang w:val="ru-RU" w:eastAsia="ja-JP"/>
              </w:rPr>
              <w:t>2</w:t>
            </w:r>
          </w:p>
        </w:tc>
        <w:tc>
          <w:tcPr>
            <w:tcW w:w="954" w:type="dxa"/>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16"/>
                <w:lang w:val="ru-RU" w:eastAsia="ja-JP"/>
              </w:rPr>
            </w:pPr>
            <w:r w:rsidRPr="00A77060">
              <w:rPr>
                <w:rFonts w:ascii="Calibri Light" w:eastAsia="MS Mincho" w:hAnsi="Calibri Light" w:cstheme="majorHAnsi"/>
                <w:i/>
                <w:sz w:val="16"/>
                <w:szCs w:val="16"/>
                <w:lang w:val="ru-RU" w:eastAsia="ja-JP"/>
              </w:rPr>
              <w:t>3</w:t>
            </w:r>
          </w:p>
        </w:tc>
        <w:tc>
          <w:tcPr>
            <w:tcW w:w="1032" w:type="dxa"/>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16"/>
                <w:lang w:val="ru-RU" w:eastAsia="ja-JP"/>
              </w:rPr>
            </w:pPr>
            <w:r w:rsidRPr="00A77060">
              <w:rPr>
                <w:rFonts w:ascii="Calibri Light" w:eastAsia="MS Mincho" w:hAnsi="Calibri Light" w:cstheme="majorHAnsi"/>
                <w:i/>
                <w:sz w:val="16"/>
                <w:szCs w:val="16"/>
                <w:lang w:val="ru-RU" w:eastAsia="ja-JP"/>
              </w:rPr>
              <w:t>4</w:t>
            </w:r>
          </w:p>
        </w:tc>
        <w:tc>
          <w:tcPr>
            <w:tcW w:w="925" w:type="dxa"/>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16"/>
                <w:lang w:val="ru-RU" w:eastAsia="ja-JP"/>
              </w:rPr>
            </w:pPr>
            <w:r w:rsidRPr="00A77060">
              <w:rPr>
                <w:rFonts w:ascii="Calibri Light" w:eastAsia="MS Mincho" w:hAnsi="Calibri Light" w:cstheme="majorHAnsi"/>
                <w:i/>
                <w:sz w:val="16"/>
                <w:szCs w:val="16"/>
                <w:lang w:val="ru-RU" w:eastAsia="ja-JP"/>
              </w:rPr>
              <w:t>5=4-3</w:t>
            </w:r>
          </w:p>
        </w:tc>
        <w:tc>
          <w:tcPr>
            <w:tcW w:w="981" w:type="dxa"/>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16"/>
                <w:lang w:val="ru-RU" w:eastAsia="ja-JP"/>
              </w:rPr>
            </w:pPr>
            <w:r w:rsidRPr="00A77060">
              <w:rPr>
                <w:rFonts w:ascii="Calibri Light" w:eastAsia="MS Mincho" w:hAnsi="Calibri Light" w:cstheme="majorHAnsi"/>
                <w:i/>
                <w:sz w:val="16"/>
                <w:szCs w:val="16"/>
                <w:lang w:val="ru-RU" w:eastAsia="ja-JP"/>
              </w:rPr>
              <w:t>6=4/3*100</w:t>
            </w:r>
          </w:p>
        </w:tc>
        <w:tc>
          <w:tcPr>
            <w:tcW w:w="1523" w:type="dxa"/>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16"/>
                <w:lang w:val="ru-RU" w:eastAsia="ja-JP"/>
              </w:rPr>
            </w:pPr>
            <w:r w:rsidRPr="00A77060">
              <w:rPr>
                <w:rFonts w:ascii="Calibri Light" w:eastAsia="MS Mincho" w:hAnsi="Calibri Light" w:cstheme="majorHAnsi"/>
                <w:i/>
                <w:sz w:val="16"/>
                <w:szCs w:val="16"/>
                <w:lang w:val="ru-RU" w:eastAsia="ja-JP"/>
              </w:rPr>
              <w:t>7</w:t>
            </w:r>
          </w:p>
        </w:tc>
        <w:tc>
          <w:tcPr>
            <w:tcW w:w="973" w:type="dxa"/>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16"/>
                <w:lang w:val="ru-RU" w:eastAsia="ja-JP"/>
              </w:rPr>
            </w:pPr>
            <w:r w:rsidRPr="00A77060">
              <w:rPr>
                <w:rFonts w:ascii="Calibri Light" w:eastAsia="MS Mincho" w:hAnsi="Calibri Light" w:cstheme="majorHAnsi"/>
                <w:i/>
                <w:sz w:val="16"/>
                <w:szCs w:val="16"/>
                <w:lang w:val="ru-RU" w:eastAsia="ja-JP"/>
              </w:rPr>
              <w:t>8=4-7</w:t>
            </w:r>
          </w:p>
        </w:tc>
        <w:tc>
          <w:tcPr>
            <w:tcW w:w="1069" w:type="dxa"/>
          </w:tcPr>
          <w:p w:rsidR="006F53B7" w:rsidRPr="00A77060" w:rsidRDefault="006F53B7" w:rsidP="004D2946">
            <w:pPr>
              <w:ind w:right="1"/>
              <w:jc w:val="center"/>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i/>
                <w:sz w:val="16"/>
                <w:szCs w:val="16"/>
                <w:lang w:val="ru-RU" w:eastAsia="ja-JP"/>
              </w:rPr>
            </w:pPr>
            <w:r w:rsidRPr="00A77060">
              <w:rPr>
                <w:rFonts w:ascii="Calibri Light" w:eastAsia="MS Mincho" w:hAnsi="Calibri Light" w:cstheme="majorHAnsi"/>
                <w:i/>
                <w:sz w:val="16"/>
                <w:szCs w:val="16"/>
                <w:lang w:val="ru-RU" w:eastAsia="ja-JP"/>
              </w:rPr>
              <w:t>9=4/7*100</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899" w:type="dxa"/>
          </w:tcPr>
          <w:p w:rsidR="006F53B7" w:rsidRPr="00A77060" w:rsidRDefault="006F53B7" w:rsidP="004D2946">
            <w:pPr>
              <w:ind w:right="1"/>
              <w:jc w:val="center"/>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БГСС</w:t>
            </w:r>
          </w:p>
        </w:tc>
        <w:tc>
          <w:tcPr>
            <w:tcW w:w="1124"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8 560,5</w:t>
            </w:r>
          </w:p>
        </w:tc>
        <w:tc>
          <w:tcPr>
            <w:tcW w:w="954"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10 323,9</w:t>
            </w:r>
          </w:p>
        </w:tc>
        <w:tc>
          <w:tcPr>
            <w:tcW w:w="1032"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9 769,4</w:t>
            </w:r>
          </w:p>
        </w:tc>
        <w:tc>
          <w:tcPr>
            <w:tcW w:w="925"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-554,5</w:t>
            </w:r>
          </w:p>
        </w:tc>
        <w:tc>
          <w:tcPr>
            <w:tcW w:w="981"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94,6</w:t>
            </w:r>
          </w:p>
        </w:tc>
        <w:tc>
          <w:tcPr>
            <w:tcW w:w="1523"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7 957,0</w:t>
            </w:r>
          </w:p>
        </w:tc>
        <w:tc>
          <w:tcPr>
            <w:tcW w:w="973"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+1 812,4</w:t>
            </w:r>
          </w:p>
        </w:tc>
        <w:tc>
          <w:tcPr>
            <w:tcW w:w="1069"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122,8</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899" w:type="dxa"/>
          </w:tcPr>
          <w:p w:rsidR="006F53B7" w:rsidRPr="00A77060" w:rsidRDefault="006F53B7" w:rsidP="004D2946">
            <w:pPr>
              <w:ind w:right="1"/>
              <w:jc w:val="center"/>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ФОМС</w:t>
            </w:r>
          </w:p>
        </w:tc>
        <w:tc>
          <w:tcPr>
            <w:tcW w:w="1124"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3 005,7</w:t>
            </w:r>
          </w:p>
        </w:tc>
        <w:tc>
          <w:tcPr>
            <w:tcW w:w="954"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3 533,7</w:t>
            </w:r>
          </w:p>
        </w:tc>
        <w:tc>
          <w:tcPr>
            <w:tcW w:w="1032"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3 533,7</w:t>
            </w:r>
          </w:p>
        </w:tc>
        <w:tc>
          <w:tcPr>
            <w:tcW w:w="925"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0,0</w:t>
            </w:r>
          </w:p>
        </w:tc>
        <w:tc>
          <w:tcPr>
            <w:tcW w:w="981"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100,0</w:t>
            </w:r>
          </w:p>
        </w:tc>
        <w:tc>
          <w:tcPr>
            <w:tcW w:w="1523"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2 813,6</w:t>
            </w:r>
          </w:p>
        </w:tc>
        <w:tc>
          <w:tcPr>
            <w:tcW w:w="973"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+720,1</w:t>
            </w:r>
          </w:p>
        </w:tc>
        <w:tc>
          <w:tcPr>
            <w:tcW w:w="1069"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125,6</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899" w:type="dxa"/>
          </w:tcPr>
          <w:p w:rsidR="006F53B7" w:rsidRPr="00A77060" w:rsidRDefault="006F53B7" w:rsidP="004D2946">
            <w:pPr>
              <w:ind w:right="1"/>
              <w:jc w:val="center"/>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 xml:space="preserve">БАТЕ </w:t>
            </w:r>
          </w:p>
        </w:tc>
        <w:tc>
          <w:tcPr>
            <w:tcW w:w="1124"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13 281,1</w:t>
            </w:r>
          </w:p>
        </w:tc>
        <w:tc>
          <w:tcPr>
            <w:tcW w:w="954"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14 083,4</w:t>
            </w:r>
          </w:p>
        </w:tc>
        <w:tc>
          <w:tcPr>
            <w:tcW w:w="1032"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13 617,9</w:t>
            </w:r>
          </w:p>
        </w:tc>
        <w:tc>
          <w:tcPr>
            <w:tcW w:w="925"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-465,5</w:t>
            </w:r>
          </w:p>
        </w:tc>
        <w:tc>
          <w:tcPr>
            <w:tcW w:w="981"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96,7</w:t>
            </w:r>
          </w:p>
        </w:tc>
        <w:tc>
          <w:tcPr>
            <w:tcW w:w="1523"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12 328,2</w:t>
            </w:r>
          </w:p>
        </w:tc>
        <w:tc>
          <w:tcPr>
            <w:tcW w:w="973"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+1 289,7</w:t>
            </w:r>
          </w:p>
        </w:tc>
        <w:tc>
          <w:tcPr>
            <w:tcW w:w="1069"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110,5</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899" w:type="dxa"/>
          </w:tcPr>
          <w:p w:rsidR="006F53B7" w:rsidRPr="00A77060" w:rsidRDefault="006F53B7" w:rsidP="004D2946">
            <w:pPr>
              <w:ind w:right="1"/>
              <w:jc w:val="center"/>
              <w:rPr>
                <w:rFonts w:ascii="Calibri Light" w:eastAsia="MS Mincho" w:hAnsi="Calibri Light" w:cstheme="majorHAnsi"/>
                <w:sz w:val="20"/>
                <w:lang w:val="ru-RU" w:eastAsia="ja-JP"/>
              </w:rPr>
            </w:pPr>
            <w:r w:rsidRPr="00A77060">
              <w:rPr>
                <w:rFonts w:ascii="Calibri Light" w:eastAsia="MS Mincho" w:hAnsi="Calibri Light" w:cstheme="majorHAnsi"/>
                <w:sz w:val="20"/>
                <w:lang w:val="ru-RU" w:eastAsia="ja-JP"/>
              </w:rPr>
              <w:t>Всего</w:t>
            </w:r>
          </w:p>
        </w:tc>
        <w:tc>
          <w:tcPr>
            <w:tcW w:w="1124"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lang w:val="ru-RU" w:eastAsia="ja-JP"/>
              </w:rPr>
            </w:pPr>
            <w:r w:rsidRPr="00A77060">
              <w:rPr>
                <w:rFonts w:ascii="Calibri Light" w:eastAsia="MS Mincho" w:hAnsi="Calibri Light" w:cstheme="majorHAnsi"/>
                <w:b/>
                <w:sz w:val="20"/>
                <w:lang w:val="ru-RU" w:eastAsia="ja-JP"/>
              </w:rPr>
              <w:t>24 847,3</w:t>
            </w:r>
          </w:p>
        </w:tc>
        <w:tc>
          <w:tcPr>
            <w:tcW w:w="954"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lang w:val="ru-RU" w:eastAsia="ja-JP"/>
              </w:rPr>
            </w:pPr>
            <w:r w:rsidRPr="00A77060">
              <w:rPr>
                <w:rFonts w:ascii="Calibri Light" w:eastAsia="MS Mincho" w:hAnsi="Calibri Light" w:cstheme="majorHAnsi"/>
                <w:b/>
                <w:sz w:val="20"/>
                <w:lang w:val="ru-RU" w:eastAsia="ja-JP"/>
              </w:rPr>
              <w:t>27 941,0</w:t>
            </w:r>
          </w:p>
        </w:tc>
        <w:tc>
          <w:tcPr>
            <w:tcW w:w="1032"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lang w:val="ru-RU" w:eastAsia="ja-JP"/>
              </w:rPr>
            </w:pPr>
            <w:r w:rsidRPr="00A77060">
              <w:rPr>
                <w:rFonts w:ascii="Calibri Light" w:eastAsia="MS Mincho" w:hAnsi="Calibri Light" w:cstheme="majorHAnsi"/>
                <w:b/>
                <w:sz w:val="20"/>
                <w:lang w:val="ru-RU" w:eastAsia="ja-JP"/>
              </w:rPr>
              <w:t>26 921,0</w:t>
            </w:r>
          </w:p>
        </w:tc>
        <w:tc>
          <w:tcPr>
            <w:tcW w:w="925"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lang w:val="ru-RU" w:eastAsia="ja-JP"/>
              </w:rPr>
            </w:pPr>
            <w:r w:rsidRPr="00A77060">
              <w:rPr>
                <w:rFonts w:ascii="Calibri Light" w:eastAsia="MS Mincho" w:hAnsi="Calibri Light" w:cstheme="majorHAnsi"/>
                <w:b/>
                <w:sz w:val="20"/>
                <w:lang w:val="ru-RU" w:eastAsia="ja-JP"/>
              </w:rPr>
              <w:t>-1020,0</w:t>
            </w:r>
          </w:p>
        </w:tc>
        <w:tc>
          <w:tcPr>
            <w:tcW w:w="981"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lang w:val="ru-RU" w:eastAsia="ja-JP"/>
              </w:rPr>
            </w:pPr>
            <w:r w:rsidRPr="00A77060">
              <w:rPr>
                <w:rFonts w:ascii="Calibri Light" w:eastAsia="MS Mincho" w:hAnsi="Calibri Light" w:cstheme="majorHAnsi"/>
                <w:b/>
                <w:sz w:val="20"/>
                <w:lang w:val="ru-RU" w:eastAsia="ja-JP"/>
              </w:rPr>
              <w:t>96,3</w:t>
            </w:r>
          </w:p>
        </w:tc>
        <w:tc>
          <w:tcPr>
            <w:tcW w:w="1523"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lang w:val="ru-RU" w:eastAsia="ja-JP"/>
              </w:rPr>
            </w:pPr>
            <w:r w:rsidRPr="00A77060">
              <w:rPr>
                <w:rFonts w:ascii="Calibri Light" w:eastAsia="MS Mincho" w:hAnsi="Calibri Light" w:cstheme="majorHAnsi"/>
                <w:b/>
                <w:sz w:val="20"/>
                <w:lang w:val="ru-RU" w:eastAsia="ja-JP"/>
              </w:rPr>
              <w:t>23 098,8</w:t>
            </w:r>
          </w:p>
        </w:tc>
        <w:tc>
          <w:tcPr>
            <w:tcW w:w="973"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lang w:val="ru-RU" w:eastAsia="ja-JP"/>
              </w:rPr>
            </w:pPr>
            <w:r w:rsidRPr="00A77060">
              <w:rPr>
                <w:rFonts w:ascii="Calibri Light" w:eastAsia="MS Mincho" w:hAnsi="Calibri Light" w:cstheme="majorHAnsi"/>
                <w:b/>
                <w:sz w:val="20"/>
                <w:lang w:val="ru-RU" w:eastAsia="ja-JP"/>
              </w:rPr>
              <w:t>+3 822,2</w:t>
            </w:r>
          </w:p>
        </w:tc>
        <w:tc>
          <w:tcPr>
            <w:tcW w:w="1069" w:type="dxa"/>
          </w:tcPr>
          <w:p w:rsidR="006F53B7" w:rsidRPr="00A77060" w:rsidRDefault="006F53B7" w:rsidP="004D2946">
            <w:pPr>
              <w:ind w:right="1"/>
              <w:jc w:val="right"/>
              <w:cnfStyle w:val="000000000000" w:firstRow="0" w:lastRow="0" w:firstColumn="0" w:lastColumn="0" w:oddVBand="0" w:evenVBand="0" w:oddHBand="0" w:evenHBand="0" w:firstRowFirstColumn="0" w:firstRowLastColumn="0" w:lastRowFirstColumn="0" w:lastRowLastColumn="0"/>
              <w:rPr>
                <w:rFonts w:ascii="Calibri Light" w:eastAsia="MS Mincho" w:hAnsi="Calibri Light" w:cstheme="majorHAnsi"/>
                <w:b/>
                <w:sz w:val="20"/>
                <w:lang w:val="ru-RU" w:eastAsia="ja-JP"/>
              </w:rPr>
            </w:pPr>
            <w:r w:rsidRPr="00A77060">
              <w:rPr>
                <w:rFonts w:ascii="Calibri Light" w:eastAsia="MS Mincho" w:hAnsi="Calibri Light" w:cstheme="majorHAnsi"/>
                <w:b/>
                <w:sz w:val="20"/>
                <w:lang w:val="ru-RU" w:eastAsia="ja-JP"/>
              </w:rPr>
              <w:t>116,5</w:t>
            </w:r>
          </w:p>
        </w:tc>
      </w:tr>
    </w:tbl>
    <w:p w:rsidR="006F53B7" w:rsidRPr="00A77060" w:rsidRDefault="005627D8" w:rsidP="004D2946">
      <w:pPr>
        <w:spacing w:after="120" w:line="276" w:lineRule="auto"/>
        <w:ind w:right="1"/>
        <w:rPr>
          <w:rFonts w:ascii="Calibri Light" w:eastAsia="MS Mincho" w:hAnsi="Calibri Light" w:cstheme="majorHAnsi"/>
          <w:i/>
          <w:sz w:val="20"/>
          <w:szCs w:val="20"/>
          <w:lang w:val="ru-RU" w:eastAsia="ja-JP"/>
        </w:rPr>
      </w:pPr>
      <w:r>
        <w:rPr>
          <w:rFonts w:ascii="Calibri Light" w:hAnsi="Calibri Light" w:cstheme="majorHAnsi"/>
          <w:b/>
          <w:i/>
          <w:sz w:val="20"/>
          <w:szCs w:val="20"/>
          <w:lang w:val="ru-RU"/>
        </w:rPr>
        <w:t xml:space="preserve">                                         </w:t>
      </w:r>
      <w:r w:rsidR="006F53B7" w:rsidRPr="00A77060">
        <w:rPr>
          <w:rFonts w:ascii="Calibri Light" w:hAnsi="Calibri Light" w:cstheme="majorHAnsi"/>
          <w:b/>
          <w:i/>
          <w:sz w:val="20"/>
          <w:szCs w:val="20"/>
          <w:lang w:val="ru-RU"/>
        </w:rPr>
        <w:t>Источник:</w:t>
      </w:r>
      <w:r w:rsidR="006F53B7" w:rsidRPr="00A77060">
        <w:rPr>
          <w:rFonts w:ascii="Calibri Light" w:hAnsi="Calibri Light" w:cstheme="majorHAnsi"/>
          <w:sz w:val="20"/>
          <w:szCs w:val="20"/>
          <w:lang w:val="ru-RU"/>
        </w:rPr>
        <w:t xml:space="preserve"> </w:t>
      </w:r>
      <w:r w:rsidR="006F53B7" w:rsidRPr="00A77060">
        <w:rPr>
          <w:rFonts w:ascii="Calibri Light" w:eastAsia="MS Mincho" w:hAnsi="Calibri Light" w:cstheme="majorHAnsi"/>
          <w:i/>
          <w:sz w:val="20"/>
          <w:szCs w:val="20"/>
          <w:lang w:val="ru-RU" w:eastAsia="ja-JP"/>
        </w:rPr>
        <w:t>Информация обобщена аудиторской группой на основании данных, представленных Министерством финансов.</w:t>
      </w:r>
    </w:p>
    <w:p w:rsidR="006F53B7" w:rsidRPr="00A77060" w:rsidRDefault="006F53B7" w:rsidP="004D2946">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sz w:val="24"/>
          <w:szCs w:val="24"/>
          <w:lang w:val="ru-RU"/>
        </w:rPr>
      </w:pPr>
    </w:p>
    <w:p w:rsidR="006F53B7" w:rsidRDefault="006F53B7" w:rsidP="004D2946">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sz w:val="24"/>
          <w:szCs w:val="24"/>
          <w:lang w:val="ru-RU"/>
        </w:rPr>
      </w:pPr>
    </w:p>
    <w:p w:rsidR="006F53B7" w:rsidRDefault="006F53B7" w:rsidP="004D2946">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sz w:val="24"/>
          <w:szCs w:val="24"/>
          <w:lang w:val="ru-RU"/>
        </w:rPr>
      </w:pPr>
    </w:p>
    <w:p w:rsidR="006F53B7" w:rsidRDefault="006F53B7" w:rsidP="004D2946">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sz w:val="24"/>
          <w:szCs w:val="24"/>
          <w:lang w:val="ru-RU"/>
        </w:rPr>
      </w:pPr>
    </w:p>
    <w:p w:rsidR="006F53B7" w:rsidRDefault="006F53B7" w:rsidP="004D2946">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sz w:val="24"/>
          <w:szCs w:val="24"/>
          <w:lang w:val="ru-RU"/>
        </w:rPr>
      </w:pPr>
    </w:p>
    <w:p w:rsidR="006F53B7" w:rsidRPr="00A77060" w:rsidRDefault="006F53B7" w:rsidP="004D2946">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sz w:val="24"/>
          <w:szCs w:val="24"/>
          <w:lang w:val="ru-RU"/>
        </w:rPr>
      </w:pPr>
    </w:p>
    <w:p w:rsidR="006F53B7" w:rsidRPr="00A77060" w:rsidRDefault="006F53B7" w:rsidP="004D2946">
      <w:pPr>
        <w:shd w:val="clear" w:color="auto" w:fill="FFFFFF" w:themeFill="background1"/>
        <w:tabs>
          <w:tab w:val="left" w:pos="284"/>
          <w:tab w:val="left" w:pos="993"/>
          <w:tab w:val="left" w:pos="6663"/>
        </w:tabs>
        <w:spacing w:after="0" w:line="276" w:lineRule="auto"/>
        <w:jc w:val="right"/>
        <w:rPr>
          <w:rFonts w:ascii="Calibri Light" w:eastAsia="Times New Roman" w:hAnsi="Calibri Light" w:cstheme="majorHAnsi"/>
          <w:b/>
          <w:sz w:val="24"/>
          <w:szCs w:val="24"/>
          <w:lang w:val="ru-RU"/>
        </w:rPr>
      </w:pPr>
      <w:r w:rsidRPr="00A77060">
        <w:rPr>
          <w:rFonts w:ascii="Calibri Light" w:eastAsia="Times New Roman" w:hAnsi="Calibri Light" w:cstheme="majorHAnsi"/>
          <w:b/>
          <w:sz w:val="24"/>
          <w:szCs w:val="24"/>
          <w:lang w:val="ru-RU"/>
        </w:rPr>
        <w:t>Приложение №14</w:t>
      </w:r>
    </w:p>
    <w:tbl>
      <w:tblPr>
        <w:tblW w:w="15139" w:type="dxa"/>
        <w:jc w:val="center"/>
        <w:tblLayout w:type="fixed"/>
        <w:tblLook w:val="04A0" w:firstRow="1" w:lastRow="0" w:firstColumn="1" w:lastColumn="0" w:noHBand="0" w:noVBand="1"/>
      </w:tblPr>
      <w:tblGrid>
        <w:gridCol w:w="12804"/>
        <w:gridCol w:w="2335"/>
      </w:tblGrid>
      <w:tr w:rsidR="006F53B7" w:rsidRPr="00A77060" w:rsidTr="004D2946">
        <w:trPr>
          <w:trHeight w:val="210"/>
          <w:jc w:val="center"/>
        </w:trPr>
        <w:tc>
          <w:tcPr>
            <w:tcW w:w="12804" w:type="dxa"/>
            <w:tcBorders>
              <w:top w:val="nil"/>
              <w:left w:val="nil"/>
              <w:bottom w:val="single" w:sz="2" w:space="0" w:color="FFFFFF" w:themeColor="background1"/>
              <w:right w:val="nil"/>
            </w:tcBorders>
            <w:noWrap/>
            <w:vAlign w:val="bottom"/>
          </w:tcPr>
          <w:p w:rsidR="006F53B7" w:rsidRPr="00A77060" w:rsidRDefault="006F53B7" w:rsidP="004D2946">
            <w:pPr>
              <w:spacing w:after="0" w:line="240" w:lineRule="auto"/>
              <w:rPr>
                <w:rFonts w:ascii="Calibri Light" w:eastAsia="Times New Roman" w:hAnsi="Calibri Light" w:cs="Calibri"/>
                <w:b/>
                <w:bCs/>
                <w:color w:val="000000"/>
                <w:sz w:val="22"/>
                <w:lang w:val="ru-RU" w:eastAsia="ru-RU"/>
              </w:rPr>
            </w:pPr>
          </w:p>
        </w:tc>
        <w:tc>
          <w:tcPr>
            <w:tcW w:w="2335" w:type="dxa"/>
            <w:tcBorders>
              <w:top w:val="nil"/>
              <w:left w:val="nil"/>
              <w:bottom w:val="single" w:sz="2" w:space="0" w:color="FFFFFF" w:themeColor="background1"/>
              <w:right w:val="nil"/>
            </w:tcBorders>
            <w:noWrap/>
            <w:vAlign w:val="bottom"/>
            <w:hideMark/>
          </w:tcPr>
          <w:p w:rsidR="006F53B7" w:rsidRPr="00A77060" w:rsidRDefault="006F53B7" w:rsidP="004D2946">
            <w:pPr>
              <w:spacing w:after="0" w:line="240" w:lineRule="auto"/>
              <w:jc w:val="left"/>
              <w:rPr>
                <w:rFonts w:ascii="Calibri Light" w:eastAsia="Times New Roman" w:hAnsi="Calibri Light" w:cs="Calibri"/>
                <w:b/>
                <w:bCs/>
                <w:color w:val="000000"/>
                <w:sz w:val="22"/>
                <w:lang w:val="ru-RU" w:eastAsia="ru-RU"/>
              </w:rPr>
            </w:pPr>
          </w:p>
        </w:tc>
      </w:tr>
    </w:tbl>
    <w:p w:rsidR="006F53B7" w:rsidRPr="00A77060" w:rsidRDefault="006F53B7" w:rsidP="004D2946">
      <w:pPr>
        <w:spacing w:after="0" w:line="240" w:lineRule="auto"/>
        <w:jc w:val="center"/>
        <w:rPr>
          <w:rFonts w:ascii="Calibri Light" w:hAnsi="Calibri Light" w:cstheme="majorHAnsi"/>
          <w:b/>
          <w:sz w:val="24"/>
          <w:szCs w:val="24"/>
          <w:lang w:val="ru-RU"/>
        </w:rPr>
      </w:pPr>
      <w:r w:rsidRPr="00A77060">
        <w:rPr>
          <w:rFonts w:ascii="Calibri Light" w:hAnsi="Calibri Light" w:cstheme="majorHAnsi"/>
          <w:b/>
          <w:sz w:val="24"/>
          <w:szCs w:val="24"/>
          <w:lang w:val="ru-RU"/>
        </w:rPr>
        <w:t>Исполнение основных показателей НПБ за 2020 год по сравнению с 2019 годом и удельный вес их в ВВП</w:t>
      </w:r>
    </w:p>
    <w:p w:rsidR="006F53B7" w:rsidRPr="00A77060" w:rsidRDefault="006F53B7" w:rsidP="004D2946">
      <w:pPr>
        <w:spacing w:after="0" w:line="240" w:lineRule="auto"/>
        <w:jc w:val="center"/>
        <w:rPr>
          <w:rFonts w:ascii="Calibri Light" w:hAnsi="Calibri Light" w:cstheme="majorHAnsi"/>
          <w:b/>
          <w:sz w:val="24"/>
          <w:szCs w:val="24"/>
          <w:lang w:val="ru-RU"/>
        </w:rPr>
      </w:pPr>
    </w:p>
    <w:p w:rsidR="006F53B7" w:rsidRPr="00A77060" w:rsidRDefault="006F53B7" w:rsidP="004D2946">
      <w:pPr>
        <w:tabs>
          <w:tab w:val="left" w:pos="9639"/>
        </w:tabs>
        <w:spacing w:after="0" w:line="240" w:lineRule="auto"/>
        <w:ind w:right="814"/>
        <w:jc w:val="right"/>
        <w:rPr>
          <w:rFonts w:ascii="Calibri Light" w:eastAsia="Times New Roman" w:hAnsi="Calibri Light" w:cstheme="majorHAnsi"/>
          <w:b/>
          <w:iCs/>
          <w:color w:val="000000"/>
          <w:spacing w:val="2"/>
          <w:sz w:val="24"/>
          <w:szCs w:val="24"/>
          <w:lang w:val="ru-RU" w:eastAsia="ru-RU"/>
        </w:rPr>
      </w:pPr>
      <w:r w:rsidRPr="00A77060">
        <w:rPr>
          <w:rFonts w:ascii="Calibri Light" w:hAnsi="Calibri Light" w:cstheme="majorHAnsi"/>
          <w:b/>
          <w:sz w:val="24"/>
          <w:szCs w:val="24"/>
          <w:lang w:val="ru-RU"/>
        </w:rPr>
        <w:t xml:space="preserve">                                                         </w:t>
      </w:r>
      <w:r w:rsidRPr="00A77060">
        <w:rPr>
          <w:rFonts w:ascii="Calibri Light" w:eastAsia="Times New Roman" w:hAnsi="Calibri Light" w:cstheme="majorHAnsi"/>
          <w:b/>
          <w:iCs/>
          <w:color w:val="000000"/>
          <w:spacing w:val="2"/>
          <w:sz w:val="24"/>
          <w:szCs w:val="24"/>
          <w:lang w:val="ru-RU" w:eastAsia="ru-RU"/>
        </w:rPr>
        <w:t xml:space="preserve"> (млн. леев</w:t>
      </w:r>
      <w:r w:rsidRPr="00A77060">
        <w:rPr>
          <w:rFonts w:ascii="Calibri Light" w:eastAsia="Times New Roman" w:hAnsi="Calibri Light" w:cstheme="majorHAnsi"/>
          <w:b/>
          <w:bCs/>
          <w:color w:val="000000"/>
          <w:spacing w:val="-3"/>
          <w:sz w:val="24"/>
          <w:szCs w:val="24"/>
          <w:lang w:val="ru-RU" w:eastAsia="ru-RU"/>
        </w:rPr>
        <w:t xml:space="preserve">) </w:t>
      </w:r>
    </w:p>
    <w:tbl>
      <w:tblPr>
        <w:tblStyle w:val="GridTable1Light12"/>
        <w:tblW w:w="12186" w:type="dxa"/>
        <w:jc w:val="center"/>
        <w:tblLayout w:type="fixed"/>
        <w:tblLook w:val="04A0" w:firstRow="1" w:lastRow="0" w:firstColumn="1" w:lastColumn="0" w:noHBand="0" w:noVBand="1"/>
      </w:tblPr>
      <w:tblGrid>
        <w:gridCol w:w="1980"/>
        <w:gridCol w:w="992"/>
        <w:gridCol w:w="993"/>
        <w:gridCol w:w="1131"/>
        <w:gridCol w:w="989"/>
        <w:gridCol w:w="10"/>
        <w:gridCol w:w="988"/>
        <w:gridCol w:w="1089"/>
        <w:gridCol w:w="997"/>
        <w:gridCol w:w="1599"/>
        <w:gridCol w:w="1418"/>
      </w:tblGrid>
      <w:tr w:rsidR="006F53B7" w:rsidRPr="00A77060" w:rsidTr="004D2946">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980" w:type="dxa"/>
            <w:vMerge w:val="restart"/>
            <w:vAlign w:val="center"/>
            <w:hideMark/>
          </w:tcPr>
          <w:p w:rsidR="006F53B7" w:rsidRPr="00A77060" w:rsidRDefault="006F53B7" w:rsidP="004D2946">
            <w:pPr>
              <w:jc w:val="center"/>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Показатели</w:t>
            </w:r>
          </w:p>
        </w:tc>
        <w:tc>
          <w:tcPr>
            <w:tcW w:w="992" w:type="dxa"/>
            <w:vMerge w:val="restart"/>
            <w:vAlign w:val="center"/>
          </w:tcPr>
          <w:p w:rsidR="006F53B7" w:rsidRPr="00A77060" w:rsidRDefault="006F53B7" w:rsidP="004D2946">
            <w:pPr>
              <w:ind w:right="-115"/>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b w:val="0"/>
                <w:bCs w:val="0"/>
                <w:sz w:val="20"/>
                <w:szCs w:val="20"/>
                <w:lang w:val="ru-RU" w:eastAsia="ru-RU"/>
              </w:rPr>
            </w:pPr>
            <w:r w:rsidRPr="00A77060">
              <w:rPr>
                <w:rFonts w:ascii="Calibri Light" w:eastAsia="Times New Roman" w:hAnsi="Calibri Light" w:cstheme="majorHAnsi"/>
                <w:sz w:val="20"/>
                <w:szCs w:val="20"/>
                <w:lang w:val="ru-RU" w:eastAsia="ru-RU"/>
              </w:rPr>
              <w:t xml:space="preserve">Уточнено на год </w:t>
            </w:r>
          </w:p>
          <w:p w:rsidR="006F53B7" w:rsidRPr="00A77060" w:rsidRDefault="006F53B7" w:rsidP="004D2946">
            <w:pPr>
              <w:ind w:right="-115"/>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p>
        </w:tc>
        <w:tc>
          <w:tcPr>
            <w:tcW w:w="993" w:type="dxa"/>
            <w:vMerge w:val="restart"/>
            <w:vAlign w:val="center"/>
          </w:tcPr>
          <w:p w:rsidR="006F53B7" w:rsidRPr="00A77060" w:rsidRDefault="006F53B7" w:rsidP="004D2946">
            <w:pPr>
              <w:ind w:right="-102"/>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Исполнено в 2020 году</w:t>
            </w:r>
          </w:p>
        </w:tc>
        <w:tc>
          <w:tcPr>
            <w:tcW w:w="2130" w:type="dxa"/>
            <w:gridSpan w:val="3"/>
            <w:vAlign w:val="center"/>
          </w:tcPr>
          <w:p w:rsidR="006F53B7" w:rsidRPr="00A77060" w:rsidRDefault="006F53B7" w:rsidP="004D2946">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Исполнено по сравнению с уточненным  </w:t>
            </w:r>
          </w:p>
        </w:tc>
        <w:tc>
          <w:tcPr>
            <w:tcW w:w="988" w:type="dxa"/>
            <w:vAlign w:val="center"/>
            <w:hideMark/>
          </w:tcPr>
          <w:p w:rsidR="006F53B7" w:rsidRPr="00A77060" w:rsidRDefault="006F53B7" w:rsidP="004D2946">
            <w:pPr>
              <w:ind w:right="-109"/>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Исполнено в 2019 году</w:t>
            </w:r>
          </w:p>
        </w:tc>
        <w:tc>
          <w:tcPr>
            <w:tcW w:w="2086" w:type="dxa"/>
            <w:gridSpan w:val="2"/>
            <w:vAlign w:val="center"/>
            <w:hideMark/>
          </w:tcPr>
          <w:p w:rsidR="006F53B7" w:rsidRPr="00A77060" w:rsidRDefault="006F53B7" w:rsidP="004D2946">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Исполнено в 2020 году против 2019 года</w:t>
            </w:r>
          </w:p>
        </w:tc>
        <w:tc>
          <w:tcPr>
            <w:tcW w:w="3017" w:type="dxa"/>
            <w:gridSpan w:val="2"/>
            <w:vAlign w:val="center"/>
            <w:hideMark/>
          </w:tcPr>
          <w:p w:rsidR="006F53B7" w:rsidRPr="00A77060" w:rsidRDefault="006F53B7" w:rsidP="004D2946">
            <w:pPr>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Удельный вес в ВВП (%)</w:t>
            </w:r>
          </w:p>
        </w:tc>
      </w:tr>
      <w:tr w:rsidR="006F53B7" w:rsidRPr="00A77060" w:rsidTr="004D2946">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vMerge/>
            <w:vAlign w:val="center"/>
            <w:hideMark/>
          </w:tcPr>
          <w:p w:rsidR="006F53B7" w:rsidRPr="00A77060" w:rsidRDefault="006F53B7" w:rsidP="004D2946">
            <w:pPr>
              <w:jc w:val="left"/>
              <w:rPr>
                <w:rFonts w:ascii="Calibri Light" w:eastAsia="Times New Roman" w:hAnsi="Calibri Light" w:cstheme="majorHAnsi"/>
                <w:sz w:val="20"/>
                <w:szCs w:val="20"/>
                <w:lang w:val="ru-RU" w:eastAsia="ru-RU"/>
              </w:rPr>
            </w:pPr>
          </w:p>
        </w:tc>
        <w:tc>
          <w:tcPr>
            <w:tcW w:w="992" w:type="dxa"/>
            <w:vMerge/>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p>
        </w:tc>
        <w:tc>
          <w:tcPr>
            <w:tcW w:w="993" w:type="dxa"/>
            <w:vMerge/>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p>
        </w:tc>
        <w:tc>
          <w:tcPr>
            <w:tcW w:w="1131"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suma (+/-)</w:t>
            </w:r>
          </w:p>
        </w:tc>
        <w:tc>
          <w:tcPr>
            <w:tcW w:w="9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w:t>
            </w:r>
          </w:p>
        </w:tc>
        <w:tc>
          <w:tcPr>
            <w:tcW w:w="998" w:type="dxa"/>
            <w:gridSpan w:val="2"/>
            <w:vAlign w:val="center"/>
            <w:hideMark/>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p>
        </w:tc>
        <w:tc>
          <w:tcPr>
            <w:tcW w:w="1089" w:type="dxa"/>
            <w:vAlign w:val="center"/>
            <w:hideMark/>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suma (+/-)</w:t>
            </w:r>
          </w:p>
        </w:tc>
        <w:tc>
          <w:tcPr>
            <w:tcW w:w="997" w:type="dxa"/>
            <w:vAlign w:val="center"/>
            <w:hideMark/>
          </w:tcPr>
          <w:p w:rsidR="006F53B7" w:rsidRPr="00A77060" w:rsidRDefault="006F53B7" w:rsidP="004D2946">
            <w:pPr>
              <w:ind w:right="-107"/>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w:t>
            </w:r>
          </w:p>
        </w:tc>
        <w:tc>
          <w:tcPr>
            <w:tcW w:w="1599" w:type="dxa"/>
            <w:vAlign w:val="center"/>
            <w:hideMark/>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2019*</w:t>
            </w:r>
          </w:p>
        </w:tc>
        <w:tc>
          <w:tcPr>
            <w:tcW w:w="1418" w:type="dxa"/>
            <w:vAlign w:val="center"/>
            <w:hideMark/>
          </w:tcPr>
          <w:p w:rsidR="006F53B7" w:rsidRPr="00A77060" w:rsidRDefault="006F53B7" w:rsidP="004D2946">
            <w:pPr>
              <w:ind w:right="-11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2020**</w:t>
            </w:r>
          </w:p>
        </w:tc>
      </w:tr>
      <w:tr w:rsidR="006F53B7" w:rsidRPr="00A77060" w:rsidTr="004D2946">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tcPr>
          <w:p w:rsidR="006F53B7" w:rsidRPr="00A77060" w:rsidRDefault="006F53B7" w:rsidP="004D2946">
            <w:pPr>
              <w:jc w:val="center"/>
              <w:rPr>
                <w:rFonts w:ascii="Calibri Light" w:eastAsia="Times New Roman" w:hAnsi="Calibri Light" w:cstheme="majorHAnsi"/>
                <w:i/>
                <w:sz w:val="14"/>
                <w:szCs w:val="14"/>
                <w:lang w:val="ru-RU" w:eastAsia="ru-RU"/>
              </w:rPr>
            </w:pPr>
            <w:r w:rsidRPr="00A77060">
              <w:rPr>
                <w:rFonts w:ascii="Calibri Light" w:eastAsia="Times New Roman" w:hAnsi="Calibri Light" w:cstheme="majorHAnsi"/>
                <w:i/>
                <w:sz w:val="14"/>
                <w:szCs w:val="14"/>
                <w:lang w:val="ru-RU" w:eastAsia="ru-RU"/>
              </w:rPr>
              <w:lastRenderedPageBreak/>
              <w:t>1</w:t>
            </w:r>
          </w:p>
        </w:tc>
        <w:tc>
          <w:tcPr>
            <w:tcW w:w="992" w:type="dxa"/>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val="ru-RU" w:eastAsia="ru-RU"/>
              </w:rPr>
            </w:pPr>
            <w:r w:rsidRPr="00A77060">
              <w:rPr>
                <w:rFonts w:ascii="Calibri Light" w:eastAsia="Times New Roman" w:hAnsi="Calibri Light" w:cstheme="majorHAnsi"/>
                <w:bCs/>
                <w:i/>
                <w:sz w:val="14"/>
                <w:szCs w:val="14"/>
                <w:lang w:val="ru-RU" w:eastAsia="ru-RU"/>
              </w:rPr>
              <w:t>2</w:t>
            </w:r>
          </w:p>
        </w:tc>
        <w:tc>
          <w:tcPr>
            <w:tcW w:w="993" w:type="dxa"/>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val="ru-RU" w:eastAsia="ru-RU"/>
              </w:rPr>
            </w:pPr>
            <w:r w:rsidRPr="00A77060">
              <w:rPr>
                <w:rFonts w:ascii="Calibri Light" w:eastAsia="Times New Roman" w:hAnsi="Calibri Light" w:cstheme="majorHAnsi"/>
                <w:bCs/>
                <w:i/>
                <w:sz w:val="14"/>
                <w:szCs w:val="14"/>
                <w:lang w:val="ru-RU" w:eastAsia="ru-RU"/>
              </w:rPr>
              <w:t>3</w:t>
            </w:r>
          </w:p>
        </w:tc>
        <w:tc>
          <w:tcPr>
            <w:tcW w:w="1131" w:type="dxa"/>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val="ru-RU" w:eastAsia="ru-RU"/>
              </w:rPr>
            </w:pPr>
            <w:r w:rsidRPr="00A77060">
              <w:rPr>
                <w:rFonts w:ascii="Calibri Light" w:eastAsia="Times New Roman" w:hAnsi="Calibri Light" w:cstheme="majorHAnsi"/>
                <w:bCs/>
                <w:i/>
                <w:sz w:val="14"/>
                <w:szCs w:val="14"/>
                <w:lang w:val="ru-RU" w:eastAsia="ru-RU"/>
              </w:rPr>
              <w:t>4=3-2</w:t>
            </w:r>
          </w:p>
        </w:tc>
        <w:tc>
          <w:tcPr>
            <w:tcW w:w="989" w:type="dxa"/>
          </w:tcPr>
          <w:p w:rsidR="006F53B7" w:rsidRPr="00A77060" w:rsidRDefault="006F53B7" w:rsidP="004D2946">
            <w:pPr>
              <w:ind w:right="-107"/>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val="ru-RU" w:eastAsia="ru-RU"/>
              </w:rPr>
            </w:pPr>
            <w:r w:rsidRPr="00A77060">
              <w:rPr>
                <w:rFonts w:ascii="Calibri Light" w:eastAsia="Times New Roman" w:hAnsi="Calibri Light" w:cstheme="majorHAnsi"/>
                <w:bCs/>
                <w:i/>
                <w:sz w:val="14"/>
                <w:szCs w:val="14"/>
                <w:lang w:val="ru-RU" w:eastAsia="ru-RU"/>
              </w:rPr>
              <w:t>5=3/2*100</w:t>
            </w:r>
          </w:p>
        </w:tc>
        <w:tc>
          <w:tcPr>
            <w:tcW w:w="998" w:type="dxa"/>
            <w:gridSpan w:val="2"/>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val="ru-RU" w:eastAsia="ru-RU"/>
              </w:rPr>
            </w:pPr>
            <w:r w:rsidRPr="00A77060">
              <w:rPr>
                <w:rFonts w:ascii="Calibri Light" w:eastAsia="Times New Roman" w:hAnsi="Calibri Light" w:cstheme="majorHAnsi"/>
                <w:bCs/>
                <w:i/>
                <w:sz w:val="14"/>
                <w:szCs w:val="14"/>
                <w:lang w:val="ru-RU" w:eastAsia="ru-RU"/>
              </w:rPr>
              <w:t>6</w:t>
            </w:r>
          </w:p>
        </w:tc>
        <w:tc>
          <w:tcPr>
            <w:tcW w:w="1089" w:type="dxa"/>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val="ru-RU" w:eastAsia="ru-RU"/>
              </w:rPr>
            </w:pPr>
            <w:r w:rsidRPr="00A77060">
              <w:rPr>
                <w:rFonts w:ascii="Calibri Light" w:eastAsia="Times New Roman" w:hAnsi="Calibri Light" w:cstheme="majorHAnsi"/>
                <w:bCs/>
                <w:i/>
                <w:sz w:val="14"/>
                <w:szCs w:val="14"/>
                <w:lang w:val="ru-RU" w:eastAsia="ru-RU"/>
              </w:rPr>
              <w:t>7=3-6</w:t>
            </w:r>
          </w:p>
        </w:tc>
        <w:tc>
          <w:tcPr>
            <w:tcW w:w="997" w:type="dxa"/>
          </w:tcPr>
          <w:p w:rsidR="006F53B7" w:rsidRPr="00A77060" w:rsidRDefault="006F53B7" w:rsidP="004D2946">
            <w:pPr>
              <w:ind w:right="-107"/>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val="ru-RU" w:eastAsia="ru-RU"/>
              </w:rPr>
            </w:pPr>
            <w:r w:rsidRPr="00A77060">
              <w:rPr>
                <w:rFonts w:ascii="Calibri Light" w:eastAsia="Times New Roman" w:hAnsi="Calibri Light" w:cstheme="majorHAnsi"/>
                <w:bCs/>
                <w:i/>
                <w:sz w:val="14"/>
                <w:szCs w:val="14"/>
                <w:lang w:val="ru-RU" w:eastAsia="ru-RU"/>
              </w:rPr>
              <w:t>8=3/6*100</w:t>
            </w:r>
          </w:p>
        </w:tc>
        <w:tc>
          <w:tcPr>
            <w:tcW w:w="1599" w:type="dxa"/>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val="ru-RU" w:eastAsia="ru-RU"/>
              </w:rPr>
            </w:pPr>
            <w:r w:rsidRPr="00A77060">
              <w:rPr>
                <w:rFonts w:ascii="Calibri Light" w:eastAsia="Times New Roman" w:hAnsi="Calibri Light" w:cstheme="majorHAnsi"/>
                <w:bCs/>
                <w:i/>
                <w:sz w:val="14"/>
                <w:szCs w:val="14"/>
                <w:lang w:val="ru-RU" w:eastAsia="ru-RU"/>
              </w:rPr>
              <w:t>9=6/ВВП*100</w:t>
            </w:r>
          </w:p>
        </w:tc>
        <w:tc>
          <w:tcPr>
            <w:tcW w:w="1418" w:type="dxa"/>
          </w:tcPr>
          <w:p w:rsidR="006F53B7" w:rsidRPr="00A77060" w:rsidRDefault="006F53B7" w:rsidP="004D2946">
            <w:pPr>
              <w:ind w:right="-15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i/>
                <w:sz w:val="14"/>
                <w:szCs w:val="14"/>
                <w:lang w:val="ru-RU" w:eastAsia="ru-RU"/>
              </w:rPr>
            </w:pPr>
            <w:r w:rsidRPr="00A77060">
              <w:rPr>
                <w:rFonts w:ascii="Calibri Light" w:eastAsia="Times New Roman" w:hAnsi="Calibri Light" w:cstheme="majorHAnsi"/>
                <w:bCs/>
                <w:i/>
                <w:sz w:val="14"/>
                <w:szCs w:val="14"/>
                <w:lang w:val="ru-RU" w:eastAsia="ru-RU"/>
              </w:rPr>
              <w:t>10=3/ВВП*100</w:t>
            </w:r>
          </w:p>
        </w:tc>
      </w:tr>
      <w:tr w:rsidR="006F53B7" w:rsidRPr="00A77060" w:rsidTr="004D2946">
        <w:trPr>
          <w:trHeight w:val="256"/>
          <w:jc w:val="center"/>
        </w:trPr>
        <w:tc>
          <w:tcPr>
            <w:cnfStyle w:val="001000000000" w:firstRow="0" w:lastRow="0" w:firstColumn="1" w:lastColumn="0" w:oddVBand="0" w:evenVBand="0" w:oddHBand="0" w:evenHBand="0" w:firstRowFirstColumn="0" w:firstRowLastColumn="0" w:lastRowFirstColumn="0" w:lastRowLastColumn="0"/>
            <w:tcW w:w="12186" w:type="dxa"/>
            <w:gridSpan w:val="11"/>
          </w:tcPr>
          <w:p w:rsidR="006F53B7" w:rsidRPr="00A77060" w:rsidRDefault="006F53B7" w:rsidP="004D2946">
            <w:pPr>
              <w:jc w:val="center"/>
              <w:rPr>
                <w:rFonts w:ascii="Calibri Light" w:eastAsia="Times New Roman" w:hAnsi="Calibri Light" w:cstheme="majorHAnsi"/>
                <w:sz w:val="24"/>
                <w:szCs w:val="24"/>
                <w:lang w:val="ru-RU" w:eastAsia="ru-RU"/>
              </w:rPr>
            </w:pPr>
            <w:r w:rsidRPr="00A77060">
              <w:rPr>
                <w:rFonts w:ascii="Calibri Light" w:eastAsia="Times New Roman" w:hAnsi="Calibri Light" w:cstheme="majorHAnsi"/>
                <w:sz w:val="24"/>
                <w:szCs w:val="24"/>
                <w:lang w:val="ru-RU" w:eastAsia="ru-RU"/>
              </w:rPr>
              <w:t>Доходы</w:t>
            </w:r>
          </w:p>
        </w:tc>
      </w:tr>
      <w:tr w:rsidR="006F53B7" w:rsidRPr="00A77060" w:rsidTr="004D2946">
        <w:trPr>
          <w:trHeight w:val="490"/>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6F53B7" w:rsidRPr="00A77060" w:rsidRDefault="006F53B7" w:rsidP="004D2946">
            <w:pPr>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НПБ, </w:t>
            </w:r>
            <w:r w:rsidRPr="00A77060">
              <w:rPr>
                <w:rFonts w:ascii="Calibri Light" w:eastAsia="Times New Roman" w:hAnsi="Calibri Light" w:cstheme="majorHAnsi"/>
                <w:i/>
                <w:sz w:val="20"/>
                <w:szCs w:val="20"/>
                <w:lang w:val="ru-RU" w:eastAsia="ru-RU"/>
              </w:rPr>
              <w:t>в том числе</w:t>
            </w:r>
            <w:r w:rsidRPr="00A77060">
              <w:rPr>
                <w:rFonts w:ascii="Calibri Light" w:eastAsia="Times New Roman" w:hAnsi="Calibri Light" w:cstheme="majorHAnsi"/>
                <w:i/>
                <w:iCs/>
                <w:sz w:val="20"/>
                <w:szCs w:val="20"/>
                <w:lang w:val="ru-RU" w:eastAsia="ru-RU"/>
              </w:rPr>
              <w:t>:</w:t>
            </w:r>
          </w:p>
        </w:tc>
        <w:tc>
          <w:tcPr>
            <w:tcW w:w="992"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61.227,1</w:t>
            </w:r>
          </w:p>
        </w:tc>
        <w:tc>
          <w:tcPr>
            <w:tcW w:w="993"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62.650,0</w:t>
            </w:r>
          </w:p>
        </w:tc>
        <w:tc>
          <w:tcPr>
            <w:tcW w:w="1131"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1.422,9</w:t>
            </w:r>
          </w:p>
        </w:tc>
        <w:tc>
          <w:tcPr>
            <w:tcW w:w="9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102,3%</w:t>
            </w:r>
          </w:p>
        </w:tc>
        <w:tc>
          <w:tcPr>
            <w:tcW w:w="998" w:type="dxa"/>
            <w:gridSpan w:val="2"/>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62.949,2</w:t>
            </w:r>
          </w:p>
        </w:tc>
        <w:tc>
          <w:tcPr>
            <w:tcW w:w="10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-299,2</w:t>
            </w:r>
          </w:p>
        </w:tc>
        <w:tc>
          <w:tcPr>
            <w:tcW w:w="997"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99,5%</w:t>
            </w:r>
          </w:p>
        </w:tc>
        <w:tc>
          <w:tcPr>
            <w:tcW w:w="159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29,9</w:t>
            </w:r>
          </w:p>
        </w:tc>
        <w:tc>
          <w:tcPr>
            <w:tcW w:w="1418"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30,4</w:t>
            </w:r>
          </w:p>
        </w:tc>
      </w:tr>
      <w:tr w:rsidR="006F53B7" w:rsidRPr="00A77060" w:rsidTr="004D2946">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6F53B7" w:rsidRPr="00A77060" w:rsidRDefault="006F53B7" w:rsidP="004D2946">
            <w:pPr>
              <w:rPr>
                <w:rFonts w:ascii="Calibri Light" w:eastAsia="Times New Roman" w:hAnsi="Calibri Light" w:cstheme="majorHAnsi"/>
                <w:i/>
                <w:iCs/>
                <w:sz w:val="20"/>
                <w:szCs w:val="20"/>
                <w:lang w:val="ru-RU" w:eastAsia="ru-RU"/>
              </w:rPr>
            </w:pPr>
            <w:r w:rsidRPr="00A77060">
              <w:rPr>
                <w:rFonts w:ascii="Calibri Light" w:eastAsia="Times New Roman" w:hAnsi="Calibri Light" w:cstheme="majorHAnsi"/>
                <w:i/>
                <w:iCs/>
                <w:sz w:val="20"/>
                <w:szCs w:val="20"/>
                <w:lang w:val="ru-RU" w:eastAsia="ru-RU"/>
              </w:rPr>
              <w:t>ГБ</w:t>
            </w:r>
          </w:p>
        </w:tc>
        <w:tc>
          <w:tcPr>
            <w:tcW w:w="992"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37.281,2</w:t>
            </w:r>
          </w:p>
        </w:tc>
        <w:tc>
          <w:tcPr>
            <w:tcW w:w="993"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38.500,5</w:t>
            </w:r>
          </w:p>
        </w:tc>
        <w:tc>
          <w:tcPr>
            <w:tcW w:w="1131"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1.219,3</w:t>
            </w:r>
          </w:p>
        </w:tc>
        <w:tc>
          <w:tcPr>
            <w:tcW w:w="9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103,3%</w:t>
            </w:r>
          </w:p>
        </w:tc>
        <w:tc>
          <w:tcPr>
            <w:tcW w:w="998" w:type="dxa"/>
            <w:gridSpan w:val="2"/>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39.967,9</w:t>
            </w:r>
          </w:p>
        </w:tc>
        <w:tc>
          <w:tcPr>
            <w:tcW w:w="10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-1467,4</w:t>
            </w:r>
          </w:p>
        </w:tc>
        <w:tc>
          <w:tcPr>
            <w:tcW w:w="997"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96,3%</w:t>
            </w:r>
          </w:p>
        </w:tc>
        <w:tc>
          <w:tcPr>
            <w:tcW w:w="159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19,0</w:t>
            </w:r>
          </w:p>
        </w:tc>
        <w:tc>
          <w:tcPr>
            <w:tcW w:w="1418"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18,7</w:t>
            </w:r>
          </w:p>
        </w:tc>
      </w:tr>
      <w:tr w:rsidR="006F53B7" w:rsidRPr="00A77060" w:rsidTr="004D2946">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6F53B7" w:rsidRPr="00A77060" w:rsidRDefault="006F53B7" w:rsidP="004D2946">
            <w:pPr>
              <w:rPr>
                <w:rFonts w:ascii="Calibri Light" w:eastAsia="Times New Roman" w:hAnsi="Calibri Light" w:cstheme="majorHAnsi"/>
                <w:i/>
                <w:iCs/>
                <w:sz w:val="20"/>
                <w:szCs w:val="20"/>
                <w:lang w:val="ru-RU" w:eastAsia="ru-RU"/>
              </w:rPr>
            </w:pPr>
            <w:r w:rsidRPr="00A77060">
              <w:rPr>
                <w:rFonts w:ascii="Calibri Light" w:eastAsia="Times New Roman" w:hAnsi="Calibri Light" w:cstheme="majorHAnsi"/>
                <w:i/>
                <w:iCs/>
                <w:sz w:val="20"/>
                <w:szCs w:val="20"/>
                <w:lang w:val="ru-RU" w:eastAsia="ru-RU"/>
              </w:rPr>
              <w:t>БГСС</w:t>
            </w:r>
          </w:p>
        </w:tc>
        <w:tc>
          <w:tcPr>
            <w:tcW w:w="992"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24.572,1</w:t>
            </w:r>
          </w:p>
        </w:tc>
        <w:tc>
          <w:tcPr>
            <w:tcW w:w="993"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24.285,6</w:t>
            </w:r>
          </w:p>
        </w:tc>
        <w:tc>
          <w:tcPr>
            <w:tcW w:w="1131"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-286,5</w:t>
            </w:r>
          </w:p>
        </w:tc>
        <w:tc>
          <w:tcPr>
            <w:tcW w:w="9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98,8%</w:t>
            </w:r>
          </w:p>
        </w:tc>
        <w:tc>
          <w:tcPr>
            <w:tcW w:w="998" w:type="dxa"/>
            <w:gridSpan w:val="2"/>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21.748,3</w:t>
            </w:r>
          </w:p>
        </w:tc>
        <w:tc>
          <w:tcPr>
            <w:tcW w:w="10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2.537,3</w:t>
            </w:r>
          </w:p>
        </w:tc>
        <w:tc>
          <w:tcPr>
            <w:tcW w:w="997"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111,7%</w:t>
            </w:r>
          </w:p>
        </w:tc>
        <w:tc>
          <w:tcPr>
            <w:tcW w:w="159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10,3</w:t>
            </w:r>
          </w:p>
        </w:tc>
        <w:tc>
          <w:tcPr>
            <w:tcW w:w="1418"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11,8</w:t>
            </w:r>
          </w:p>
        </w:tc>
      </w:tr>
      <w:tr w:rsidR="006F53B7" w:rsidRPr="00A77060" w:rsidTr="004D2946">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6F53B7" w:rsidRPr="00A77060" w:rsidRDefault="006F53B7" w:rsidP="004D2946">
            <w:pPr>
              <w:rPr>
                <w:rFonts w:ascii="Calibri Light" w:eastAsia="Times New Roman" w:hAnsi="Calibri Light" w:cstheme="majorHAnsi"/>
                <w:i/>
                <w:iCs/>
                <w:sz w:val="20"/>
                <w:szCs w:val="20"/>
                <w:lang w:val="ru-RU" w:eastAsia="ru-RU"/>
              </w:rPr>
            </w:pPr>
            <w:r w:rsidRPr="00A77060">
              <w:rPr>
                <w:rFonts w:ascii="Calibri Light" w:eastAsia="Times New Roman" w:hAnsi="Calibri Light" w:cstheme="majorHAnsi"/>
                <w:i/>
                <w:iCs/>
                <w:sz w:val="20"/>
                <w:szCs w:val="20"/>
                <w:lang w:val="ru-RU" w:eastAsia="ru-RU"/>
              </w:rPr>
              <w:t xml:space="preserve">ФОМС </w:t>
            </w:r>
          </w:p>
        </w:tc>
        <w:tc>
          <w:tcPr>
            <w:tcW w:w="992"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8.500,8</w:t>
            </w:r>
          </w:p>
        </w:tc>
        <w:tc>
          <w:tcPr>
            <w:tcW w:w="993"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8.542,5</w:t>
            </w:r>
          </w:p>
        </w:tc>
        <w:tc>
          <w:tcPr>
            <w:tcW w:w="1131"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41,7</w:t>
            </w:r>
          </w:p>
        </w:tc>
        <w:tc>
          <w:tcPr>
            <w:tcW w:w="9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100,5%</w:t>
            </w:r>
          </w:p>
        </w:tc>
        <w:tc>
          <w:tcPr>
            <w:tcW w:w="998" w:type="dxa"/>
            <w:gridSpan w:val="2"/>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7.636,3</w:t>
            </w:r>
          </w:p>
        </w:tc>
        <w:tc>
          <w:tcPr>
            <w:tcW w:w="10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906,2</w:t>
            </w:r>
          </w:p>
        </w:tc>
        <w:tc>
          <w:tcPr>
            <w:tcW w:w="997"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111,9%</w:t>
            </w:r>
          </w:p>
        </w:tc>
        <w:tc>
          <w:tcPr>
            <w:tcW w:w="159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3,6</w:t>
            </w:r>
          </w:p>
        </w:tc>
        <w:tc>
          <w:tcPr>
            <w:tcW w:w="1418"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4,1</w:t>
            </w:r>
          </w:p>
        </w:tc>
      </w:tr>
      <w:tr w:rsidR="006F53B7" w:rsidRPr="00A77060" w:rsidTr="004D2946">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6F53B7" w:rsidRPr="00A77060" w:rsidRDefault="006F53B7" w:rsidP="004D2946">
            <w:pPr>
              <w:rPr>
                <w:rFonts w:ascii="Calibri Light" w:eastAsia="Times New Roman" w:hAnsi="Calibri Light" w:cstheme="majorHAnsi"/>
                <w:i/>
                <w:iCs/>
                <w:sz w:val="20"/>
                <w:szCs w:val="20"/>
                <w:lang w:val="ru-RU" w:eastAsia="ru-RU"/>
              </w:rPr>
            </w:pPr>
            <w:r w:rsidRPr="00A77060">
              <w:rPr>
                <w:rFonts w:ascii="Calibri Light" w:eastAsia="Times New Roman" w:hAnsi="Calibri Light" w:cstheme="majorHAnsi"/>
                <w:i/>
                <w:iCs/>
                <w:sz w:val="20"/>
                <w:szCs w:val="20"/>
                <w:lang w:val="ru-RU" w:eastAsia="ru-RU"/>
              </w:rPr>
              <w:t>БАТЕ</w:t>
            </w:r>
          </w:p>
        </w:tc>
        <w:tc>
          <w:tcPr>
            <w:tcW w:w="992"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18.837,3</w:t>
            </w:r>
          </w:p>
        </w:tc>
        <w:tc>
          <w:tcPr>
            <w:tcW w:w="993"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18.264,3</w:t>
            </w:r>
          </w:p>
        </w:tc>
        <w:tc>
          <w:tcPr>
            <w:tcW w:w="1131"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-573,0</w:t>
            </w:r>
          </w:p>
        </w:tc>
        <w:tc>
          <w:tcPr>
            <w:tcW w:w="9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97,0%</w:t>
            </w:r>
          </w:p>
        </w:tc>
        <w:tc>
          <w:tcPr>
            <w:tcW w:w="998" w:type="dxa"/>
            <w:gridSpan w:val="2"/>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16.724,4</w:t>
            </w:r>
          </w:p>
        </w:tc>
        <w:tc>
          <w:tcPr>
            <w:tcW w:w="10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1.539,9</w:t>
            </w:r>
          </w:p>
        </w:tc>
        <w:tc>
          <w:tcPr>
            <w:tcW w:w="997"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109,2%</w:t>
            </w:r>
          </w:p>
        </w:tc>
        <w:tc>
          <w:tcPr>
            <w:tcW w:w="159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7,9</w:t>
            </w:r>
          </w:p>
        </w:tc>
        <w:tc>
          <w:tcPr>
            <w:tcW w:w="1418"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8,9</w:t>
            </w:r>
          </w:p>
        </w:tc>
      </w:tr>
      <w:tr w:rsidR="006F53B7" w:rsidRPr="00A77060" w:rsidTr="004D2946">
        <w:trPr>
          <w:trHeight w:val="256"/>
          <w:jc w:val="center"/>
        </w:trPr>
        <w:tc>
          <w:tcPr>
            <w:cnfStyle w:val="001000000000" w:firstRow="0" w:lastRow="0" w:firstColumn="1" w:lastColumn="0" w:oddVBand="0" w:evenVBand="0" w:oddHBand="0" w:evenHBand="0" w:firstRowFirstColumn="0" w:firstRowLastColumn="0" w:lastRowFirstColumn="0" w:lastRowLastColumn="0"/>
            <w:tcW w:w="12186" w:type="dxa"/>
            <w:gridSpan w:val="11"/>
          </w:tcPr>
          <w:p w:rsidR="006F53B7" w:rsidRPr="00A77060" w:rsidRDefault="006F53B7" w:rsidP="004D2946">
            <w:pPr>
              <w:jc w:val="center"/>
              <w:rPr>
                <w:rFonts w:ascii="Calibri Light" w:eastAsia="Times New Roman" w:hAnsi="Calibri Light" w:cstheme="majorHAnsi"/>
                <w:sz w:val="24"/>
                <w:szCs w:val="24"/>
                <w:lang w:val="ru-RU" w:eastAsia="ru-RU"/>
              </w:rPr>
            </w:pPr>
            <w:r w:rsidRPr="00A77060">
              <w:rPr>
                <w:rFonts w:ascii="Calibri Light" w:eastAsia="Times New Roman" w:hAnsi="Calibri Light" w:cstheme="majorHAnsi"/>
                <w:sz w:val="24"/>
                <w:szCs w:val="24"/>
                <w:lang w:val="ru-RU" w:eastAsia="ru-RU"/>
              </w:rPr>
              <w:t>Расходы</w:t>
            </w:r>
          </w:p>
        </w:tc>
      </w:tr>
      <w:tr w:rsidR="006F53B7" w:rsidRPr="00A77060" w:rsidTr="004D2946">
        <w:trPr>
          <w:trHeight w:val="490"/>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6F53B7" w:rsidRPr="00A77060" w:rsidRDefault="006F53B7" w:rsidP="004D2946">
            <w:pPr>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НПБ, </w:t>
            </w:r>
            <w:r w:rsidRPr="00A77060">
              <w:rPr>
                <w:rFonts w:ascii="Calibri Light" w:eastAsia="Times New Roman" w:hAnsi="Calibri Light" w:cstheme="majorHAnsi"/>
                <w:i/>
                <w:sz w:val="20"/>
                <w:szCs w:val="20"/>
                <w:lang w:val="ru-RU" w:eastAsia="ru-RU"/>
              </w:rPr>
              <w:t>в том числе</w:t>
            </w:r>
            <w:r w:rsidRPr="00A77060">
              <w:rPr>
                <w:rFonts w:ascii="Calibri Light" w:eastAsia="Times New Roman" w:hAnsi="Calibri Light" w:cstheme="majorHAnsi"/>
                <w:i/>
                <w:iCs/>
                <w:sz w:val="20"/>
                <w:szCs w:val="20"/>
                <w:lang w:val="ru-RU" w:eastAsia="ru-RU"/>
              </w:rPr>
              <w:t>:</w:t>
            </w:r>
          </w:p>
        </w:tc>
        <w:tc>
          <w:tcPr>
            <w:tcW w:w="992"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78.750,1</w:t>
            </w:r>
          </w:p>
        </w:tc>
        <w:tc>
          <w:tcPr>
            <w:tcW w:w="993"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73.269,8</w:t>
            </w:r>
          </w:p>
        </w:tc>
        <w:tc>
          <w:tcPr>
            <w:tcW w:w="1131"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-5.480,3</w:t>
            </w:r>
          </w:p>
        </w:tc>
        <w:tc>
          <w:tcPr>
            <w:tcW w:w="9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93,0%</w:t>
            </w:r>
          </w:p>
        </w:tc>
        <w:tc>
          <w:tcPr>
            <w:tcW w:w="998" w:type="dxa"/>
            <w:gridSpan w:val="2"/>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65.975,6</w:t>
            </w:r>
          </w:p>
        </w:tc>
        <w:tc>
          <w:tcPr>
            <w:tcW w:w="10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7.294,2</w:t>
            </w:r>
          </w:p>
        </w:tc>
        <w:tc>
          <w:tcPr>
            <w:tcW w:w="997"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111,1%</w:t>
            </w:r>
          </w:p>
        </w:tc>
        <w:tc>
          <w:tcPr>
            <w:tcW w:w="159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31,4</w:t>
            </w:r>
          </w:p>
        </w:tc>
        <w:tc>
          <w:tcPr>
            <w:tcW w:w="1418"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35,5</w:t>
            </w:r>
          </w:p>
        </w:tc>
      </w:tr>
      <w:tr w:rsidR="006F53B7" w:rsidRPr="00A77060" w:rsidTr="004D2946">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6F53B7" w:rsidRPr="00A77060" w:rsidRDefault="006F53B7" w:rsidP="004D2946">
            <w:pPr>
              <w:rPr>
                <w:rFonts w:ascii="Calibri Light" w:eastAsia="Times New Roman" w:hAnsi="Calibri Light" w:cstheme="majorHAnsi"/>
                <w:i/>
                <w:iCs/>
                <w:sz w:val="20"/>
                <w:szCs w:val="20"/>
                <w:lang w:val="ru-RU" w:eastAsia="ru-RU"/>
              </w:rPr>
            </w:pPr>
            <w:r w:rsidRPr="00A77060">
              <w:rPr>
                <w:rFonts w:ascii="Calibri Light" w:eastAsia="Times New Roman" w:hAnsi="Calibri Light" w:cstheme="majorHAnsi"/>
                <w:i/>
                <w:iCs/>
                <w:sz w:val="20"/>
                <w:szCs w:val="20"/>
                <w:lang w:val="ru-RU" w:eastAsia="ru-RU"/>
              </w:rPr>
              <w:t>ГБ</w:t>
            </w:r>
          </w:p>
        </w:tc>
        <w:tc>
          <w:tcPr>
            <w:tcW w:w="992"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20"/>
                <w:szCs w:val="20"/>
                <w:lang w:val="ru-RU" w:eastAsia="ru-RU"/>
              </w:rPr>
            </w:pPr>
            <w:r w:rsidRPr="00A77060">
              <w:rPr>
                <w:rFonts w:ascii="Calibri Light" w:eastAsia="Times New Roman" w:hAnsi="Calibri Light" w:cstheme="majorHAnsi"/>
                <w:bCs/>
                <w:sz w:val="20"/>
                <w:szCs w:val="20"/>
                <w:lang w:val="ru-RU" w:eastAsia="ru-RU"/>
              </w:rPr>
              <w:t>53.280,6</w:t>
            </w:r>
          </w:p>
        </w:tc>
        <w:tc>
          <w:tcPr>
            <w:tcW w:w="993"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49.635,4</w:t>
            </w:r>
          </w:p>
        </w:tc>
        <w:tc>
          <w:tcPr>
            <w:tcW w:w="1131"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-3.645,2</w:t>
            </w:r>
          </w:p>
        </w:tc>
        <w:tc>
          <w:tcPr>
            <w:tcW w:w="9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93,2%</w:t>
            </w:r>
          </w:p>
        </w:tc>
        <w:tc>
          <w:tcPr>
            <w:tcW w:w="998" w:type="dxa"/>
            <w:gridSpan w:val="2"/>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43.073,9</w:t>
            </w:r>
          </w:p>
        </w:tc>
        <w:tc>
          <w:tcPr>
            <w:tcW w:w="10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6.561,5</w:t>
            </w:r>
          </w:p>
        </w:tc>
        <w:tc>
          <w:tcPr>
            <w:tcW w:w="997"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115,2%</w:t>
            </w:r>
          </w:p>
        </w:tc>
        <w:tc>
          <w:tcPr>
            <w:tcW w:w="159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20,5</w:t>
            </w:r>
          </w:p>
        </w:tc>
        <w:tc>
          <w:tcPr>
            <w:tcW w:w="1418"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24,1</w:t>
            </w:r>
          </w:p>
        </w:tc>
      </w:tr>
      <w:tr w:rsidR="006F53B7" w:rsidRPr="00A77060" w:rsidTr="004D2946">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6F53B7" w:rsidRPr="00A77060" w:rsidRDefault="006F53B7" w:rsidP="004D2946">
            <w:pPr>
              <w:rPr>
                <w:rFonts w:ascii="Calibri Light" w:eastAsia="Times New Roman" w:hAnsi="Calibri Light" w:cstheme="majorHAnsi"/>
                <w:i/>
                <w:iCs/>
                <w:sz w:val="20"/>
                <w:szCs w:val="20"/>
                <w:lang w:val="ru-RU" w:eastAsia="ru-RU"/>
              </w:rPr>
            </w:pPr>
            <w:r w:rsidRPr="00A77060">
              <w:rPr>
                <w:rFonts w:ascii="Calibri Light" w:eastAsia="Times New Roman" w:hAnsi="Calibri Light" w:cstheme="majorHAnsi"/>
                <w:i/>
                <w:iCs/>
                <w:sz w:val="20"/>
                <w:szCs w:val="20"/>
                <w:lang w:val="ru-RU" w:eastAsia="ru-RU"/>
              </w:rPr>
              <w:t>БГСС</w:t>
            </w:r>
          </w:p>
        </w:tc>
        <w:tc>
          <w:tcPr>
            <w:tcW w:w="992"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24.572,1</w:t>
            </w:r>
          </w:p>
        </w:tc>
        <w:tc>
          <w:tcPr>
            <w:tcW w:w="993"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24.244,4</w:t>
            </w:r>
          </w:p>
        </w:tc>
        <w:tc>
          <w:tcPr>
            <w:tcW w:w="1131"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-327,7</w:t>
            </w:r>
          </w:p>
        </w:tc>
        <w:tc>
          <w:tcPr>
            <w:tcW w:w="9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98,7%</w:t>
            </w:r>
          </w:p>
        </w:tc>
        <w:tc>
          <w:tcPr>
            <w:tcW w:w="998" w:type="dxa"/>
            <w:gridSpan w:val="2"/>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21.602,3</w:t>
            </w:r>
          </w:p>
        </w:tc>
        <w:tc>
          <w:tcPr>
            <w:tcW w:w="10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2.642,1</w:t>
            </w:r>
          </w:p>
        </w:tc>
        <w:tc>
          <w:tcPr>
            <w:tcW w:w="997"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112,2%</w:t>
            </w:r>
          </w:p>
        </w:tc>
        <w:tc>
          <w:tcPr>
            <w:tcW w:w="159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10,3</w:t>
            </w:r>
          </w:p>
        </w:tc>
        <w:tc>
          <w:tcPr>
            <w:tcW w:w="1418"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11,7</w:t>
            </w:r>
          </w:p>
        </w:tc>
      </w:tr>
      <w:tr w:rsidR="006F53B7" w:rsidRPr="00A77060" w:rsidTr="004D2946">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6F53B7" w:rsidRPr="00A77060" w:rsidRDefault="006F53B7" w:rsidP="004D2946">
            <w:pPr>
              <w:rPr>
                <w:rFonts w:ascii="Calibri Light" w:eastAsia="Times New Roman" w:hAnsi="Calibri Light" w:cstheme="majorHAnsi"/>
                <w:i/>
                <w:iCs/>
                <w:sz w:val="20"/>
                <w:szCs w:val="20"/>
                <w:lang w:val="ru-RU" w:eastAsia="ru-RU"/>
              </w:rPr>
            </w:pPr>
            <w:r w:rsidRPr="00A77060">
              <w:rPr>
                <w:rFonts w:ascii="Calibri Light" w:eastAsia="Times New Roman" w:hAnsi="Calibri Light" w:cstheme="majorHAnsi"/>
                <w:i/>
                <w:iCs/>
                <w:sz w:val="20"/>
                <w:szCs w:val="20"/>
                <w:lang w:val="ru-RU" w:eastAsia="ru-RU"/>
              </w:rPr>
              <w:t xml:space="preserve">ФОМС </w:t>
            </w:r>
          </w:p>
        </w:tc>
        <w:tc>
          <w:tcPr>
            <w:tcW w:w="992"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8.917,4</w:t>
            </w:r>
          </w:p>
        </w:tc>
        <w:tc>
          <w:tcPr>
            <w:tcW w:w="993"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8.405,5</w:t>
            </w:r>
          </w:p>
        </w:tc>
        <w:tc>
          <w:tcPr>
            <w:tcW w:w="1131"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-511,9</w:t>
            </w:r>
          </w:p>
        </w:tc>
        <w:tc>
          <w:tcPr>
            <w:tcW w:w="9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94,3%</w:t>
            </w:r>
          </w:p>
        </w:tc>
        <w:tc>
          <w:tcPr>
            <w:tcW w:w="998" w:type="dxa"/>
            <w:gridSpan w:val="2"/>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7.489,6</w:t>
            </w:r>
          </w:p>
        </w:tc>
        <w:tc>
          <w:tcPr>
            <w:tcW w:w="10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915,9</w:t>
            </w:r>
          </w:p>
        </w:tc>
        <w:tc>
          <w:tcPr>
            <w:tcW w:w="997"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112,2%</w:t>
            </w:r>
          </w:p>
        </w:tc>
        <w:tc>
          <w:tcPr>
            <w:tcW w:w="159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3,6</w:t>
            </w:r>
          </w:p>
        </w:tc>
        <w:tc>
          <w:tcPr>
            <w:tcW w:w="1418"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4,1</w:t>
            </w:r>
          </w:p>
        </w:tc>
      </w:tr>
      <w:tr w:rsidR="006F53B7" w:rsidRPr="00A77060" w:rsidTr="004D2946">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6F53B7" w:rsidRPr="00A77060" w:rsidRDefault="006F53B7" w:rsidP="004D2946">
            <w:pPr>
              <w:rPr>
                <w:rFonts w:ascii="Calibri Light" w:eastAsia="Times New Roman" w:hAnsi="Calibri Light" w:cstheme="majorHAnsi"/>
                <w:i/>
                <w:iCs/>
                <w:sz w:val="20"/>
                <w:szCs w:val="20"/>
                <w:lang w:val="ru-RU" w:eastAsia="ru-RU"/>
              </w:rPr>
            </w:pPr>
            <w:r w:rsidRPr="00A77060">
              <w:rPr>
                <w:rFonts w:ascii="Calibri Light" w:eastAsia="Times New Roman" w:hAnsi="Calibri Light" w:cstheme="majorHAnsi"/>
                <w:i/>
                <w:iCs/>
                <w:sz w:val="20"/>
                <w:szCs w:val="20"/>
                <w:lang w:val="ru-RU" w:eastAsia="ru-RU"/>
              </w:rPr>
              <w:t>БАТЕ</w:t>
            </w:r>
          </w:p>
        </w:tc>
        <w:tc>
          <w:tcPr>
            <w:tcW w:w="992"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19.944,3</w:t>
            </w:r>
          </w:p>
        </w:tc>
        <w:tc>
          <w:tcPr>
            <w:tcW w:w="993"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17.927,4</w:t>
            </w:r>
          </w:p>
        </w:tc>
        <w:tc>
          <w:tcPr>
            <w:tcW w:w="1131"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-2.016,9</w:t>
            </w:r>
          </w:p>
        </w:tc>
        <w:tc>
          <w:tcPr>
            <w:tcW w:w="9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89,9%</w:t>
            </w:r>
          </w:p>
        </w:tc>
        <w:tc>
          <w:tcPr>
            <w:tcW w:w="998" w:type="dxa"/>
            <w:gridSpan w:val="2"/>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16.937,5</w:t>
            </w:r>
          </w:p>
        </w:tc>
        <w:tc>
          <w:tcPr>
            <w:tcW w:w="10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989,9</w:t>
            </w:r>
          </w:p>
        </w:tc>
        <w:tc>
          <w:tcPr>
            <w:tcW w:w="997"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105,8 %</w:t>
            </w:r>
          </w:p>
        </w:tc>
        <w:tc>
          <w:tcPr>
            <w:tcW w:w="159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8,1</w:t>
            </w:r>
          </w:p>
        </w:tc>
        <w:tc>
          <w:tcPr>
            <w:tcW w:w="1418"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8,7</w:t>
            </w:r>
          </w:p>
        </w:tc>
      </w:tr>
      <w:tr w:rsidR="006F53B7" w:rsidRPr="00A77060" w:rsidTr="004D2946">
        <w:trPr>
          <w:trHeight w:val="256"/>
          <w:jc w:val="center"/>
        </w:trPr>
        <w:tc>
          <w:tcPr>
            <w:cnfStyle w:val="001000000000" w:firstRow="0" w:lastRow="0" w:firstColumn="1" w:lastColumn="0" w:oddVBand="0" w:evenVBand="0" w:oddHBand="0" w:evenHBand="0" w:firstRowFirstColumn="0" w:firstRowLastColumn="0" w:lastRowFirstColumn="0" w:lastRowLastColumn="0"/>
            <w:tcW w:w="12186" w:type="dxa"/>
            <w:gridSpan w:val="11"/>
          </w:tcPr>
          <w:p w:rsidR="006F53B7" w:rsidRPr="00A77060" w:rsidRDefault="006F53B7" w:rsidP="004D2946">
            <w:pPr>
              <w:jc w:val="center"/>
              <w:rPr>
                <w:rFonts w:ascii="Calibri Light" w:eastAsia="Times New Roman" w:hAnsi="Calibri Light" w:cstheme="majorHAnsi"/>
                <w:sz w:val="24"/>
                <w:szCs w:val="24"/>
                <w:lang w:val="ru-RU" w:eastAsia="ru-RU"/>
              </w:rPr>
            </w:pPr>
            <w:r w:rsidRPr="00A77060">
              <w:rPr>
                <w:rFonts w:ascii="Calibri Light" w:eastAsia="Times New Roman" w:hAnsi="Calibri Light" w:cstheme="majorHAnsi"/>
                <w:sz w:val="24"/>
                <w:szCs w:val="24"/>
                <w:lang w:val="ru-RU" w:eastAsia="ru-RU"/>
              </w:rPr>
              <w:t>Дефицит (-) / Излишек (+)</w:t>
            </w:r>
          </w:p>
        </w:tc>
      </w:tr>
      <w:tr w:rsidR="006F53B7" w:rsidRPr="00A77060" w:rsidTr="004D2946">
        <w:trPr>
          <w:trHeight w:val="490"/>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6F53B7" w:rsidRPr="00A77060" w:rsidRDefault="006F53B7" w:rsidP="004D2946">
            <w:pPr>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xml:space="preserve">НПБ, </w:t>
            </w:r>
            <w:r w:rsidRPr="00A77060">
              <w:rPr>
                <w:rFonts w:ascii="Calibri Light" w:eastAsia="Times New Roman" w:hAnsi="Calibri Light" w:cstheme="majorHAnsi"/>
                <w:i/>
                <w:sz w:val="20"/>
                <w:szCs w:val="20"/>
                <w:lang w:val="ru-RU" w:eastAsia="ru-RU"/>
              </w:rPr>
              <w:t>в том числе</w:t>
            </w:r>
            <w:r w:rsidRPr="00A77060">
              <w:rPr>
                <w:rFonts w:ascii="Calibri Light" w:eastAsia="Times New Roman" w:hAnsi="Calibri Light" w:cstheme="majorHAnsi"/>
                <w:i/>
                <w:iCs/>
                <w:sz w:val="20"/>
                <w:szCs w:val="20"/>
                <w:lang w:val="ru-RU" w:eastAsia="ru-RU"/>
              </w:rPr>
              <w:t>:</w:t>
            </w:r>
          </w:p>
        </w:tc>
        <w:tc>
          <w:tcPr>
            <w:tcW w:w="992" w:type="dxa"/>
            <w:vAlign w:val="center"/>
          </w:tcPr>
          <w:p w:rsidR="006F53B7" w:rsidRPr="00A77060" w:rsidRDefault="006F53B7" w:rsidP="004D2946">
            <w:pPr>
              <w:ind w:right="-11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(-17.523,0)</w:t>
            </w:r>
          </w:p>
        </w:tc>
        <w:tc>
          <w:tcPr>
            <w:tcW w:w="993" w:type="dxa"/>
            <w:vAlign w:val="center"/>
          </w:tcPr>
          <w:p w:rsidR="006F53B7" w:rsidRPr="00A77060" w:rsidRDefault="006F53B7" w:rsidP="004D2946">
            <w:pPr>
              <w:ind w:right="-114"/>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(-10.619,8)</w:t>
            </w:r>
          </w:p>
        </w:tc>
        <w:tc>
          <w:tcPr>
            <w:tcW w:w="1131"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6.903,2</w:t>
            </w:r>
          </w:p>
        </w:tc>
        <w:tc>
          <w:tcPr>
            <w:tcW w:w="9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60,6%</w:t>
            </w:r>
          </w:p>
        </w:tc>
        <w:tc>
          <w:tcPr>
            <w:tcW w:w="998" w:type="dxa"/>
            <w:gridSpan w:val="2"/>
            <w:shd w:val="clear" w:color="auto" w:fill="auto"/>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(-3.026,4)</w:t>
            </w:r>
          </w:p>
        </w:tc>
        <w:tc>
          <w:tcPr>
            <w:tcW w:w="10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(-7.593,4)</w:t>
            </w:r>
          </w:p>
        </w:tc>
        <w:tc>
          <w:tcPr>
            <w:tcW w:w="997"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350,9%</w:t>
            </w:r>
          </w:p>
        </w:tc>
        <w:tc>
          <w:tcPr>
            <w:tcW w:w="159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-1,4</w:t>
            </w:r>
          </w:p>
        </w:tc>
        <w:tc>
          <w:tcPr>
            <w:tcW w:w="1418"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20"/>
                <w:szCs w:val="20"/>
                <w:lang w:val="ru-RU" w:eastAsia="ru-RU"/>
              </w:rPr>
            </w:pPr>
            <w:r w:rsidRPr="00A77060">
              <w:rPr>
                <w:rFonts w:ascii="Calibri Light" w:eastAsia="Times New Roman" w:hAnsi="Calibri Light" w:cstheme="majorHAnsi"/>
                <w:b/>
                <w:bCs/>
                <w:sz w:val="20"/>
                <w:szCs w:val="20"/>
                <w:lang w:val="ru-RU" w:eastAsia="ru-RU"/>
              </w:rPr>
              <w:t>-5,1</w:t>
            </w:r>
          </w:p>
        </w:tc>
      </w:tr>
      <w:tr w:rsidR="006F53B7" w:rsidRPr="00A77060" w:rsidTr="004D2946">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6F53B7" w:rsidRPr="00A77060" w:rsidRDefault="006F53B7" w:rsidP="004D2946">
            <w:pPr>
              <w:rPr>
                <w:rFonts w:ascii="Calibri Light" w:eastAsia="Times New Roman" w:hAnsi="Calibri Light" w:cstheme="majorHAnsi"/>
                <w:i/>
                <w:iCs/>
                <w:sz w:val="20"/>
                <w:szCs w:val="20"/>
                <w:lang w:val="ru-RU" w:eastAsia="ru-RU"/>
              </w:rPr>
            </w:pPr>
            <w:r w:rsidRPr="00A77060">
              <w:rPr>
                <w:rFonts w:ascii="Calibri Light" w:eastAsia="Times New Roman" w:hAnsi="Calibri Light" w:cstheme="majorHAnsi"/>
                <w:i/>
                <w:iCs/>
                <w:sz w:val="20"/>
                <w:szCs w:val="20"/>
                <w:lang w:val="ru-RU" w:eastAsia="ru-RU"/>
              </w:rPr>
              <w:t>ГБ</w:t>
            </w:r>
          </w:p>
        </w:tc>
        <w:tc>
          <w:tcPr>
            <w:tcW w:w="992" w:type="dxa"/>
            <w:vAlign w:val="center"/>
          </w:tcPr>
          <w:p w:rsidR="006F53B7" w:rsidRPr="00A77060" w:rsidRDefault="006F53B7" w:rsidP="004D2946">
            <w:pPr>
              <w:ind w:right="-112"/>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(-15.999,4)</w:t>
            </w:r>
          </w:p>
        </w:tc>
        <w:tc>
          <w:tcPr>
            <w:tcW w:w="993" w:type="dxa"/>
            <w:vAlign w:val="center"/>
          </w:tcPr>
          <w:p w:rsidR="006F53B7" w:rsidRPr="00A77060" w:rsidRDefault="006F53B7" w:rsidP="004D2946">
            <w:pPr>
              <w:ind w:right="-114"/>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(-11.134,9)</w:t>
            </w:r>
          </w:p>
        </w:tc>
        <w:tc>
          <w:tcPr>
            <w:tcW w:w="1131"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4.864,5</w:t>
            </w:r>
          </w:p>
        </w:tc>
        <w:tc>
          <w:tcPr>
            <w:tcW w:w="9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69,6%</w:t>
            </w:r>
          </w:p>
        </w:tc>
        <w:tc>
          <w:tcPr>
            <w:tcW w:w="998" w:type="dxa"/>
            <w:gridSpan w:val="2"/>
            <w:shd w:val="clear" w:color="auto" w:fill="auto"/>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(-3.106,0)</w:t>
            </w:r>
          </w:p>
        </w:tc>
        <w:tc>
          <w:tcPr>
            <w:tcW w:w="10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(-8.028,9)</w:t>
            </w:r>
          </w:p>
        </w:tc>
        <w:tc>
          <w:tcPr>
            <w:tcW w:w="997"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358,5%</w:t>
            </w:r>
          </w:p>
        </w:tc>
        <w:tc>
          <w:tcPr>
            <w:tcW w:w="159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-1,5</w:t>
            </w:r>
          </w:p>
        </w:tc>
        <w:tc>
          <w:tcPr>
            <w:tcW w:w="1418"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-5,4</w:t>
            </w:r>
          </w:p>
        </w:tc>
      </w:tr>
      <w:tr w:rsidR="006F53B7" w:rsidRPr="00A77060" w:rsidTr="004D2946">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6F53B7" w:rsidRPr="00A77060" w:rsidRDefault="006F53B7" w:rsidP="004D2946">
            <w:pPr>
              <w:rPr>
                <w:rFonts w:ascii="Calibri Light" w:eastAsia="Times New Roman" w:hAnsi="Calibri Light" w:cstheme="majorHAnsi"/>
                <w:i/>
                <w:iCs/>
                <w:sz w:val="20"/>
                <w:szCs w:val="20"/>
                <w:lang w:val="ru-RU" w:eastAsia="ru-RU"/>
              </w:rPr>
            </w:pPr>
            <w:r w:rsidRPr="00A77060">
              <w:rPr>
                <w:rFonts w:ascii="Calibri Light" w:eastAsia="Times New Roman" w:hAnsi="Calibri Light" w:cstheme="majorHAnsi"/>
                <w:i/>
                <w:iCs/>
                <w:sz w:val="20"/>
                <w:szCs w:val="20"/>
                <w:lang w:val="ru-RU" w:eastAsia="ru-RU"/>
              </w:rPr>
              <w:t>БГСС</w:t>
            </w:r>
          </w:p>
        </w:tc>
        <w:tc>
          <w:tcPr>
            <w:tcW w:w="992"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0,0</w:t>
            </w:r>
          </w:p>
        </w:tc>
        <w:tc>
          <w:tcPr>
            <w:tcW w:w="993"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+41,2</w:t>
            </w:r>
          </w:p>
        </w:tc>
        <w:tc>
          <w:tcPr>
            <w:tcW w:w="1131"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41,2</w:t>
            </w:r>
          </w:p>
        </w:tc>
        <w:tc>
          <w:tcPr>
            <w:tcW w:w="9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w:t>
            </w:r>
          </w:p>
        </w:tc>
        <w:tc>
          <w:tcPr>
            <w:tcW w:w="998" w:type="dxa"/>
            <w:gridSpan w:val="2"/>
            <w:shd w:val="clear" w:color="auto" w:fill="auto"/>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+146,0</w:t>
            </w:r>
          </w:p>
        </w:tc>
        <w:tc>
          <w:tcPr>
            <w:tcW w:w="10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(-104,8)</w:t>
            </w:r>
          </w:p>
        </w:tc>
        <w:tc>
          <w:tcPr>
            <w:tcW w:w="997"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28,2%</w:t>
            </w:r>
          </w:p>
        </w:tc>
        <w:tc>
          <w:tcPr>
            <w:tcW w:w="159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0,1</w:t>
            </w:r>
          </w:p>
        </w:tc>
        <w:tc>
          <w:tcPr>
            <w:tcW w:w="1418"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w:t>
            </w:r>
          </w:p>
        </w:tc>
      </w:tr>
      <w:tr w:rsidR="006F53B7" w:rsidRPr="00A77060" w:rsidTr="004D2946">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hideMark/>
          </w:tcPr>
          <w:p w:rsidR="006F53B7" w:rsidRPr="00A77060" w:rsidRDefault="006F53B7" w:rsidP="004D2946">
            <w:pPr>
              <w:rPr>
                <w:rFonts w:ascii="Calibri Light" w:eastAsia="Times New Roman" w:hAnsi="Calibri Light" w:cstheme="majorHAnsi"/>
                <w:i/>
                <w:iCs/>
                <w:sz w:val="20"/>
                <w:szCs w:val="20"/>
                <w:lang w:val="ru-RU" w:eastAsia="ru-RU"/>
              </w:rPr>
            </w:pPr>
            <w:r w:rsidRPr="00A77060">
              <w:rPr>
                <w:rFonts w:ascii="Calibri Light" w:eastAsia="Times New Roman" w:hAnsi="Calibri Light" w:cstheme="majorHAnsi"/>
                <w:i/>
                <w:iCs/>
                <w:sz w:val="20"/>
                <w:szCs w:val="20"/>
                <w:lang w:val="ru-RU" w:eastAsia="ru-RU"/>
              </w:rPr>
              <w:t xml:space="preserve">ФОМС </w:t>
            </w:r>
          </w:p>
        </w:tc>
        <w:tc>
          <w:tcPr>
            <w:tcW w:w="992"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(-416,6)</w:t>
            </w:r>
          </w:p>
        </w:tc>
        <w:tc>
          <w:tcPr>
            <w:tcW w:w="993"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+137,0</w:t>
            </w:r>
          </w:p>
        </w:tc>
        <w:tc>
          <w:tcPr>
            <w:tcW w:w="1131"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553,6</w:t>
            </w:r>
          </w:p>
        </w:tc>
        <w:tc>
          <w:tcPr>
            <w:tcW w:w="9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w:t>
            </w:r>
          </w:p>
        </w:tc>
        <w:tc>
          <w:tcPr>
            <w:tcW w:w="998" w:type="dxa"/>
            <w:gridSpan w:val="2"/>
            <w:shd w:val="clear" w:color="auto" w:fill="auto"/>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+146,7</w:t>
            </w:r>
          </w:p>
        </w:tc>
        <w:tc>
          <w:tcPr>
            <w:tcW w:w="10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(-9,7)</w:t>
            </w:r>
          </w:p>
        </w:tc>
        <w:tc>
          <w:tcPr>
            <w:tcW w:w="997"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93,4%</w:t>
            </w:r>
          </w:p>
        </w:tc>
        <w:tc>
          <w:tcPr>
            <w:tcW w:w="159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0,1</w:t>
            </w:r>
          </w:p>
        </w:tc>
        <w:tc>
          <w:tcPr>
            <w:tcW w:w="1418"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0,1</w:t>
            </w:r>
          </w:p>
        </w:tc>
      </w:tr>
      <w:tr w:rsidR="006F53B7" w:rsidRPr="00A77060" w:rsidTr="004D2946">
        <w:trPr>
          <w:trHeight w:val="256"/>
          <w:jc w:val="center"/>
        </w:trPr>
        <w:tc>
          <w:tcPr>
            <w:cnfStyle w:val="001000000000" w:firstRow="0" w:lastRow="0" w:firstColumn="1" w:lastColumn="0" w:oddVBand="0" w:evenVBand="0" w:oddHBand="0" w:evenHBand="0" w:firstRowFirstColumn="0" w:firstRowLastColumn="0" w:lastRowFirstColumn="0" w:lastRowLastColumn="0"/>
            <w:tcW w:w="1980" w:type="dxa"/>
            <w:noWrap/>
            <w:hideMark/>
          </w:tcPr>
          <w:p w:rsidR="006F53B7" w:rsidRPr="00A77060" w:rsidRDefault="006F53B7" w:rsidP="004D2946">
            <w:pPr>
              <w:rPr>
                <w:rFonts w:ascii="Calibri Light" w:eastAsia="Times New Roman" w:hAnsi="Calibri Light" w:cstheme="majorHAnsi"/>
                <w:i/>
                <w:iCs/>
                <w:sz w:val="20"/>
                <w:szCs w:val="20"/>
                <w:lang w:val="ru-RU" w:eastAsia="ru-RU"/>
              </w:rPr>
            </w:pPr>
            <w:r w:rsidRPr="00A77060">
              <w:rPr>
                <w:rFonts w:ascii="Calibri Light" w:eastAsia="Times New Roman" w:hAnsi="Calibri Light" w:cstheme="majorHAnsi"/>
                <w:i/>
                <w:iCs/>
                <w:sz w:val="20"/>
                <w:szCs w:val="20"/>
                <w:lang w:val="ru-RU" w:eastAsia="ru-RU"/>
              </w:rPr>
              <w:t>БАТЕ</w:t>
            </w:r>
          </w:p>
        </w:tc>
        <w:tc>
          <w:tcPr>
            <w:tcW w:w="992"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(-1.107,0)</w:t>
            </w:r>
          </w:p>
        </w:tc>
        <w:tc>
          <w:tcPr>
            <w:tcW w:w="993"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+336,9</w:t>
            </w:r>
          </w:p>
        </w:tc>
        <w:tc>
          <w:tcPr>
            <w:tcW w:w="1131"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1.443,9</w:t>
            </w:r>
          </w:p>
        </w:tc>
        <w:tc>
          <w:tcPr>
            <w:tcW w:w="9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-30,4%</w:t>
            </w:r>
          </w:p>
        </w:tc>
        <w:tc>
          <w:tcPr>
            <w:tcW w:w="998" w:type="dxa"/>
            <w:gridSpan w:val="2"/>
            <w:shd w:val="clear" w:color="auto" w:fill="auto"/>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(-213,1)</w:t>
            </w:r>
          </w:p>
        </w:tc>
        <w:tc>
          <w:tcPr>
            <w:tcW w:w="108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+550,0</w:t>
            </w:r>
          </w:p>
        </w:tc>
        <w:tc>
          <w:tcPr>
            <w:tcW w:w="997"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158,1%</w:t>
            </w:r>
          </w:p>
        </w:tc>
        <w:tc>
          <w:tcPr>
            <w:tcW w:w="1599"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-0,1</w:t>
            </w:r>
          </w:p>
        </w:tc>
        <w:tc>
          <w:tcPr>
            <w:tcW w:w="1418" w:type="dxa"/>
            <w:vAlign w:val="center"/>
          </w:tcPr>
          <w:p w:rsidR="006F53B7" w:rsidRPr="00A77060" w:rsidRDefault="006F53B7" w:rsidP="004D2946">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iCs/>
                <w:sz w:val="20"/>
                <w:szCs w:val="20"/>
                <w:lang w:val="ru-RU" w:eastAsia="ru-RU"/>
              </w:rPr>
            </w:pPr>
            <w:r w:rsidRPr="00A77060">
              <w:rPr>
                <w:rFonts w:ascii="Calibri Light" w:eastAsia="Times New Roman" w:hAnsi="Calibri Light" w:cstheme="majorHAnsi"/>
                <w:iCs/>
                <w:sz w:val="20"/>
                <w:szCs w:val="20"/>
                <w:lang w:val="ru-RU" w:eastAsia="ru-RU"/>
              </w:rPr>
              <w:t>0,2</w:t>
            </w:r>
          </w:p>
        </w:tc>
      </w:tr>
      <w:tr w:rsidR="006F53B7" w:rsidRPr="007071A4" w:rsidTr="004D2946">
        <w:trPr>
          <w:trHeight w:val="256"/>
          <w:jc w:val="center"/>
        </w:trPr>
        <w:tc>
          <w:tcPr>
            <w:cnfStyle w:val="001000000000" w:firstRow="0" w:lastRow="0" w:firstColumn="1" w:lastColumn="0" w:oddVBand="0" w:evenVBand="0" w:oddHBand="0" w:evenHBand="0" w:firstRowFirstColumn="0" w:firstRowLastColumn="0" w:lastRowFirstColumn="0" w:lastRowLastColumn="0"/>
            <w:tcW w:w="12186" w:type="dxa"/>
            <w:gridSpan w:val="11"/>
          </w:tcPr>
          <w:p w:rsidR="006F53B7" w:rsidRPr="00A77060" w:rsidRDefault="006F53B7" w:rsidP="004D2946">
            <w:pPr>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Валовой внутренний продукт, взятый в расчет за 2019 год, согласно данным НБС, составляет 210 378 млн. леев (актуализирован).</w:t>
            </w:r>
          </w:p>
          <w:p w:rsidR="006F53B7" w:rsidRPr="00A77060" w:rsidRDefault="006F53B7" w:rsidP="004D2946">
            <w:pPr>
              <w:rPr>
                <w:rFonts w:ascii="Calibri Light" w:eastAsia="Times New Roman" w:hAnsi="Calibri Light" w:cstheme="majorHAnsi"/>
                <w:sz w:val="20"/>
                <w:szCs w:val="20"/>
                <w:lang w:val="ru-RU" w:eastAsia="ru-RU"/>
              </w:rPr>
            </w:pPr>
            <w:r w:rsidRPr="00A77060">
              <w:rPr>
                <w:rFonts w:ascii="Calibri Light" w:eastAsia="Times New Roman" w:hAnsi="Calibri Light" w:cstheme="majorHAnsi"/>
                <w:sz w:val="20"/>
                <w:szCs w:val="20"/>
                <w:lang w:val="ru-RU" w:eastAsia="ru-RU"/>
              </w:rPr>
              <w:t>** Валовой внутренний продукт, взятый в расчет за 2019 год, согласно предварительным данным НБС, составляет 206 352 млн. леев</w:t>
            </w:r>
          </w:p>
        </w:tc>
      </w:tr>
    </w:tbl>
    <w:p w:rsidR="006F53B7" w:rsidRPr="00A77060" w:rsidRDefault="006F53B7" w:rsidP="004D2946">
      <w:pPr>
        <w:spacing w:after="0"/>
        <w:rPr>
          <w:rFonts w:ascii="Calibri Light" w:hAnsi="Calibri Light" w:cstheme="majorHAnsi"/>
          <w:i/>
          <w:sz w:val="20"/>
          <w:szCs w:val="20"/>
          <w:lang w:val="ru-RU"/>
        </w:rPr>
      </w:pPr>
      <w:r w:rsidRPr="00A77060">
        <w:rPr>
          <w:rFonts w:ascii="Calibri Light" w:hAnsi="Calibri Light" w:cstheme="majorHAnsi"/>
          <w:b/>
          <w:i/>
          <w:sz w:val="20"/>
          <w:szCs w:val="20"/>
          <w:lang w:val="ru-RU"/>
        </w:rPr>
        <w:t>Справка:</w:t>
      </w:r>
      <w:r w:rsidRPr="00A77060">
        <w:rPr>
          <w:rFonts w:ascii="Calibri Light" w:hAnsi="Calibri Light" w:cstheme="majorHAnsi"/>
          <w:b/>
          <w:sz w:val="20"/>
          <w:szCs w:val="20"/>
          <w:lang w:val="ru-RU"/>
        </w:rPr>
        <w:t xml:space="preserve"> </w:t>
      </w:r>
      <w:r w:rsidRPr="00A77060">
        <w:rPr>
          <w:rFonts w:ascii="Calibri Light" w:hAnsi="Calibri Light" w:cstheme="majorHAnsi"/>
          <w:i/>
          <w:sz w:val="20"/>
          <w:szCs w:val="20"/>
          <w:lang w:val="ru-RU"/>
        </w:rPr>
        <w:t>Данные по доходам и расходам компонентов НПБ пред</w:t>
      </w:r>
      <w:r>
        <w:rPr>
          <w:rFonts w:ascii="Calibri Light" w:hAnsi="Calibri Light" w:cstheme="majorHAnsi"/>
          <w:i/>
          <w:sz w:val="20"/>
          <w:szCs w:val="20"/>
          <w:lang w:val="ru-RU"/>
        </w:rPr>
        <w:t>с</w:t>
      </w:r>
      <w:r w:rsidRPr="00A77060">
        <w:rPr>
          <w:rFonts w:ascii="Calibri Light" w:hAnsi="Calibri Light" w:cstheme="majorHAnsi"/>
          <w:i/>
          <w:sz w:val="20"/>
          <w:szCs w:val="20"/>
          <w:lang w:val="ru-RU"/>
        </w:rPr>
        <w:t>тавлены с трансфертами между бюджетами.</w:t>
      </w:r>
    </w:p>
    <w:p w:rsidR="006F53B7" w:rsidRPr="00A77060" w:rsidRDefault="006F53B7" w:rsidP="004D2946">
      <w:pPr>
        <w:spacing w:after="0" w:line="276" w:lineRule="auto"/>
        <w:rPr>
          <w:rFonts w:ascii="Calibri Light" w:hAnsi="Calibri Light" w:cstheme="majorHAnsi"/>
          <w:i/>
          <w:sz w:val="20"/>
          <w:szCs w:val="20"/>
          <w:lang w:val="ru-RU"/>
        </w:rPr>
      </w:pPr>
      <w:r w:rsidRPr="00A77060">
        <w:rPr>
          <w:rFonts w:ascii="Calibri Light" w:hAnsi="Calibri Light" w:cstheme="majorHAnsi"/>
          <w:b/>
          <w:i/>
          <w:sz w:val="20"/>
          <w:szCs w:val="20"/>
          <w:lang w:val="ru-RU"/>
        </w:rPr>
        <w:t>Источник:</w:t>
      </w:r>
      <w:r w:rsidRPr="00A77060">
        <w:rPr>
          <w:rFonts w:ascii="Calibri Light" w:hAnsi="Calibri Light" w:cstheme="majorHAnsi"/>
          <w:sz w:val="20"/>
          <w:szCs w:val="20"/>
          <w:lang w:val="ru-RU"/>
        </w:rPr>
        <w:t xml:space="preserve"> </w:t>
      </w:r>
      <w:r w:rsidRPr="00A77060">
        <w:rPr>
          <w:rFonts w:ascii="Calibri Light" w:hAnsi="Calibri Light" w:cstheme="majorHAnsi"/>
          <w:i/>
          <w:sz w:val="20"/>
          <w:szCs w:val="20"/>
          <w:lang w:val="ru-RU"/>
        </w:rPr>
        <w:t>Отчет об исполнении госуд</w:t>
      </w:r>
      <w:r>
        <w:rPr>
          <w:rFonts w:ascii="Calibri Light" w:hAnsi="Calibri Light" w:cstheme="majorHAnsi"/>
          <w:i/>
          <w:sz w:val="20"/>
          <w:szCs w:val="20"/>
          <w:lang w:val="ru-RU"/>
        </w:rPr>
        <w:t>а</w:t>
      </w:r>
      <w:r w:rsidRPr="00A77060">
        <w:rPr>
          <w:rFonts w:ascii="Calibri Light" w:hAnsi="Calibri Light" w:cstheme="majorHAnsi"/>
          <w:i/>
          <w:sz w:val="20"/>
          <w:szCs w:val="20"/>
          <w:lang w:val="ru-RU"/>
        </w:rPr>
        <w:t>рственного бюджета за 2020 год и за 2019 год.</w:t>
      </w:r>
    </w:p>
    <w:p w:rsidR="006F53B7" w:rsidRPr="00A77060" w:rsidRDefault="006F53B7" w:rsidP="004D2946">
      <w:pPr>
        <w:spacing w:after="0" w:line="276" w:lineRule="auto"/>
        <w:rPr>
          <w:rFonts w:ascii="Calibri Light" w:hAnsi="Calibri Light" w:cstheme="majorHAnsi"/>
          <w:sz w:val="20"/>
          <w:szCs w:val="20"/>
          <w:lang w:val="ru-RU"/>
        </w:rPr>
      </w:pPr>
      <w:r w:rsidRPr="00A77060">
        <w:rPr>
          <w:rFonts w:ascii="Calibri Light" w:hAnsi="Calibri Light" w:cstheme="majorHAnsi"/>
          <w:sz w:val="20"/>
          <w:szCs w:val="20"/>
          <w:lang w:val="ru-RU"/>
        </w:rPr>
        <w:t xml:space="preserve">Аудит отмечает, что согласно данным Отчета поступление доходов в НПБ было реализовано свыше уточненного уровня на 1.422,9 </w:t>
      </w:r>
      <w:r w:rsidRPr="00A77060">
        <w:rPr>
          <w:rFonts w:ascii="Calibri Light" w:eastAsia="Times New Roman" w:hAnsi="Calibri Light" w:cstheme="majorHAnsi"/>
          <w:sz w:val="20"/>
          <w:szCs w:val="20"/>
          <w:lang w:val="ru-RU" w:eastAsia="ru-RU"/>
        </w:rPr>
        <w:t xml:space="preserve">млн. леев, в том числе: в ГБ – на </w:t>
      </w:r>
      <w:r w:rsidRPr="00A77060">
        <w:rPr>
          <w:rFonts w:ascii="Calibri Light" w:hAnsi="Calibri Light" w:cstheme="majorHAnsi"/>
          <w:sz w:val="20"/>
          <w:szCs w:val="20"/>
          <w:lang w:val="ru-RU"/>
        </w:rPr>
        <w:t xml:space="preserve">1219,3 </w:t>
      </w:r>
      <w:r w:rsidRPr="00A77060">
        <w:rPr>
          <w:rFonts w:ascii="Calibri Light" w:eastAsia="Times New Roman" w:hAnsi="Calibri Light" w:cstheme="majorHAnsi"/>
          <w:sz w:val="20"/>
          <w:szCs w:val="20"/>
          <w:lang w:val="ru-RU" w:eastAsia="ru-RU"/>
        </w:rPr>
        <w:t xml:space="preserve">млн. леев и ФОМС - на </w:t>
      </w:r>
      <w:r w:rsidRPr="00A77060">
        <w:rPr>
          <w:rFonts w:ascii="Calibri Light" w:hAnsi="Calibri Light" w:cstheme="majorHAnsi"/>
          <w:sz w:val="20"/>
          <w:szCs w:val="20"/>
          <w:lang w:val="ru-RU"/>
        </w:rPr>
        <w:t xml:space="preserve">41,7 </w:t>
      </w:r>
      <w:r w:rsidRPr="00A77060">
        <w:rPr>
          <w:rFonts w:ascii="Calibri Light" w:eastAsia="Times New Roman" w:hAnsi="Calibri Light" w:cstheme="majorHAnsi"/>
          <w:sz w:val="20"/>
          <w:szCs w:val="20"/>
          <w:lang w:val="ru-RU" w:eastAsia="ru-RU"/>
        </w:rPr>
        <w:t>млн. леев,</w:t>
      </w:r>
      <w:r>
        <w:rPr>
          <w:rFonts w:ascii="Calibri Light" w:eastAsia="Times New Roman" w:hAnsi="Calibri Light" w:cstheme="majorHAnsi"/>
          <w:sz w:val="20"/>
          <w:szCs w:val="20"/>
          <w:lang w:val="ru-RU" w:eastAsia="ru-RU"/>
        </w:rPr>
        <w:t xml:space="preserve"> </w:t>
      </w:r>
      <w:r w:rsidRPr="00A77060">
        <w:rPr>
          <w:rFonts w:ascii="Calibri Light" w:eastAsia="Times New Roman" w:hAnsi="Calibri Light" w:cstheme="majorHAnsi"/>
          <w:sz w:val="20"/>
          <w:szCs w:val="20"/>
          <w:lang w:val="ru-RU" w:eastAsia="ru-RU"/>
        </w:rPr>
        <w:t xml:space="preserve">а доходы в БГСС и БАТЕ поступили ниже уточненного уровня: на </w:t>
      </w:r>
      <w:r w:rsidRPr="00A77060">
        <w:rPr>
          <w:rFonts w:ascii="Calibri Light" w:hAnsi="Calibri Light" w:cstheme="majorHAnsi"/>
          <w:sz w:val="20"/>
          <w:szCs w:val="20"/>
          <w:lang w:val="ru-RU"/>
        </w:rPr>
        <w:t>(-286,5</w:t>
      </w:r>
      <w:r w:rsidRPr="00A77060">
        <w:rPr>
          <w:rFonts w:ascii="Calibri Light" w:eastAsia="Times New Roman" w:hAnsi="Calibri Light" w:cstheme="majorHAnsi"/>
          <w:sz w:val="20"/>
          <w:szCs w:val="20"/>
          <w:lang w:val="ru-RU" w:eastAsia="ru-RU"/>
        </w:rPr>
        <w:t xml:space="preserve"> млн. леев</w:t>
      </w:r>
      <w:r w:rsidRPr="00A77060">
        <w:rPr>
          <w:rFonts w:ascii="Calibri Light" w:hAnsi="Calibri Light" w:cstheme="majorHAnsi"/>
          <w:sz w:val="20"/>
          <w:szCs w:val="20"/>
          <w:lang w:val="ru-RU"/>
        </w:rPr>
        <w:t xml:space="preserve">) в БАСС и, соответственно, на (-573,0 </w:t>
      </w:r>
      <w:r w:rsidRPr="00A77060">
        <w:rPr>
          <w:rFonts w:ascii="Calibri Light" w:eastAsia="Times New Roman" w:hAnsi="Calibri Light" w:cstheme="majorHAnsi"/>
          <w:sz w:val="20"/>
          <w:szCs w:val="20"/>
          <w:lang w:val="ru-RU" w:eastAsia="ru-RU"/>
        </w:rPr>
        <w:t>млн. леев</w:t>
      </w:r>
      <w:r w:rsidRPr="00A77060">
        <w:rPr>
          <w:rFonts w:ascii="Calibri Light" w:hAnsi="Calibri Light" w:cstheme="majorHAnsi"/>
          <w:sz w:val="20"/>
          <w:szCs w:val="20"/>
          <w:lang w:val="ru-RU"/>
        </w:rPr>
        <w:t xml:space="preserve">) в БАТЕ. Вместе с тем, наиболее низкий уровень исполнения расходов бюджетов компонентов НПБ по сравнению с уточненными расходами был отмечен по БАТЕ – 89,9%, далее был по ГБ – 93,2%. Вместе с тем, расходы по ФОМС зарегистрировали уровень исполнения 94,3% и, соответственно, по БГСС - 98,7%. </w:t>
      </w:r>
      <w:r w:rsidRPr="00A77060">
        <w:rPr>
          <w:rFonts w:ascii="Calibri Light" w:hAnsi="Calibri Light" w:cstheme="majorHAnsi"/>
          <w:iCs/>
          <w:sz w:val="24"/>
          <w:szCs w:val="24"/>
          <w:lang w:val="ru-RU"/>
        </w:rPr>
        <w:t xml:space="preserve"> </w:t>
      </w:r>
    </w:p>
    <w:p w:rsidR="006F53B7" w:rsidRPr="00A77060" w:rsidRDefault="006F53B7" w:rsidP="004D2946">
      <w:pPr>
        <w:spacing w:after="0" w:line="276" w:lineRule="auto"/>
        <w:rPr>
          <w:rFonts w:ascii="Calibri Light" w:hAnsi="Calibri Light" w:cstheme="majorHAnsi"/>
          <w:sz w:val="20"/>
          <w:szCs w:val="20"/>
          <w:lang w:val="ru-RU"/>
        </w:rPr>
      </w:pPr>
    </w:p>
    <w:p w:rsidR="006F53B7" w:rsidRPr="00A77060" w:rsidRDefault="006F53B7" w:rsidP="004D2946">
      <w:pPr>
        <w:tabs>
          <w:tab w:val="left" w:pos="720"/>
        </w:tabs>
        <w:spacing w:after="0" w:line="240" w:lineRule="auto"/>
        <w:jc w:val="center"/>
        <w:rPr>
          <w:rFonts w:ascii="Calibri Light" w:eastAsia="Times New Roman" w:hAnsi="Calibri Light" w:cs="Times New Roman"/>
          <w:b/>
          <w:bCs/>
          <w:szCs w:val="28"/>
          <w:lang w:val="ru-RU"/>
        </w:rPr>
      </w:pPr>
      <w:r w:rsidRPr="00A77060">
        <w:rPr>
          <w:rFonts w:ascii="Calibri Light" w:eastAsia="Times New Roman" w:hAnsi="Calibri Light" w:cs="Times New Roman"/>
          <w:b/>
          <w:bCs/>
          <w:szCs w:val="28"/>
          <w:lang w:val="ru-RU"/>
        </w:rPr>
        <w:lastRenderedPageBreak/>
        <w:t xml:space="preserve">Список аббревиатур </w:t>
      </w:r>
    </w:p>
    <w:tbl>
      <w:tblPr>
        <w:tblStyle w:val="GridTable1Light1"/>
        <w:tblW w:w="0" w:type="auto"/>
        <w:jc w:val="center"/>
        <w:tblLook w:val="04A0" w:firstRow="1" w:lastRow="0" w:firstColumn="1" w:lastColumn="0" w:noHBand="0" w:noVBand="1"/>
      </w:tblPr>
      <w:tblGrid>
        <w:gridCol w:w="1555"/>
        <w:gridCol w:w="7229"/>
      </w:tblGrid>
      <w:tr w:rsidR="006F53B7" w:rsidRPr="00A77060" w:rsidTr="004D29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Сокращенное название </w:t>
            </w:r>
          </w:p>
        </w:tc>
        <w:tc>
          <w:tcPr>
            <w:tcW w:w="7229" w:type="dxa"/>
          </w:tcPr>
          <w:p w:rsidR="006F53B7" w:rsidRPr="00A77060" w:rsidRDefault="006F53B7" w:rsidP="004D2946">
            <w:pPr>
              <w:tabs>
                <w:tab w:val="left" w:pos="720"/>
              </w:tabs>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Полное название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НОН</w:t>
            </w:r>
          </w:p>
        </w:tc>
        <w:tc>
          <w:tcPr>
            <w:tcW w:w="7229" w:type="dxa"/>
          </w:tcPr>
          <w:p w:rsidR="006F53B7" w:rsidRPr="00A77060" w:rsidRDefault="006F53B7" w:rsidP="004D2946">
            <w:pPr>
              <w:tabs>
                <w:tab w:val="left" w:pos="720"/>
              </w:tabs>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Национальный орган по неподкупности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ЦПО</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Центральный публичный орган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МПО</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Местный публичный орган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АПС</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Агентство публичной собственности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БГСС</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Бюджет государственного социального страхования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МБ</w:t>
            </w:r>
          </w:p>
        </w:tc>
        <w:tc>
          <w:tcPr>
            <w:tcW w:w="7229" w:type="dxa"/>
          </w:tcPr>
          <w:p w:rsidR="006F53B7" w:rsidRPr="00A77060" w:rsidRDefault="006F53B7" w:rsidP="004D2946">
            <w:pPr>
              <w:tabs>
                <w:tab w:val="left" w:pos="720"/>
              </w:tabs>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Местный бюджет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НБМ</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Национальный банк Молдовы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НПБ</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Национальный публичный бюджет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bCs w:val="0"/>
                <w:sz w:val="20"/>
                <w:szCs w:val="20"/>
                <w:lang w:val="ru-RU"/>
              </w:rPr>
            </w:pPr>
            <w:r w:rsidRPr="00A77060">
              <w:rPr>
                <w:rFonts w:ascii="Calibri Light" w:eastAsia="Times New Roman" w:hAnsi="Calibri Light" w:cs="Times New Roman"/>
                <w:bCs w:val="0"/>
                <w:sz w:val="20"/>
                <w:szCs w:val="20"/>
                <w:lang w:val="ru-RU"/>
              </w:rPr>
              <w:t>НБС</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Национальное бюро статистики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БАТЕ </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Бюджет административно-территориальных единиц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ГБ</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Государственный бюджет</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ССПБ</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Среднесрочный прогноз бюджета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ЦИК</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Центральная избирательная комиссия </w:t>
            </w:r>
          </w:p>
        </w:tc>
      </w:tr>
      <w:tr w:rsidR="006F53B7" w:rsidRPr="007071A4"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ЕСПЧ</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sz w:val="20"/>
                <w:szCs w:val="20"/>
                <w:lang w:val="ru-RU"/>
              </w:rPr>
              <w:t>Европейск</w:t>
            </w:r>
            <w:r>
              <w:rPr>
                <w:rFonts w:ascii="Calibri Light" w:eastAsia="Times New Roman" w:hAnsi="Calibri Light" w:cs="Times New Roman"/>
                <w:sz w:val="20"/>
                <w:szCs w:val="20"/>
                <w:lang w:val="ru-RU"/>
              </w:rPr>
              <w:t>ий</w:t>
            </w:r>
            <w:r w:rsidRPr="00A77060">
              <w:rPr>
                <w:rFonts w:ascii="Calibri Light" w:eastAsia="Times New Roman" w:hAnsi="Calibri Light" w:cs="Times New Roman"/>
                <w:sz w:val="20"/>
                <w:szCs w:val="20"/>
                <w:lang w:val="ru-RU"/>
              </w:rPr>
              <w:t xml:space="preserve"> суд по правам человека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ВУК</w:t>
            </w:r>
          </w:p>
        </w:tc>
        <w:tc>
          <w:tcPr>
            <w:tcW w:w="7229" w:type="dxa"/>
          </w:tcPr>
          <w:p w:rsidR="006F53B7" w:rsidRPr="00A77060" w:rsidRDefault="006F53B7" w:rsidP="004D2946">
            <w:pPr>
              <w:tabs>
                <w:tab w:val="left" w:pos="720"/>
              </w:tabs>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Внутренний управленческий контроль </w:t>
            </w:r>
          </w:p>
        </w:tc>
      </w:tr>
      <w:tr w:rsidR="006F53B7" w:rsidRPr="007071A4"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НЦБК </w:t>
            </w:r>
          </w:p>
        </w:tc>
        <w:tc>
          <w:tcPr>
            <w:tcW w:w="7229" w:type="dxa"/>
          </w:tcPr>
          <w:p w:rsidR="006F53B7" w:rsidRPr="00A77060" w:rsidRDefault="006F53B7" w:rsidP="004D2946">
            <w:pPr>
              <w:tabs>
                <w:tab w:val="left" w:pos="720"/>
              </w:tabs>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Национальный центр по борьбе с коррупцией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НКСС </w:t>
            </w:r>
          </w:p>
        </w:tc>
        <w:tc>
          <w:tcPr>
            <w:tcW w:w="7229" w:type="dxa"/>
          </w:tcPr>
          <w:p w:rsidR="006F53B7" w:rsidRPr="00A77060" w:rsidRDefault="006F53B7" w:rsidP="004D2946">
            <w:pPr>
              <w:tabs>
                <w:tab w:val="left" w:pos="720"/>
              </w:tabs>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sz w:val="20"/>
                <w:szCs w:val="20"/>
                <w:lang w:val="ru-RU"/>
              </w:rPr>
            </w:pPr>
            <w:r w:rsidRPr="00A77060">
              <w:rPr>
                <w:rFonts w:ascii="Calibri Light" w:eastAsia="Times New Roman" w:hAnsi="Calibri Light" w:cs="Times New Roman"/>
                <w:bCs/>
                <w:sz w:val="20"/>
                <w:szCs w:val="20"/>
                <w:lang w:val="ru-RU"/>
              </w:rPr>
              <w:t xml:space="preserve">Национальная касса социального страхования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Код ЭКО </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Экономический код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ЕКС </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Единый казначейский счет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ФОМС </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Фонды обязательного медицинского страхования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ФСИМ </w:t>
            </w:r>
          </w:p>
        </w:tc>
        <w:tc>
          <w:tcPr>
            <w:tcW w:w="7229" w:type="dxa"/>
          </w:tcPr>
          <w:p w:rsidR="006F53B7" w:rsidRPr="00A77060" w:rsidRDefault="006F53B7" w:rsidP="004D2946">
            <w:pPr>
              <w:tabs>
                <w:tab w:val="left" w:pos="720"/>
              </w:tabs>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Фонд социальных инвестиций Молдовы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ПП</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Постановление Правительства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ПСП </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Постановление Счетной палаты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ПУ</w:t>
            </w:r>
          </w:p>
        </w:tc>
        <w:tc>
          <w:tcPr>
            <w:tcW w:w="7229" w:type="dxa"/>
          </w:tcPr>
          <w:p w:rsidR="006F53B7" w:rsidRPr="00A77060" w:rsidRDefault="006F53B7" w:rsidP="004D2946">
            <w:pPr>
              <w:tabs>
                <w:tab w:val="left" w:pos="720"/>
              </w:tabs>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Публичное учреждение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ГП</w:t>
            </w:r>
          </w:p>
        </w:tc>
        <w:tc>
          <w:tcPr>
            <w:tcW w:w="7229" w:type="dxa"/>
          </w:tcPr>
          <w:p w:rsidR="006F53B7" w:rsidRPr="00A77060" w:rsidRDefault="006F53B7" w:rsidP="004D2946">
            <w:pPr>
              <w:tabs>
                <w:tab w:val="left" w:pos="720"/>
              </w:tabs>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Государственное предприятие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МО</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Министерство обороны </w:t>
            </w:r>
          </w:p>
        </w:tc>
      </w:tr>
      <w:tr w:rsidR="006F53B7" w:rsidRPr="007071A4"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МИДЕИ</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Министерство иностранных дел и европейской интеграции </w:t>
            </w:r>
          </w:p>
        </w:tc>
      </w:tr>
      <w:tr w:rsidR="006F53B7" w:rsidRPr="007071A4"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МСХРРОС </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Министерство сельского хозяйства, регионального развития и окружающей среды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МВД</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Министерство внутренних дел  </w:t>
            </w:r>
          </w:p>
        </w:tc>
      </w:tr>
      <w:tr w:rsidR="006F53B7" w:rsidRPr="007071A4"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МОКИ </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Министерство образования, культуры и исследований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МЭИ </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Министерство экономики и инфраструктуры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МФ</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Министерство финансов</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МЮ</w:t>
            </w:r>
          </w:p>
        </w:tc>
        <w:tc>
          <w:tcPr>
            <w:tcW w:w="7229" w:type="dxa"/>
          </w:tcPr>
          <w:p w:rsidR="006F53B7" w:rsidRPr="00A77060" w:rsidRDefault="006F53B7" w:rsidP="004D2946">
            <w:pPr>
              <w:tabs>
                <w:tab w:val="left" w:pos="720"/>
              </w:tabs>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Министерство юстиции </w:t>
            </w:r>
          </w:p>
        </w:tc>
      </w:tr>
      <w:tr w:rsidR="006F53B7" w:rsidRPr="007071A4"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lastRenderedPageBreak/>
              <w:t xml:space="preserve">МЗТСЗ </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Министерство здравоохранения, труда и социальной защиты </w:t>
            </w:r>
          </w:p>
        </w:tc>
      </w:tr>
      <w:tr w:rsidR="006F53B7" w:rsidRPr="007071A4"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ОРМСП </w:t>
            </w:r>
          </w:p>
        </w:tc>
        <w:tc>
          <w:tcPr>
            <w:tcW w:w="7229" w:type="dxa"/>
          </w:tcPr>
          <w:p w:rsidR="006F53B7" w:rsidRPr="00A77060" w:rsidRDefault="006F53B7" w:rsidP="004D2946">
            <w:pPr>
              <w:tabs>
                <w:tab w:val="left" w:pos="720"/>
              </w:tabs>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hAnsi="Calibri Light" w:cstheme="majorHAnsi"/>
                <w:sz w:val="20"/>
                <w:szCs w:val="20"/>
                <w:lang w:val="ru-RU"/>
              </w:rPr>
              <w:t xml:space="preserve">Организация по развитию сектора малых и средних предприятий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ВВП</w:t>
            </w:r>
          </w:p>
        </w:tc>
        <w:tc>
          <w:tcPr>
            <w:tcW w:w="7229" w:type="dxa"/>
          </w:tcPr>
          <w:p w:rsidR="006F53B7" w:rsidRPr="00A77060" w:rsidRDefault="006F53B7" w:rsidP="004D2946">
            <w:pPr>
              <w:tabs>
                <w:tab w:val="left" w:pos="720"/>
              </w:tabs>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Валовой внутренний продукт </w:t>
            </w:r>
          </w:p>
        </w:tc>
      </w:tr>
      <w:tr w:rsidR="006F53B7" w:rsidRPr="007071A4"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ПОНР </w:t>
            </w:r>
          </w:p>
        </w:tc>
        <w:tc>
          <w:tcPr>
            <w:tcW w:w="7229" w:type="dxa"/>
          </w:tcPr>
          <w:p w:rsidR="006F53B7" w:rsidRPr="00A77060" w:rsidRDefault="006F53B7" w:rsidP="004D2946">
            <w:pPr>
              <w:tabs>
                <w:tab w:val="left" w:pos="720"/>
              </w:tabs>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Проект Объединенных Наций по развитию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РМ</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Республика Молдова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АО</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Акционерное общество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СВА</w:t>
            </w:r>
          </w:p>
        </w:tc>
        <w:tc>
          <w:tcPr>
            <w:tcW w:w="7229" w:type="dxa"/>
          </w:tcPr>
          <w:p w:rsidR="006F53B7" w:rsidRPr="00A77060" w:rsidRDefault="006F53B7" w:rsidP="004D2946">
            <w:pPr>
              <w:tabs>
                <w:tab w:val="left" w:pos="720"/>
              </w:tabs>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Служба внутреннего аудита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ИС</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Информационная система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СИБ</w:t>
            </w:r>
          </w:p>
        </w:tc>
        <w:tc>
          <w:tcPr>
            <w:tcW w:w="7229" w:type="dxa"/>
          </w:tcPr>
          <w:p w:rsidR="006F53B7" w:rsidRPr="00A77060" w:rsidRDefault="006F53B7" w:rsidP="004D2946">
            <w:pPr>
              <w:tabs>
                <w:tab w:val="left" w:pos="720"/>
              </w:tabs>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Служба информации и безопасности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ГНС</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Государственная налоговая служба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ТС</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Таможенная служба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ООО</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Общество с ограниченной ответственностью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НДС </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Налог на добавленную стоимость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ИТ</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Информационные технологии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ТСН</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Трансферты специального назначения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ГК</w:t>
            </w:r>
          </w:p>
        </w:tc>
        <w:tc>
          <w:tcPr>
            <w:tcW w:w="7229" w:type="dxa"/>
          </w:tcPr>
          <w:p w:rsidR="006F53B7" w:rsidRPr="00A77060" w:rsidRDefault="006F53B7" w:rsidP="004D2946">
            <w:pPr>
              <w:tabs>
                <w:tab w:val="left" w:pos="720"/>
              </w:tabs>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Государственное казначейство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АТЕ </w:t>
            </w:r>
          </w:p>
        </w:tc>
        <w:tc>
          <w:tcPr>
            <w:tcW w:w="7229" w:type="dxa"/>
          </w:tcPr>
          <w:p w:rsidR="006F53B7" w:rsidRPr="00A77060" w:rsidRDefault="006F53B7" w:rsidP="004D2946">
            <w:pPr>
              <w:tabs>
                <w:tab w:val="left" w:pos="720"/>
              </w:tabs>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Административно-территориальные единицы </w:t>
            </w:r>
          </w:p>
        </w:tc>
      </w:tr>
      <w:tr w:rsidR="006F53B7" w:rsidRPr="00A77060" w:rsidTr="004D2946">
        <w:trPr>
          <w:jc w:val="center"/>
        </w:trPr>
        <w:tc>
          <w:tcPr>
            <w:cnfStyle w:val="001000000000" w:firstRow="0" w:lastRow="0" w:firstColumn="1" w:lastColumn="0" w:oddVBand="0" w:evenVBand="0" w:oddHBand="0" w:evenHBand="0" w:firstRowFirstColumn="0" w:firstRowLastColumn="0" w:lastRowFirstColumn="0" w:lastRowLastColumn="0"/>
            <w:tcW w:w="1555" w:type="dxa"/>
          </w:tcPr>
          <w:p w:rsidR="006F53B7" w:rsidRPr="00A77060" w:rsidRDefault="006F53B7" w:rsidP="004D2946">
            <w:pPr>
              <w:tabs>
                <w:tab w:val="left" w:pos="720"/>
              </w:tabs>
              <w:jc w:val="center"/>
              <w:rPr>
                <w:rFonts w:ascii="Calibri Light" w:eastAsia="Times New Roman" w:hAnsi="Calibri Light" w:cs="Times New Roman"/>
                <w:sz w:val="20"/>
                <w:szCs w:val="20"/>
                <w:lang w:val="ru-RU"/>
              </w:rPr>
            </w:pPr>
            <w:r w:rsidRPr="00A77060">
              <w:rPr>
                <w:rFonts w:ascii="Calibri Light" w:eastAsia="Times New Roman" w:hAnsi="Calibri Light" w:cs="Times New Roman"/>
                <w:sz w:val="20"/>
                <w:szCs w:val="20"/>
                <w:lang w:val="ru-RU"/>
              </w:rPr>
              <w:t xml:space="preserve">ГЦБ </w:t>
            </w:r>
          </w:p>
        </w:tc>
        <w:tc>
          <w:tcPr>
            <w:tcW w:w="7229" w:type="dxa"/>
          </w:tcPr>
          <w:p w:rsidR="006F53B7" w:rsidRPr="00A77060" w:rsidRDefault="006F53B7" w:rsidP="004D2946">
            <w:pPr>
              <w:tabs>
                <w:tab w:val="left" w:pos="720"/>
              </w:tabs>
              <w:jc w:val="lef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imes New Roman"/>
                <w:bCs/>
                <w:sz w:val="20"/>
                <w:szCs w:val="20"/>
                <w:lang w:val="ru-RU"/>
              </w:rPr>
            </w:pPr>
            <w:r w:rsidRPr="00A77060">
              <w:rPr>
                <w:rFonts w:ascii="Calibri Light" w:eastAsia="Times New Roman" w:hAnsi="Calibri Light" w:cs="Times New Roman"/>
                <w:bCs/>
                <w:sz w:val="20"/>
                <w:szCs w:val="20"/>
                <w:lang w:val="ru-RU"/>
              </w:rPr>
              <w:t xml:space="preserve">Государственные ценные бумаги </w:t>
            </w:r>
          </w:p>
        </w:tc>
      </w:tr>
    </w:tbl>
    <w:p w:rsidR="006F53B7" w:rsidRPr="00A77060" w:rsidRDefault="006F53B7" w:rsidP="004D2946">
      <w:pPr>
        <w:pStyle w:val="ListParagraph"/>
        <w:ind w:left="0"/>
        <w:jc w:val="left"/>
        <w:rPr>
          <w:rFonts w:ascii="Calibri Light" w:hAnsi="Calibri Light" w:cstheme="majorHAnsi"/>
          <w:b/>
          <w:sz w:val="24"/>
          <w:szCs w:val="24"/>
          <w:lang w:val="ru-RU"/>
        </w:rPr>
      </w:pPr>
    </w:p>
    <w:p w:rsidR="006F53B7" w:rsidRPr="00A77060" w:rsidRDefault="006F53B7" w:rsidP="004D2946">
      <w:pPr>
        <w:rPr>
          <w:rFonts w:ascii="Calibri Light" w:hAnsi="Calibri Light"/>
          <w:lang w:val="ru-RU"/>
        </w:rPr>
      </w:pPr>
    </w:p>
    <w:p w:rsidR="006F53B7" w:rsidRPr="00A77060" w:rsidRDefault="006F53B7" w:rsidP="004D2946">
      <w:pPr>
        <w:rPr>
          <w:lang w:val="ru-RU"/>
        </w:rPr>
      </w:pPr>
    </w:p>
    <w:p w:rsidR="00D9349D" w:rsidRDefault="00D9349D" w:rsidP="004D2946">
      <w:pPr>
        <w:spacing w:after="0" w:line="276" w:lineRule="auto"/>
        <w:rPr>
          <w:rFonts w:asciiTheme="majorHAnsi" w:eastAsia="Times New Roman" w:hAnsiTheme="majorHAnsi" w:cstheme="majorHAnsi"/>
          <w:sz w:val="24"/>
          <w:szCs w:val="24"/>
          <w:lang w:val="ro-RO"/>
        </w:rPr>
      </w:pPr>
      <w:r w:rsidRPr="00F55BA6">
        <w:rPr>
          <w:rFonts w:asciiTheme="majorHAnsi" w:eastAsia="Times New Roman" w:hAnsiTheme="majorHAnsi" w:cstheme="majorHAnsi"/>
          <w:sz w:val="24"/>
          <w:szCs w:val="24"/>
          <w:lang w:val="ro-RO"/>
        </w:rPr>
        <w:t xml:space="preserve"> </w:t>
      </w:r>
    </w:p>
    <w:p w:rsidR="004C67D5" w:rsidRDefault="004C67D5" w:rsidP="004D2946">
      <w:pPr>
        <w:spacing w:after="0" w:line="276" w:lineRule="auto"/>
        <w:rPr>
          <w:rFonts w:asciiTheme="majorHAnsi" w:eastAsia="Times New Roman" w:hAnsiTheme="majorHAnsi" w:cstheme="majorHAnsi"/>
          <w:sz w:val="24"/>
          <w:szCs w:val="24"/>
          <w:lang w:val="ro-RO"/>
        </w:rPr>
      </w:pPr>
    </w:p>
    <w:p w:rsidR="004C67D5" w:rsidRDefault="004C67D5" w:rsidP="004D2946">
      <w:pPr>
        <w:spacing w:after="0" w:line="276" w:lineRule="auto"/>
        <w:rPr>
          <w:rFonts w:asciiTheme="majorHAnsi" w:eastAsia="Times New Roman" w:hAnsiTheme="majorHAnsi" w:cstheme="majorHAnsi"/>
          <w:sz w:val="24"/>
          <w:szCs w:val="24"/>
          <w:lang w:val="ro-RO"/>
        </w:rPr>
      </w:pPr>
    </w:p>
    <w:sectPr w:rsidR="004C67D5" w:rsidSect="00EF78AC">
      <w:pgSz w:w="15840" w:h="12240" w:orient="landscape"/>
      <w:pgMar w:top="1440" w:right="1080" w:bottom="1440" w:left="108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C0D" w:rsidRDefault="00B81C0D" w:rsidP="00AC503D">
      <w:pPr>
        <w:spacing w:after="0" w:line="240" w:lineRule="auto"/>
      </w:pPr>
      <w:r>
        <w:separator/>
      </w:r>
    </w:p>
  </w:endnote>
  <w:endnote w:type="continuationSeparator" w:id="0">
    <w:p w:rsidR="00B81C0D" w:rsidRDefault="00B81C0D" w:rsidP="00AC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475075"/>
      <w:docPartObj>
        <w:docPartGallery w:val="Page Numbers (Bottom of Page)"/>
        <w:docPartUnique/>
      </w:docPartObj>
    </w:sdtPr>
    <w:sdtEndPr>
      <w:rPr>
        <w:noProof/>
      </w:rPr>
    </w:sdtEndPr>
    <w:sdtContent>
      <w:p w:rsidR="001A3EA6" w:rsidRDefault="001A3EA6">
        <w:pPr>
          <w:pStyle w:val="Footer"/>
          <w:jc w:val="right"/>
        </w:pPr>
        <w:r>
          <w:fldChar w:fldCharType="begin"/>
        </w:r>
        <w:r>
          <w:instrText xml:space="preserve"> PAGE   \* MERGEFORMAT </w:instrText>
        </w:r>
        <w:r>
          <w:fldChar w:fldCharType="separate"/>
        </w:r>
        <w:r w:rsidR="008501A5">
          <w:rPr>
            <w:noProof/>
          </w:rPr>
          <w:t>39</w:t>
        </w:r>
        <w:r>
          <w:rPr>
            <w:noProof/>
          </w:rPr>
          <w:fldChar w:fldCharType="end"/>
        </w:r>
      </w:p>
    </w:sdtContent>
  </w:sdt>
  <w:p w:rsidR="001A3EA6" w:rsidRDefault="001A3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459331"/>
      <w:docPartObj>
        <w:docPartGallery w:val="Page Numbers (Bottom of Page)"/>
        <w:docPartUnique/>
      </w:docPartObj>
    </w:sdtPr>
    <w:sdtEndPr>
      <w:rPr>
        <w:noProof/>
      </w:rPr>
    </w:sdtEndPr>
    <w:sdtContent>
      <w:p w:rsidR="001A3EA6" w:rsidRDefault="001A3EA6">
        <w:pPr>
          <w:pStyle w:val="Footer"/>
          <w:jc w:val="right"/>
        </w:pPr>
        <w:r>
          <w:fldChar w:fldCharType="begin"/>
        </w:r>
        <w:r>
          <w:instrText xml:space="preserve"> PAGE   \* MERGEFORMAT </w:instrText>
        </w:r>
        <w:r>
          <w:fldChar w:fldCharType="separate"/>
        </w:r>
        <w:r w:rsidR="008501A5">
          <w:rPr>
            <w:noProof/>
          </w:rPr>
          <w:t>47</w:t>
        </w:r>
        <w:r>
          <w:rPr>
            <w:noProof/>
          </w:rPr>
          <w:fldChar w:fldCharType="end"/>
        </w:r>
      </w:p>
    </w:sdtContent>
  </w:sdt>
  <w:p w:rsidR="001A3EA6" w:rsidRDefault="001A3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C0D" w:rsidRDefault="00B81C0D" w:rsidP="00AC503D">
      <w:pPr>
        <w:spacing w:after="0" w:line="240" w:lineRule="auto"/>
      </w:pPr>
      <w:r>
        <w:separator/>
      </w:r>
    </w:p>
  </w:footnote>
  <w:footnote w:type="continuationSeparator" w:id="0">
    <w:p w:rsidR="00B81C0D" w:rsidRDefault="00B81C0D" w:rsidP="00AC503D">
      <w:pPr>
        <w:spacing w:after="0" w:line="240" w:lineRule="auto"/>
      </w:pPr>
      <w:r>
        <w:continuationSeparator/>
      </w:r>
    </w:p>
  </w:footnote>
  <w:footnote w:id="1">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Содержание и полное название форм представлены в Приложении №1 к настоящему Отчету аудита и опубликованы на официальном сайте Министерства финансов.</w:t>
      </w:r>
    </w:p>
  </w:footnote>
  <w:footnote w:id="2">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Ст.31 Закона </w:t>
      </w:r>
      <w:r w:rsidRPr="0052195D">
        <w:rPr>
          <w:rFonts w:asciiTheme="majorHAnsi" w:hAnsiTheme="majorHAnsi" w:cstheme="majorHAnsi"/>
          <w:bCs/>
          <w:lang w:val="ru-MD"/>
        </w:rPr>
        <w:t>о публичных финансах и бюджетно-налоговой ответственности</w:t>
      </w:r>
      <w:r w:rsidRPr="0052195D">
        <w:rPr>
          <w:rFonts w:asciiTheme="majorHAnsi" w:hAnsiTheme="majorHAnsi" w:cstheme="majorHAnsi"/>
          <w:b/>
          <w:bCs/>
          <w:lang w:val="ru-MD"/>
        </w:rPr>
        <w:t xml:space="preserve"> </w:t>
      </w:r>
      <w:r w:rsidRPr="0052195D">
        <w:rPr>
          <w:rFonts w:asciiTheme="majorHAnsi" w:hAnsiTheme="majorHAnsi" w:cstheme="majorHAnsi"/>
          <w:lang w:val="ru-MD"/>
        </w:rPr>
        <w:t>№181 от 25.07.2014.</w:t>
      </w:r>
    </w:p>
  </w:footnote>
  <w:footnote w:id="3">
    <w:p w:rsidR="001A3EA6" w:rsidRPr="0052195D" w:rsidRDefault="001A3EA6" w:rsidP="0052195D">
      <w:pPr>
        <w:pStyle w:val="FootnoteText"/>
        <w:jc w:val="both"/>
        <w:rPr>
          <w:rFonts w:asciiTheme="majorHAnsi" w:eastAsia="Times New Roman"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Постановление Счетной палаты №2 от 24.01.2020 „О Системе профессиональных деклараций INTOSAI”</w:t>
      </w:r>
      <w:r w:rsidRPr="0052195D">
        <w:rPr>
          <w:rFonts w:asciiTheme="majorHAnsi" w:eastAsia="Times New Roman" w:hAnsiTheme="majorHAnsi" w:cstheme="majorHAnsi"/>
          <w:lang w:val="ru-MD"/>
        </w:rPr>
        <w:t xml:space="preserve">.  </w:t>
      </w:r>
    </w:p>
  </w:footnote>
  <w:footnote w:id="4">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Согласно </w:t>
      </w:r>
      <w:proofErr w:type="gramStart"/>
      <w:r w:rsidRPr="0052195D">
        <w:rPr>
          <w:rFonts w:asciiTheme="majorHAnsi" w:hAnsiTheme="majorHAnsi" w:cstheme="majorHAnsi"/>
          <w:lang w:val="ru-MD"/>
        </w:rPr>
        <w:t>Приказу</w:t>
      </w:r>
      <w:proofErr w:type="gramEnd"/>
      <w:r w:rsidRPr="0052195D">
        <w:rPr>
          <w:rFonts w:asciiTheme="majorHAnsi" w:hAnsiTheme="majorHAnsi" w:cstheme="majorHAnsi"/>
          <w:lang w:val="ru-MD"/>
        </w:rPr>
        <w:t xml:space="preserve"> МФ №208 от 24.12.2015 „О бюджетной классификации”, в каждом бюджете-компоненте НПБ содержится Org2 „Общие действия”, подчиненный Org1 „Общие действия” – в случае ГБ, или Org1 – в случае местных бюджетов, БГСС и ФОМС, в котором отражаются общие ресурсы и общие расходы, которые не могут быть отнесены к конкретным бюджетным органам/учреждениям.</w:t>
      </w:r>
    </w:p>
  </w:footnote>
  <w:footnote w:id="5">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ПП №1145 от 20.12.2017 „</w:t>
      </w:r>
      <w:r w:rsidRPr="0052195D">
        <w:rPr>
          <w:rFonts w:asciiTheme="majorHAnsi" w:hAnsiTheme="majorHAnsi" w:cstheme="majorHAnsi"/>
          <w:bCs/>
          <w:lang w:val="ru-MD"/>
        </w:rPr>
        <w:t>Об утверждении Положения о субсидировании создания рабочих мест</w:t>
      </w:r>
      <w:r w:rsidRPr="0052195D">
        <w:rPr>
          <w:rFonts w:asciiTheme="majorHAnsi" w:hAnsiTheme="majorHAnsi" w:cstheme="majorHAnsi"/>
          <w:lang w:val="ru-MD"/>
        </w:rPr>
        <w:t>” (далее – ПП №1145 от 20.12.2017).</w:t>
      </w:r>
    </w:p>
  </w:footnote>
  <w:footnote w:id="6">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Субсидии, предоставленные для создания рабочих мест; ПП №1145 от 20.12.2017; Договор №1 от 31.12.2019 (2 транш), Платежное поручение №689375 от 29.12.2020.</w:t>
      </w:r>
    </w:p>
  </w:footnote>
  <w:footnote w:id="7">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Эти средства поступили из 2 транша согласно договору, заключенному в 2019 году (31.12.2019 был выплачен первый транш в размере 21,2 млн. леев).</w:t>
      </w:r>
    </w:p>
  </w:footnote>
  <w:footnote w:id="8">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Письмо ГНС №26-05/2-10/575/75982 от 23.12.2020.</w:t>
      </w:r>
    </w:p>
  </w:footnote>
  <w:footnote w:id="9">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ПП №940 от 22.12.2020 „О внесении изменений в некоторые Постановления Правительства”.</w:t>
      </w:r>
    </w:p>
  </w:footnote>
  <w:footnote w:id="10">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Приказ МФ №58 от 29.04.2020 „</w:t>
      </w:r>
      <w:r w:rsidRPr="0052195D">
        <w:rPr>
          <w:rFonts w:asciiTheme="majorHAnsi" w:hAnsiTheme="majorHAnsi" w:cstheme="majorHAnsi"/>
          <w:bCs/>
          <w:lang w:val="ru-MD"/>
        </w:rPr>
        <w:t xml:space="preserve">Об утверждении Положения о субсидировании предприятий </w:t>
      </w:r>
      <w:proofErr w:type="gramStart"/>
      <w:r w:rsidRPr="0052195D">
        <w:rPr>
          <w:rFonts w:asciiTheme="majorHAnsi" w:hAnsiTheme="majorHAnsi" w:cstheme="majorHAnsi"/>
          <w:bCs/>
          <w:lang w:val="ru-MD"/>
        </w:rPr>
        <w:t>и  некоммерческих</w:t>
      </w:r>
      <w:proofErr w:type="gramEnd"/>
      <w:r w:rsidRPr="0052195D">
        <w:rPr>
          <w:rFonts w:asciiTheme="majorHAnsi" w:hAnsiTheme="majorHAnsi" w:cstheme="majorHAnsi"/>
          <w:bCs/>
          <w:lang w:val="ru-MD"/>
        </w:rPr>
        <w:t xml:space="preserve"> организаций  – резидентов Республики Молдова,  которые  установили технический простой и/или простой вследствие эпидемиологической ситуации (COVID-19)</w:t>
      </w:r>
      <w:r w:rsidRPr="0052195D">
        <w:rPr>
          <w:rFonts w:asciiTheme="majorHAnsi" w:hAnsiTheme="majorHAnsi" w:cstheme="majorHAnsi"/>
          <w:lang w:val="ru-MD"/>
        </w:rPr>
        <w:t>”.</w:t>
      </w:r>
    </w:p>
  </w:footnote>
  <w:footnote w:id="11">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В соответствии с Распоряжением №16/2020 Комиссии по чрезвычайным ситуациям и Законом №69/2020 об учреждении некоторых мер на период чрезвычайного положения в области общественного здоровья и внесении изменений в некоторые нормативные акты, а также о субсидировании процентов, согласно Закону №60/2020 </w:t>
      </w:r>
      <w:r w:rsidRPr="0052195D">
        <w:rPr>
          <w:rFonts w:asciiTheme="majorHAnsi" w:hAnsiTheme="majorHAnsi" w:cstheme="majorHAnsi"/>
          <w:bCs/>
          <w:lang w:val="ru-MD"/>
        </w:rPr>
        <w:t>об учреждении некоторых мер поддержки предпринимательской деятельности и о внесении изменений в некоторые нормативные акты</w:t>
      </w:r>
      <w:r w:rsidRPr="0052195D">
        <w:rPr>
          <w:rFonts w:asciiTheme="majorHAnsi" w:hAnsiTheme="majorHAnsi" w:cstheme="majorHAnsi"/>
          <w:lang w:val="ru-MD"/>
        </w:rPr>
        <w:t>, в соответствии со ст.3 f) Закона о ГБ на 2020 год.</w:t>
      </w:r>
    </w:p>
  </w:footnote>
  <w:footnote w:id="12">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Приказ МФ №66 от 20.05.2020 „Об утверждении Положения о субсидировании процентных ставок по банковским кредитам по договорам, заключенным в период с 1 мая 2020 года по 31 декабря 2020 года”.</w:t>
      </w:r>
    </w:p>
  </w:footnote>
  <w:footnote w:id="13">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Приказ МФ №58 от 29.04.2020 „</w:t>
      </w:r>
      <w:r>
        <w:rPr>
          <w:rFonts w:asciiTheme="majorHAnsi" w:hAnsiTheme="majorHAnsi" w:cstheme="majorHAnsi"/>
          <w:bCs/>
          <w:lang w:val="ru-MD"/>
        </w:rPr>
        <w:t>О</w:t>
      </w:r>
      <w:r w:rsidRPr="0052195D">
        <w:rPr>
          <w:rFonts w:asciiTheme="majorHAnsi" w:hAnsiTheme="majorHAnsi" w:cstheme="majorHAnsi"/>
          <w:bCs/>
          <w:lang w:val="ru-MD"/>
        </w:rPr>
        <w:t xml:space="preserve">б утверждении Положения о субсидировании предприятий </w:t>
      </w:r>
      <w:proofErr w:type="gramStart"/>
      <w:r w:rsidRPr="0052195D">
        <w:rPr>
          <w:rFonts w:asciiTheme="majorHAnsi" w:hAnsiTheme="majorHAnsi" w:cstheme="majorHAnsi"/>
          <w:bCs/>
          <w:lang w:val="ru-MD"/>
        </w:rPr>
        <w:t>и  некоммерческих</w:t>
      </w:r>
      <w:proofErr w:type="gramEnd"/>
      <w:r w:rsidRPr="0052195D">
        <w:rPr>
          <w:rFonts w:asciiTheme="majorHAnsi" w:hAnsiTheme="majorHAnsi" w:cstheme="majorHAnsi"/>
          <w:bCs/>
          <w:lang w:val="ru-MD"/>
        </w:rPr>
        <w:t xml:space="preserve"> организаций  – резидентов Республики Молдова,  которые  установили технический простой и/или простой вследствие эпидемиологической ситуации (COVID-19)</w:t>
      </w:r>
      <w:r w:rsidRPr="0052195D">
        <w:rPr>
          <w:rFonts w:asciiTheme="majorHAnsi" w:hAnsiTheme="majorHAnsi" w:cstheme="majorHAnsi"/>
          <w:lang w:val="ru-MD"/>
        </w:rPr>
        <w:t>”.</w:t>
      </w:r>
    </w:p>
  </w:footnote>
  <w:footnote w:id="14">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w:t>
      </w:r>
      <w:r w:rsidRPr="0052195D">
        <w:rPr>
          <w:rFonts w:asciiTheme="majorHAnsi" w:eastAsia="Times New Roman" w:hAnsiTheme="majorHAnsi" w:cstheme="majorHAnsi"/>
          <w:color w:val="000000"/>
          <w:lang w:val="ru-MD" w:eastAsia="ro-RO" w:bidi="ro-RO"/>
        </w:rPr>
        <w:t xml:space="preserve">Приказ МФ №86 от 13.07.2020 </w:t>
      </w:r>
      <w:r w:rsidRPr="0052195D">
        <w:rPr>
          <w:rFonts w:asciiTheme="majorHAnsi" w:eastAsia="Times New Roman" w:hAnsiTheme="majorHAnsi" w:cstheme="majorHAnsi"/>
          <w:iCs/>
          <w:color w:val="000000"/>
          <w:lang w:val="ru-MD" w:eastAsia="ro-RO" w:bidi="ro-RO"/>
        </w:rPr>
        <w:t xml:space="preserve">„Об утверждении Положения о субсидировании сумм взносов обязательного государственного социального страхования в фиксированной сумме для физических лиц, указанных в позициях 1.7 </w:t>
      </w:r>
      <w:proofErr w:type="gramStart"/>
      <w:r w:rsidRPr="0052195D">
        <w:rPr>
          <w:rFonts w:asciiTheme="majorHAnsi" w:eastAsia="Times New Roman" w:hAnsiTheme="majorHAnsi" w:cstheme="majorHAnsi"/>
          <w:iCs/>
          <w:color w:val="000000"/>
          <w:lang w:val="ru-MD" w:eastAsia="ro-RO" w:bidi="ro-RO"/>
        </w:rPr>
        <w:t>и  1.8</w:t>
      </w:r>
      <w:proofErr w:type="gramEnd"/>
      <w:r w:rsidRPr="0052195D">
        <w:rPr>
          <w:rFonts w:asciiTheme="majorHAnsi" w:eastAsia="Times New Roman" w:hAnsiTheme="majorHAnsi" w:cstheme="majorHAnsi"/>
          <w:iCs/>
          <w:color w:val="000000"/>
          <w:lang w:val="ru-MD" w:eastAsia="ro-RO" w:bidi="ro-RO"/>
        </w:rPr>
        <w:t xml:space="preserve"> приложения 1 к Закону №489/1999 о государственной системе социального страхования, за период приостановления деятельности в соответствии с постановлениями Национальной чрезвычайной комиссии общественного здоровья и/или распоряжениями Комиссии по чрезвычайным ситуациям РМ”.</w:t>
      </w:r>
    </w:p>
  </w:footnote>
  <w:footnote w:id="15">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Приказ МФ №8 от 15.01.2020 „Об изменении Методологических норм кассового исполнения бюджетов, составляющих национальный публичный бюджет, и внебюджетных средств через казначейскую систему Министерства финансов”.</w:t>
      </w:r>
    </w:p>
  </w:footnote>
  <w:footnote w:id="16">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Постановление Счетной палаты №23 от 10.06.2021 „По Отчету аудита </w:t>
      </w:r>
      <w:r w:rsidRPr="0052195D">
        <w:rPr>
          <w:rFonts w:asciiTheme="majorHAnsi" w:hAnsiTheme="majorHAnsi" w:cstheme="majorHAnsi"/>
          <w:bCs/>
          <w:lang w:val="ru-MD"/>
        </w:rPr>
        <w:t>консолидированной</w:t>
      </w:r>
      <w:r w:rsidRPr="0052195D">
        <w:rPr>
          <w:rFonts w:asciiTheme="majorHAnsi" w:hAnsiTheme="majorHAnsi" w:cstheme="majorHAnsi"/>
          <w:lang w:val="ru-MD"/>
        </w:rPr>
        <w:t xml:space="preserve"> финансовой отчетности Министерства финансов по состоянию на 31 декабря 2020 года”.</w:t>
      </w:r>
    </w:p>
  </w:footnote>
  <w:footnote w:id="17">
    <w:p w:rsidR="001A3EA6" w:rsidRPr="0052195D" w:rsidRDefault="001A3EA6" w:rsidP="0052195D">
      <w:pPr>
        <w:pStyle w:val="Heading4"/>
        <w:shd w:val="clear" w:color="auto" w:fill="FFFFFF"/>
        <w:spacing w:before="0" w:line="240" w:lineRule="auto"/>
        <w:jc w:val="both"/>
        <w:rPr>
          <w:rFonts w:cstheme="majorHAnsi"/>
          <w:color w:val="000000" w:themeColor="text1"/>
          <w:sz w:val="20"/>
          <w:szCs w:val="20"/>
          <w:lang w:val="ru-MD"/>
        </w:rPr>
      </w:pPr>
      <w:r w:rsidRPr="0052195D">
        <w:rPr>
          <w:rStyle w:val="FootnoteReference"/>
          <w:rFonts w:cstheme="majorHAnsi"/>
          <w:i w:val="0"/>
          <w:color w:val="000000" w:themeColor="text1"/>
          <w:sz w:val="20"/>
          <w:szCs w:val="20"/>
          <w:lang w:val="ru-MD"/>
        </w:rPr>
        <w:footnoteRef/>
      </w:r>
      <w:r w:rsidRPr="0052195D">
        <w:rPr>
          <w:rFonts w:cstheme="majorHAnsi"/>
          <w:i w:val="0"/>
          <w:color w:val="000000" w:themeColor="text1"/>
          <w:sz w:val="20"/>
          <w:szCs w:val="20"/>
          <w:lang w:val="ru-MD"/>
        </w:rPr>
        <w:t xml:space="preserve"> Приказ министра финансов №76 от 16.06.2020 „</w:t>
      </w:r>
      <w:r>
        <w:rPr>
          <w:rFonts w:cstheme="majorHAnsi"/>
          <w:bCs/>
          <w:i w:val="0"/>
          <w:color w:val="000000" w:themeColor="text1"/>
          <w:sz w:val="20"/>
          <w:szCs w:val="20"/>
          <w:lang w:val="ru-MD"/>
        </w:rPr>
        <w:t>О</w:t>
      </w:r>
      <w:r w:rsidRPr="0052195D">
        <w:rPr>
          <w:rFonts w:cstheme="majorHAnsi"/>
          <w:bCs/>
          <w:i w:val="0"/>
          <w:color w:val="000000" w:themeColor="text1"/>
          <w:sz w:val="20"/>
          <w:szCs w:val="20"/>
          <w:lang w:val="ru-MD"/>
        </w:rPr>
        <w:t>б утверждении Положения о возмещении НДС предприятиям - плательщикам НДС, которые зарегистрировали суммы НДС, подлежащие вычету в последующем периоде</w:t>
      </w:r>
      <w:r w:rsidRPr="0052195D">
        <w:rPr>
          <w:rFonts w:eastAsia="Times New Roman" w:cstheme="majorHAnsi"/>
          <w:bCs/>
          <w:i w:val="0"/>
          <w:iCs w:val="0"/>
          <w:color w:val="000000" w:themeColor="text1"/>
          <w:sz w:val="20"/>
          <w:szCs w:val="20"/>
          <w:lang w:val="ru-MD" w:eastAsia="ro-RO"/>
        </w:rPr>
        <w:t>”.</w:t>
      </w:r>
      <w:r w:rsidRPr="0052195D">
        <w:rPr>
          <w:rFonts w:eastAsia="Times New Roman" w:cstheme="majorHAnsi"/>
          <w:b/>
          <w:bCs/>
          <w:i w:val="0"/>
          <w:iCs w:val="0"/>
          <w:color w:val="000000" w:themeColor="text1"/>
          <w:sz w:val="20"/>
          <w:szCs w:val="20"/>
          <w:lang w:val="ru-MD" w:eastAsia="ro-RO"/>
        </w:rPr>
        <w:t xml:space="preserve"> </w:t>
      </w:r>
    </w:p>
  </w:footnote>
  <w:footnote w:id="18">
    <w:p w:rsidR="001A3EA6" w:rsidRPr="0052195D" w:rsidRDefault="001A3EA6" w:rsidP="0052195D">
      <w:pPr>
        <w:tabs>
          <w:tab w:val="left" w:pos="4662"/>
        </w:tabs>
        <w:spacing w:after="0"/>
        <w:rPr>
          <w:rFonts w:asciiTheme="majorHAnsi" w:hAnsiTheme="majorHAnsi" w:cstheme="majorHAnsi"/>
          <w:color w:val="000000" w:themeColor="text1"/>
          <w:sz w:val="20"/>
          <w:szCs w:val="20"/>
          <w:lang w:val="ru-MD"/>
        </w:rPr>
      </w:pPr>
      <w:r w:rsidRPr="0052195D">
        <w:rPr>
          <w:rStyle w:val="FootnoteReference"/>
          <w:rFonts w:asciiTheme="majorHAnsi" w:hAnsiTheme="majorHAnsi" w:cstheme="majorHAnsi"/>
          <w:color w:val="000000" w:themeColor="text1"/>
          <w:sz w:val="20"/>
          <w:szCs w:val="20"/>
          <w:lang w:val="ru-MD"/>
        </w:rPr>
        <w:footnoteRef/>
      </w:r>
      <w:r w:rsidRPr="0052195D">
        <w:rPr>
          <w:rFonts w:asciiTheme="majorHAnsi" w:hAnsiTheme="majorHAnsi" w:cstheme="majorHAnsi"/>
          <w:color w:val="000000" w:themeColor="text1"/>
          <w:sz w:val="20"/>
          <w:szCs w:val="20"/>
          <w:lang w:val="ru-MD"/>
        </w:rPr>
        <w:t xml:space="preserve"> Информация ГНС №</w:t>
      </w:r>
      <w:r w:rsidRPr="0052195D">
        <w:rPr>
          <w:rFonts w:asciiTheme="majorHAnsi" w:hAnsiTheme="majorHAnsi" w:cstheme="majorHAnsi"/>
          <w:color w:val="000000" w:themeColor="text1"/>
          <w:sz w:val="20"/>
          <w:szCs w:val="20"/>
          <w:lang w:val="ru-MD" w:eastAsia="ro-RO" w:bidi="ro-RO"/>
        </w:rPr>
        <w:t>26-07/2-13</w:t>
      </w:r>
      <w:r w:rsidRPr="0052195D">
        <w:rPr>
          <w:rFonts w:asciiTheme="majorHAnsi" w:hAnsiTheme="majorHAnsi" w:cstheme="majorHAnsi"/>
          <w:b/>
          <w:color w:val="000000" w:themeColor="text1"/>
          <w:sz w:val="20"/>
          <w:szCs w:val="20"/>
          <w:lang w:val="ru-MD" w:eastAsia="ro-RO" w:bidi="ro-RO"/>
        </w:rPr>
        <w:t xml:space="preserve">- </w:t>
      </w:r>
      <w:r w:rsidRPr="0052195D">
        <w:rPr>
          <w:rStyle w:val="Bodytext2995pt"/>
          <w:rFonts w:asciiTheme="majorHAnsi" w:eastAsiaTheme="minorHAnsi" w:hAnsiTheme="majorHAnsi" w:cstheme="majorHAnsi"/>
          <w:b w:val="0"/>
          <w:color w:val="000000" w:themeColor="text1"/>
          <w:sz w:val="20"/>
          <w:szCs w:val="20"/>
          <w:lang w:val="ru-MD"/>
        </w:rPr>
        <w:t>J/18 от 11.05.2021.</w:t>
      </w:r>
    </w:p>
  </w:footnote>
  <w:footnote w:id="19">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Закон о государственном внутреннем финансовом контроле №229 от 23.09.2010.</w:t>
      </w:r>
    </w:p>
  </w:footnote>
  <w:footnote w:id="20">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П.3.9.1 Методологических норм кассового исполнения бюджетов, составляющих национальный публичный бюджет, через казначейскую систему Министерства финансов, утвержденных Приказом министра финансов №215 от 28.12.2015: </w:t>
      </w:r>
      <w:r w:rsidRPr="0052195D">
        <w:rPr>
          <w:rFonts w:asciiTheme="majorHAnsi" w:hAnsiTheme="majorHAnsi" w:cstheme="majorHAnsi"/>
          <w:i/>
          <w:lang w:val="ru-MD"/>
        </w:rPr>
        <w:t>„С целью обеспечения точности составления ежемесячных отчетов об исполнении государственного бюджета, управление Государственного казначейства и региональные казначейства Министерства финансов предоставляют администратору доходов, 10-го числа каждого месяца, следующего за отчетным периодом, в электронной форме, сканированным, Реестр доходов государственного бюджета (Форма FI-006), заверенный подписью и печатью уполномоченных лиц. Данный Реестр ведется нарастающим итогом с начала года”.</w:t>
      </w:r>
    </w:p>
  </w:footnote>
  <w:footnote w:id="21">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Договор №050 от 25.02.2020 о предоставлении ИТ- услуг, на сумму 18,5 млн. леев включая НДС, на 2020 год.</w:t>
      </w:r>
    </w:p>
  </w:footnote>
  <w:footnote w:id="22">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„Стратегическая цель об оценке системы планирования, мониторинга, анализа и отчетности публичных финансов”.</w:t>
      </w:r>
    </w:p>
  </w:footnote>
  <w:footnote w:id="23">
    <w:p w:rsidR="001A3EA6" w:rsidRPr="0052195D" w:rsidRDefault="001A3EA6" w:rsidP="0052195D">
      <w:pPr>
        <w:spacing w:after="0" w:line="240" w:lineRule="auto"/>
        <w:rPr>
          <w:rFonts w:asciiTheme="majorHAnsi" w:eastAsia="Times New Roman" w:hAnsiTheme="majorHAnsi" w:cstheme="majorHAnsi"/>
          <w:b/>
          <w:bCs/>
          <w:sz w:val="20"/>
          <w:szCs w:val="20"/>
          <w:lang w:val="ru-MD"/>
        </w:rPr>
      </w:pPr>
      <w:r w:rsidRPr="0052195D">
        <w:rPr>
          <w:rStyle w:val="FootnoteReference"/>
          <w:rFonts w:asciiTheme="majorHAnsi" w:hAnsiTheme="majorHAnsi" w:cstheme="majorHAnsi"/>
          <w:sz w:val="20"/>
          <w:szCs w:val="20"/>
          <w:lang w:val="ru-MD"/>
        </w:rPr>
        <w:footnoteRef/>
      </w:r>
      <w:r w:rsidRPr="0052195D">
        <w:rPr>
          <w:rFonts w:asciiTheme="majorHAnsi" w:hAnsiTheme="majorHAnsi" w:cstheme="majorHAnsi"/>
          <w:sz w:val="20"/>
          <w:szCs w:val="20"/>
          <w:lang w:val="ru-MD"/>
        </w:rPr>
        <w:t xml:space="preserve"> </w:t>
      </w:r>
      <w:r w:rsidRPr="0052195D">
        <w:rPr>
          <w:rFonts w:asciiTheme="majorHAnsi" w:hAnsiTheme="majorHAnsi" w:cstheme="majorHAnsi"/>
          <w:bCs/>
          <w:sz w:val="20"/>
          <w:szCs w:val="20"/>
          <w:lang w:val="ru-MD"/>
        </w:rPr>
        <w:t xml:space="preserve">Постановление Счетной палаты </w:t>
      </w:r>
      <w:r w:rsidRPr="0052195D">
        <w:rPr>
          <w:rFonts w:asciiTheme="majorHAnsi" w:eastAsia="Times New Roman" w:hAnsiTheme="majorHAnsi" w:cstheme="majorHAnsi"/>
          <w:bCs/>
          <w:sz w:val="20"/>
          <w:szCs w:val="20"/>
          <w:lang w:val="ru-MD"/>
        </w:rPr>
        <w:t>№38 от 28.07.2020 „По Отчету финансового аудита по Отчету Правительства об исполнении государственного бюджета за 2019 год”.</w:t>
      </w:r>
    </w:p>
  </w:footnote>
  <w:footnote w:id="24">
    <w:p w:rsidR="001A3EA6" w:rsidRPr="0052195D" w:rsidRDefault="001A3EA6" w:rsidP="0052195D">
      <w:pPr>
        <w:spacing w:after="0" w:line="276" w:lineRule="auto"/>
        <w:rPr>
          <w:rFonts w:asciiTheme="majorHAnsi" w:eastAsia="Times New Roman" w:hAnsiTheme="majorHAnsi" w:cstheme="majorHAnsi"/>
          <w:sz w:val="20"/>
          <w:szCs w:val="20"/>
          <w:lang w:val="ru-MD"/>
        </w:rPr>
      </w:pPr>
      <w:r w:rsidRPr="0052195D">
        <w:rPr>
          <w:rStyle w:val="FootnoteReference"/>
          <w:rFonts w:asciiTheme="majorHAnsi" w:hAnsiTheme="majorHAnsi" w:cstheme="majorHAnsi"/>
          <w:sz w:val="20"/>
          <w:szCs w:val="20"/>
          <w:lang w:val="ru-MD"/>
        </w:rPr>
        <w:footnoteRef/>
      </w:r>
      <w:r w:rsidRPr="0052195D">
        <w:rPr>
          <w:rFonts w:asciiTheme="majorHAnsi" w:hAnsiTheme="majorHAnsi" w:cstheme="majorHAnsi"/>
          <w:sz w:val="20"/>
          <w:szCs w:val="20"/>
          <w:lang w:val="ru-MD"/>
        </w:rPr>
        <w:t xml:space="preserve"> </w:t>
      </w:r>
      <w:r w:rsidRPr="0052195D">
        <w:rPr>
          <w:rFonts w:asciiTheme="majorHAnsi" w:hAnsiTheme="majorHAnsi" w:cstheme="majorHAnsi"/>
          <w:bCs/>
          <w:sz w:val="20"/>
          <w:szCs w:val="20"/>
          <w:lang w:val="ru-MD"/>
        </w:rPr>
        <w:t xml:space="preserve">Постановление Счетной палаты №24 от </w:t>
      </w:r>
      <w:r w:rsidRPr="0052195D">
        <w:rPr>
          <w:rFonts w:asciiTheme="majorHAnsi" w:eastAsia="Times New Roman" w:hAnsiTheme="majorHAnsi" w:cstheme="majorHAnsi"/>
          <w:bCs/>
          <w:sz w:val="20"/>
          <w:szCs w:val="20"/>
          <w:lang w:val="ru-MD"/>
        </w:rPr>
        <w:t>28.05.2018</w:t>
      </w:r>
      <w:r w:rsidRPr="0052195D">
        <w:rPr>
          <w:rFonts w:asciiTheme="majorHAnsi" w:eastAsia="Times New Roman" w:hAnsiTheme="majorHAnsi" w:cstheme="majorHAnsi"/>
          <w:sz w:val="20"/>
          <w:szCs w:val="20"/>
          <w:lang w:val="ru-MD"/>
        </w:rPr>
        <w:t xml:space="preserve"> „По </w:t>
      </w:r>
      <w:r w:rsidRPr="0052195D">
        <w:rPr>
          <w:rFonts w:asciiTheme="majorHAnsi" w:eastAsia="Times New Roman" w:hAnsiTheme="majorHAnsi" w:cstheme="majorHAnsi"/>
          <w:bCs/>
          <w:sz w:val="20"/>
          <w:szCs w:val="20"/>
          <w:lang w:val="ru-MD"/>
        </w:rPr>
        <w:t>Отчету финансового аудита Отчета Правительства об исполнении государственного бюджета за 2017 год</w:t>
      </w:r>
      <w:r w:rsidRPr="0052195D">
        <w:rPr>
          <w:rFonts w:asciiTheme="majorHAnsi" w:eastAsia="Times New Roman" w:hAnsiTheme="majorHAnsi" w:cstheme="majorHAnsi"/>
          <w:sz w:val="20"/>
          <w:szCs w:val="20"/>
          <w:lang w:val="ru-MD"/>
        </w:rPr>
        <w:t>”.</w:t>
      </w:r>
    </w:p>
  </w:footnote>
  <w:footnote w:id="25">
    <w:p w:rsidR="001A3EA6" w:rsidRPr="0052195D" w:rsidRDefault="001A3EA6" w:rsidP="0052195D">
      <w:pPr>
        <w:pStyle w:val="FootnoteText"/>
        <w:ind w:right="59"/>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Приказ Министра финансов №216 от 28.12.2015, NCM L.01.03.2015 </w:t>
      </w:r>
      <w:r w:rsidRPr="0052195D">
        <w:rPr>
          <w:rFonts w:asciiTheme="majorHAnsi" w:hAnsiTheme="majorHAnsi" w:cstheme="majorHAnsi"/>
          <w:bCs/>
          <w:lang w:val="ru-MD"/>
        </w:rPr>
        <w:t>„Методические нормы и классификатор категорий текущих и капитальных ремонтов по объектам национальной экономики”</w:t>
      </w:r>
      <w:r w:rsidRPr="0052195D">
        <w:rPr>
          <w:rFonts w:asciiTheme="majorHAnsi" w:hAnsiTheme="majorHAnsi" w:cstheme="majorHAnsi"/>
          <w:lang w:val="ru-MD"/>
        </w:rPr>
        <w:t>, утвержденные Приказом министра регионального развития и строительства №101 от 14.09.2015.</w:t>
      </w:r>
    </w:p>
  </w:footnote>
  <w:footnote w:id="26">
    <w:p w:rsidR="001A3EA6" w:rsidRPr="0052195D" w:rsidRDefault="001A3EA6" w:rsidP="0052195D">
      <w:pPr>
        <w:pStyle w:val="FootnoteText"/>
        <w:ind w:right="59"/>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Пенитенциарное </w:t>
      </w:r>
      <w:proofErr w:type="gramStart"/>
      <w:r w:rsidRPr="0052195D">
        <w:rPr>
          <w:rFonts w:asciiTheme="majorHAnsi" w:hAnsiTheme="majorHAnsi" w:cstheme="majorHAnsi"/>
          <w:lang w:val="ru-MD"/>
        </w:rPr>
        <w:t>учреждение  №</w:t>
      </w:r>
      <w:proofErr w:type="gramEnd"/>
      <w:r w:rsidRPr="0052195D">
        <w:rPr>
          <w:rFonts w:asciiTheme="majorHAnsi" w:hAnsiTheme="majorHAnsi" w:cstheme="majorHAnsi"/>
          <w:lang w:val="ru-MD"/>
        </w:rPr>
        <w:t>2  Липкань, Пенитенциарное учреждение  №3 Леова, Пенитенциарное учреждение  №4 Крикова, Пенитенциарное учреждение  №5 Кахул, Пенитенциарное учреждение  №9 Прункул, Пенитенциарное учреждение  №11 Бэлць, Пенитенциарное учреждение  №12 Бендер, Пенитенциарное учреждение  №13 Кишинэу, Пенитенциарное учреждение  №15 Крикова, Пенитенциарное учреждение  №16 Прункул, Пенитенциарное учреждение  №17 Резина, Пенитенциарное учреждение  №18 Брэнешть.</w:t>
      </w:r>
    </w:p>
  </w:footnote>
  <w:footnote w:id="27">
    <w:p w:rsidR="001A3EA6" w:rsidRPr="0052195D" w:rsidRDefault="001A3EA6" w:rsidP="0052195D">
      <w:pPr>
        <w:shd w:val="clear" w:color="auto" w:fill="FFFFFF" w:themeFill="background1"/>
        <w:spacing w:after="0" w:line="240" w:lineRule="auto"/>
        <w:contextualSpacing/>
        <w:rPr>
          <w:rFonts w:asciiTheme="majorHAnsi" w:hAnsiTheme="majorHAnsi" w:cstheme="majorHAnsi"/>
          <w:sz w:val="20"/>
          <w:szCs w:val="20"/>
          <w:lang w:val="ru-MD"/>
        </w:rPr>
      </w:pPr>
      <w:r w:rsidRPr="0052195D">
        <w:rPr>
          <w:rStyle w:val="FootnoteReference"/>
          <w:rFonts w:asciiTheme="majorHAnsi" w:hAnsiTheme="majorHAnsi" w:cstheme="majorHAnsi"/>
          <w:sz w:val="20"/>
          <w:szCs w:val="20"/>
          <w:lang w:val="ru-MD"/>
        </w:rPr>
        <w:footnoteRef/>
      </w:r>
      <w:r w:rsidRPr="0052195D">
        <w:rPr>
          <w:rFonts w:asciiTheme="majorHAnsi" w:hAnsiTheme="majorHAnsi" w:cstheme="majorHAnsi"/>
          <w:sz w:val="20"/>
          <w:szCs w:val="20"/>
          <w:lang w:val="ru-MD"/>
        </w:rPr>
        <w:t xml:space="preserve"> ССПБ является основным документом, на основании которого разрабатывается бюджет и который представляет собой инструмент, обеспечивающий корреляцию выделения ресурсов с приоритетами политик. </w:t>
      </w:r>
    </w:p>
  </w:footnote>
  <w:footnote w:id="28">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Ст.</w:t>
      </w:r>
      <w:proofErr w:type="gramStart"/>
      <w:r w:rsidRPr="0052195D">
        <w:rPr>
          <w:rFonts w:asciiTheme="majorHAnsi" w:hAnsiTheme="majorHAnsi" w:cstheme="majorHAnsi"/>
          <w:lang w:val="ru-MD"/>
        </w:rPr>
        <w:t>20  (</w:t>
      </w:r>
      <w:proofErr w:type="gramEnd"/>
      <w:r w:rsidRPr="0052195D">
        <w:rPr>
          <w:rFonts w:asciiTheme="majorHAnsi" w:hAnsiTheme="majorHAnsi" w:cstheme="majorHAnsi"/>
          <w:lang w:val="ru-MD"/>
        </w:rPr>
        <w:t xml:space="preserve">1) c) Закона </w:t>
      </w:r>
      <w:r w:rsidRPr="0052195D">
        <w:rPr>
          <w:rFonts w:asciiTheme="majorHAnsi" w:hAnsiTheme="majorHAnsi" w:cstheme="majorHAnsi"/>
          <w:bCs/>
          <w:lang w:val="ru-MD"/>
        </w:rPr>
        <w:t>о публичных финансах и бюджетно-налоговой ответственности</w:t>
      </w:r>
      <w:r w:rsidRPr="0052195D">
        <w:rPr>
          <w:rFonts w:asciiTheme="majorHAnsi" w:hAnsiTheme="majorHAnsi" w:cstheme="majorHAnsi"/>
          <w:b/>
          <w:bCs/>
          <w:lang w:val="ru-MD"/>
        </w:rPr>
        <w:t xml:space="preserve"> </w:t>
      </w:r>
      <w:r w:rsidRPr="0052195D">
        <w:rPr>
          <w:rFonts w:asciiTheme="majorHAnsi" w:hAnsiTheme="majorHAnsi" w:cstheme="majorHAnsi"/>
          <w:lang w:val="ru-MD"/>
        </w:rPr>
        <w:t>№181 от 25.07.2014.</w:t>
      </w:r>
    </w:p>
  </w:footnote>
  <w:footnote w:id="29">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Ст.19 d) и ст.48 Закона </w:t>
      </w:r>
      <w:r w:rsidRPr="0052195D">
        <w:rPr>
          <w:rFonts w:asciiTheme="majorHAnsi" w:hAnsiTheme="majorHAnsi" w:cstheme="majorHAnsi"/>
          <w:bCs/>
          <w:lang w:val="ru-MD"/>
        </w:rPr>
        <w:t>о публичных финансах и бюджетно-налоговой ответственности</w:t>
      </w:r>
      <w:r w:rsidRPr="0052195D">
        <w:rPr>
          <w:rFonts w:asciiTheme="majorHAnsi" w:hAnsiTheme="majorHAnsi" w:cstheme="majorHAnsi"/>
          <w:b/>
          <w:bCs/>
          <w:lang w:val="ru-MD"/>
        </w:rPr>
        <w:t xml:space="preserve"> </w:t>
      </w:r>
      <w:r w:rsidRPr="0052195D">
        <w:rPr>
          <w:rFonts w:asciiTheme="majorHAnsi" w:hAnsiTheme="majorHAnsi" w:cstheme="majorHAnsi"/>
          <w:lang w:val="ru-MD"/>
        </w:rPr>
        <w:t>№181 от 25.07.2014.</w:t>
      </w:r>
    </w:p>
  </w:footnote>
  <w:footnote w:id="30">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ПП №574 от 27.11.2019 „Об утверждении проекта Закона о государственном бюджете на 2020 год” (представленного МФ Правительству 15 сентября, представленного Правительством в Парламент 15 октября).</w:t>
      </w:r>
    </w:p>
  </w:footnote>
  <w:footnote w:id="31">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Закон о государственном бюджете на 2020 год №172 от 19.12.2019.</w:t>
      </w:r>
    </w:p>
  </w:footnote>
  <w:footnote w:id="32">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Ст.</w:t>
      </w:r>
      <w:proofErr w:type="gramStart"/>
      <w:r w:rsidRPr="0052195D">
        <w:rPr>
          <w:rFonts w:asciiTheme="majorHAnsi" w:hAnsiTheme="majorHAnsi" w:cstheme="majorHAnsi"/>
          <w:lang w:val="ru-MD"/>
        </w:rPr>
        <w:t>61  (</w:t>
      </w:r>
      <w:proofErr w:type="gramEnd"/>
      <w:r w:rsidRPr="0052195D">
        <w:rPr>
          <w:rFonts w:asciiTheme="majorHAnsi" w:hAnsiTheme="majorHAnsi" w:cstheme="majorHAnsi"/>
          <w:lang w:val="ru-MD"/>
        </w:rPr>
        <w:t>5) Закона №181 от 25.07.2014.</w:t>
      </w:r>
    </w:p>
  </w:footnote>
  <w:footnote w:id="33">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Приказ МФ №209 от 24.12.2015 „</w:t>
      </w:r>
      <w:r w:rsidRPr="0052195D">
        <w:rPr>
          <w:rFonts w:asciiTheme="majorHAnsi" w:hAnsiTheme="majorHAnsi" w:cstheme="majorHAnsi"/>
          <w:bCs/>
          <w:lang w:val="ru-MD"/>
        </w:rPr>
        <w:t>об утверждении Методологического руководства по разработке, утверждению и изменению бюджета</w:t>
      </w:r>
      <w:r w:rsidRPr="0052195D">
        <w:rPr>
          <w:rFonts w:asciiTheme="majorHAnsi" w:hAnsiTheme="majorHAnsi" w:cstheme="majorHAnsi"/>
          <w:lang w:val="ru-MD"/>
        </w:rPr>
        <w:t>”.</w:t>
      </w:r>
    </w:p>
  </w:footnote>
  <w:footnote w:id="34">
    <w:p w:rsidR="001A3EA6" w:rsidRPr="0052195D" w:rsidRDefault="001A3EA6" w:rsidP="0052195D">
      <w:pPr>
        <w:pStyle w:val="FootnoteText"/>
        <w:jc w:val="both"/>
        <w:rPr>
          <w:rFonts w:asciiTheme="majorHAnsi" w:eastAsia="Calibri" w:hAnsiTheme="majorHAnsi" w:cstheme="majorHAnsi"/>
          <w:lang w:val="ru-MD"/>
        </w:rPr>
      </w:pPr>
      <w:r w:rsidRPr="0052195D">
        <w:rPr>
          <w:rStyle w:val="FootnoteReference"/>
          <w:rFonts w:asciiTheme="majorHAnsi" w:eastAsia="Calibri" w:hAnsiTheme="majorHAnsi" w:cstheme="majorHAnsi"/>
          <w:lang w:val="ru-MD"/>
        </w:rPr>
        <w:footnoteRef/>
      </w:r>
      <w:r w:rsidRPr="0052195D">
        <w:rPr>
          <w:rFonts w:asciiTheme="majorHAnsi" w:eastAsia="Calibri" w:hAnsiTheme="majorHAnsi" w:cstheme="majorHAnsi"/>
          <w:lang w:val="ru-MD"/>
        </w:rPr>
        <w:t xml:space="preserve"> ПП №696 от 30.08.2017 „Об организации и функционировании Министерства финансов”.</w:t>
      </w:r>
    </w:p>
  </w:footnote>
  <w:footnote w:id="35">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Приказ МФ №215 от 28.12.2015.</w:t>
      </w:r>
    </w:p>
  </w:footnote>
  <w:footnote w:id="36">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Государственная канцелярия, МФ, МЮ, МВД, МЭИ, МСХРРОС, МОКИ, МЗТСЗ, ЦИК, АНМ.</w:t>
      </w:r>
    </w:p>
  </w:footnote>
  <w:footnote w:id="37">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w:t>
      </w:r>
      <w:r>
        <w:rPr>
          <w:rFonts w:asciiTheme="majorHAnsi" w:hAnsiTheme="majorHAnsi" w:cstheme="majorHAnsi"/>
          <w:i/>
          <w:lang w:val="ru-MD"/>
        </w:rPr>
        <w:t>Проект „Экстренный</w:t>
      </w:r>
      <w:r w:rsidRPr="0052195D">
        <w:rPr>
          <w:rFonts w:asciiTheme="majorHAnsi" w:hAnsiTheme="majorHAnsi" w:cstheme="majorHAnsi"/>
          <w:i/>
          <w:lang w:val="ru-MD"/>
        </w:rPr>
        <w:t xml:space="preserve"> ответ на COVID-19”</w:t>
      </w:r>
      <w:r w:rsidRPr="0052195D">
        <w:rPr>
          <w:rFonts w:asciiTheme="majorHAnsi" w:hAnsiTheme="majorHAnsi" w:cstheme="majorHAnsi"/>
          <w:lang w:val="ru-MD"/>
        </w:rPr>
        <w:t xml:space="preserve">: за счет кредита, предоставленного Всемирным банком, МЗТСЗ были выплачены средства в сумме 306,4 млн. леев, из которых были исполнены расходы в сумме 192,0 млн. леев, или 62,3%, зарегистрировав остаток денежных средств на конец 2020 года в сумме 114,4 млн. леев, из-за продления срока поставки товаров. </w:t>
      </w:r>
    </w:p>
    <w:p w:rsidR="001A3EA6" w:rsidRPr="0052195D" w:rsidRDefault="001A3EA6" w:rsidP="0052195D">
      <w:pPr>
        <w:pStyle w:val="FootnoteText"/>
        <w:jc w:val="both"/>
        <w:rPr>
          <w:rFonts w:asciiTheme="majorHAnsi" w:hAnsiTheme="majorHAnsi" w:cstheme="majorHAnsi"/>
          <w:lang w:val="ru-MD"/>
        </w:rPr>
      </w:pPr>
      <w:r w:rsidRPr="0052195D">
        <w:rPr>
          <w:rFonts w:asciiTheme="majorHAnsi" w:hAnsiTheme="majorHAnsi" w:cstheme="majorHAnsi"/>
          <w:i/>
          <w:lang w:val="ru-MD"/>
        </w:rPr>
        <w:t xml:space="preserve">Проект „Экстренный ответ на COVID-19 и поддержка малых и средних предприятий”: </w:t>
      </w:r>
      <w:r w:rsidRPr="0052195D">
        <w:rPr>
          <w:rFonts w:asciiTheme="majorHAnsi" w:hAnsiTheme="majorHAnsi" w:cstheme="majorHAnsi"/>
          <w:lang w:val="ru-MD"/>
        </w:rPr>
        <w:t>за счет внешнего кредита от Банка развития Совета Европы, МЗТСЗ были утверждены средства в сумме 100,0 млн. леев, из которых не были исполнены расходы в течение года. Мотивируя тем, что в течение 2020 года не был подписан договор о финансировании этого проекта, расходы на внедрение Компонента Здравоохранение были перепланированы на 2021-2022 годы. В то же время, МФ выплатило средства в сумме 204,1 млн. леев, из которых были рекредитованы финансовым учреждениям в размере 4,2 млн. леев, зарегистрировав остаток денежных средств на конец 2020 года за счет кредита, в сумме 199,9 млн. леев.</w:t>
      </w:r>
    </w:p>
  </w:footnote>
  <w:footnote w:id="38">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ПП №811 от 11.11.2020 „О</w:t>
      </w:r>
      <w:r w:rsidRPr="0052195D">
        <w:rPr>
          <w:rFonts w:asciiTheme="majorHAnsi" w:hAnsiTheme="majorHAnsi" w:cstheme="majorHAnsi"/>
          <w:bCs/>
          <w:lang w:val="ru-RU"/>
        </w:rPr>
        <w:t xml:space="preserve"> выплате годовой премии работникам бюджетных единиц по результатам деятельности в 2019 году</w:t>
      </w:r>
      <w:r w:rsidRPr="0052195D">
        <w:rPr>
          <w:rFonts w:asciiTheme="majorHAnsi" w:eastAsia="Times New Roman" w:hAnsiTheme="majorHAnsi" w:cstheme="majorHAnsi"/>
          <w:lang w:val="ru-MD"/>
        </w:rPr>
        <w:t>”.</w:t>
      </w:r>
    </w:p>
  </w:footnote>
  <w:footnote w:id="39">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ПП №854 от 30.11.2020 „О</w:t>
      </w:r>
      <w:r w:rsidRPr="0052195D">
        <w:rPr>
          <w:rFonts w:asciiTheme="majorHAnsi" w:eastAsia="Times New Roman" w:hAnsiTheme="majorHAnsi" w:cstheme="majorHAnsi"/>
          <w:bCs/>
          <w:lang w:val="ru-RU"/>
        </w:rPr>
        <w:t xml:space="preserve"> распределении </w:t>
      </w:r>
      <w:proofErr w:type="gramStart"/>
      <w:r w:rsidRPr="0052195D">
        <w:rPr>
          <w:rFonts w:asciiTheme="majorHAnsi" w:eastAsia="Times New Roman" w:hAnsiTheme="majorHAnsi" w:cstheme="majorHAnsi"/>
          <w:bCs/>
          <w:lang w:val="ru-RU"/>
        </w:rPr>
        <w:t>и  перераспределении</w:t>
      </w:r>
      <w:proofErr w:type="gramEnd"/>
      <w:r w:rsidRPr="0052195D">
        <w:rPr>
          <w:rFonts w:asciiTheme="majorHAnsi" w:eastAsia="Times New Roman" w:hAnsiTheme="majorHAnsi" w:cstheme="majorHAnsi"/>
          <w:bCs/>
          <w:lang w:val="ru-RU"/>
        </w:rPr>
        <w:t xml:space="preserve"> некоторых ассигнований, утвержденных Законом № 172/2019 о государственном бюджете на 2020 год</w:t>
      </w:r>
      <w:r w:rsidRPr="0052195D">
        <w:rPr>
          <w:rFonts w:asciiTheme="majorHAnsi" w:eastAsia="Times New Roman" w:hAnsiTheme="majorHAnsi" w:cstheme="majorHAnsi"/>
          <w:lang w:val="ru-MD"/>
        </w:rPr>
        <w:t>”, ПП №896 от 14.12.2020 „</w:t>
      </w:r>
      <w:r w:rsidRPr="0052195D">
        <w:rPr>
          <w:rFonts w:asciiTheme="majorHAnsi" w:hAnsiTheme="majorHAnsi" w:cstheme="majorHAnsi"/>
          <w:lang w:val="ru-MD"/>
        </w:rPr>
        <w:t>О</w:t>
      </w:r>
      <w:r w:rsidRPr="0052195D">
        <w:rPr>
          <w:rFonts w:asciiTheme="majorHAnsi" w:eastAsia="Times New Roman" w:hAnsiTheme="majorHAnsi" w:cstheme="majorHAnsi"/>
          <w:bCs/>
          <w:lang w:val="ru-RU"/>
        </w:rPr>
        <w:t xml:space="preserve"> распределении и  перераспределении некоторых ассигнований, утвержденных Законом № 172/2019 о государственном бюджете на 2020 год</w:t>
      </w:r>
      <w:r w:rsidRPr="0052195D">
        <w:rPr>
          <w:rFonts w:asciiTheme="majorHAnsi" w:eastAsia="Times New Roman" w:hAnsiTheme="majorHAnsi" w:cstheme="majorHAnsi"/>
          <w:lang w:val="ru-MD"/>
        </w:rPr>
        <w:t>” и ПП №619 от 12.08.2020 „</w:t>
      </w:r>
      <w:r w:rsidRPr="0052195D">
        <w:rPr>
          <w:rFonts w:asciiTheme="majorHAnsi" w:hAnsiTheme="majorHAnsi" w:cstheme="majorHAnsi"/>
          <w:lang w:val="ru-MD"/>
        </w:rPr>
        <w:t>О</w:t>
      </w:r>
      <w:r w:rsidRPr="0052195D">
        <w:rPr>
          <w:rFonts w:asciiTheme="majorHAnsi" w:eastAsia="Times New Roman" w:hAnsiTheme="majorHAnsi" w:cstheme="majorHAnsi"/>
          <w:bCs/>
          <w:lang w:val="ru-RU"/>
        </w:rPr>
        <w:t xml:space="preserve"> распределении некоторых ассигнований, утвержденных Законом № 172/2019 о государственном бюджете на 2020 год</w:t>
      </w:r>
      <w:r w:rsidRPr="0052195D">
        <w:rPr>
          <w:rFonts w:asciiTheme="majorHAnsi" w:eastAsia="Times New Roman" w:hAnsiTheme="majorHAnsi" w:cstheme="majorHAnsi"/>
          <w:lang w:val="ru-RU"/>
        </w:rPr>
        <w:t xml:space="preserve"> </w:t>
      </w:r>
      <w:r w:rsidRPr="0052195D">
        <w:rPr>
          <w:rFonts w:asciiTheme="majorHAnsi" w:eastAsia="Times New Roman" w:hAnsiTheme="majorHAnsi" w:cstheme="majorHAnsi"/>
          <w:lang w:val="ru-MD"/>
        </w:rPr>
        <w:t>”.</w:t>
      </w:r>
    </w:p>
  </w:footnote>
  <w:footnote w:id="40">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ПП №672 от 17.12.2019 „</w:t>
      </w:r>
      <w:r w:rsidRPr="0052195D">
        <w:rPr>
          <w:rFonts w:asciiTheme="majorHAnsi" w:eastAsia="Times New Roman" w:hAnsiTheme="majorHAnsi" w:cstheme="majorHAnsi"/>
          <w:bCs/>
          <w:lang w:val="ru-MD"/>
        </w:rPr>
        <w:t>Об установлении временного моратория на наем персонала в бюджетном секторе на</w:t>
      </w:r>
      <w:r w:rsidRPr="0052195D">
        <w:rPr>
          <w:rFonts w:asciiTheme="majorHAnsi" w:eastAsia="Times New Roman" w:hAnsiTheme="majorHAnsi" w:cstheme="majorHAnsi"/>
          <w:bCs/>
          <w:lang w:val="ru-MD"/>
        </w:rPr>
        <w:br/>
        <w:t>зарегистрированные вакантные должности</w:t>
      </w:r>
      <w:r w:rsidRPr="0052195D">
        <w:rPr>
          <w:rFonts w:asciiTheme="majorHAnsi" w:eastAsia="Times New Roman" w:hAnsiTheme="majorHAnsi" w:cstheme="majorHAnsi"/>
          <w:lang w:val="ru-MD"/>
        </w:rPr>
        <w:t>”.</w:t>
      </w:r>
    </w:p>
  </w:footnote>
  <w:footnote w:id="41">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МОКИ (+10 000,0 тыс. леев), МСХРРОС (+1 338,6 тыс. леев), МЗТСЗ (+1 845,3 тыс. леев), ЦИК (+11,43 тыс. леев), ПУ </w:t>
      </w:r>
      <w:r w:rsidRPr="0052195D">
        <w:rPr>
          <w:rFonts w:asciiTheme="majorHAnsi" w:hAnsiTheme="majorHAnsi" w:cstheme="majorHAnsi"/>
          <w:bCs/>
          <w:lang w:val="ru-MD"/>
        </w:rPr>
        <w:t>Национальная</w:t>
      </w:r>
      <w:r w:rsidRPr="0052195D">
        <w:rPr>
          <w:rFonts w:asciiTheme="majorHAnsi" w:hAnsiTheme="majorHAnsi" w:cstheme="majorHAnsi"/>
          <w:lang w:val="en-GB"/>
        </w:rPr>
        <w:t> </w:t>
      </w:r>
      <w:r w:rsidRPr="0052195D">
        <w:rPr>
          <w:rFonts w:asciiTheme="majorHAnsi" w:hAnsiTheme="majorHAnsi" w:cstheme="majorHAnsi"/>
          <w:lang w:val="ru-MD"/>
        </w:rPr>
        <w:t>телерадиоорганизация</w:t>
      </w:r>
      <w:r w:rsidRPr="0052195D">
        <w:rPr>
          <w:rFonts w:asciiTheme="majorHAnsi" w:hAnsiTheme="majorHAnsi" w:cstheme="majorHAnsi"/>
          <w:lang w:val="en-GB"/>
        </w:rPr>
        <w:t> </w:t>
      </w:r>
      <w:r w:rsidRPr="0052195D">
        <w:rPr>
          <w:rFonts w:asciiTheme="majorHAnsi" w:hAnsiTheme="majorHAnsi" w:cstheme="majorHAnsi"/>
          <w:bCs/>
          <w:lang w:val="ru-MD"/>
        </w:rPr>
        <w:t>Компания</w:t>
      </w:r>
      <w:r w:rsidRPr="0052195D">
        <w:rPr>
          <w:rFonts w:asciiTheme="majorHAnsi" w:hAnsiTheme="majorHAnsi" w:cstheme="majorHAnsi"/>
          <w:lang w:val="ru-MD"/>
        </w:rPr>
        <w:t xml:space="preserve"> „Teleradio Moldova” (5 193,85 тыс. леев), МЭИ (-99,6 тыс. леев).</w:t>
      </w:r>
    </w:p>
  </w:footnote>
  <w:footnote w:id="42">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Гранты представляют собой трансферты для определенных целей правительствам других государств, международным организациям, трансферты государственным учреждениям на самоуправлении, через их учредительные государственные органы в соответствии с положениями нормативных актов, а также трансферты другим бенефициарам. </w:t>
      </w:r>
    </w:p>
  </w:footnote>
  <w:footnote w:id="43">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w:t>
      </w:r>
      <w:r w:rsidRPr="0052195D">
        <w:rPr>
          <w:rFonts w:asciiTheme="majorHAnsi" w:hAnsiTheme="majorHAnsi" w:cstheme="majorHAnsi"/>
          <w:bCs/>
          <w:lang w:val="ru-RU"/>
        </w:rPr>
        <w:t>Закон о государственном бюджете на 2020 год №</w:t>
      </w:r>
      <w:r w:rsidRPr="0052195D">
        <w:rPr>
          <w:rFonts w:asciiTheme="majorHAnsi" w:hAnsiTheme="majorHAnsi" w:cstheme="majorHAnsi"/>
          <w:lang w:val="ru-MD"/>
        </w:rPr>
        <w:t>172 от 19.12.2019.</w:t>
      </w:r>
    </w:p>
  </w:footnote>
  <w:footnote w:id="44">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Закон №61 от 23.04.2020 </w:t>
      </w:r>
      <w:r w:rsidRPr="0052195D">
        <w:rPr>
          <w:rFonts w:asciiTheme="majorHAnsi" w:hAnsiTheme="majorHAnsi" w:cstheme="majorHAnsi"/>
          <w:bCs/>
          <w:lang w:val="ru-RU"/>
        </w:rPr>
        <w:t>о внесении изменений в Закон о государственном бюджете на 2020 год №172/2019</w:t>
      </w:r>
      <w:r w:rsidRPr="0052195D">
        <w:rPr>
          <w:rFonts w:asciiTheme="majorHAnsi" w:hAnsiTheme="majorHAnsi" w:cstheme="majorHAnsi"/>
          <w:lang w:val="ru-MD"/>
        </w:rPr>
        <w:t xml:space="preserve">; Закон №131 от 12.07.2020 </w:t>
      </w:r>
      <w:r w:rsidRPr="0052195D">
        <w:rPr>
          <w:rFonts w:asciiTheme="majorHAnsi" w:hAnsiTheme="majorHAnsi" w:cstheme="majorHAnsi"/>
          <w:bCs/>
          <w:lang w:val="ru-RU"/>
        </w:rPr>
        <w:t>о внесении изменений в Закон о государственном бюджете на 2020 год №172/2019</w:t>
      </w:r>
      <w:r w:rsidRPr="0052195D">
        <w:rPr>
          <w:rFonts w:asciiTheme="majorHAnsi" w:hAnsiTheme="majorHAnsi" w:cstheme="majorHAnsi"/>
          <w:lang w:val="ru-MD"/>
        </w:rPr>
        <w:t xml:space="preserve">; Закон №173 от 11.09.2020 </w:t>
      </w:r>
      <w:r w:rsidRPr="0052195D">
        <w:rPr>
          <w:rFonts w:asciiTheme="majorHAnsi" w:hAnsiTheme="majorHAnsi" w:cstheme="majorHAnsi"/>
          <w:bCs/>
          <w:lang w:val="ru-RU"/>
        </w:rPr>
        <w:t>о внесении изменений в Закон о государственном бюджете на 2020 год №172/2019</w:t>
      </w:r>
      <w:r w:rsidRPr="0052195D">
        <w:rPr>
          <w:rFonts w:asciiTheme="majorHAnsi" w:hAnsiTheme="majorHAnsi" w:cstheme="majorHAnsi"/>
          <w:lang w:val="ru-MD"/>
        </w:rPr>
        <w:t>.</w:t>
      </w:r>
    </w:p>
  </w:footnote>
  <w:footnote w:id="45">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Министерство внутренних дел-3 проекта (4,3 млн. леев), Министерство образования, культуры и исследований - 2 проекта (1,4 млн. леев). </w:t>
      </w:r>
    </w:p>
  </w:footnote>
  <w:footnote w:id="46">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„Строительство вертолетной площадки для медицинских вертолетов, ул. Николае Тестемицану,29, мун. Кишинэу”, „Строительство вертолетной площадки для медицинских вертолетов, ул. Поамей, 21, мун. Кишинэу”, „Строительство вертолетной площадки для медицинских вертолетов, мун. Бэлць”.</w:t>
      </w:r>
    </w:p>
  </w:footnote>
  <w:footnote w:id="47">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„Реконструкция здания Музея истории евреев РМ, мун. Кишинэу”.</w:t>
      </w:r>
    </w:p>
  </w:footnote>
  <w:footnote w:id="48">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„Реставрация Дома-музея „Александр</w:t>
      </w:r>
      <w:r>
        <w:rPr>
          <w:rFonts w:asciiTheme="majorHAnsi" w:hAnsiTheme="majorHAnsi" w:cstheme="majorHAnsi"/>
          <w:lang w:val="ru-MD"/>
        </w:rPr>
        <w:t xml:space="preserve">а </w:t>
      </w:r>
      <w:r w:rsidRPr="0052195D">
        <w:rPr>
          <w:rFonts w:asciiTheme="majorHAnsi" w:hAnsiTheme="majorHAnsi" w:cstheme="majorHAnsi"/>
          <w:lang w:val="ru-MD"/>
        </w:rPr>
        <w:t>Пушкин</w:t>
      </w:r>
      <w:r>
        <w:rPr>
          <w:rFonts w:asciiTheme="majorHAnsi" w:hAnsiTheme="majorHAnsi" w:cstheme="majorHAnsi"/>
          <w:lang w:val="ru-MD"/>
        </w:rPr>
        <w:t>а</w:t>
      </w:r>
      <w:r w:rsidRPr="0052195D">
        <w:rPr>
          <w:rFonts w:asciiTheme="majorHAnsi" w:hAnsiTheme="majorHAnsi" w:cstheme="majorHAnsi"/>
          <w:lang w:val="ru-MD"/>
        </w:rPr>
        <w:t>”, ул. Антон Панн,19, мун. Кишинэу”.</w:t>
      </w:r>
    </w:p>
  </w:footnote>
  <w:footnote w:id="49">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„Реконструкция и модернизация зданий Центра передового опыта в строительстве, ул. Георге Асаки,71, мун. Кишинэу”.</w:t>
      </w:r>
    </w:p>
  </w:footnote>
  <w:footnote w:id="50">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„Строительство офисов для трех оперативных подразделений Национальной следственной инспекции, ул. Букурией 14, мун. Кишинэу”.</w:t>
      </w:r>
    </w:p>
  </w:footnote>
  <w:footnote w:id="51">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„Реконструкция здания с пристройкой многофункционального зала специализированной спортивной школы бокса села Гриманкэуць района Бричень”.</w:t>
      </w:r>
    </w:p>
  </w:footnote>
  <w:footnote w:id="52">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„Модернизация инфраструктуры Таможни Скулень”.</w:t>
      </w:r>
    </w:p>
  </w:footnote>
  <w:footnote w:id="53">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Проект „Поддержка Программы в дорожном секторе”.</w:t>
      </w:r>
    </w:p>
  </w:footnote>
  <w:footnote w:id="54">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Ст.44 (1) Закона </w:t>
      </w:r>
      <w:r w:rsidRPr="0052195D">
        <w:rPr>
          <w:rFonts w:asciiTheme="majorHAnsi" w:hAnsiTheme="majorHAnsi" w:cstheme="majorHAnsi"/>
          <w:bCs/>
          <w:lang w:val="ru-MD"/>
        </w:rPr>
        <w:t>о публичных финансах и бюджетно-налоговой ответственности</w:t>
      </w:r>
      <w:r w:rsidRPr="0052195D">
        <w:rPr>
          <w:rFonts w:asciiTheme="majorHAnsi" w:hAnsiTheme="majorHAnsi" w:cstheme="majorHAnsi"/>
          <w:b/>
          <w:bCs/>
          <w:lang w:val="ru-MD"/>
        </w:rPr>
        <w:t xml:space="preserve"> </w:t>
      </w:r>
      <w:r w:rsidRPr="0052195D">
        <w:rPr>
          <w:rFonts w:asciiTheme="majorHAnsi" w:hAnsiTheme="majorHAnsi" w:cstheme="majorHAnsi"/>
          <w:lang w:val="ru-MD"/>
        </w:rPr>
        <w:t>№181 от 25.07.2014.</w:t>
      </w:r>
    </w:p>
  </w:footnote>
  <w:footnote w:id="55">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w:t>
      </w:r>
      <w:proofErr w:type="gramStart"/>
      <w:r w:rsidRPr="0052195D">
        <w:rPr>
          <w:rFonts w:asciiTheme="majorHAnsi" w:hAnsiTheme="majorHAnsi" w:cstheme="majorHAnsi"/>
          <w:lang w:val="ru-MD"/>
        </w:rPr>
        <w:t>П.53  Положения</w:t>
      </w:r>
      <w:proofErr w:type="gramEnd"/>
      <w:r w:rsidRPr="0052195D">
        <w:rPr>
          <w:rFonts w:asciiTheme="majorHAnsi" w:hAnsiTheme="majorHAnsi" w:cstheme="majorHAnsi"/>
          <w:lang w:val="ru-MD"/>
        </w:rPr>
        <w:t xml:space="preserve"> о проектах государственных капитальных инвестиций.</w:t>
      </w:r>
    </w:p>
  </w:footnote>
  <w:footnote w:id="56">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П.2 Положения о проектах государственных капитальных инвестиций.</w:t>
      </w:r>
    </w:p>
  </w:footnote>
  <w:footnote w:id="57">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Реконструкция бассейна Центрального спортивного клуба „Динамо”, ул. Георге Асаки,23, муниципий Кишинэу.</w:t>
      </w:r>
    </w:p>
  </w:footnote>
  <w:footnote w:id="58">
    <w:p w:rsidR="001A3EA6" w:rsidRPr="006F53B7" w:rsidRDefault="001A3EA6" w:rsidP="0052195D">
      <w:pPr>
        <w:pStyle w:val="FootnoteText"/>
        <w:jc w:val="both"/>
        <w:rPr>
          <w:rFonts w:asciiTheme="majorHAnsi" w:hAnsiTheme="majorHAnsi" w:cstheme="majorHAnsi"/>
          <w:lang w:val="ru-RU"/>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Постановление Счетной палаты №16 от 29.04.2021 по Отчету аудита консолидированной финансовой отчетности Министерства экономики и инфраструктуры, по сотоянию на 31 декабря 2020 года. </w:t>
      </w:r>
    </w:p>
  </w:footnote>
  <w:footnote w:id="59">
    <w:p w:rsidR="001A3EA6" w:rsidRPr="0052195D" w:rsidRDefault="001A3EA6" w:rsidP="0052195D">
      <w:pPr>
        <w:pStyle w:val="FootnoteText"/>
        <w:jc w:val="both"/>
        <w:rPr>
          <w:rFonts w:asciiTheme="majorHAnsi" w:hAnsiTheme="majorHAnsi" w:cstheme="majorHAnsi"/>
          <w:lang w:val="ru-RU"/>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RU"/>
        </w:rPr>
        <w:t xml:space="preserve"> </w:t>
      </w:r>
      <w:r w:rsidRPr="0052195D">
        <w:rPr>
          <w:rFonts w:asciiTheme="majorHAnsi" w:hAnsiTheme="majorHAnsi" w:cstheme="majorHAnsi"/>
          <w:lang w:val="ru-MD"/>
        </w:rPr>
        <w:t>ПП</w:t>
      </w:r>
      <w:r w:rsidRPr="0052195D">
        <w:rPr>
          <w:rFonts w:asciiTheme="majorHAnsi" w:hAnsiTheme="majorHAnsi" w:cstheme="majorHAnsi"/>
          <w:lang w:val="ru-RU"/>
        </w:rPr>
        <w:t xml:space="preserve"> №256 </w:t>
      </w:r>
      <w:r w:rsidRPr="0052195D">
        <w:rPr>
          <w:rFonts w:asciiTheme="majorHAnsi" w:hAnsiTheme="majorHAnsi" w:cstheme="majorHAnsi"/>
          <w:lang w:val="ru-MD"/>
        </w:rPr>
        <w:t>от</w:t>
      </w:r>
      <w:r w:rsidRPr="0052195D">
        <w:rPr>
          <w:rFonts w:asciiTheme="majorHAnsi" w:hAnsiTheme="majorHAnsi" w:cstheme="majorHAnsi"/>
          <w:lang w:val="ru-RU"/>
        </w:rPr>
        <w:t xml:space="preserve"> 29.04.2020 „</w:t>
      </w:r>
      <w:r w:rsidRPr="0052195D">
        <w:rPr>
          <w:rFonts w:asciiTheme="majorHAnsi" w:eastAsia="Times New Roman" w:hAnsiTheme="majorHAnsi" w:cstheme="majorHAnsi"/>
          <w:lang w:val="ru-MD"/>
        </w:rPr>
        <w:t>Об</w:t>
      </w:r>
      <w:r w:rsidRPr="0052195D">
        <w:rPr>
          <w:rFonts w:asciiTheme="majorHAnsi" w:eastAsia="Times New Roman" w:hAnsiTheme="majorHAnsi" w:cstheme="majorHAnsi"/>
          <w:lang w:val="ru-RU"/>
        </w:rPr>
        <w:t xml:space="preserve"> </w:t>
      </w:r>
      <w:r w:rsidRPr="0052195D">
        <w:rPr>
          <w:rFonts w:asciiTheme="majorHAnsi" w:eastAsia="Times New Roman" w:hAnsiTheme="majorHAnsi" w:cstheme="majorHAnsi"/>
          <w:lang w:val="ru-MD"/>
        </w:rPr>
        <w:t>утверждении</w:t>
      </w:r>
      <w:r w:rsidRPr="0052195D">
        <w:rPr>
          <w:rFonts w:asciiTheme="majorHAnsi" w:eastAsia="Times New Roman" w:hAnsiTheme="majorHAnsi" w:cstheme="majorHAnsi"/>
          <w:lang w:val="ru-RU"/>
        </w:rPr>
        <w:t xml:space="preserve"> </w:t>
      </w:r>
      <w:r w:rsidRPr="0052195D">
        <w:rPr>
          <w:rFonts w:asciiTheme="majorHAnsi" w:eastAsia="Times New Roman" w:hAnsiTheme="majorHAnsi" w:cstheme="majorHAnsi"/>
          <w:lang w:val="ru-MD"/>
        </w:rPr>
        <w:t>Программы мероприятий по реинтеграции страны</w:t>
      </w:r>
      <w:r w:rsidRPr="0052195D">
        <w:rPr>
          <w:rFonts w:asciiTheme="majorHAnsi" w:hAnsiTheme="majorHAnsi" w:cstheme="majorHAnsi"/>
          <w:lang w:val="ru-RU"/>
        </w:rPr>
        <w:t>”.</w:t>
      </w:r>
    </w:p>
  </w:footnote>
  <w:footnote w:id="60">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w:t>
      </w:r>
      <w:r w:rsidRPr="0052195D">
        <w:rPr>
          <w:rFonts w:asciiTheme="majorHAnsi" w:eastAsia="Times New Roman" w:hAnsiTheme="majorHAnsi" w:cstheme="majorHAnsi"/>
          <w:lang w:val="ru-MD"/>
        </w:rPr>
        <w:t>ПП №131 от 21.02.2014 „Об утверждении Положение о порядке отбора и учета проектов в рамках Программы мероприятий по реинтеграции страны”.</w:t>
      </w:r>
    </w:p>
  </w:footnote>
  <w:footnote w:id="61">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Ст.3 b) Закона О государственном бюджете на 2020 год.</w:t>
      </w:r>
    </w:p>
  </w:footnote>
  <w:footnote w:id="62">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w:t>
      </w:r>
      <w:r w:rsidRPr="0052195D">
        <w:rPr>
          <w:rFonts w:asciiTheme="majorHAnsi" w:hAnsiTheme="majorHAnsi" w:cstheme="majorHAnsi"/>
          <w:bCs/>
          <w:lang w:val="ru-MD"/>
        </w:rPr>
        <w:t xml:space="preserve">ПП №846 от 30.11.2020 „Об утверждении Положения об установлении порядка оказания финансовой помощи, предоставленной Правительством Российской Федерации, </w:t>
      </w:r>
      <w:proofErr w:type="gramStart"/>
      <w:r w:rsidRPr="0052195D">
        <w:rPr>
          <w:rFonts w:asciiTheme="majorHAnsi" w:hAnsiTheme="majorHAnsi" w:cstheme="majorHAnsi"/>
          <w:bCs/>
          <w:lang w:val="ru-MD"/>
        </w:rPr>
        <w:t>для</w:t>
      </w:r>
      <w:r w:rsidRPr="0052195D">
        <w:rPr>
          <w:rFonts w:asciiTheme="majorHAnsi" w:hAnsiTheme="majorHAnsi" w:cstheme="majorHAnsi"/>
          <w:bCs/>
          <w:lang w:val="en-GB"/>
        </w:rPr>
        <w:t> </w:t>
      </w:r>
      <w:r w:rsidRPr="0052195D">
        <w:rPr>
          <w:rFonts w:asciiTheme="majorHAnsi" w:hAnsiTheme="majorHAnsi" w:cstheme="majorHAnsi"/>
          <w:bCs/>
          <w:lang w:val="ru-MD"/>
        </w:rPr>
        <w:t xml:space="preserve"> частичной</w:t>
      </w:r>
      <w:proofErr w:type="gramEnd"/>
      <w:r w:rsidRPr="0052195D">
        <w:rPr>
          <w:rFonts w:asciiTheme="majorHAnsi" w:hAnsiTheme="majorHAnsi" w:cstheme="majorHAnsi"/>
          <w:bCs/>
          <w:lang w:val="ru-MD"/>
        </w:rPr>
        <w:t xml:space="preserve"> компенсации ущерба, причиненного засухой 2020 года культуре кукурузы, и подготовки почвы под урожай 2021 года</w:t>
      </w:r>
      <w:r w:rsidRPr="0052195D">
        <w:rPr>
          <w:rFonts w:asciiTheme="majorHAnsi" w:hAnsiTheme="majorHAnsi" w:cstheme="majorHAnsi"/>
          <w:lang w:val="ru-MD"/>
        </w:rPr>
        <w:t>”.</w:t>
      </w:r>
    </w:p>
  </w:footnote>
  <w:footnote w:id="63">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Конституционный суд, ГК, МВД, МИДЕИ, МСХРРОС, МЗТСЗ, Агентство по лекарствам и медицинским изделиям, АПС, ЦИК, СИБ.</w:t>
      </w:r>
    </w:p>
  </w:footnote>
  <w:footnote w:id="64">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МЮ, </w:t>
      </w:r>
      <w:r w:rsidRPr="0052195D">
        <w:rPr>
          <w:rFonts w:asciiTheme="majorHAnsi" w:hAnsiTheme="majorHAnsi" w:cstheme="majorHAnsi"/>
          <w:lang w:val="ru-RU"/>
        </w:rPr>
        <w:t>МВД</w:t>
      </w:r>
      <w:r w:rsidRPr="0052195D">
        <w:rPr>
          <w:rFonts w:asciiTheme="majorHAnsi" w:hAnsiTheme="majorHAnsi" w:cstheme="majorHAnsi"/>
          <w:lang w:val="ru-MD"/>
        </w:rPr>
        <w:t xml:space="preserve">, </w:t>
      </w:r>
      <w:r w:rsidRPr="0052195D">
        <w:rPr>
          <w:rFonts w:asciiTheme="majorHAnsi" w:hAnsiTheme="majorHAnsi" w:cstheme="majorHAnsi"/>
          <w:lang w:val="ru-RU"/>
        </w:rPr>
        <w:t>МО</w:t>
      </w:r>
      <w:r w:rsidRPr="0052195D">
        <w:rPr>
          <w:rFonts w:asciiTheme="majorHAnsi" w:hAnsiTheme="majorHAnsi" w:cstheme="majorHAnsi"/>
          <w:lang w:val="ru-MD"/>
        </w:rPr>
        <w:t xml:space="preserve">, </w:t>
      </w:r>
      <w:r w:rsidRPr="0052195D">
        <w:rPr>
          <w:rFonts w:asciiTheme="majorHAnsi" w:hAnsiTheme="majorHAnsi" w:cstheme="majorHAnsi"/>
          <w:lang w:val="ru-RU"/>
        </w:rPr>
        <w:t>МЭИ</w:t>
      </w:r>
      <w:r w:rsidRPr="0052195D">
        <w:rPr>
          <w:rFonts w:asciiTheme="majorHAnsi" w:hAnsiTheme="majorHAnsi" w:cstheme="majorHAnsi"/>
          <w:lang w:val="ru-MD"/>
        </w:rPr>
        <w:t xml:space="preserve">, </w:t>
      </w:r>
      <w:r w:rsidRPr="0052195D">
        <w:rPr>
          <w:rFonts w:asciiTheme="majorHAnsi" w:hAnsiTheme="majorHAnsi" w:cstheme="majorHAnsi"/>
          <w:lang w:val="ru-RU"/>
        </w:rPr>
        <w:t>МСХРРОС</w:t>
      </w:r>
      <w:r w:rsidRPr="0052195D">
        <w:rPr>
          <w:rFonts w:asciiTheme="majorHAnsi" w:hAnsiTheme="majorHAnsi" w:cstheme="majorHAnsi"/>
          <w:lang w:val="ru-MD"/>
        </w:rPr>
        <w:t xml:space="preserve">, </w:t>
      </w:r>
      <w:r w:rsidRPr="0052195D">
        <w:rPr>
          <w:rFonts w:asciiTheme="majorHAnsi" w:hAnsiTheme="majorHAnsi" w:cstheme="majorHAnsi"/>
          <w:lang w:val="ru-RU"/>
        </w:rPr>
        <w:t>НАБПП</w:t>
      </w:r>
      <w:r w:rsidRPr="0052195D">
        <w:rPr>
          <w:rFonts w:asciiTheme="majorHAnsi" w:hAnsiTheme="majorHAnsi" w:cstheme="majorHAnsi"/>
          <w:lang w:val="ru-MD"/>
        </w:rPr>
        <w:t>, Высший совет магистратуры, Высший совет прокуроров, Генеральная прокуратура, Национальный центр по защите персональных данных, Служба государственной охраны, НЦБК.</w:t>
      </w:r>
    </w:p>
  </w:footnote>
  <w:footnote w:id="65">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Постановление Счетной Палаты №21 от 03.06.2021 по Отчету аудита консолидированных финансовых отчетов Министерства иностранных дел и европейской интеграции, составленных по состоянию на 31 декабря 2020 года.</w:t>
      </w:r>
    </w:p>
  </w:footnote>
  <w:footnote w:id="66">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Посольство Республики Молдова в Турции (0,7 млн. леев), Посольство Республики Молдова во Франции (1,5 млн. леев), Посольство Республики Молдова в Соединенных Штатах Америки (0,6 млн. леев), Посольство Республики Молдова в Королевстве Испании (0,7 млн. леев).     </w:t>
      </w:r>
    </w:p>
  </w:footnote>
  <w:footnote w:id="67">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Посольство Республики Молдова во Франции (1,5 млн. леев), Посольство Республики Молдова в Королевстве Испании (0,7 млн. леев).     </w:t>
      </w:r>
    </w:p>
  </w:footnote>
  <w:footnote w:id="68">
    <w:p w:rsidR="001A3EA6" w:rsidRPr="0052195D" w:rsidRDefault="001A3EA6" w:rsidP="0052195D">
      <w:pPr>
        <w:pStyle w:val="FootnoteText"/>
        <w:jc w:val="both"/>
        <w:rPr>
          <w:rFonts w:asciiTheme="majorHAnsi" w:hAnsiTheme="majorHAnsi" w:cstheme="majorHAnsi"/>
          <w:lang w:val="ru-RU"/>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RU"/>
        </w:rPr>
        <w:t xml:space="preserve"> </w:t>
      </w:r>
      <w:r w:rsidRPr="0052195D">
        <w:rPr>
          <w:rFonts w:asciiTheme="majorHAnsi" w:hAnsiTheme="majorHAnsi" w:cstheme="majorHAnsi"/>
          <w:lang w:val="ru-MD"/>
        </w:rPr>
        <w:t>Форма</w:t>
      </w:r>
      <w:r w:rsidRPr="0052195D">
        <w:rPr>
          <w:rFonts w:asciiTheme="majorHAnsi" w:hAnsiTheme="majorHAnsi" w:cstheme="majorHAnsi"/>
          <w:lang w:val="ru-RU"/>
        </w:rPr>
        <w:t xml:space="preserve"> №1 „Отчет об исполнении общих показателей и источников финансирования государственного бюджета”, утвержденная </w:t>
      </w:r>
      <w:r w:rsidRPr="0052195D">
        <w:rPr>
          <w:rFonts w:asciiTheme="majorHAnsi" w:hAnsiTheme="majorHAnsi" w:cstheme="majorHAnsi"/>
          <w:lang w:val="ru-MD"/>
        </w:rPr>
        <w:t>Приказом</w:t>
      </w:r>
      <w:r w:rsidRPr="0052195D">
        <w:rPr>
          <w:rFonts w:asciiTheme="majorHAnsi" w:hAnsiTheme="majorHAnsi" w:cstheme="majorHAnsi"/>
          <w:lang w:val="ru-RU"/>
        </w:rPr>
        <w:t xml:space="preserve"> </w:t>
      </w:r>
      <w:r w:rsidRPr="0052195D">
        <w:rPr>
          <w:rFonts w:asciiTheme="majorHAnsi" w:hAnsiTheme="majorHAnsi" w:cstheme="majorHAnsi"/>
          <w:lang w:val="ru-MD"/>
        </w:rPr>
        <w:t>МФ</w:t>
      </w:r>
      <w:r w:rsidRPr="0052195D">
        <w:rPr>
          <w:rFonts w:asciiTheme="majorHAnsi" w:hAnsiTheme="majorHAnsi" w:cstheme="majorHAnsi"/>
          <w:lang w:val="ru-RU"/>
        </w:rPr>
        <w:t xml:space="preserve"> №18 </w:t>
      </w:r>
      <w:r w:rsidRPr="0052195D">
        <w:rPr>
          <w:rFonts w:asciiTheme="majorHAnsi" w:hAnsiTheme="majorHAnsi" w:cstheme="majorHAnsi"/>
          <w:lang w:val="ru-MD"/>
        </w:rPr>
        <w:t>от</w:t>
      </w:r>
      <w:r w:rsidRPr="0052195D">
        <w:rPr>
          <w:rFonts w:asciiTheme="majorHAnsi" w:hAnsiTheme="majorHAnsi" w:cstheme="majorHAnsi"/>
          <w:lang w:val="ru-RU"/>
        </w:rPr>
        <w:t xml:space="preserve"> 27.01.2020.</w:t>
      </w:r>
    </w:p>
  </w:footnote>
  <w:footnote w:id="69">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Согласно ст.30 Закона №181 от 25.07.2014, источники финансирования формируются из: операций по заимствованию; операций по продаже и приватизации публичного имущества; операций с остатками на счетах бюджета; иных операций с финансовыми активами и обязательствами бюджета.</w:t>
      </w:r>
    </w:p>
  </w:footnote>
  <w:footnote w:id="70">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За счет кредита, предоставленного Европейским инвестиционным банком в рамках Проекта по закупке локомотивов и реструктуризации железнодорожной инфраструктуры.</w:t>
      </w:r>
    </w:p>
  </w:footnote>
  <w:footnote w:id="71">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ПП №402 от 17.06.2020 о выделении финансовых средств.</w:t>
      </w:r>
    </w:p>
  </w:footnote>
  <w:footnote w:id="72">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Платежное поручение №1 от 13.10.2020, на сумму 267 134 036,6 леев.</w:t>
      </w:r>
    </w:p>
  </w:footnote>
  <w:footnote w:id="73">
    <w:p w:rsidR="001A3EA6" w:rsidRPr="0052195D" w:rsidRDefault="001A3EA6" w:rsidP="0052195D">
      <w:pPr>
        <w:pStyle w:val="FootnoteText"/>
        <w:jc w:val="both"/>
        <w:rPr>
          <w:rFonts w:asciiTheme="majorHAnsi" w:hAnsiTheme="majorHAnsi" w:cstheme="majorHAnsi"/>
          <w:lang w:val="ru-RU"/>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RU"/>
        </w:rPr>
        <w:t xml:space="preserve"> </w:t>
      </w:r>
      <w:r w:rsidRPr="0052195D">
        <w:rPr>
          <w:rFonts w:asciiTheme="majorHAnsi" w:hAnsiTheme="majorHAnsi" w:cstheme="majorHAnsi"/>
          <w:lang w:val="ru-MD"/>
        </w:rPr>
        <w:t>Прказ</w:t>
      </w:r>
      <w:r w:rsidRPr="0052195D">
        <w:rPr>
          <w:rFonts w:asciiTheme="majorHAnsi" w:hAnsiTheme="majorHAnsi" w:cstheme="majorHAnsi"/>
          <w:lang w:val="ru-RU"/>
        </w:rPr>
        <w:t xml:space="preserve"> №38 </w:t>
      </w:r>
      <w:r w:rsidRPr="0052195D">
        <w:rPr>
          <w:rFonts w:asciiTheme="majorHAnsi" w:hAnsiTheme="majorHAnsi" w:cstheme="majorHAnsi"/>
          <w:lang w:val="ru-MD"/>
        </w:rPr>
        <w:t>от</w:t>
      </w:r>
      <w:r w:rsidRPr="0052195D">
        <w:rPr>
          <w:rFonts w:asciiTheme="majorHAnsi" w:hAnsiTheme="majorHAnsi" w:cstheme="majorHAnsi"/>
          <w:lang w:val="ru-RU"/>
        </w:rPr>
        <w:t xml:space="preserve"> 18.02.2021 „ О внесении изменений в Устав ГП „Железная дорога Молдовы”.</w:t>
      </w:r>
    </w:p>
  </w:footnote>
  <w:footnote w:id="74">
    <w:p w:rsidR="001A3EA6" w:rsidRPr="0052195D" w:rsidRDefault="001A3EA6" w:rsidP="0052195D">
      <w:pPr>
        <w:pStyle w:val="FootnoteText"/>
        <w:jc w:val="both"/>
        <w:rPr>
          <w:rFonts w:asciiTheme="majorHAnsi" w:hAnsiTheme="majorHAnsi" w:cstheme="majorHAnsi"/>
          <w:lang w:val="ru-RU"/>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RU"/>
        </w:rPr>
        <w:t xml:space="preserve"> </w:t>
      </w:r>
      <w:r w:rsidRPr="0052195D">
        <w:rPr>
          <w:rFonts w:asciiTheme="majorHAnsi" w:hAnsiTheme="majorHAnsi" w:cstheme="majorHAnsi"/>
          <w:lang w:val="ru-MD"/>
        </w:rPr>
        <w:t>ПП</w:t>
      </w:r>
      <w:r w:rsidRPr="0052195D">
        <w:rPr>
          <w:rFonts w:asciiTheme="majorHAnsi" w:hAnsiTheme="majorHAnsi" w:cstheme="majorHAnsi"/>
          <w:lang w:val="ru-RU"/>
        </w:rPr>
        <w:t xml:space="preserve"> №467 </w:t>
      </w:r>
      <w:r w:rsidRPr="0052195D">
        <w:rPr>
          <w:rFonts w:asciiTheme="majorHAnsi" w:hAnsiTheme="majorHAnsi" w:cstheme="majorHAnsi"/>
          <w:lang w:val="ru-MD"/>
        </w:rPr>
        <w:t>от</w:t>
      </w:r>
      <w:r w:rsidRPr="0052195D">
        <w:rPr>
          <w:rFonts w:asciiTheme="majorHAnsi" w:hAnsiTheme="majorHAnsi" w:cstheme="majorHAnsi"/>
          <w:lang w:val="ru-RU"/>
        </w:rPr>
        <w:t xml:space="preserve"> 03.07.2020 „О</w:t>
      </w:r>
      <w:r w:rsidRPr="0052195D">
        <w:rPr>
          <w:rFonts w:asciiTheme="majorHAnsi" w:hAnsiTheme="majorHAnsi" w:cstheme="majorHAnsi"/>
          <w:bCs/>
          <w:lang w:val="ru-RU"/>
        </w:rPr>
        <w:t xml:space="preserve"> выделении финансовых средств обществу с ограниченной ответственностью </w:t>
      </w:r>
      <w:r w:rsidRPr="0052195D">
        <w:rPr>
          <w:rFonts w:asciiTheme="majorHAnsi" w:hAnsiTheme="majorHAnsi" w:cstheme="majorHAnsi"/>
          <w:lang w:val="ru-RU"/>
        </w:rPr>
        <w:t>„</w:t>
      </w:r>
      <w:r w:rsidRPr="0052195D">
        <w:rPr>
          <w:rFonts w:asciiTheme="majorHAnsi" w:hAnsiTheme="majorHAnsi" w:cstheme="majorHAnsi"/>
        </w:rPr>
        <w:t>Arena</w:t>
      </w:r>
      <w:r w:rsidRPr="0052195D">
        <w:rPr>
          <w:rFonts w:asciiTheme="majorHAnsi" w:hAnsiTheme="majorHAnsi" w:cstheme="majorHAnsi"/>
          <w:lang w:val="ru-RU"/>
        </w:rPr>
        <w:t xml:space="preserve"> </w:t>
      </w:r>
      <w:r w:rsidRPr="0052195D">
        <w:rPr>
          <w:rFonts w:asciiTheme="majorHAnsi" w:hAnsiTheme="majorHAnsi" w:cstheme="majorHAnsi"/>
        </w:rPr>
        <w:t>Na</w:t>
      </w:r>
      <w:r w:rsidRPr="0052195D">
        <w:rPr>
          <w:rFonts w:asciiTheme="majorHAnsi" w:hAnsiTheme="majorHAnsi" w:cstheme="majorHAnsi"/>
          <w:lang w:val="ru-RU"/>
        </w:rPr>
        <w:t>ț</w:t>
      </w:r>
      <w:r w:rsidRPr="0052195D">
        <w:rPr>
          <w:rFonts w:asciiTheme="majorHAnsi" w:hAnsiTheme="majorHAnsi" w:cstheme="majorHAnsi"/>
        </w:rPr>
        <w:t>ional</w:t>
      </w:r>
      <w:r w:rsidRPr="0052195D">
        <w:rPr>
          <w:rFonts w:asciiTheme="majorHAnsi" w:hAnsiTheme="majorHAnsi" w:cstheme="majorHAnsi"/>
          <w:lang w:val="ru-RU"/>
        </w:rPr>
        <w:t>ă””.</w:t>
      </w:r>
    </w:p>
  </w:footnote>
  <w:footnote w:id="75">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Платежное поручение №101010 от 21.07.2020 на сумму 71 306 200,0 леев.</w:t>
      </w:r>
    </w:p>
  </w:footnote>
  <w:footnote w:id="76">
    <w:p w:rsidR="001A3EA6" w:rsidRPr="0052195D" w:rsidRDefault="001A3EA6" w:rsidP="0052195D">
      <w:pPr>
        <w:pStyle w:val="FootnoteText"/>
        <w:jc w:val="both"/>
        <w:rPr>
          <w:rFonts w:asciiTheme="majorHAnsi" w:hAnsiTheme="majorHAnsi" w:cstheme="majorHAnsi"/>
          <w:lang w:val="ru-RU"/>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RU"/>
        </w:rPr>
        <w:t xml:space="preserve"> </w:t>
      </w:r>
      <w:r w:rsidRPr="0052195D">
        <w:rPr>
          <w:rFonts w:asciiTheme="majorHAnsi" w:hAnsiTheme="majorHAnsi" w:cstheme="majorHAnsi"/>
          <w:lang w:val="ru-MD"/>
        </w:rPr>
        <w:t>Решение</w:t>
      </w:r>
      <w:r w:rsidRPr="0052195D">
        <w:rPr>
          <w:rFonts w:asciiTheme="majorHAnsi" w:hAnsiTheme="majorHAnsi" w:cstheme="majorHAnsi"/>
          <w:lang w:val="ru-RU"/>
        </w:rPr>
        <w:t xml:space="preserve"> №81/14 </w:t>
      </w:r>
      <w:r w:rsidRPr="0052195D">
        <w:rPr>
          <w:rFonts w:asciiTheme="majorHAnsi" w:hAnsiTheme="majorHAnsi" w:cstheme="majorHAnsi"/>
          <w:lang w:val="ru-MD"/>
        </w:rPr>
        <w:t>от</w:t>
      </w:r>
      <w:r w:rsidRPr="0052195D">
        <w:rPr>
          <w:rFonts w:asciiTheme="majorHAnsi" w:hAnsiTheme="majorHAnsi" w:cstheme="majorHAnsi"/>
          <w:lang w:val="ru-RU"/>
        </w:rPr>
        <w:t xml:space="preserve"> 17.07.2020 единственного участника ООО „</w:t>
      </w:r>
      <w:r w:rsidR="000413D9" w:rsidRPr="000413D9">
        <w:rPr>
          <w:rFonts w:asciiTheme="majorHAnsi" w:hAnsiTheme="majorHAnsi" w:cstheme="majorHAnsi"/>
          <w:sz w:val="24"/>
          <w:szCs w:val="24"/>
          <w:lang w:val="ro-RO"/>
        </w:rPr>
        <w:t xml:space="preserve"> </w:t>
      </w:r>
      <w:r w:rsidR="000413D9" w:rsidRPr="00865108">
        <w:rPr>
          <w:rFonts w:asciiTheme="majorHAnsi" w:hAnsiTheme="majorHAnsi" w:cstheme="majorHAnsi"/>
          <w:lang w:val="ro-RO"/>
        </w:rPr>
        <w:t xml:space="preserve">Национальная </w:t>
      </w:r>
      <w:proofErr w:type="gramStart"/>
      <w:r w:rsidR="000413D9" w:rsidRPr="00865108">
        <w:rPr>
          <w:rFonts w:asciiTheme="majorHAnsi" w:hAnsiTheme="majorHAnsi" w:cstheme="majorHAnsi"/>
          <w:lang w:val="ro-RO"/>
        </w:rPr>
        <w:t>арена</w:t>
      </w:r>
      <w:r w:rsidR="000413D9" w:rsidRPr="00865108">
        <w:rPr>
          <w:rFonts w:asciiTheme="majorHAnsi" w:hAnsiTheme="majorHAnsi" w:cstheme="majorHAnsi"/>
          <w:lang w:val="ru-RU"/>
        </w:rPr>
        <w:t xml:space="preserve"> </w:t>
      </w:r>
      <w:r w:rsidRPr="0052195D">
        <w:rPr>
          <w:rFonts w:asciiTheme="majorHAnsi" w:hAnsiTheme="majorHAnsi" w:cstheme="majorHAnsi"/>
          <w:lang w:val="ru-RU"/>
        </w:rPr>
        <w:t>”</w:t>
      </w:r>
      <w:proofErr w:type="gramEnd"/>
      <w:r w:rsidRPr="0052195D">
        <w:rPr>
          <w:rFonts w:asciiTheme="majorHAnsi" w:hAnsiTheme="majorHAnsi" w:cstheme="majorHAnsi"/>
          <w:lang w:val="ru-RU"/>
        </w:rPr>
        <w:t xml:space="preserve">. </w:t>
      </w:r>
    </w:p>
  </w:footnote>
  <w:footnote w:id="77">
    <w:p w:rsidR="001A3EA6" w:rsidRPr="0052195D" w:rsidRDefault="001A3EA6" w:rsidP="0052195D">
      <w:pPr>
        <w:pStyle w:val="FootnoteText"/>
        <w:jc w:val="both"/>
        <w:rPr>
          <w:rFonts w:asciiTheme="majorHAnsi" w:hAnsiTheme="majorHAnsi" w:cstheme="majorHAnsi"/>
          <w:lang w:val="ru-RU"/>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RU"/>
        </w:rPr>
        <w:t>Решение о регистрации изменений от 23.09.2020, Дополнительный акт от 23.09.2020 „Об изменениях и дополнениях, внесенных в Государственный реестр юридических лиц, и осуществляемых в Уставе ООО „</w:t>
      </w:r>
      <w:r w:rsidRPr="0052195D">
        <w:rPr>
          <w:rFonts w:asciiTheme="majorHAnsi" w:hAnsiTheme="majorHAnsi" w:cstheme="majorHAnsi"/>
        </w:rPr>
        <w:t>Arena</w:t>
      </w:r>
      <w:r w:rsidRPr="0052195D">
        <w:rPr>
          <w:rFonts w:asciiTheme="majorHAnsi" w:hAnsiTheme="majorHAnsi" w:cstheme="majorHAnsi"/>
          <w:lang w:val="ru-RU"/>
        </w:rPr>
        <w:t xml:space="preserve"> </w:t>
      </w:r>
      <w:r w:rsidRPr="0052195D">
        <w:rPr>
          <w:rFonts w:asciiTheme="majorHAnsi" w:hAnsiTheme="majorHAnsi" w:cstheme="majorHAnsi"/>
        </w:rPr>
        <w:t>Na</w:t>
      </w:r>
      <w:r w:rsidRPr="0052195D">
        <w:rPr>
          <w:rFonts w:asciiTheme="majorHAnsi" w:hAnsiTheme="majorHAnsi" w:cstheme="majorHAnsi"/>
          <w:lang w:val="ru-RU"/>
        </w:rPr>
        <w:t>ț</w:t>
      </w:r>
      <w:r w:rsidRPr="0052195D">
        <w:rPr>
          <w:rFonts w:asciiTheme="majorHAnsi" w:hAnsiTheme="majorHAnsi" w:cstheme="majorHAnsi"/>
        </w:rPr>
        <w:t>ional</w:t>
      </w:r>
      <w:r w:rsidRPr="0052195D">
        <w:rPr>
          <w:rFonts w:asciiTheme="majorHAnsi" w:hAnsiTheme="majorHAnsi" w:cstheme="majorHAnsi"/>
          <w:lang w:val="ru-RU"/>
        </w:rPr>
        <w:t>ă” №1018600026006 от 30.05.2018”.</w:t>
      </w:r>
    </w:p>
  </w:footnote>
  <w:footnote w:id="78">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ПП №222 от 03.04.2019 „О</w:t>
      </w:r>
      <w:r w:rsidRPr="0052195D">
        <w:rPr>
          <w:rFonts w:asciiTheme="majorHAnsi" w:hAnsiTheme="majorHAnsi" w:cstheme="majorHAnsi"/>
          <w:bCs/>
          <w:lang w:val="ru-RU"/>
        </w:rPr>
        <w:t xml:space="preserve"> переводе объектов недвижимого имущества из публичной сферы государства в частную сферу государства, об обмене объектов и о внесении изменений в некоторые приложения к постановлениям Правительства</w:t>
      </w:r>
      <w:r w:rsidRPr="0052195D">
        <w:rPr>
          <w:rFonts w:asciiTheme="majorHAnsi" w:hAnsiTheme="majorHAnsi" w:cstheme="majorHAnsi"/>
          <w:lang w:val="ru-MD"/>
        </w:rPr>
        <w:t>”.</w:t>
      </w:r>
    </w:p>
  </w:footnote>
  <w:footnote w:id="79">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Кадастровые номера: 0100423.282, 0100108.971 и 0100103.404.</w:t>
      </w:r>
    </w:p>
  </w:footnote>
  <w:footnote w:id="80">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Согласно Венской конвенции о консульских отношениях от 24.04.63, консульские помещения и резиденция главы консульского поста, на которых акредитующее государство или любое лицо, действующее от имени этого государства, является собственником или арендатором, освобождаются от любых налогов и сборов любого рода, национальных, региональных или коммунальных, за исключением таких сборов, которые представляют собой плату за конкретные виды услуг. </w:t>
      </w:r>
    </w:p>
  </w:footnote>
  <w:footnote w:id="81">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„Получение внешних займов на проекты, финансируемые из внешних источников от международных финансовых организаций” (70096) – 160,4 млн. леев, Проект „Взаимоподключение электроэнергетических систем Республики Молдова и Румынии через станцию Back-to-Back и LEA 400 kV „Vulcănești-Chișinău” (70200) – 9,4 млн. леев, Проект „Повышение эффективности сектора централизованного теплоснабжения (SACET/DHEIP)” (70110) – 20,9 млн. леев, Проект закупок локомотивов и реструктуризации железнодорожной инфраструктуры (70124) - 268,6 млн. леев.</w:t>
      </w:r>
    </w:p>
  </w:footnote>
  <w:footnote w:id="82">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Проект „Экстренный ответ на COVID-19 и поддержка микро, малых и средних предприятий” (70304) – 4,2 млн. леев, Проект „Повышение конкурентоспособности II” (70074) – 85,1 млн. леев, Проект „Livada Moldovei” (70092) - 328,2 млн. леев, Проект „Сельская программа экономической и климатической инклюзивной устойчивости (IFAD VI)” (70104) – 23,2 млн. леев, Проект „Программа устойчивости сельских районов (IFAD VII)” (70201) – 50,3 млн. леев.</w:t>
      </w:r>
    </w:p>
  </w:footnote>
  <w:footnote w:id="83">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ПП №338 от 03.06.2020 „</w:t>
      </w:r>
      <w:r w:rsidRPr="0052195D">
        <w:rPr>
          <w:rFonts w:asciiTheme="majorHAnsi" w:hAnsiTheme="majorHAnsi" w:cstheme="majorHAnsi"/>
          <w:lang w:val="ru-RU"/>
        </w:rPr>
        <w:t xml:space="preserve">Об Офисе управления </w:t>
      </w:r>
      <w:proofErr w:type="gramStart"/>
      <w:r w:rsidRPr="0052195D">
        <w:rPr>
          <w:rFonts w:asciiTheme="majorHAnsi" w:hAnsiTheme="majorHAnsi" w:cstheme="majorHAnsi"/>
          <w:lang w:val="ru-RU"/>
        </w:rPr>
        <w:t>программами</w:t>
      </w:r>
      <w:r w:rsidRPr="0052195D">
        <w:rPr>
          <w:rFonts w:asciiTheme="majorHAnsi" w:hAnsiTheme="majorHAnsi" w:cstheme="majorHAnsi"/>
          <w:lang w:val="en-GB"/>
        </w:rPr>
        <w:t> </w:t>
      </w:r>
      <w:r w:rsidRPr="0052195D">
        <w:rPr>
          <w:rFonts w:asciiTheme="majorHAnsi" w:hAnsiTheme="majorHAnsi" w:cstheme="majorHAnsi"/>
          <w:lang w:val="ru-RU"/>
        </w:rPr>
        <w:t xml:space="preserve"> внешней</w:t>
      </w:r>
      <w:proofErr w:type="gramEnd"/>
      <w:r w:rsidRPr="0052195D">
        <w:rPr>
          <w:rFonts w:asciiTheme="majorHAnsi" w:hAnsiTheme="majorHAnsi" w:cstheme="majorHAnsi"/>
          <w:lang w:val="ru-RU"/>
        </w:rPr>
        <w:t xml:space="preserve"> помощ</w:t>
      </w:r>
      <w:r w:rsidRPr="0052195D">
        <w:rPr>
          <w:rFonts w:asciiTheme="majorHAnsi" w:eastAsia="Times New Roman" w:hAnsiTheme="majorHAnsi" w:cstheme="majorHAnsi"/>
          <w:lang w:val="ru-MD"/>
        </w:rPr>
        <w:t>”.</w:t>
      </w:r>
    </w:p>
  </w:footnote>
  <w:footnote w:id="84">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Законом о государственном бюджете на 2020 год №172 от 19.12.2019.</w:t>
      </w:r>
    </w:p>
  </w:footnote>
  <w:footnote w:id="85">
    <w:p w:rsidR="001A3EA6" w:rsidRPr="0052195D" w:rsidRDefault="001A3EA6" w:rsidP="0052195D">
      <w:pPr>
        <w:pStyle w:val="Heading4"/>
        <w:shd w:val="clear" w:color="auto" w:fill="FFFFFF"/>
        <w:spacing w:before="0"/>
        <w:jc w:val="both"/>
        <w:rPr>
          <w:rFonts w:cstheme="majorHAnsi"/>
          <w:i w:val="0"/>
          <w:color w:val="000000" w:themeColor="text1"/>
          <w:sz w:val="20"/>
          <w:szCs w:val="20"/>
          <w:lang w:val="ru-MD"/>
        </w:rPr>
      </w:pPr>
      <w:r w:rsidRPr="0052195D">
        <w:rPr>
          <w:rStyle w:val="FootnoteReference"/>
          <w:rFonts w:cstheme="majorHAnsi"/>
          <w:i w:val="0"/>
          <w:color w:val="000000" w:themeColor="text1"/>
          <w:sz w:val="20"/>
          <w:szCs w:val="20"/>
          <w:lang w:val="ru-MD"/>
        </w:rPr>
        <w:footnoteRef/>
      </w:r>
      <w:r w:rsidRPr="0052195D">
        <w:rPr>
          <w:rFonts w:cstheme="majorHAnsi"/>
          <w:i w:val="0"/>
          <w:color w:val="000000" w:themeColor="text1"/>
          <w:sz w:val="20"/>
          <w:szCs w:val="20"/>
          <w:lang w:val="ru-MD"/>
        </w:rPr>
        <w:t xml:space="preserve"> Закон </w:t>
      </w:r>
      <w:r w:rsidRPr="0052195D">
        <w:rPr>
          <w:rFonts w:cstheme="majorHAnsi"/>
          <w:bCs/>
          <w:i w:val="0"/>
          <w:color w:val="000000" w:themeColor="text1"/>
          <w:sz w:val="20"/>
          <w:szCs w:val="20"/>
          <w:lang w:val="ru-MD"/>
        </w:rPr>
        <w:t>об учреждении некоторых мер поддержки предпринимательской деятельности и о внесении изменений в некоторые нормативные акты №</w:t>
      </w:r>
      <w:r w:rsidRPr="0052195D">
        <w:rPr>
          <w:rFonts w:cstheme="majorHAnsi"/>
          <w:i w:val="0"/>
          <w:color w:val="000000" w:themeColor="text1"/>
          <w:sz w:val="20"/>
          <w:szCs w:val="20"/>
          <w:lang w:val="ru-MD"/>
        </w:rPr>
        <w:t>60 от 23.04.2020.</w:t>
      </w:r>
    </w:p>
  </w:footnote>
  <w:footnote w:id="86">
    <w:p w:rsidR="001A3EA6" w:rsidRPr="0052195D" w:rsidRDefault="001A3EA6" w:rsidP="0052195D">
      <w:pPr>
        <w:pStyle w:val="FootnoteText"/>
        <w:jc w:val="both"/>
        <w:rPr>
          <w:rFonts w:asciiTheme="majorHAnsi" w:eastAsia="Times New Roman" w:hAnsiTheme="majorHAnsi" w:cstheme="majorHAnsi"/>
          <w:color w:val="000000" w:themeColor="text1"/>
          <w:lang w:val="ru-MD" w:eastAsia="ro-RO"/>
        </w:rPr>
      </w:pPr>
      <w:r w:rsidRPr="0052195D">
        <w:rPr>
          <w:rStyle w:val="FootnoteReference"/>
          <w:rFonts w:asciiTheme="majorHAnsi" w:hAnsiTheme="majorHAnsi" w:cstheme="majorHAnsi"/>
          <w:color w:val="000000" w:themeColor="text1"/>
          <w:lang w:val="ru-MD"/>
        </w:rPr>
        <w:footnoteRef/>
      </w:r>
      <w:r w:rsidRPr="0052195D">
        <w:rPr>
          <w:rFonts w:asciiTheme="majorHAnsi" w:hAnsiTheme="majorHAnsi" w:cstheme="majorHAnsi"/>
          <w:color w:val="000000" w:themeColor="text1"/>
          <w:lang w:val="ru-MD"/>
        </w:rPr>
        <w:t xml:space="preserve"> </w:t>
      </w:r>
      <w:r w:rsidRPr="0052195D">
        <w:rPr>
          <w:rFonts w:asciiTheme="majorHAnsi" w:eastAsia="Times New Roman" w:hAnsiTheme="majorHAnsi" w:cstheme="majorHAnsi"/>
          <w:color w:val="000000" w:themeColor="text1"/>
          <w:lang w:val="ru-MD" w:eastAsia="ro-RO"/>
        </w:rPr>
        <w:t xml:space="preserve">Закон №178 от 19.12.2019 </w:t>
      </w:r>
      <w:r w:rsidRPr="0052195D">
        <w:rPr>
          <w:rFonts w:asciiTheme="majorHAnsi" w:hAnsiTheme="majorHAnsi" w:cstheme="majorHAnsi"/>
          <w:color w:val="000000" w:themeColor="text1"/>
          <w:lang w:val="ru-MD"/>
        </w:rPr>
        <w:t xml:space="preserve">о внесении изменений в </w:t>
      </w:r>
      <w:r w:rsidRPr="0052195D">
        <w:rPr>
          <w:rFonts w:asciiTheme="majorHAnsi" w:eastAsia="Times New Roman" w:hAnsiTheme="majorHAnsi" w:cstheme="majorHAnsi"/>
          <w:color w:val="000000" w:themeColor="text1"/>
          <w:lang w:val="ru-MD" w:eastAsia="ro-RO"/>
        </w:rPr>
        <w:t>Закон о местных публичных финансах №397/2003.</w:t>
      </w:r>
    </w:p>
  </w:footnote>
  <w:footnote w:id="87">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color w:val="000000" w:themeColor="text1"/>
          <w:lang w:val="ru-MD"/>
        </w:rPr>
        <w:footnoteRef/>
      </w:r>
      <w:r w:rsidRPr="0052195D">
        <w:rPr>
          <w:rFonts w:asciiTheme="majorHAnsi" w:hAnsiTheme="majorHAnsi" w:cstheme="majorHAnsi"/>
          <w:color w:val="000000" w:themeColor="text1"/>
          <w:lang w:val="ru-MD"/>
        </w:rPr>
        <w:t xml:space="preserve"> Закон №122 от 16.08.2019 о внесении изменений в некоторые законодательные акты (в части изменений в ст.</w:t>
      </w:r>
      <w:proofErr w:type="gramStart"/>
      <w:r w:rsidRPr="0052195D">
        <w:rPr>
          <w:rFonts w:asciiTheme="majorHAnsi" w:hAnsiTheme="majorHAnsi" w:cstheme="majorHAnsi"/>
          <w:color w:val="000000" w:themeColor="text1"/>
          <w:lang w:val="ru-MD"/>
        </w:rPr>
        <w:t>33  (</w:t>
      </w:r>
      <w:proofErr w:type="gramEnd"/>
      <w:r w:rsidRPr="0052195D">
        <w:rPr>
          <w:rFonts w:asciiTheme="majorHAnsi" w:hAnsiTheme="majorHAnsi" w:cstheme="majorHAnsi"/>
          <w:color w:val="000000" w:themeColor="text1"/>
          <w:lang w:val="ru-MD"/>
        </w:rPr>
        <w:t>1) Налогового кодекса).</w:t>
      </w:r>
    </w:p>
  </w:footnote>
  <w:footnote w:id="88">
    <w:p w:rsidR="001A3EA6" w:rsidRPr="0052195D" w:rsidRDefault="001A3EA6" w:rsidP="0052195D">
      <w:pPr>
        <w:pStyle w:val="Heading4"/>
        <w:shd w:val="clear" w:color="auto" w:fill="FFFFFF"/>
        <w:spacing w:before="0" w:line="240" w:lineRule="auto"/>
        <w:jc w:val="both"/>
        <w:rPr>
          <w:rFonts w:cstheme="majorHAnsi"/>
          <w:sz w:val="20"/>
          <w:szCs w:val="20"/>
          <w:lang w:val="ru-MD"/>
        </w:rPr>
      </w:pPr>
      <w:r w:rsidRPr="0052195D">
        <w:rPr>
          <w:rStyle w:val="FootnoteReference"/>
          <w:rFonts w:cstheme="majorHAnsi"/>
          <w:i w:val="0"/>
          <w:color w:val="auto"/>
          <w:sz w:val="20"/>
          <w:szCs w:val="20"/>
          <w:lang w:val="ru-MD"/>
        </w:rPr>
        <w:footnoteRef/>
      </w:r>
      <w:r w:rsidRPr="0052195D">
        <w:rPr>
          <w:rFonts w:eastAsia="Times New Roman" w:cstheme="majorHAnsi"/>
          <w:bCs/>
          <w:i w:val="0"/>
          <w:iCs w:val="0"/>
          <w:color w:val="auto"/>
          <w:sz w:val="20"/>
          <w:szCs w:val="20"/>
          <w:lang w:val="ru-MD" w:eastAsia="ro-RO"/>
        </w:rPr>
        <w:t xml:space="preserve"> Ст. III. Закона №</w:t>
      </w:r>
      <w:r w:rsidRPr="0052195D">
        <w:rPr>
          <w:rFonts w:eastAsia="Times New Roman" w:cstheme="majorHAnsi"/>
          <w:i w:val="0"/>
          <w:iCs w:val="0"/>
          <w:color w:val="auto"/>
          <w:sz w:val="20"/>
          <w:szCs w:val="20"/>
          <w:lang w:val="ru-MD" w:eastAsia="ro-RO"/>
        </w:rPr>
        <w:t xml:space="preserve">97 от 26.07.2019 </w:t>
      </w:r>
      <w:r w:rsidRPr="0052195D">
        <w:rPr>
          <w:rFonts w:eastAsia="Times New Roman" w:cstheme="majorHAnsi"/>
          <w:bCs/>
          <w:i w:val="0"/>
          <w:color w:val="auto"/>
          <w:sz w:val="20"/>
          <w:szCs w:val="20"/>
          <w:lang w:val="ru-MD" w:eastAsia="ro-RO"/>
        </w:rPr>
        <w:t>о внесении изменений в некоторые законодательные акты</w:t>
      </w:r>
      <w:r w:rsidRPr="0052195D">
        <w:rPr>
          <w:rFonts w:eastAsia="Times New Roman" w:cstheme="majorHAnsi"/>
          <w:bCs/>
          <w:i w:val="0"/>
          <w:color w:val="000000" w:themeColor="text1"/>
          <w:sz w:val="20"/>
          <w:szCs w:val="20"/>
          <w:lang w:val="ru-MD" w:eastAsia="ro-RO"/>
        </w:rPr>
        <w:t>.</w:t>
      </w:r>
    </w:p>
  </w:footnote>
  <w:footnote w:id="89">
    <w:p w:rsidR="001A3EA6" w:rsidRPr="0052195D" w:rsidRDefault="001A3EA6" w:rsidP="0052195D">
      <w:pPr>
        <w:spacing w:after="0" w:line="240" w:lineRule="auto"/>
        <w:rPr>
          <w:rFonts w:asciiTheme="majorHAnsi" w:hAnsiTheme="majorHAnsi" w:cstheme="majorHAnsi"/>
          <w:sz w:val="20"/>
          <w:szCs w:val="20"/>
          <w:lang w:val="ru-MD"/>
        </w:rPr>
      </w:pPr>
      <w:r w:rsidRPr="0052195D">
        <w:rPr>
          <w:rStyle w:val="FootnoteReference"/>
          <w:rFonts w:asciiTheme="majorHAnsi" w:hAnsiTheme="majorHAnsi" w:cstheme="majorHAnsi"/>
          <w:color w:val="000000" w:themeColor="text1"/>
          <w:sz w:val="20"/>
          <w:szCs w:val="20"/>
          <w:lang w:val="ru-MD"/>
        </w:rPr>
        <w:footnoteRef/>
      </w:r>
      <w:r w:rsidRPr="0052195D">
        <w:rPr>
          <w:rFonts w:asciiTheme="majorHAnsi" w:eastAsia="Times New Roman" w:hAnsiTheme="majorHAnsi" w:cstheme="majorHAnsi"/>
          <w:bCs/>
          <w:color w:val="333333"/>
          <w:sz w:val="20"/>
          <w:szCs w:val="20"/>
          <w:lang w:val="ru-MD" w:eastAsia="ro-RO"/>
        </w:rPr>
        <w:t>Ст. I Закона №</w:t>
      </w:r>
      <w:r w:rsidRPr="0052195D">
        <w:rPr>
          <w:rFonts w:asciiTheme="majorHAnsi" w:eastAsia="Times New Roman" w:hAnsiTheme="majorHAnsi" w:cstheme="majorHAnsi"/>
          <w:color w:val="333333"/>
          <w:sz w:val="20"/>
          <w:szCs w:val="20"/>
          <w:lang w:val="ru-MD" w:eastAsia="ro-RO"/>
        </w:rPr>
        <w:t xml:space="preserve"> 171</w:t>
      </w:r>
      <w:r w:rsidRPr="0052195D">
        <w:rPr>
          <w:rFonts w:asciiTheme="majorHAnsi" w:eastAsia="Times New Roman" w:hAnsiTheme="majorHAnsi" w:cstheme="majorHAnsi"/>
          <w:iCs/>
          <w:color w:val="333333"/>
          <w:sz w:val="20"/>
          <w:szCs w:val="20"/>
          <w:lang w:val="ru-MD" w:eastAsia="ro-RO"/>
        </w:rPr>
        <w:t xml:space="preserve"> </w:t>
      </w:r>
      <w:r w:rsidRPr="0052195D">
        <w:rPr>
          <w:rFonts w:asciiTheme="majorHAnsi" w:eastAsia="Times New Roman" w:hAnsiTheme="majorHAnsi" w:cstheme="majorHAnsi"/>
          <w:color w:val="333333"/>
          <w:sz w:val="20"/>
          <w:szCs w:val="20"/>
          <w:lang w:val="ru-MD" w:eastAsia="ro-RO"/>
        </w:rPr>
        <w:t>от 19.12.2019</w:t>
      </w:r>
      <w:r w:rsidRPr="0052195D">
        <w:rPr>
          <w:rFonts w:asciiTheme="majorHAnsi" w:eastAsia="Times New Roman" w:hAnsiTheme="majorHAnsi" w:cstheme="majorHAnsi"/>
          <w:iCs/>
          <w:color w:val="333333"/>
          <w:sz w:val="20"/>
          <w:szCs w:val="20"/>
          <w:lang w:val="ru-MD" w:eastAsia="ro-RO"/>
        </w:rPr>
        <w:t xml:space="preserve"> </w:t>
      </w:r>
      <w:r w:rsidRPr="0052195D">
        <w:rPr>
          <w:rFonts w:asciiTheme="majorHAnsi" w:eastAsia="Times New Roman" w:hAnsiTheme="majorHAnsi" w:cstheme="majorHAnsi"/>
          <w:bCs/>
          <w:color w:val="333333"/>
          <w:sz w:val="20"/>
          <w:szCs w:val="20"/>
          <w:lang w:val="ru-MD" w:eastAsia="ro-RO"/>
        </w:rPr>
        <w:t>о внесении изменений в некоторые законодательные акты.</w:t>
      </w:r>
    </w:p>
  </w:footnote>
  <w:footnote w:id="90">
    <w:p w:rsidR="001A3EA6" w:rsidRPr="0052195D" w:rsidRDefault="001A3EA6" w:rsidP="0052195D">
      <w:pPr>
        <w:spacing w:after="0" w:line="240" w:lineRule="auto"/>
        <w:rPr>
          <w:rFonts w:asciiTheme="majorHAnsi" w:hAnsiTheme="majorHAnsi" w:cstheme="majorHAnsi"/>
          <w:sz w:val="20"/>
          <w:szCs w:val="20"/>
          <w:lang w:val="ru-MD"/>
        </w:rPr>
      </w:pPr>
      <w:r w:rsidRPr="0052195D">
        <w:rPr>
          <w:rStyle w:val="FootnoteReference"/>
          <w:rFonts w:asciiTheme="majorHAnsi" w:hAnsiTheme="majorHAnsi" w:cstheme="majorHAnsi"/>
          <w:sz w:val="20"/>
          <w:szCs w:val="20"/>
          <w:lang w:val="ru-MD"/>
        </w:rPr>
        <w:footnoteRef/>
      </w:r>
      <w:r w:rsidRPr="0052195D">
        <w:rPr>
          <w:rFonts w:asciiTheme="majorHAnsi" w:eastAsia="Times New Roman" w:hAnsiTheme="majorHAnsi" w:cstheme="majorHAnsi"/>
          <w:bCs/>
          <w:color w:val="333333"/>
          <w:sz w:val="20"/>
          <w:szCs w:val="20"/>
          <w:lang w:val="ru-MD" w:eastAsia="ro-RO"/>
        </w:rPr>
        <w:t>Закон №</w:t>
      </w:r>
      <w:r w:rsidRPr="0052195D">
        <w:rPr>
          <w:rFonts w:asciiTheme="majorHAnsi" w:eastAsia="Times New Roman" w:hAnsiTheme="majorHAnsi" w:cstheme="majorHAnsi"/>
          <w:color w:val="333333"/>
          <w:sz w:val="20"/>
          <w:szCs w:val="20"/>
          <w:lang w:val="ru-MD" w:eastAsia="ro-RO"/>
        </w:rPr>
        <w:t>171</w:t>
      </w:r>
      <w:r w:rsidRPr="0052195D">
        <w:rPr>
          <w:rFonts w:asciiTheme="majorHAnsi" w:eastAsia="Times New Roman" w:hAnsiTheme="majorHAnsi" w:cstheme="majorHAnsi"/>
          <w:iCs/>
          <w:color w:val="333333"/>
          <w:sz w:val="20"/>
          <w:szCs w:val="20"/>
          <w:lang w:val="ru-MD" w:eastAsia="ro-RO"/>
        </w:rPr>
        <w:t xml:space="preserve"> </w:t>
      </w:r>
      <w:r w:rsidRPr="0052195D">
        <w:rPr>
          <w:rFonts w:asciiTheme="majorHAnsi" w:eastAsia="Times New Roman" w:hAnsiTheme="majorHAnsi" w:cstheme="majorHAnsi"/>
          <w:color w:val="333333"/>
          <w:sz w:val="20"/>
          <w:szCs w:val="20"/>
          <w:lang w:val="ru-MD" w:eastAsia="ro-RO"/>
        </w:rPr>
        <w:t>от 19.12.2019</w:t>
      </w:r>
      <w:r w:rsidRPr="0052195D">
        <w:rPr>
          <w:rFonts w:asciiTheme="majorHAnsi" w:eastAsia="Times New Roman" w:hAnsiTheme="majorHAnsi" w:cstheme="majorHAnsi"/>
          <w:iCs/>
          <w:color w:val="333333"/>
          <w:sz w:val="20"/>
          <w:szCs w:val="20"/>
          <w:lang w:val="ru-MD" w:eastAsia="ro-RO"/>
        </w:rPr>
        <w:t xml:space="preserve"> </w:t>
      </w:r>
      <w:r w:rsidRPr="0052195D">
        <w:rPr>
          <w:rFonts w:asciiTheme="majorHAnsi" w:eastAsia="Times New Roman" w:hAnsiTheme="majorHAnsi" w:cstheme="majorHAnsi"/>
          <w:bCs/>
          <w:color w:val="333333"/>
          <w:sz w:val="20"/>
          <w:szCs w:val="20"/>
          <w:lang w:val="ru-MD" w:eastAsia="ro-RO"/>
        </w:rPr>
        <w:t>о внесении изменений в некоторые законодательные акты.</w:t>
      </w:r>
    </w:p>
  </w:footnote>
  <w:footnote w:id="91">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Закон о Национальном банке Молдовы №548-XIII от 21.07.1995, опубликованный повторно в Официальном мониторе Республики Молдова №297-300/544 от 30.10.2015.</w:t>
      </w:r>
    </w:p>
  </w:footnote>
  <w:footnote w:id="92">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w:t>
      </w:r>
      <w:r w:rsidRPr="0052195D">
        <w:rPr>
          <w:rFonts w:asciiTheme="majorHAnsi" w:eastAsia="Times New Roman" w:hAnsiTheme="majorHAnsi" w:cstheme="majorHAnsi"/>
          <w:bCs/>
          <w:color w:val="333333"/>
          <w:shd w:val="clear" w:color="auto" w:fill="FFFFFF"/>
          <w:lang w:val="ru-MD" w:eastAsia="ro-RO"/>
        </w:rPr>
        <w:t>Ст. III.</w:t>
      </w:r>
      <w:r w:rsidRPr="0052195D">
        <w:rPr>
          <w:rFonts w:asciiTheme="majorHAnsi" w:eastAsia="Times New Roman" w:hAnsiTheme="majorHAnsi" w:cstheme="majorHAnsi"/>
          <w:b/>
          <w:bCs/>
          <w:color w:val="333333"/>
          <w:shd w:val="clear" w:color="auto" w:fill="FFFFFF"/>
          <w:lang w:val="ru-MD" w:eastAsia="ro-RO"/>
        </w:rPr>
        <w:t xml:space="preserve"> </w:t>
      </w:r>
      <w:r w:rsidRPr="0052195D">
        <w:rPr>
          <w:rFonts w:asciiTheme="majorHAnsi" w:eastAsia="Times New Roman" w:hAnsiTheme="majorHAnsi" w:cstheme="majorHAnsi"/>
          <w:color w:val="333333"/>
          <w:shd w:val="clear" w:color="auto" w:fill="FFFFFF"/>
          <w:lang w:val="ru-MD" w:eastAsia="ro-RO"/>
        </w:rPr>
        <w:t xml:space="preserve">Закона </w:t>
      </w:r>
      <w:r w:rsidRPr="0052195D">
        <w:rPr>
          <w:rFonts w:asciiTheme="majorHAnsi" w:eastAsia="Times New Roman" w:hAnsiTheme="majorHAnsi" w:cstheme="majorHAnsi"/>
          <w:bCs/>
          <w:color w:val="333333"/>
          <w:shd w:val="clear" w:color="auto" w:fill="FFFFFF"/>
          <w:lang w:val="ru-MD" w:eastAsia="ro-RO"/>
        </w:rPr>
        <w:t xml:space="preserve">о внесении изменений в некоторые законодательные акты </w:t>
      </w:r>
      <w:r w:rsidRPr="0052195D">
        <w:rPr>
          <w:rFonts w:asciiTheme="majorHAnsi" w:eastAsia="Times New Roman" w:hAnsiTheme="majorHAnsi" w:cstheme="majorHAnsi"/>
          <w:color w:val="333333"/>
          <w:shd w:val="clear" w:color="auto" w:fill="FFFFFF"/>
          <w:lang w:val="ru-MD" w:eastAsia="ro-RO"/>
        </w:rPr>
        <w:t>№</w:t>
      </w:r>
      <w:r w:rsidRPr="0052195D">
        <w:rPr>
          <w:rFonts w:asciiTheme="majorHAnsi" w:hAnsiTheme="majorHAnsi" w:cstheme="majorHAnsi"/>
          <w:color w:val="000000" w:themeColor="text1"/>
          <w:lang w:val="ru-MD"/>
        </w:rPr>
        <w:t>122 от 16.08.2019.</w:t>
      </w:r>
    </w:p>
  </w:footnote>
  <w:footnote w:id="93">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Понятие </w:t>
      </w:r>
      <w:r w:rsidRPr="0052195D">
        <w:rPr>
          <w:rFonts w:asciiTheme="majorHAnsi" w:hAnsiTheme="majorHAnsi" w:cstheme="majorHAnsi"/>
          <w:i/>
          <w:lang w:val="ru-MD"/>
        </w:rPr>
        <w:t>расходы</w:t>
      </w:r>
      <w:r w:rsidRPr="0052195D">
        <w:rPr>
          <w:rFonts w:asciiTheme="majorHAnsi" w:hAnsiTheme="majorHAnsi" w:cstheme="majorHAnsi"/>
          <w:lang w:val="ru-MD"/>
        </w:rPr>
        <w:t xml:space="preserve"> включает все ЭБК 2</w:t>
      </w:r>
      <w:r w:rsidRPr="0052195D">
        <w:rPr>
          <w:rFonts w:asciiTheme="majorHAnsi" w:hAnsiTheme="majorHAnsi" w:cstheme="majorHAnsi"/>
          <w:i/>
          <w:lang w:val="ru-MD"/>
        </w:rPr>
        <w:t xml:space="preserve"> </w:t>
      </w:r>
      <w:r w:rsidRPr="0052195D">
        <w:rPr>
          <w:rFonts w:asciiTheme="majorHAnsi" w:hAnsiTheme="majorHAnsi" w:cstheme="majorHAnsi"/>
          <w:lang w:val="ru-MD"/>
        </w:rPr>
        <w:t>„Расходы” и ЭБК 3 „Финансовые активы”.</w:t>
      </w:r>
    </w:p>
  </w:footnote>
  <w:footnote w:id="94">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Письмо МФ №06/1-17/37 от 29.07.2020.</w:t>
      </w:r>
    </w:p>
  </w:footnote>
  <w:footnote w:id="95">
    <w:p w:rsidR="001A3EA6" w:rsidRPr="0052195D" w:rsidRDefault="001A3EA6" w:rsidP="0052195D">
      <w:pPr>
        <w:pStyle w:val="FootnoteText"/>
        <w:jc w:val="both"/>
        <w:rPr>
          <w:rFonts w:asciiTheme="majorHAnsi" w:hAnsiTheme="majorHAnsi" w:cstheme="majorHAnsi"/>
          <w:lang w:val="ru-MD"/>
        </w:rPr>
      </w:pPr>
      <w:r w:rsidRPr="0052195D">
        <w:rPr>
          <w:rStyle w:val="FootnoteReference"/>
          <w:rFonts w:asciiTheme="majorHAnsi" w:hAnsiTheme="majorHAnsi" w:cstheme="majorHAnsi"/>
          <w:lang w:val="ru-MD"/>
        </w:rPr>
        <w:footnoteRef/>
      </w:r>
      <w:r w:rsidRPr="0052195D">
        <w:rPr>
          <w:rFonts w:asciiTheme="majorHAnsi" w:hAnsiTheme="majorHAnsi" w:cstheme="majorHAnsi"/>
          <w:lang w:val="ru-MD"/>
        </w:rPr>
        <w:t xml:space="preserve"> Закон </w:t>
      </w:r>
      <w:r w:rsidRPr="0052195D">
        <w:rPr>
          <w:rFonts w:asciiTheme="majorHAnsi" w:hAnsiTheme="majorHAnsi" w:cstheme="majorHAnsi"/>
          <w:bCs/>
          <w:lang w:val="ru-MD"/>
        </w:rPr>
        <w:t>о долге публичного сектора, государственных гарантиях и государственном рекредитовании №</w:t>
      </w:r>
      <w:r w:rsidRPr="0052195D">
        <w:rPr>
          <w:rFonts w:asciiTheme="majorHAnsi" w:eastAsia="Times New Roman" w:hAnsiTheme="majorHAnsi" w:cstheme="majorHAnsi"/>
          <w:lang w:val="ru-MD"/>
        </w:rPr>
        <w:t>419 от 22.12.2006.</w:t>
      </w:r>
    </w:p>
  </w:footnote>
  <w:footnote w:id="96">
    <w:p w:rsidR="001A3EA6" w:rsidRPr="00A77060" w:rsidRDefault="001A3EA6" w:rsidP="006F53B7">
      <w:pPr>
        <w:pStyle w:val="FootnoteText"/>
        <w:rPr>
          <w:rFonts w:ascii="Calibri Light" w:hAnsi="Calibri Light"/>
          <w:sz w:val="18"/>
          <w:szCs w:val="18"/>
          <w:lang w:val="ru-RU"/>
        </w:rPr>
      </w:pPr>
      <w:r w:rsidRPr="00A77060">
        <w:rPr>
          <w:rStyle w:val="FootnoteReference"/>
          <w:rFonts w:ascii="Calibri Light" w:hAnsi="Calibri Light" w:cstheme="majorHAnsi"/>
          <w:sz w:val="18"/>
          <w:szCs w:val="18"/>
          <w:lang w:val="ru-RU"/>
        </w:rPr>
        <w:footnoteRef/>
      </w:r>
      <w:r w:rsidRPr="00A77060">
        <w:rPr>
          <w:rFonts w:ascii="Calibri Light" w:hAnsi="Calibri Light" w:cstheme="majorHAnsi"/>
          <w:sz w:val="18"/>
          <w:szCs w:val="18"/>
          <w:lang w:val="ru-RU"/>
        </w:rPr>
        <w:t xml:space="preserve"> Ст.4 Закона о государственном бюджете на 2020 год №172 от 19</w:t>
      </w:r>
      <w:r w:rsidRPr="00A77060">
        <w:rPr>
          <w:rFonts w:ascii="Calibri Light" w:hAnsi="Calibri Light" w:cstheme="majorHAnsi"/>
          <w:color w:val="000000"/>
          <w:sz w:val="18"/>
          <w:szCs w:val="18"/>
          <w:lang w:val="ru-RU"/>
        </w:rPr>
        <w:t>.12.2019.</w:t>
      </w:r>
    </w:p>
  </w:footnote>
  <w:footnote w:id="97">
    <w:p w:rsidR="001A3EA6" w:rsidRPr="00A77060" w:rsidRDefault="001A3EA6" w:rsidP="006F53B7">
      <w:pPr>
        <w:pStyle w:val="FootnoteText"/>
        <w:jc w:val="both"/>
        <w:rPr>
          <w:rStyle w:val="FootnoteReference"/>
          <w:rFonts w:ascii="Calibri Light" w:hAnsi="Calibri Light" w:cstheme="majorHAnsi"/>
          <w:sz w:val="18"/>
          <w:szCs w:val="18"/>
          <w:lang w:val="ru-RU"/>
        </w:rPr>
      </w:pPr>
      <w:r w:rsidRPr="00A77060">
        <w:rPr>
          <w:rStyle w:val="FootnoteReference"/>
          <w:rFonts w:ascii="Calibri Light" w:hAnsi="Calibri Light" w:cstheme="majorHAnsi"/>
          <w:sz w:val="18"/>
          <w:szCs w:val="18"/>
          <w:lang w:val="ru-RU"/>
        </w:rPr>
        <w:footnoteRef/>
      </w:r>
      <w:r w:rsidRPr="00A77060">
        <w:rPr>
          <w:rFonts w:ascii="Calibri Light" w:hAnsi="Calibri Light" w:cstheme="majorHAnsi"/>
          <w:sz w:val="18"/>
          <w:szCs w:val="18"/>
          <w:lang w:val="ru-RU"/>
        </w:rPr>
        <w:t xml:space="preserve"> Ст.11 Закона о местных публичных финансах №397-XV от 16.10.2003.</w:t>
      </w:r>
      <w:r w:rsidRPr="00A77060">
        <w:rPr>
          <w:rStyle w:val="FootnoteReference"/>
          <w:rFonts w:ascii="Calibri Light" w:hAnsi="Calibri Light" w:cstheme="majorHAnsi"/>
          <w:sz w:val="18"/>
          <w:szCs w:val="18"/>
          <w:lang w:val="ru-RU"/>
        </w:rPr>
        <w:t xml:space="preserve"> </w:t>
      </w:r>
    </w:p>
  </w:footnote>
  <w:footnote w:id="98">
    <w:p w:rsidR="001A3EA6" w:rsidRPr="00A77060" w:rsidRDefault="001A3EA6" w:rsidP="006F53B7">
      <w:pPr>
        <w:pStyle w:val="FootnoteText"/>
        <w:jc w:val="both"/>
        <w:rPr>
          <w:rFonts w:ascii="Calibri Light" w:hAnsi="Calibri Light" w:cstheme="majorHAnsi"/>
          <w:sz w:val="18"/>
          <w:szCs w:val="18"/>
          <w:vertAlign w:val="superscript"/>
          <w:lang w:val="ru-RU"/>
        </w:rPr>
      </w:pPr>
      <w:r w:rsidRPr="00A77060">
        <w:rPr>
          <w:rStyle w:val="FootnoteReference"/>
          <w:rFonts w:ascii="Calibri Light" w:hAnsi="Calibri Light" w:cstheme="majorHAnsi"/>
          <w:sz w:val="18"/>
          <w:szCs w:val="18"/>
          <w:lang w:val="ru-RU"/>
        </w:rPr>
        <w:footnoteRef/>
      </w:r>
      <w:r w:rsidRPr="00A77060">
        <w:rPr>
          <w:rFonts w:ascii="Calibri Light" w:hAnsi="Calibri Light" w:cstheme="majorHAnsi"/>
          <w:sz w:val="18"/>
          <w:szCs w:val="18"/>
          <w:lang w:val="ru-RU"/>
        </w:rPr>
        <w:t xml:space="preserve"> Ст.12 Закона о местных публичных финансах №397-XV от 16.10.2003.</w:t>
      </w:r>
      <w:r w:rsidRPr="00A77060">
        <w:rPr>
          <w:rStyle w:val="FootnoteReference"/>
          <w:rFonts w:ascii="Calibri Light" w:hAnsi="Calibri Light" w:cstheme="majorHAnsi"/>
          <w:sz w:val="18"/>
          <w:szCs w:val="18"/>
          <w:lang w:val="ru-RU"/>
        </w:rPr>
        <w:t xml:space="preserve"> </w:t>
      </w:r>
    </w:p>
  </w:footnote>
  <w:footnote w:id="99">
    <w:p w:rsidR="001A3EA6" w:rsidRPr="00A77060" w:rsidRDefault="001A3EA6" w:rsidP="006F53B7">
      <w:pPr>
        <w:pStyle w:val="FootnoteText"/>
        <w:jc w:val="both"/>
        <w:rPr>
          <w:rFonts w:asciiTheme="majorHAnsi" w:hAnsiTheme="majorHAnsi" w:cstheme="majorHAnsi"/>
          <w:sz w:val="18"/>
          <w:szCs w:val="18"/>
          <w:lang w:val="ru-RU"/>
        </w:rPr>
      </w:pPr>
      <w:r w:rsidRPr="00A77060">
        <w:rPr>
          <w:rStyle w:val="FootnoteReference"/>
          <w:rFonts w:ascii="Calibri Light" w:hAnsi="Calibri Light" w:cstheme="majorHAnsi"/>
          <w:sz w:val="18"/>
          <w:szCs w:val="18"/>
          <w:lang w:val="ru-RU"/>
        </w:rPr>
        <w:footnoteRef/>
      </w:r>
      <w:r w:rsidRPr="00A77060">
        <w:rPr>
          <w:rFonts w:ascii="Calibri Light" w:hAnsi="Calibri Light" w:cstheme="majorHAnsi"/>
          <w:sz w:val="18"/>
          <w:szCs w:val="18"/>
          <w:lang w:val="ru-RU"/>
        </w:rPr>
        <w:t>Приложение №7. Объем трансфертов из государственного бюджета местным бюджетам к Закону о государственном бюджете на 2020 год №172/2019</w:t>
      </w:r>
      <w:r w:rsidRPr="00A77060">
        <w:rPr>
          <w:rFonts w:asciiTheme="majorHAnsi" w:hAnsiTheme="majorHAnsi" w:cstheme="majorHAnsi"/>
          <w:sz w:val="18"/>
          <w:szCs w:val="18"/>
          <w:lang w:val="ru-RU"/>
        </w:rPr>
        <w:t>.</w:t>
      </w:r>
    </w:p>
  </w:footnote>
  <w:footnote w:id="100">
    <w:p w:rsidR="001A3EA6" w:rsidRPr="00A77060" w:rsidRDefault="001A3EA6" w:rsidP="006F53B7">
      <w:pPr>
        <w:pStyle w:val="FootnoteText"/>
        <w:jc w:val="both"/>
        <w:rPr>
          <w:rFonts w:ascii="Calibri Light" w:hAnsi="Calibri Light" w:cstheme="majorHAnsi"/>
          <w:sz w:val="18"/>
          <w:szCs w:val="18"/>
          <w:shd w:val="clear" w:color="auto" w:fill="FFFFFF"/>
          <w:lang w:val="ru-RU"/>
        </w:rPr>
      </w:pPr>
      <w:r w:rsidRPr="00A77060">
        <w:rPr>
          <w:rStyle w:val="FootnoteReference"/>
          <w:rFonts w:ascii="Calibri Light" w:hAnsi="Calibri Light" w:cstheme="majorHAnsi"/>
          <w:sz w:val="18"/>
          <w:szCs w:val="18"/>
          <w:lang w:val="ru-RU"/>
        </w:rPr>
        <w:footnoteRef/>
      </w:r>
      <w:r w:rsidRPr="00A77060">
        <w:rPr>
          <w:rFonts w:ascii="Calibri Light" w:hAnsi="Calibri Light" w:cstheme="majorHAnsi"/>
          <w:sz w:val="18"/>
          <w:szCs w:val="18"/>
          <w:shd w:val="clear" w:color="auto" w:fill="FFFFFF"/>
          <w:lang w:val="ru-RU"/>
        </w:rPr>
        <w:t xml:space="preserve"> Компенсации лицам, подвергшимся политическим репрессиям – 1,6 млн. леев;</w:t>
      </w:r>
      <w:r w:rsidRPr="00A77060">
        <w:rPr>
          <w:lang w:val="ru-RU"/>
        </w:rPr>
        <w:t xml:space="preserve"> </w:t>
      </w:r>
      <w:r w:rsidRPr="00A77060">
        <w:rPr>
          <w:rFonts w:ascii="Calibri Light" w:hAnsi="Calibri Light" w:cstheme="majorHAnsi"/>
          <w:sz w:val="18"/>
          <w:szCs w:val="18"/>
          <w:shd w:val="clear" w:color="auto" w:fill="FFFFFF"/>
          <w:lang w:val="ru-RU"/>
        </w:rPr>
        <w:t xml:space="preserve">единовременные пособия для строительства или покупки жилья и единовременные компенсации для подключения к газопроводу некоторых категорий населения из сельской местности </w:t>
      </w:r>
      <w:r w:rsidRPr="00A77060">
        <w:rPr>
          <w:rFonts w:ascii="Calibri Light" w:hAnsi="Calibri Light" w:cstheme="majorHAnsi"/>
          <w:sz w:val="18"/>
          <w:szCs w:val="18"/>
          <w:lang w:val="ru-RU"/>
        </w:rPr>
        <w:t xml:space="preserve">– 0,7 </w:t>
      </w:r>
      <w:r w:rsidRPr="00A77060">
        <w:rPr>
          <w:rFonts w:ascii="Calibri Light" w:hAnsi="Calibri Light" w:cstheme="majorHAnsi"/>
          <w:sz w:val="18"/>
          <w:szCs w:val="18"/>
          <w:shd w:val="clear" w:color="auto" w:fill="FFFFFF"/>
          <w:lang w:val="ru-RU"/>
        </w:rPr>
        <w:t xml:space="preserve">млн. леев; поддержка программы грантов для инициатив молодежи на местном уровне </w:t>
      </w:r>
      <w:r w:rsidRPr="00A77060">
        <w:rPr>
          <w:rFonts w:ascii="Calibri Light" w:hAnsi="Calibri Light" w:cstheme="majorHAnsi"/>
          <w:sz w:val="18"/>
          <w:szCs w:val="18"/>
          <w:lang w:val="ru-RU"/>
        </w:rPr>
        <w:t xml:space="preserve">– 0,7 </w:t>
      </w:r>
      <w:r w:rsidRPr="00A77060">
        <w:rPr>
          <w:rFonts w:ascii="Calibri Light" w:hAnsi="Calibri Light" w:cstheme="majorHAnsi"/>
          <w:sz w:val="18"/>
          <w:szCs w:val="18"/>
          <w:shd w:val="clear" w:color="auto" w:fill="FFFFFF"/>
          <w:lang w:val="ru-RU"/>
        </w:rPr>
        <w:t>млн. леев.</w:t>
      </w:r>
    </w:p>
  </w:footnote>
  <w:footnote w:id="101">
    <w:p w:rsidR="001A3EA6" w:rsidRPr="00A77060" w:rsidRDefault="001A3EA6" w:rsidP="006F53B7">
      <w:pPr>
        <w:spacing w:after="0" w:line="240" w:lineRule="auto"/>
        <w:rPr>
          <w:rFonts w:ascii="Calibri Light" w:hAnsi="Calibri Light" w:cstheme="majorHAnsi"/>
          <w:sz w:val="18"/>
          <w:szCs w:val="18"/>
          <w:lang w:val="ru-RU"/>
        </w:rPr>
      </w:pPr>
      <w:r w:rsidRPr="00A77060">
        <w:rPr>
          <w:rStyle w:val="FootnoteReference"/>
          <w:rFonts w:ascii="Calibri Light" w:hAnsi="Calibri Light" w:cstheme="majorHAnsi"/>
          <w:sz w:val="18"/>
          <w:szCs w:val="18"/>
          <w:lang w:val="ru-RU"/>
        </w:rPr>
        <w:footnoteRef/>
      </w:r>
      <w:r w:rsidRPr="00A77060">
        <w:rPr>
          <w:rFonts w:ascii="Calibri Light" w:hAnsi="Calibri Light" w:cstheme="majorHAnsi"/>
          <w:sz w:val="18"/>
          <w:szCs w:val="18"/>
          <w:lang w:val="ru-RU"/>
        </w:rPr>
        <w:t xml:space="preserve"> Оплата </w:t>
      </w:r>
      <w:r w:rsidRPr="00A77060">
        <w:rPr>
          <w:rFonts w:ascii="Calibri Light" w:eastAsia="Times New Roman" w:hAnsi="Calibri Light" w:cs="Times New Roman"/>
          <w:sz w:val="18"/>
          <w:szCs w:val="18"/>
          <w:lang w:val="ru-RU"/>
        </w:rPr>
        <w:t xml:space="preserve">исполнительных документов МФ представляет собой выплату рекламаций 5 физическим лицам, которые были лишены своей собственности, а именно </w:t>
      </w:r>
      <w:r w:rsidRPr="00A77060">
        <w:rPr>
          <w:rFonts w:ascii="Calibri Light" w:eastAsia="Times New Roman" w:hAnsi="Calibri Light" w:cstheme="majorHAnsi"/>
          <w:sz w:val="18"/>
          <w:szCs w:val="18"/>
          <w:lang w:val="ru-RU"/>
        </w:rPr>
        <w:t>2385 м</w:t>
      </w:r>
      <w:r w:rsidRPr="00A77060">
        <w:rPr>
          <w:rFonts w:ascii="Calibri Light" w:eastAsia="Times New Roman" w:hAnsi="Calibri Light" w:cstheme="majorHAnsi"/>
          <w:sz w:val="18"/>
          <w:szCs w:val="18"/>
          <w:vertAlign w:val="superscript"/>
          <w:lang w:val="ru-RU"/>
        </w:rPr>
        <w:t xml:space="preserve">2 </w:t>
      </w:r>
      <w:r w:rsidRPr="00A77060">
        <w:rPr>
          <w:rFonts w:ascii="Calibri Light" w:eastAsia="Times New Roman" w:hAnsi="Calibri Light" w:cstheme="majorHAnsi"/>
          <w:sz w:val="18"/>
          <w:szCs w:val="18"/>
          <w:lang w:val="ru-RU"/>
        </w:rPr>
        <w:t>коммерческих площадей из Торгового дома „Gemeni”.</w:t>
      </w:r>
    </w:p>
  </w:footnote>
  <w:footnote w:id="102">
    <w:p w:rsidR="001A3EA6" w:rsidRPr="00A77060" w:rsidRDefault="001A3EA6" w:rsidP="006F53B7">
      <w:pPr>
        <w:pStyle w:val="FootnoteText"/>
        <w:jc w:val="both"/>
        <w:rPr>
          <w:rFonts w:ascii="Calibri Light" w:hAnsi="Calibri Light" w:cstheme="majorHAnsi"/>
          <w:sz w:val="18"/>
          <w:szCs w:val="18"/>
          <w:lang w:val="ru-RU"/>
        </w:rPr>
      </w:pPr>
      <w:r w:rsidRPr="00A77060">
        <w:rPr>
          <w:rStyle w:val="FootnoteReference"/>
          <w:rFonts w:ascii="Calibri Light" w:hAnsi="Calibri Light" w:cstheme="majorHAnsi"/>
          <w:sz w:val="18"/>
          <w:szCs w:val="18"/>
          <w:lang w:val="ru-RU"/>
        </w:rPr>
        <w:footnoteRef/>
      </w:r>
      <w:r w:rsidRPr="00A77060">
        <w:rPr>
          <w:rFonts w:ascii="Calibri Light" w:hAnsi="Calibri Light" w:cstheme="majorHAnsi"/>
          <w:sz w:val="18"/>
          <w:szCs w:val="18"/>
          <w:lang w:val="ru-RU"/>
        </w:rPr>
        <w:t xml:space="preserve"> </w:t>
      </w:r>
      <w:r w:rsidRPr="00A77060">
        <w:rPr>
          <w:rFonts w:ascii="Calibri Light" w:hAnsi="Calibri Light" w:cstheme="majorHAnsi"/>
          <w:i/>
          <w:sz w:val="18"/>
          <w:szCs w:val="18"/>
          <w:lang w:val="ru-RU"/>
        </w:rPr>
        <w:t>ГБ – совокупность доходов, расходов и источников финансирования, предназначенных для реализации функций центральных публичных органов, за исключением собственных функций государственной системы социального страхования и системы обязательного медицинского страхования, а также для установления отношений с другими бюджетами.</w:t>
      </w:r>
    </w:p>
  </w:footnote>
  <w:footnote w:id="103">
    <w:p w:rsidR="001A3EA6" w:rsidRPr="00A77060" w:rsidRDefault="001A3EA6" w:rsidP="006F53B7">
      <w:pPr>
        <w:pStyle w:val="FootnoteText"/>
        <w:jc w:val="both"/>
        <w:rPr>
          <w:rFonts w:ascii="Calibri Light" w:hAnsi="Calibri Light" w:cstheme="majorHAnsi"/>
          <w:sz w:val="18"/>
          <w:szCs w:val="18"/>
          <w:lang w:val="ru-RU"/>
        </w:rPr>
      </w:pPr>
      <w:r w:rsidRPr="00A77060">
        <w:rPr>
          <w:rStyle w:val="FootnoteReference"/>
          <w:rFonts w:ascii="Calibri Light" w:hAnsi="Calibri Light" w:cstheme="majorHAnsi"/>
          <w:sz w:val="18"/>
          <w:szCs w:val="18"/>
          <w:lang w:val="ru-RU"/>
        </w:rPr>
        <w:footnoteRef/>
      </w:r>
      <w:r w:rsidRPr="00A77060">
        <w:rPr>
          <w:rFonts w:ascii="Calibri Light" w:hAnsi="Calibri Light" w:cstheme="majorHAnsi"/>
          <w:sz w:val="18"/>
          <w:szCs w:val="18"/>
          <w:lang w:val="ru-RU"/>
        </w:rPr>
        <w:t xml:space="preserve"> Ст.26 Закона о публичных финансах и налогово-бюджетной ответственности №181 от 25.07.2014.</w:t>
      </w:r>
    </w:p>
  </w:footnote>
  <w:footnote w:id="104">
    <w:p w:rsidR="001A3EA6" w:rsidRPr="00A77060" w:rsidRDefault="001A3EA6" w:rsidP="006F53B7">
      <w:pPr>
        <w:pStyle w:val="FootnoteText"/>
        <w:jc w:val="both"/>
        <w:rPr>
          <w:rFonts w:ascii="Calibri Light" w:hAnsi="Calibri Light" w:cs="Times New Roman"/>
          <w:sz w:val="18"/>
          <w:szCs w:val="18"/>
          <w:lang w:val="ru-RU"/>
        </w:rPr>
      </w:pPr>
      <w:r w:rsidRPr="00A77060">
        <w:rPr>
          <w:rStyle w:val="FootnoteReference"/>
          <w:rFonts w:ascii="Calibri Light" w:hAnsi="Calibri Light" w:cstheme="majorHAnsi"/>
          <w:sz w:val="18"/>
          <w:szCs w:val="18"/>
          <w:lang w:val="ru-RU"/>
        </w:rPr>
        <w:footnoteRef/>
      </w:r>
      <w:r w:rsidRPr="00A77060">
        <w:rPr>
          <w:rFonts w:ascii="Calibri Light" w:hAnsi="Calibri Light" w:cstheme="majorHAnsi"/>
          <w:sz w:val="18"/>
          <w:szCs w:val="18"/>
          <w:lang w:val="ru-RU"/>
        </w:rPr>
        <w:t xml:space="preserve"> Форма №14 „Отчет об исполнении национального публичного бюджета”, утвержденная Приказом МФ №18 от 27.01.2020.</w:t>
      </w:r>
    </w:p>
  </w:footnote>
  <w:footnote w:id="105">
    <w:p w:rsidR="001A3EA6" w:rsidRPr="00A77060" w:rsidRDefault="001A3EA6" w:rsidP="006F53B7">
      <w:pPr>
        <w:pStyle w:val="NormalWeb"/>
        <w:spacing w:after="0" w:line="240" w:lineRule="auto"/>
        <w:rPr>
          <w:rFonts w:ascii="Calibri Light" w:hAnsi="Calibri Light" w:cstheme="majorHAnsi"/>
          <w:i/>
          <w:sz w:val="18"/>
          <w:szCs w:val="18"/>
          <w:lang w:val="ru-RU"/>
        </w:rPr>
      </w:pPr>
      <w:r w:rsidRPr="00A77060">
        <w:rPr>
          <w:rStyle w:val="FootnoteReference"/>
          <w:rFonts w:ascii="Calibri Light" w:hAnsi="Calibri Light" w:cstheme="majorHAnsi"/>
          <w:sz w:val="18"/>
          <w:szCs w:val="18"/>
          <w:lang w:val="ru-RU"/>
        </w:rPr>
        <w:footnoteRef/>
      </w:r>
      <w:r w:rsidRPr="00A77060">
        <w:rPr>
          <w:rFonts w:ascii="Calibri Light" w:hAnsi="Calibri Light" w:cstheme="majorHAnsi"/>
          <w:sz w:val="18"/>
          <w:szCs w:val="18"/>
          <w:lang w:val="ru-RU"/>
        </w:rPr>
        <w:t>Ст.19 Закона №</w:t>
      </w:r>
      <w:r w:rsidRPr="00A77060">
        <w:rPr>
          <w:rFonts w:ascii="Calibri Light" w:hAnsi="Calibri Light" w:cstheme="majorHAnsi"/>
          <w:bCs/>
          <w:sz w:val="18"/>
          <w:szCs w:val="18"/>
          <w:lang w:val="ru-RU"/>
        </w:rPr>
        <w:t>181 от 25.07.2014:</w:t>
      </w:r>
      <w:r w:rsidRPr="00A77060">
        <w:rPr>
          <w:rFonts w:ascii="Calibri Light" w:hAnsi="Calibri Light" w:cstheme="majorHAnsi"/>
          <w:sz w:val="18"/>
          <w:szCs w:val="18"/>
          <w:lang w:val="ru-RU"/>
        </w:rPr>
        <w:t xml:space="preserve"> </w:t>
      </w:r>
      <w:r w:rsidRPr="00A77060">
        <w:rPr>
          <w:rFonts w:ascii="Calibri Light" w:hAnsi="Calibri Light" w:cstheme="majorHAnsi"/>
          <w:sz w:val="18"/>
          <w:szCs w:val="18"/>
          <w:lang w:val="ru-RU" w:eastAsia="ro-RO"/>
        </w:rPr>
        <w:t>,,</w:t>
      </w:r>
      <w:r w:rsidRPr="00A77060">
        <w:rPr>
          <w:rFonts w:ascii="Calibri Light" w:hAnsi="Calibri Light" w:cstheme="majorHAnsi"/>
          <w:i/>
          <w:sz w:val="18"/>
          <w:szCs w:val="18"/>
          <w:lang w:val="ru-RU" w:eastAsia="ro-RO"/>
        </w:rPr>
        <w:t xml:space="preserve">обеспечивает устойчивость программы управления и других документов политик с налогово-бюджетной точки зрения; утверждает прогноз бюджета на среднесрочный период, утверждает и представляет Парламенту проекты годовых законов о бюджете, а также проекты законов о внесении изменений в бюджеты; принимает постановления о перераспределении ассигнований в условиях ст.60 </w:t>
      </w:r>
      <w:r w:rsidRPr="00A77060">
        <w:rPr>
          <w:rFonts w:ascii="Calibri Light" w:hAnsi="Calibri Light" w:cstheme="majorHAnsi"/>
          <w:i/>
          <w:sz w:val="18"/>
          <w:szCs w:val="18"/>
          <w:lang w:val="ru-RU"/>
        </w:rPr>
        <w:t>(1) a); обеспечивает эффективное и прозрачное управление резервным фондом и интервенционным фондом Правительства и др.</w:t>
      </w:r>
    </w:p>
  </w:footnote>
  <w:footnote w:id="106">
    <w:p w:rsidR="001A3EA6" w:rsidRPr="00A77060" w:rsidRDefault="001A3EA6" w:rsidP="006F53B7">
      <w:pPr>
        <w:pStyle w:val="FootnoteText"/>
        <w:jc w:val="both"/>
        <w:rPr>
          <w:rFonts w:ascii="Calibri Light" w:hAnsi="Calibri Light" w:cstheme="majorHAnsi"/>
          <w:sz w:val="18"/>
          <w:szCs w:val="18"/>
          <w:lang w:val="ru-RU"/>
        </w:rPr>
      </w:pPr>
      <w:r w:rsidRPr="00A77060">
        <w:rPr>
          <w:rStyle w:val="FootnoteReference"/>
          <w:rFonts w:ascii="Calibri Light" w:hAnsi="Calibri Light" w:cstheme="majorHAnsi"/>
          <w:sz w:val="18"/>
          <w:szCs w:val="18"/>
          <w:lang w:val="ru-RU"/>
        </w:rPr>
        <w:footnoteRef/>
      </w:r>
      <w:r w:rsidRPr="00A77060">
        <w:rPr>
          <w:rFonts w:ascii="Calibri Light" w:hAnsi="Calibri Light" w:cstheme="majorHAnsi"/>
          <w:sz w:val="18"/>
          <w:szCs w:val="18"/>
          <w:lang w:val="ru-RU"/>
        </w:rPr>
        <w:t xml:space="preserve"> Ст.20 Закона №181 от 25.07.2014.</w:t>
      </w:r>
    </w:p>
  </w:footnote>
  <w:footnote w:id="107">
    <w:p w:rsidR="001A3EA6" w:rsidRPr="00A77060" w:rsidRDefault="001A3EA6" w:rsidP="006F53B7">
      <w:pPr>
        <w:pStyle w:val="NoSpacing"/>
        <w:jc w:val="both"/>
        <w:rPr>
          <w:rFonts w:ascii="Calibri Light" w:hAnsi="Calibri Light" w:cstheme="majorHAnsi"/>
          <w:sz w:val="18"/>
          <w:szCs w:val="18"/>
        </w:rPr>
      </w:pPr>
      <w:r w:rsidRPr="00A77060">
        <w:rPr>
          <w:rStyle w:val="FootnoteReference"/>
          <w:rFonts w:ascii="Calibri Light" w:hAnsi="Calibri Light" w:cstheme="majorHAnsi"/>
          <w:sz w:val="18"/>
          <w:szCs w:val="18"/>
        </w:rPr>
        <w:footnoteRef/>
      </w:r>
      <w:r w:rsidRPr="00A77060">
        <w:rPr>
          <w:rFonts w:ascii="Calibri Light" w:hAnsi="Calibri Light" w:cstheme="majorHAnsi"/>
          <w:sz w:val="18"/>
          <w:szCs w:val="18"/>
        </w:rPr>
        <w:t xml:space="preserve"> Ст.73 Закона №</w:t>
      </w:r>
      <w:r w:rsidRPr="00A77060">
        <w:rPr>
          <w:rFonts w:ascii="Calibri Light" w:hAnsi="Calibri Light" w:cstheme="majorHAnsi"/>
          <w:bCs/>
          <w:sz w:val="18"/>
          <w:szCs w:val="18"/>
        </w:rPr>
        <w:t>181 от 25.07.2014</w:t>
      </w:r>
      <w:r w:rsidRPr="00A77060">
        <w:rPr>
          <w:rFonts w:ascii="Calibri Light" w:hAnsi="Calibri Light" w:cstheme="majorHAnsi"/>
          <w:sz w:val="18"/>
          <w:szCs w:val="18"/>
          <w:lang w:eastAsia="ro-RO"/>
        </w:rPr>
        <w:t>.</w:t>
      </w:r>
    </w:p>
  </w:footnote>
  <w:footnote w:id="108">
    <w:p w:rsidR="001A3EA6" w:rsidRPr="00A77060" w:rsidRDefault="001A3EA6" w:rsidP="006F53B7">
      <w:pPr>
        <w:pStyle w:val="FootnoteText"/>
        <w:jc w:val="both"/>
        <w:rPr>
          <w:rFonts w:ascii="Calibri Light" w:hAnsi="Calibri Light" w:cstheme="majorHAnsi"/>
          <w:sz w:val="18"/>
          <w:szCs w:val="18"/>
          <w:lang w:val="ru-RU"/>
        </w:rPr>
      </w:pPr>
      <w:r w:rsidRPr="00A77060">
        <w:rPr>
          <w:rStyle w:val="FootnoteReference"/>
          <w:rFonts w:ascii="Calibri Light" w:hAnsi="Calibri Light" w:cstheme="majorHAnsi"/>
          <w:sz w:val="18"/>
          <w:szCs w:val="18"/>
          <w:lang w:val="ru-RU"/>
        </w:rPr>
        <w:footnoteRef/>
      </w:r>
      <w:r w:rsidRPr="00A77060">
        <w:rPr>
          <w:rFonts w:ascii="Calibri Light" w:hAnsi="Calibri Light" w:cstheme="majorHAnsi"/>
          <w:sz w:val="18"/>
          <w:szCs w:val="18"/>
          <w:lang w:val="ru-RU"/>
        </w:rPr>
        <w:t xml:space="preserve"> Ст.74 Закона №181 от 25.07.2014.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48A2"/>
    <w:multiLevelType w:val="hybridMultilevel"/>
    <w:tmpl w:val="DB1C72EC"/>
    <w:lvl w:ilvl="0" w:tplc="00FE57FE">
      <w:start w:val="1"/>
      <w:numFmt w:val="decimal"/>
      <w:lvlText w:val="%1."/>
      <w:lvlJc w:val="left"/>
      <w:pPr>
        <w:ind w:left="720" w:hanging="360"/>
      </w:pPr>
      <w:rPr>
        <w:rFonts w:asciiTheme="majorHAnsi" w:eastAsia="Times New Roman" w:hAnsiTheme="majorHAnsi" w:cstheme="maj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8764C"/>
    <w:multiLevelType w:val="hybridMultilevel"/>
    <w:tmpl w:val="0798D4F2"/>
    <w:lvl w:ilvl="0" w:tplc="C69E140A">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AEF"/>
    <w:multiLevelType w:val="multilevel"/>
    <w:tmpl w:val="58C26136"/>
    <w:lvl w:ilvl="0">
      <w:start w:val="2"/>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6571DF"/>
    <w:multiLevelType w:val="hybridMultilevel"/>
    <w:tmpl w:val="77545996"/>
    <w:lvl w:ilvl="0" w:tplc="D166B5AE">
      <w:start w:val="1"/>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75BF"/>
    <w:multiLevelType w:val="multilevel"/>
    <w:tmpl w:val="DE923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762CE1"/>
    <w:multiLevelType w:val="hybridMultilevel"/>
    <w:tmpl w:val="6ADA8928"/>
    <w:lvl w:ilvl="0" w:tplc="4DF66E18">
      <w:numFmt w:val="bullet"/>
      <w:lvlText w:val="-"/>
      <w:lvlJc w:val="left"/>
      <w:pPr>
        <w:ind w:left="1069" w:hanging="360"/>
      </w:pPr>
      <w:rPr>
        <w:rFonts w:ascii="Calibri Light" w:eastAsiaTheme="minorHAnsi" w:hAnsi="Calibri Light" w:cs="Calibri Light"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787591B"/>
    <w:multiLevelType w:val="hybridMultilevel"/>
    <w:tmpl w:val="6ECE614E"/>
    <w:lvl w:ilvl="0" w:tplc="84A417AA">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73AE5"/>
    <w:multiLevelType w:val="hybridMultilevel"/>
    <w:tmpl w:val="09D8E28C"/>
    <w:lvl w:ilvl="0" w:tplc="DB84FEA0">
      <w:start w:val="1"/>
      <w:numFmt w:val="low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B8751B8"/>
    <w:multiLevelType w:val="hybridMultilevel"/>
    <w:tmpl w:val="29027EC2"/>
    <w:lvl w:ilvl="0" w:tplc="C69E140A">
      <w:numFmt w:val="bullet"/>
      <w:lvlText w:val="-"/>
      <w:lvlJc w:val="left"/>
      <w:pPr>
        <w:ind w:left="9149" w:hanging="360"/>
      </w:pPr>
      <w:rPr>
        <w:rFonts w:ascii="Calibri Light" w:eastAsia="Times New Roman" w:hAnsi="Calibri Light" w:cs="Calibri Light" w:hint="default"/>
      </w:rPr>
    </w:lvl>
    <w:lvl w:ilvl="1" w:tplc="04090003" w:tentative="1">
      <w:start w:val="1"/>
      <w:numFmt w:val="bullet"/>
      <w:lvlText w:val="o"/>
      <w:lvlJc w:val="left"/>
      <w:pPr>
        <w:ind w:left="9869" w:hanging="360"/>
      </w:pPr>
      <w:rPr>
        <w:rFonts w:ascii="Courier New" w:hAnsi="Courier New" w:cs="Courier New" w:hint="default"/>
      </w:rPr>
    </w:lvl>
    <w:lvl w:ilvl="2" w:tplc="04090005" w:tentative="1">
      <w:start w:val="1"/>
      <w:numFmt w:val="bullet"/>
      <w:lvlText w:val=""/>
      <w:lvlJc w:val="left"/>
      <w:pPr>
        <w:ind w:left="10589" w:hanging="360"/>
      </w:pPr>
      <w:rPr>
        <w:rFonts w:ascii="Wingdings" w:hAnsi="Wingdings" w:hint="default"/>
      </w:rPr>
    </w:lvl>
    <w:lvl w:ilvl="3" w:tplc="04090001" w:tentative="1">
      <w:start w:val="1"/>
      <w:numFmt w:val="bullet"/>
      <w:lvlText w:val=""/>
      <w:lvlJc w:val="left"/>
      <w:pPr>
        <w:ind w:left="11309" w:hanging="360"/>
      </w:pPr>
      <w:rPr>
        <w:rFonts w:ascii="Symbol" w:hAnsi="Symbol" w:hint="default"/>
      </w:rPr>
    </w:lvl>
    <w:lvl w:ilvl="4" w:tplc="04090003" w:tentative="1">
      <w:start w:val="1"/>
      <w:numFmt w:val="bullet"/>
      <w:lvlText w:val="o"/>
      <w:lvlJc w:val="left"/>
      <w:pPr>
        <w:ind w:left="12029" w:hanging="360"/>
      </w:pPr>
      <w:rPr>
        <w:rFonts w:ascii="Courier New" w:hAnsi="Courier New" w:cs="Courier New" w:hint="default"/>
      </w:rPr>
    </w:lvl>
    <w:lvl w:ilvl="5" w:tplc="04090005" w:tentative="1">
      <w:start w:val="1"/>
      <w:numFmt w:val="bullet"/>
      <w:lvlText w:val=""/>
      <w:lvlJc w:val="left"/>
      <w:pPr>
        <w:ind w:left="12749" w:hanging="360"/>
      </w:pPr>
      <w:rPr>
        <w:rFonts w:ascii="Wingdings" w:hAnsi="Wingdings" w:hint="default"/>
      </w:rPr>
    </w:lvl>
    <w:lvl w:ilvl="6" w:tplc="04090001" w:tentative="1">
      <w:start w:val="1"/>
      <w:numFmt w:val="bullet"/>
      <w:lvlText w:val=""/>
      <w:lvlJc w:val="left"/>
      <w:pPr>
        <w:ind w:left="13469" w:hanging="360"/>
      </w:pPr>
      <w:rPr>
        <w:rFonts w:ascii="Symbol" w:hAnsi="Symbol" w:hint="default"/>
      </w:rPr>
    </w:lvl>
    <w:lvl w:ilvl="7" w:tplc="04090003" w:tentative="1">
      <w:start w:val="1"/>
      <w:numFmt w:val="bullet"/>
      <w:lvlText w:val="o"/>
      <w:lvlJc w:val="left"/>
      <w:pPr>
        <w:ind w:left="14189" w:hanging="360"/>
      </w:pPr>
      <w:rPr>
        <w:rFonts w:ascii="Courier New" w:hAnsi="Courier New" w:cs="Courier New" w:hint="default"/>
      </w:rPr>
    </w:lvl>
    <w:lvl w:ilvl="8" w:tplc="04090005" w:tentative="1">
      <w:start w:val="1"/>
      <w:numFmt w:val="bullet"/>
      <w:lvlText w:val=""/>
      <w:lvlJc w:val="left"/>
      <w:pPr>
        <w:ind w:left="14909" w:hanging="360"/>
      </w:pPr>
      <w:rPr>
        <w:rFonts w:ascii="Wingdings" w:hAnsi="Wingdings" w:hint="default"/>
      </w:rPr>
    </w:lvl>
  </w:abstractNum>
  <w:abstractNum w:abstractNumId="9" w15:restartNumberingAfterBreak="0">
    <w:nsid w:val="1C0E06C3"/>
    <w:multiLevelType w:val="multilevel"/>
    <w:tmpl w:val="39942D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596ADD"/>
    <w:multiLevelType w:val="hybridMultilevel"/>
    <w:tmpl w:val="9872C466"/>
    <w:lvl w:ilvl="0" w:tplc="F5C62D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777908"/>
    <w:multiLevelType w:val="multilevel"/>
    <w:tmpl w:val="083AF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D56C6D"/>
    <w:multiLevelType w:val="multilevel"/>
    <w:tmpl w:val="EEBC2E30"/>
    <w:lvl w:ilvl="0">
      <w:start w:val="1"/>
      <w:numFmt w:val="decimal"/>
      <w:lvlText w:val="%1."/>
      <w:lvlJc w:val="left"/>
      <w:rPr>
        <w:rFonts w:asciiTheme="majorHAnsi" w:eastAsia="Calibri" w:hAnsiTheme="majorHAnsi" w:cstheme="majorHAnsi" w:hint="default"/>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1029F0"/>
    <w:multiLevelType w:val="hybridMultilevel"/>
    <w:tmpl w:val="50B83D60"/>
    <w:lvl w:ilvl="0" w:tplc="3792523C">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176B0E"/>
    <w:multiLevelType w:val="hybridMultilevel"/>
    <w:tmpl w:val="E7985D46"/>
    <w:lvl w:ilvl="0" w:tplc="B72C98F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A4AE5"/>
    <w:multiLevelType w:val="hybridMultilevel"/>
    <w:tmpl w:val="23E68E2E"/>
    <w:lvl w:ilvl="0" w:tplc="E930709C">
      <w:start w:val="1"/>
      <w:numFmt w:val="lowerRoman"/>
      <w:lvlText w:val="(%1)"/>
      <w:lvlJc w:val="left"/>
      <w:pPr>
        <w:ind w:left="1080" w:hanging="720"/>
      </w:pPr>
      <w:rPr>
        <w:rFonts w:cstheme="majorHAnsi"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332E0"/>
    <w:multiLevelType w:val="multilevel"/>
    <w:tmpl w:val="E06086A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F3019E"/>
    <w:multiLevelType w:val="hybridMultilevel"/>
    <w:tmpl w:val="5EE4EA9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3F205E95"/>
    <w:multiLevelType w:val="hybridMultilevel"/>
    <w:tmpl w:val="18E0981E"/>
    <w:lvl w:ilvl="0" w:tplc="04190001">
      <w:start w:val="1"/>
      <w:numFmt w:val="bullet"/>
      <w:lvlText w:val=""/>
      <w:lvlJc w:val="left"/>
      <w:pPr>
        <w:ind w:left="720" w:hanging="360"/>
      </w:pPr>
      <w:rPr>
        <w:rFonts w:ascii="Symbol" w:hAnsi="Symbol"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0A407F"/>
    <w:multiLevelType w:val="hybridMultilevel"/>
    <w:tmpl w:val="EB060668"/>
    <w:lvl w:ilvl="0" w:tplc="2E1A2AD4">
      <w:start w:val="3"/>
      <w:numFmt w:val="lowerRoman"/>
      <w:lvlText w:val="(%1)"/>
      <w:lvlJc w:val="left"/>
      <w:pPr>
        <w:ind w:left="1080" w:hanging="720"/>
      </w:pPr>
      <w:rPr>
        <w:rFonts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792FBB"/>
    <w:multiLevelType w:val="hybridMultilevel"/>
    <w:tmpl w:val="C592065E"/>
    <w:lvl w:ilvl="0" w:tplc="D37AA114">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2FF5792"/>
    <w:multiLevelType w:val="hybridMultilevel"/>
    <w:tmpl w:val="0E145FB4"/>
    <w:lvl w:ilvl="0" w:tplc="294E040E">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BB5BF5"/>
    <w:multiLevelType w:val="hybridMultilevel"/>
    <w:tmpl w:val="FC70D690"/>
    <w:lvl w:ilvl="0" w:tplc="D054DE6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45104"/>
    <w:multiLevelType w:val="hybridMultilevel"/>
    <w:tmpl w:val="596016AC"/>
    <w:lvl w:ilvl="0" w:tplc="02FE1A6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C267123"/>
    <w:multiLevelType w:val="hybridMultilevel"/>
    <w:tmpl w:val="15C205F8"/>
    <w:lvl w:ilvl="0" w:tplc="48E26764">
      <w:start w:val="1"/>
      <w:numFmt w:val="decimal"/>
      <w:lvlText w:val="%1."/>
      <w:lvlJc w:val="left"/>
      <w:pPr>
        <w:ind w:left="1429" w:hanging="360"/>
      </w:pPr>
      <w:rPr>
        <w:b/>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5C7D6D76"/>
    <w:multiLevelType w:val="hybridMultilevel"/>
    <w:tmpl w:val="283E2588"/>
    <w:lvl w:ilvl="0" w:tplc="3D20772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33327"/>
    <w:multiLevelType w:val="multilevel"/>
    <w:tmpl w:val="C8AAD0BE"/>
    <w:lvl w:ilvl="0">
      <w:start w:val="2"/>
      <w:numFmt w:val="decimal"/>
      <w:lvlText w:val="%1"/>
      <w:lvlJc w:val="left"/>
      <w:pPr>
        <w:ind w:left="576" w:hanging="576"/>
      </w:pPr>
      <w:rPr>
        <w:rFonts w:hint="default"/>
      </w:rPr>
    </w:lvl>
    <w:lvl w:ilvl="1">
      <w:start w:val="1"/>
      <w:numFmt w:val="decimal"/>
      <w:lvlText w:val="%1.%2"/>
      <w:lvlJc w:val="left"/>
      <w:pPr>
        <w:ind w:left="859" w:hanging="576"/>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15:restartNumberingAfterBreak="0">
    <w:nsid w:val="6A091ACB"/>
    <w:multiLevelType w:val="multilevel"/>
    <w:tmpl w:val="39942D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493F53"/>
    <w:multiLevelType w:val="hybridMultilevel"/>
    <w:tmpl w:val="1BB8B008"/>
    <w:lvl w:ilvl="0" w:tplc="D37AA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061DA"/>
    <w:multiLevelType w:val="hybridMultilevel"/>
    <w:tmpl w:val="C61CDA30"/>
    <w:lvl w:ilvl="0" w:tplc="00FE57FE">
      <w:start w:val="1"/>
      <w:numFmt w:val="decimal"/>
      <w:lvlText w:val="%1."/>
      <w:lvlJc w:val="left"/>
      <w:pPr>
        <w:ind w:left="720" w:hanging="360"/>
      </w:pPr>
      <w:rPr>
        <w:rFonts w:asciiTheme="majorHAnsi" w:eastAsia="Times New Roman" w:hAnsiTheme="majorHAnsi" w:cstheme="majorHAnsi"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847E48"/>
    <w:multiLevelType w:val="hybridMultilevel"/>
    <w:tmpl w:val="3E103952"/>
    <w:lvl w:ilvl="0" w:tplc="51B879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0179B"/>
    <w:multiLevelType w:val="hybridMultilevel"/>
    <w:tmpl w:val="53ECDF58"/>
    <w:lvl w:ilvl="0" w:tplc="CD2EECC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CB7248"/>
    <w:multiLevelType w:val="multilevel"/>
    <w:tmpl w:val="68A27860"/>
    <w:lvl w:ilvl="0">
      <w:start w:val="1"/>
      <w:numFmt w:val="upperRoman"/>
      <w:lvlText w:val="%1."/>
      <w:lvlJc w:val="left"/>
      <w:pPr>
        <w:ind w:left="720" w:hanging="720"/>
      </w:pPr>
      <w:rPr>
        <w:rFonts w:hint="default"/>
      </w:rPr>
    </w:lvl>
    <w:lvl w:ilvl="1">
      <w:start w:val="4"/>
      <w:numFmt w:val="decimal"/>
      <w:isLgl/>
      <w:lvlText w:val="%1.%2."/>
      <w:lvlJc w:val="left"/>
      <w:pPr>
        <w:ind w:left="756" w:hanging="396"/>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7B5672"/>
    <w:multiLevelType w:val="hybridMultilevel"/>
    <w:tmpl w:val="388CB0B6"/>
    <w:lvl w:ilvl="0" w:tplc="3CF4F192">
      <w:start w:val="2"/>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473E62"/>
    <w:multiLevelType w:val="hybridMultilevel"/>
    <w:tmpl w:val="C6E60D54"/>
    <w:lvl w:ilvl="0" w:tplc="9884A01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5"/>
  </w:num>
  <w:num w:numId="3">
    <w:abstractNumId w:val="31"/>
  </w:num>
  <w:num w:numId="4">
    <w:abstractNumId w:val="3"/>
  </w:num>
  <w:num w:numId="5">
    <w:abstractNumId w:val="8"/>
  </w:num>
  <w:num w:numId="6">
    <w:abstractNumId w:val="14"/>
  </w:num>
  <w:num w:numId="7">
    <w:abstractNumId w:val="28"/>
  </w:num>
  <w:num w:numId="8">
    <w:abstractNumId w:val="11"/>
  </w:num>
  <w:num w:numId="9">
    <w:abstractNumId w:val="4"/>
  </w:num>
  <w:num w:numId="10">
    <w:abstractNumId w:val="25"/>
  </w:num>
  <w:num w:numId="11">
    <w:abstractNumId w:val="1"/>
  </w:num>
  <w:num w:numId="12">
    <w:abstractNumId w:val="29"/>
  </w:num>
  <w:num w:numId="13">
    <w:abstractNumId w:val="24"/>
  </w:num>
  <w:num w:numId="14">
    <w:abstractNumId w:val="20"/>
  </w:num>
  <w:num w:numId="15">
    <w:abstractNumId w:val="34"/>
  </w:num>
  <w:num w:numId="16">
    <w:abstractNumId w:val="23"/>
  </w:num>
  <w:num w:numId="17">
    <w:abstractNumId w:val="21"/>
  </w:num>
  <w:num w:numId="18">
    <w:abstractNumId w:val="6"/>
  </w:num>
  <w:num w:numId="19">
    <w:abstractNumId w:val="0"/>
  </w:num>
  <w:num w:numId="20">
    <w:abstractNumId w:val="18"/>
  </w:num>
  <w:num w:numId="21">
    <w:abstractNumId w:val="15"/>
  </w:num>
  <w:num w:numId="22">
    <w:abstractNumId w:val="17"/>
  </w:num>
  <w:num w:numId="23">
    <w:abstractNumId w:val="1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6"/>
  </w:num>
  <w:num w:numId="27">
    <w:abstractNumId w:val="22"/>
  </w:num>
  <w:num w:numId="28">
    <w:abstractNumId w:val="30"/>
  </w:num>
  <w:num w:numId="29">
    <w:abstractNumId w:val="27"/>
  </w:num>
  <w:num w:numId="30">
    <w:abstractNumId w:val="33"/>
  </w:num>
  <w:num w:numId="31">
    <w:abstractNumId w:val="19"/>
  </w:num>
  <w:num w:numId="32">
    <w:abstractNumId w:val="9"/>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MD" w:vendorID="64" w:dllVersion="131078" w:nlCheck="1" w:checkStyle="0"/>
  <w:activeWritingStyle w:appName="MSWord" w:lang="ru-RU" w:vendorID="64" w:dllVersion="131078" w:nlCheck="1" w:checkStyle="0"/>
  <w:activeWritingStyle w:appName="MSWord" w:lang="en-GB" w:vendorID="64" w:dllVersion="131078" w:nlCheck="1" w:checkStyle="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3B"/>
    <w:rsid w:val="0000007F"/>
    <w:rsid w:val="000013EB"/>
    <w:rsid w:val="000024EC"/>
    <w:rsid w:val="000027B4"/>
    <w:rsid w:val="00003100"/>
    <w:rsid w:val="00003DC7"/>
    <w:rsid w:val="00003EB5"/>
    <w:rsid w:val="0000467A"/>
    <w:rsid w:val="00004DD0"/>
    <w:rsid w:val="00005092"/>
    <w:rsid w:val="000055FD"/>
    <w:rsid w:val="000073C0"/>
    <w:rsid w:val="00007515"/>
    <w:rsid w:val="00007543"/>
    <w:rsid w:val="00007DC9"/>
    <w:rsid w:val="00007FE3"/>
    <w:rsid w:val="000104B0"/>
    <w:rsid w:val="00010B66"/>
    <w:rsid w:val="00011832"/>
    <w:rsid w:val="0001262A"/>
    <w:rsid w:val="00012DD4"/>
    <w:rsid w:val="00013E3A"/>
    <w:rsid w:val="0001551B"/>
    <w:rsid w:val="00015B14"/>
    <w:rsid w:val="00015D87"/>
    <w:rsid w:val="00016750"/>
    <w:rsid w:val="00016DF7"/>
    <w:rsid w:val="0001794C"/>
    <w:rsid w:val="000200CB"/>
    <w:rsid w:val="00020E8B"/>
    <w:rsid w:val="00020F73"/>
    <w:rsid w:val="000210B5"/>
    <w:rsid w:val="000211AD"/>
    <w:rsid w:val="00021C0E"/>
    <w:rsid w:val="00021CEB"/>
    <w:rsid w:val="000225EF"/>
    <w:rsid w:val="00022D11"/>
    <w:rsid w:val="00024A6E"/>
    <w:rsid w:val="000253AD"/>
    <w:rsid w:val="0002603D"/>
    <w:rsid w:val="00026A79"/>
    <w:rsid w:val="00026EA3"/>
    <w:rsid w:val="0002771A"/>
    <w:rsid w:val="00027BF3"/>
    <w:rsid w:val="00030275"/>
    <w:rsid w:val="00030AAC"/>
    <w:rsid w:val="00030E5A"/>
    <w:rsid w:val="00031B9C"/>
    <w:rsid w:val="000324A2"/>
    <w:rsid w:val="0003260D"/>
    <w:rsid w:val="00034197"/>
    <w:rsid w:val="000352D9"/>
    <w:rsid w:val="00035941"/>
    <w:rsid w:val="00035D52"/>
    <w:rsid w:val="00036096"/>
    <w:rsid w:val="000366D0"/>
    <w:rsid w:val="00036953"/>
    <w:rsid w:val="00037C1C"/>
    <w:rsid w:val="00037F41"/>
    <w:rsid w:val="000413D9"/>
    <w:rsid w:val="000419E1"/>
    <w:rsid w:val="00041A2F"/>
    <w:rsid w:val="00042543"/>
    <w:rsid w:val="0004280C"/>
    <w:rsid w:val="00042B0A"/>
    <w:rsid w:val="0004459C"/>
    <w:rsid w:val="00044627"/>
    <w:rsid w:val="00044DBB"/>
    <w:rsid w:val="00045EE7"/>
    <w:rsid w:val="00046B82"/>
    <w:rsid w:val="0004717E"/>
    <w:rsid w:val="000471DC"/>
    <w:rsid w:val="00047E13"/>
    <w:rsid w:val="000501EA"/>
    <w:rsid w:val="0005026F"/>
    <w:rsid w:val="00051701"/>
    <w:rsid w:val="00051BF5"/>
    <w:rsid w:val="00051E2E"/>
    <w:rsid w:val="00052760"/>
    <w:rsid w:val="000527DD"/>
    <w:rsid w:val="00052DFD"/>
    <w:rsid w:val="0005300E"/>
    <w:rsid w:val="00053C8B"/>
    <w:rsid w:val="0005457A"/>
    <w:rsid w:val="00055740"/>
    <w:rsid w:val="00056E8C"/>
    <w:rsid w:val="00057236"/>
    <w:rsid w:val="00057316"/>
    <w:rsid w:val="000607D2"/>
    <w:rsid w:val="00061060"/>
    <w:rsid w:val="00061E79"/>
    <w:rsid w:val="00063777"/>
    <w:rsid w:val="000640E0"/>
    <w:rsid w:val="0006460C"/>
    <w:rsid w:val="00067A4E"/>
    <w:rsid w:val="00067F13"/>
    <w:rsid w:val="0007012D"/>
    <w:rsid w:val="00070D64"/>
    <w:rsid w:val="00070F25"/>
    <w:rsid w:val="00071395"/>
    <w:rsid w:val="000713D8"/>
    <w:rsid w:val="00071637"/>
    <w:rsid w:val="00073479"/>
    <w:rsid w:val="00074697"/>
    <w:rsid w:val="000751C6"/>
    <w:rsid w:val="00075416"/>
    <w:rsid w:val="00075715"/>
    <w:rsid w:val="000765FF"/>
    <w:rsid w:val="000805C2"/>
    <w:rsid w:val="00080C94"/>
    <w:rsid w:val="00080FF0"/>
    <w:rsid w:val="000810C0"/>
    <w:rsid w:val="00081D6A"/>
    <w:rsid w:val="00082624"/>
    <w:rsid w:val="00082C2F"/>
    <w:rsid w:val="000830F8"/>
    <w:rsid w:val="00084173"/>
    <w:rsid w:val="00085593"/>
    <w:rsid w:val="0009161C"/>
    <w:rsid w:val="00091EC1"/>
    <w:rsid w:val="00092148"/>
    <w:rsid w:val="00092336"/>
    <w:rsid w:val="000926D9"/>
    <w:rsid w:val="00092A26"/>
    <w:rsid w:val="00092ACD"/>
    <w:rsid w:val="00092C13"/>
    <w:rsid w:val="00092E20"/>
    <w:rsid w:val="000933E2"/>
    <w:rsid w:val="00093F90"/>
    <w:rsid w:val="0009467A"/>
    <w:rsid w:val="000948F1"/>
    <w:rsid w:val="000951D9"/>
    <w:rsid w:val="00095250"/>
    <w:rsid w:val="00095A99"/>
    <w:rsid w:val="0009626F"/>
    <w:rsid w:val="000974EC"/>
    <w:rsid w:val="00097ADF"/>
    <w:rsid w:val="00097B27"/>
    <w:rsid w:val="000A281B"/>
    <w:rsid w:val="000A291A"/>
    <w:rsid w:val="000A37AB"/>
    <w:rsid w:val="000A4C3C"/>
    <w:rsid w:val="000A4CD7"/>
    <w:rsid w:val="000A54B1"/>
    <w:rsid w:val="000A58DF"/>
    <w:rsid w:val="000A5D7F"/>
    <w:rsid w:val="000A653B"/>
    <w:rsid w:val="000A6CFF"/>
    <w:rsid w:val="000A79C4"/>
    <w:rsid w:val="000A7A49"/>
    <w:rsid w:val="000B1A33"/>
    <w:rsid w:val="000B2564"/>
    <w:rsid w:val="000B2B67"/>
    <w:rsid w:val="000B4DA4"/>
    <w:rsid w:val="000B76B4"/>
    <w:rsid w:val="000C0C01"/>
    <w:rsid w:val="000C1186"/>
    <w:rsid w:val="000C3221"/>
    <w:rsid w:val="000C43EE"/>
    <w:rsid w:val="000C4EC9"/>
    <w:rsid w:val="000C5521"/>
    <w:rsid w:val="000C5C5D"/>
    <w:rsid w:val="000C6084"/>
    <w:rsid w:val="000C67BC"/>
    <w:rsid w:val="000C773F"/>
    <w:rsid w:val="000D047F"/>
    <w:rsid w:val="000D1169"/>
    <w:rsid w:val="000D1A8E"/>
    <w:rsid w:val="000D26EF"/>
    <w:rsid w:val="000D3768"/>
    <w:rsid w:val="000D3CB1"/>
    <w:rsid w:val="000D443C"/>
    <w:rsid w:val="000D48DD"/>
    <w:rsid w:val="000D55C8"/>
    <w:rsid w:val="000D625D"/>
    <w:rsid w:val="000D7519"/>
    <w:rsid w:val="000D7B75"/>
    <w:rsid w:val="000D7CFB"/>
    <w:rsid w:val="000E066E"/>
    <w:rsid w:val="000E0EA3"/>
    <w:rsid w:val="000E0FBD"/>
    <w:rsid w:val="000E2BF2"/>
    <w:rsid w:val="000E2DD5"/>
    <w:rsid w:val="000E357C"/>
    <w:rsid w:val="000E3E21"/>
    <w:rsid w:val="000E40C2"/>
    <w:rsid w:val="000E4DD9"/>
    <w:rsid w:val="000E54AB"/>
    <w:rsid w:val="000E6277"/>
    <w:rsid w:val="000E729A"/>
    <w:rsid w:val="000E75DA"/>
    <w:rsid w:val="000E7854"/>
    <w:rsid w:val="000E7A06"/>
    <w:rsid w:val="000F106A"/>
    <w:rsid w:val="000F138F"/>
    <w:rsid w:val="000F2864"/>
    <w:rsid w:val="000F2FD7"/>
    <w:rsid w:val="000F3A38"/>
    <w:rsid w:val="000F47D7"/>
    <w:rsid w:val="000F5545"/>
    <w:rsid w:val="000F591F"/>
    <w:rsid w:val="000F5A80"/>
    <w:rsid w:val="000F5C6D"/>
    <w:rsid w:val="000F60C2"/>
    <w:rsid w:val="000F6762"/>
    <w:rsid w:val="000F7647"/>
    <w:rsid w:val="000F76CD"/>
    <w:rsid w:val="0010033A"/>
    <w:rsid w:val="00101472"/>
    <w:rsid w:val="001015F0"/>
    <w:rsid w:val="001016F2"/>
    <w:rsid w:val="001019B4"/>
    <w:rsid w:val="00103014"/>
    <w:rsid w:val="00104015"/>
    <w:rsid w:val="001042F9"/>
    <w:rsid w:val="00105B7C"/>
    <w:rsid w:val="00105D58"/>
    <w:rsid w:val="0010732C"/>
    <w:rsid w:val="00107CF6"/>
    <w:rsid w:val="00107F2A"/>
    <w:rsid w:val="0011141A"/>
    <w:rsid w:val="0011240D"/>
    <w:rsid w:val="001128F8"/>
    <w:rsid w:val="00113E1A"/>
    <w:rsid w:val="00114A7E"/>
    <w:rsid w:val="00114E4E"/>
    <w:rsid w:val="001161E1"/>
    <w:rsid w:val="00116772"/>
    <w:rsid w:val="00116B0C"/>
    <w:rsid w:val="00116CC7"/>
    <w:rsid w:val="00120141"/>
    <w:rsid w:val="001214E3"/>
    <w:rsid w:val="00121552"/>
    <w:rsid w:val="001229C1"/>
    <w:rsid w:val="00124B07"/>
    <w:rsid w:val="00125922"/>
    <w:rsid w:val="00125B16"/>
    <w:rsid w:val="00125C47"/>
    <w:rsid w:val="00125E27"/>
    <w:rsid w:val="00125ED5"/>
    <w:rsid w:val="00126B15"/>
    <w:rsid w:val="001276AF"/>
    <w:rsid w:val="001303E3"/>
    <w:rsid w:val="00130C6A"/>
    <w:rsid w:val="00131E8D"/>
    <w:rsid w:val="001322D4"/>
    <w:rsid w:val="0013230B"/>
    <w:rsid w:val="00132BF1"/>
    <w:rsid w:val="00133900"/>
    <w:rsid w:val="00134A6E"/>
    <w:rsid w:val="00134E1D"/>
    <w:rsid w:val="00134E95"/>
    <w:rsid w:val="00135538"/>
    <w:rsid w:val="00136427"/>
    <w:rsid w:val="00136803"/>
    <w:rsid w:val="00136A14"/>
    <w:rsid w:val="00136DA7"/>
    <w:rsid w:val="001404C5"/>
    <w:rsid w:val="00140B42"/>
    <w:rsid w:val="00142DF8"/>
    <w:rsid w:val="0014315E"/>
    <w:rsid w:val="00143625"/>
    <w:rsid w:val="001438C0"/>
    <w:rsid w:val="001454B6"/>
    <w:rsid w:val="00146099"/>
    <w:rsid w:val="0014646A"/>
    <w:rsid w:val="00146C01"/>
    <w:rsid w:val="0014760E"/>
    <w:rsid w:val="0015120B"/>
    <w:rsid w:val="00152751"/>
    <w:rsid w:val="00152986"/>
    <w:rsid w:val="001539F0"/>
    <w:rsid w:val="001542CE"/>
    <w:rsid w:val="001545F9"/>
    <w:rsid w:val="0015475D"/>
    <w:rsid w:val="001564EC"/>
    <w:rsid w:val="00156737"/>
    <w:rsid w:val="00157716"/>
    <w:rsid w:val="00157962"/>
    <w:rsid w:val="00160057"/>
    <w:rsid w:val="00161422"/>
    <w:rsid w:val="00161994"/>
    <w:rsid w:val="001619CD"/>
    <w:rsid w:val="00163026"/>
    <w:rsid w:val="00163154"/>
    <w:rsid w:val="001642AF"/>
    <w:rsid w:val="00166EA1"/>
    <w:rsid w:val="00167508"/>
    <w:rsid w:val="0016764F"/>
    <w:rsid w:val="001676A7"/>
    <w:rsid w:val="00170368"/>
    <w:rsid w:val="0017058B"/>
    <w:rsid w:val="00171267"/>
    <w:rsid w:val="0017153E"/>
    <w:rsid w:val="00172593"/>
    <w:rsid w:val="001736E4"/>
    <w:rsid w:val="00173DFE"/>
    <w:rsid w:val="00175448"/>
    <w:rsid w:val="00175ED1"/>
    <w:rsid w:val="001760B3"/>
    <w:rsid w:val="001810FB"/>
    <w:rsid w:val="001812C0"/>
    <w:rsid w:val="00181317"/>
    <w:rsid w:val="001819E4"/>
    <w:rsid w:val="00181B29"/>
    <w:rsid w:val="001822E2"/>
    <w:rsid w:val="00183141"/>
    <w:rsid w:val="001838DE"/>
    <w:rsid w:val="001838F0"/>
    <w:rsid w:val="00184907"/>
    <w:rsid w:val="001849F3"/>
    <w:rsid w:val="00184DB9"/>
    <w:rsid w:val="00185C38"/>
    <w:rsid w:val="0018703B"/>
    <w:rsid w:val="00187700"/>
    <w:rsid w:val="001910E9"/>
    <w:rsid w:val="001917E9"/>
    <w:rsid w:val="00191944"/>
    <w:rsid w:val="00191C4E"/>
    <w:rsid w:val="001921EE"/>
    <w:rsid w:val="00192394"/>
    <w:rsid w:val="0019345B"/>
    <w:rsid w:val="001948D6"/>
    <w:rsid w:val="00195AF5"/>
    <w:rsid w:val="00196BD6"/>
    <w:rsid w:val="00196D5B"/>
    <w:rsid w:val="00197215"/>
    <w:rsid w:val="001977EE"/>
    <w:rsid w:val="00197E9B"/>
    <w:rsid w:val="001A1B1E"/>
    <w:rsid w:val="001A250F"/>
    <w:rsid w:val="001A2EA9"/>
    <w:rsid w:val="001A2EFD"/>
    <w:rsid w:val="001A3D40"/>
    <w:rsid w:val="001A3EA6"/>
    <w:rsid w:val="001A54BE"/>
    <w:rsid w:val="001A589E"/>
    <w:rsid w:val="001A6EFE"/>
    <w:rsid w:val="001A7BCE"/>
    <w:rsid w:val="001B0FE9"/>
    <w:rsid w:val="001B0FF4"/>
    <w:rsid w:val="001B12EC"/>
    <w:rsid w:val="001B144A"/>
    <w:rsid w:val="001B1E2D"/>
    <w:rsid w:val="001B5289"/>
    <w:rsid w:val="001B5C72"/>
    <w:rsid w:val="001B60F4"/>
    <w:rsid w:val="001C0A59"/>
    <w:rsid w:val="001C0D46"/>
    <w:rsid w:val="001C1723"/>
    <w:rsid w:val="001C1C1B"/>
    <w:rsid w:val="001C2698"/>
    <w:rsid w:val="001C2F3C"/>
    <w:rsid w:val="001C4F7D"/>
    <w:rsid w:val="001C5403"/>
    <w:rsid w:val="001C547D"/>
    <w:rsid w:val="001C61F4"/>
    <w:rsid w:val="001D03BF"/>
    <w:rsid w:val="001D06ED"/>
    <w:rsid w:val="001D0C1B"/>
    <w:rsid w:val="001D1407"/>
    <w:rsid w:val="001D1C4D"/>
    <w:rsid w:val="001D3107"/>
    <w:rsid w:val="001D3E6C"/>
    <w:rsid w:val="001D4016"/>
    <w:rsid w:val="001D4DA5"/>
    <w:rsid w:val="001D5AA7"/>
    <w:rsid w:val="001D6EB0"/>
    <w:rsid w:val="001E00FE"/>
    <w:rsid w:val="001E01D5"/>
    <w:rsid w:val="001E115A"/>
    <w:rsid w:val="001E1CD7"/>
    <w:rsid w:val="001E2011"/>
    <w:rsid w:val="001E2425"/>
    <w:rsid w:val="001E3037"/>
    <w:rsid w:val="001E450C"/>
    <w:rsid w:val="001E5A95"/>
    <w:rsid w:val="001E5AFF"/>
    <w:rsid w:val="001E7AF0"/>
    <w:rsid w:val="001F1229"/>
    <w:rsid w:val="001F2724"/>
    <w:rsid w:val="001F3039"/>
    <w:rsid w:val="001F31B2"/>
    <w:rsid w:val="001F49C1"/>
    <w:rsid w:val="001F4C6E"/>
    <w:rsid w:val="001F53B3"/>
    <w:rsid w:val="001F53F6"/>
    <w:rsid w:val="001F5ACA"/>
    <w:rsid w:val="001F7328"/>
    <w:rsid w:val="001F787C"/>
    <w:rsid w:val="00200AE1"/>
    <w:rsid w:val="0020208A"/>
    <w:rsid w:val="00202503"/>
    <w:rsid w:val="00203275"/>
    <w:rsid w:val="00203860"/>
    <w:rsid w:val="002040B8"/>
    <w:rsid w:val="00204CD1"/>
    <w:rsid w:val="00205C46"/>
    <w:rsid w:val="00207634"/>
    <w:rsid w:val="002103C4"/>
    <w:rsid w:val="00210AC4"/>
    <w:rsid w:val="00210E92"/>
    <w:rsid w:val="00211A59"/>
    <w:rsid w:val="00211B90"/>
    <w:rsid w:val="00211FB1"/>
    <w:rsid w:val="002124B1"/>
    <w:rsid w:val="002127B8"/>
    <w:rsid w:val="00212820"/>
    <w:rsid w:val="00212C0F"/>
    <w:rsid w:val="0021651D"/>
    <w:rsid w:val="00216556"/>
    <w:rsid w:val="00216B04"/>
    <w:rsid w:val="00216B69"/>
    <w:rsid w:val="00216CD8"/>
    <w:rsid w:val="00217D68"/>
    <w:rsid w:val="0022169E"/>
    <w:rsid w:val="002217FF"/>
    <w:rsid w:val="0022215D"/>
    <w:rsid w:val="002226E0"/>
    <w:rsid w:val="00223406"/>
    <w:rsid w:val="0022407C"/>
    <w:rsid w:val="0022544E"/>
    <w:rsid w:val="00225D60"/>
    <w:rsid w:val="0022648C"/>
    <w:rsid w:val="002270A8"/>
    <w:rsid w:val="0022770A"/>
    <w:rsid w:val="002278EE"/>
    <w:rsid w:val="00227D1D"/>
    <w:rsid w:val="002317E9"/>
    <w:rsid w:val="00233139"/>
    <w:rsid w:val="0023383B"/>
    <w:rsid w:val="00233BCC"/>
    <w:rsid w:val="00235768"/>
    <w:rsid w:val="00236B17"/>
    <w:rsid w:val="00237657"/>
    <w:rsid w:val="002406A2"/>
    <w:rsid w:val="00240AD2"/>
    <w:rsid w:val="00240D62"/>
    <w:rsid w:val="00241AAC"/>
    <w:rsid w:val="002421FC"/>
    <w:rsid w:val="0024560D"/>
    <w:rsid w:val="00245DFE"/>
    <w:rsid w:val="00246CC6"/>
    <w:rsid w:val="00250651"/>
    <w:rsid w:val="00251F10"/>
    <w:rsid w:val="002524CD"/>
    <w:rsid w:val="00252723"/>
    <w:rsid w:val="00252A9D"/>
    <w:rsid w:val="00253150"/>
    <w:rsid w:val="0025321F"/>
    <w:rsid w:val="0025473D"/>
    <w:rsid w:val="002547B4"/>
    <w:rsid w:val="00255291"/>
    <w:rsid w:val="00255807"/>
    <w:rsid w:val="00255864"/>
    <w:rsid w:val="002559E1"/>
    <w:rsid w:val="00257291"/>
    <w:rsid w:val="0025764C"/>
    <w:rsid w:val="00257CE7"/>
    <w:rsid w:val="0026036B"/>
    <w:rsid w:val="00260E21"/>
    <w:rsid w:val="00261268"/>
    <w:rsid w:val="00261F15"/>
    <w:rsid w:val="00263158"/>
    <w:rsid w:val="002639F3"/>
    <w:rsid w:val="0026478C"/>
    <w:rsid w:val="00265026"/>
    <w:rsid w:val="0026562C"/>
    <w:rsid w:val="00265892"/>
    <w:rsid w:val="0026590F"/>
    <w:rsid w:val="00267F62"/>
    <w:rsid w:val="002705E0"/>
    <w:rsid w:val="002713B5"/>
    <w:rsid w:val="00272175"/>
    <w:rsid w:val="002724F6"/>
    <w:rsid w:val="00274581"/>
    <w:rsid w:val="002751E2"/>
    <w:rsid w:val="00275448"/>
    <w:rsid w:val="002757B0"/>
    <w:rsid w:val="00275D12"/>
    <w:rsid w:val="00275DC4"/>
    <w:rsid w:val="00281CBE"/>
    <w:rsid w:val="00281F85"/>
    <w:rsid w:val="00283323"/>
    <w:rsid w:val="0028351C"/>
    <w:rsid w:val="002844D0"/>
    <w:rsid w:val="00285074"/>
    <w:rsid w:val="002857FE"/>
    <w:rsid w:val="00285B07"/>
    <w:rsid w:val="00285D44"/>
    <w:rsid w:val="00286C24"/>
    <w:rsid w:val="002900C1"/>
    <w:rsid w:val="00290C8A"/>
    <w:rsid w:val="00291E51"/>
    <w:rsid w:val="00292298"/>
    <w:rsid w:val="002928D5"/>
    <w:rsid w:val="00292A7B"/>
    <w:rsid w:val="00292B8B"/>
    <w:rsid w:val="00293A52"/>
    <w:rsid w:val="00293B5E"/>
    <w:rsid w:val="00294BA4"/>
    <w:rsid w:val="00294C8D"/>
    <w:rsid w:val="002950A5"/>
    <w:rsid w:val="0029724E"/>
    <w:rsid w:val="002973FF"/>
    <w:rsid w:val="002978EC"/>
    <w:rsid w:val="002A1979"/>
    <w:rsid w:val="002A2E1D"/>
    <w:rsid w:val="002A3477"/>
    <w:rsid w:val="002A3FE0"/>
    <w:rsid w:val="002A419F"/>
    <w:rsid w:val="002A457D"/>
    <w:rsid w:val="002A4FD2"/>
    <w:rsid w:val="002A5B72"/>
    <w:rsid w:val="002A5BC3"/>
    <w:rsid w:val="002A6525"/>
    <w:rsid w:val="002A66B6"/>
    <w:rsid w:val="002A68A1"/>
    <w:rsid w:val="002A7E78"/>
    <w:rsid w:val="002B06E5"/>
    <w:rsid w:val="002B29E4"/>
    <w:rsid w:val="002B41D8"/>
    <w:rsid w:val="002B47AE"/>
    <w:rsid w:val="002B53CA"/>
    <w:rsid w:val="002B633F"/>
    <w:rsid w:val="002B6891"/>
    <w:rsid w:val="002B761B"/>
    <w:rsid w:val="002B7DAC"/>
    <w:rsid w:val="002C015F"/>
    <w:rsid w:val="002C09C0"/>
    <w:rsid w:val="002C0A04"/>
    <w:rsid w:val="002C0C7A"/>
    <w:rsid w:val="002C25DA"/>
    <w:rsid w:val="002C2A3D"/>
    <w:rsid w:val="002C346A"/>
    <w:rsid w:val="002C3786"/>
    <w:rsid w:val="002C38E3"/>
    <w:rsid w:val="002C3C33"/>
    <w:rsid w:val="002C3F93"/>
    <w:rsid w:val="002C610F"/>
    <w:rsid w:val="002C6FA3"/>
    <w:rsid w:val="002C7162"/>
    <w:rsid w:val="002D18D1"/>
    <w:rsid w:val="002D3189"/>
    <w:rsid w:val="002D4F7E"/>
    <w:rsid w:val="002D5197"/>
    <w:rsid w:val="002D6EC2"/>
    <w:rsid w:val="002D7642"/>
    <w:rsid w:val="002D783F"/>
    <w:rsid w:val="002D7BED"/>
    <w:rsid w:val="002D7FFA"/>
    <w:rsid w:val="002E0830"/>
    <w:rsid w:val="002E1446"/>
    <w:rsid w:val="002E17CD"/>
    <w:rsid w:val="002E2DE1"/>
    <w:rsid w:val="002E3455"/>
    <w:rsid w:val="002E461B"/>
    <w:rsid w:val="002E5215"/>
    <w:rsid w:val="002E565C"/>
    <w:rsid w:val="002E57B2"/>
    <w:rsid w:val="002E61B8"/>
    <w:rsid w:val="002E630E"/>
    <w:rsid w:val="002E6F1F"/>
    <w:rsid w:val="002E7DA2"/>
    <w:rsid w:val="002F07A8"/>
    <w:rsid w:val="002F0CDD"/>
    <w:rsid w:val="002F234E"/>
    <w:rsid w:val="002F25C9"/>
    <w:rsid w:val="002F2826"/>
    <w:rsid w:val="002F3310"/>
    <w:rsid w:val="00300417"/>
    <w:rsid w:val="00300B19"/>
    <w:rsid w:val="00301403"/>
    <w:rsid w:val="003024D7"/>
    <w:rsid w:val="003025E6"/>
    <w:rsid w:val="00302607"/>
    <w:rsid w:val="00302CBF"/>
    <w:rsid w:val="00303253"/>
    <w:rsid w:val="0030363E"/>
    <w:rsid w:val="00304DF0"/>
    <w:rsid w:val="00305823"/>
    <w:rsid w:val="00305C76"/>
    <w:rsid w:val="00307371"/>
    <w:rsid w:val="00307B13"/>
    <w:rsid w:val="00307CF6"/>
    <w:rsid w:val="00307D41"/>
    <w:rsid w:val="003102B0"/>
    <w:rsid w:val="00310EDB"/>
    <w:rsid w:val="00310F5B"/>
    <w:rsid w:val="00311B59"/>
    <w:rsid w:val="00313A31"/>
    <w:rsid w:val="00313D00"/>
    <w:rsid w:val="003152CC"/>
    <w:rsid w:val="0031541A"/>
    <w:rsid w:val="0031558C"/>
    <w:rsid w:val="0031744A"/>
    <w:rsid w:val="00317CB6"/>
    <w:rsid w:val="00317FA3"/>
    <w:rsid w:val="00320C45"/>
    <w:rsid w:val="00322190"/>
    <w:rsid w:val="00323419"/>
    <w:rsid w:val="0032418E"/>
    <w:rsid w:val="0032425C"/>
    <w:rsid w:val="00324C57"/>
    <w:rsid w:val="00325584"/>
    <w:rsid w:val="003257A8"/>
    <w:rsid w:val="00326213"/>
    <w:rsid w:val="00326466"/>
    <w:rsid w:val="0032683B"/>
    <w:rsid w:val="0032690D"/>
    <w:rsid w:val="003276AD"/>
    <w:rsid w:val="00327C9A"/>
    <w:rsid w:val="003303BA"/>
    <w:rsid w:val="00333337"/>
    <w:rsid w:val="00333A3B"/>
    <w:rsid w:val="00333CE5"/>
    <w:rsid w:val="0033426A"/>
    <w:rsid w:val="0033464A"/>
    <w:rsid w:val="003349DF"/>
    <w:rsid w:val="00335349"/>
    <w:rsid w:val="00335E2F"/>
    <w:rsid w:val="003364DA"/>
    <w:rsid w:val="00340CCC"/>
    <w:rsid w:val="00343183"/>
    <w:rsid w:val="0034550B"/>
    <w:rsid w:val="00345ACB"/>
    <w:rsid w:val="00345CD2"/>
    <w:rsid w:val="003462BF"/>
    <w:rsid w:val="00346E11"/>
    <w:rsid w:val="0034721A"/>
    <w:rsid w:val="003476C6"/>
    <w:rsid w:val="00347944"/>
    <w:rsid w:val="00347ED9"/>
    <w:rsid w:val="00350DC3"/>
    <w:rsid w:val="00351DAB"/>
    <w:rsid w:val="0035266A"/>
    <w:rsid w:val="00352FD0"/>
    <w:rsid w:val="00353740"/>
    <w:rsid w:val="0035496E"/>
    <w:rsid w:val="003554AC"/>
    <w:rsid w:val="00355B7B"/>
    <w:rsid w:val="003569BE"/>
    <w:rsid w:val="00362742"/>
    <w:rsid w:val="00364AFF"/>
    <w:rsid w:val="00365586"/>
    <w:rsid w:val="00366AB3"/>
    <w:rsid w:val="00371720"/>
    <w:rsid w:val="00373B46"/>
    <w:rsid w:val="003747BB"/>
    <w:rsid w:val="00375405"/>
    <w:rsid w:val="003762CE"/>
    <w:rsid w:val="00376AC1"/>
    <w:rsid w:val="00376D0A"/>
    <w:rsid w:val="00380A54"/>
    <w:rsid w:val="00380E49"/>
    <w:rsid w:val="003813F7"/>
    <w:rsid w:val="00382BA7"/>
    <w:rsid w:val="00382C27"/>
    <w:rsid w:val="00383709"/>
    <w:rsid w:val="00384027"/>
    <w:rsid w:val="00386EE1"/>
    <w:rsid w:val="003872F8"/>
    <w:rsid w:val="0038786F"/>
    <w:rsid w:val="00390190"/>
    <w:rsid w:val="00390A0F"/>
    <w:rsid w:val="00390C47"/>
    <w:rsid w:val="00390CE1"/>
    <w:rsid w:val="00390FD8"/>
    <w:rsid w:val="003917BA"/>
    <w:rsid w:val="00391D6B"/>
    <w:rsid w:val="0039202C"/>
    <w:rsid w:val="003920D4"/>
    <w:rsid w:val="0039325A"/>
    <w:rsid w:val="0039374B"/>
    <w:rsid w:val="00393A22"/>
    <w:rsid w:val="00394186"/>
    <w:rsid w:val="003956C6"/>
    <w:rsid w:val="00395F5F"/>
    <w:rsid w:val="00396015"/>
    <w:rsid w:val="0039613F"/>
    <w:rsid w:val="00396A3C"/>
    <w:rsid w:val="0039751A"/>
    <w:rsid w:val="0039783D"/>
    <w:rsid w:val="003979A9"/>
    <w:rsid w:val="003A12E6"/>
    <w:rsid w:val="003A243A"/>
    <w:rsid w:val="003A254A"/>
    <w:rsid w:val="003A2CF8"/>
    <w:rsid w:val="003A30EC"/>
    <w:rsid w:val="003A3E69"/>
    <w:rsid w:val="003A4303"/>
    <w:rsid w:val="003A4756"/>
    <w:rsid w:val="003A5057"/>
    <w:rsid w:val="003A5F4B"/>
    <w:rsid w:val="003A7C85"/>
    <w:rsid w:val="003B0512"/>
    <w:rsid w:val="003B0AE0"/>
    <w:rsid w:val="003B0E39"/>
    <w:rsid w:val="003B1004"/>
    <w:rsid w:val="003B1744"/>
    <w:rsid w:val="003B2326"/>
    <w:rsid w:val="003B2356"/>
    <w:rsid w:val="003B2F28"/>
    <w:rsid w:val="003B36F4"/>
    <w:rsid w:val="003B3F0B"/>
    <w:rsid w:val="003B47DF"/>
    <w:rsid w:val="003B4CB0"/>
    <w:rsid w:val="003B584D"/>
    <w:rsid w:val="003B59E6"/>
    <w:rsid w:val="003B5B0C"/>
    <w:rsid w:val="003B5F88"/>
    <w:rsid w:val="003B614E"/>
    <w:rsid w:val="003B67A0"/>
    <w:rsid w:val="003B67A3"/>
    <w:rsid w:val="003B6EA8"/>
    <w:rsid w:val="003B715F"/>
    <w:rsid w:val="003B748C"/>
    <w:rsid w:val="003B779D"/>
    <w:rsid w:val="003B7EA5"/>
    <w:rsid w:val="003C0066"/>
    <w:rsid w:val="003C05AC"/>
    <w:rsid w:val="003C0703"/>
    <w:rsid w:val="003C0754"/>
    <w:rsid w:val="003C0F45"/>
    <w:rsid w:val="003C12B7"/>
    <w:rsid w:val="003C1A74"/>
    <w:rsid w:val="003C2CD8"/>
    <w:rsid w:val="003C30BB"/>
    <w:rsid w:val="003C3460"/>
    <w:rsid w:val="003C36BF"/>
    <w:rsid w:val="003C450B"/>
    <w:rsid w:val="003C4A68"/>
    <w:rsid w:val="003D0E67"/>
    <w:rsid w:val="003D1568"/>
    <w:rsid w:val="003D200B"/>
    <w:rsid w:val="003D2BA0"/>
    <w:rsid w:val="003D3872"/>
    <w:rsid w:val="003D4BEB"/>
    <w:rsid w:val="003D5DCE"/>
    <w:rsid w:val="003D707B"/>
    <w:rsid w:val="003D72B0"/>
    <w:rsid w:val="003D73A8"/>
    <w:rsid w:val="003D7536"/>
    <w:rsid w:val="003E0673"/>
    <w:rsid w:val="003E067E"/>
    <w:rsid w:val="003E0994"/>
    <w:rsid w:val="003E0CB7"/>
    <w:rsid w:val="003E129C"/>
    <w:rsid w:val="003E1448"/>
    <w:rsid w:val="003E3A85"/>
    <w:rsid w:val="003E3D10"/>
    <w:rsid w:val="003E4C39"/>
    <w:rsid w:val="003E4CE5"/>
    <w:rsid w:val="003E7651"/>
    <w:rsid w:val="003F0AE6"/>
    <w:rsid w:val="003F0E32"/>
    <w:rsid w:val="003F1BDA"/>
    <w:rsid w:val="003F211E"/>
    <w:rsid w:val="003F2121"/>
    <w:rsid w:val="003F29DE"/>
    <w:rsid w:val="003F362D"/>
    <w:rsid w:val="003F41CC"/>
    <w:rsid w:val="003F4491"/>
    <w:rsid w:val="003F44C3"/>
    <w:rsid w:val="003F528F"/>
    <w:rsid w:val="003F58E0"/>
    <w:rsid w:val="003F5BC6"/>
    <w:rsid w:val="003F5BF6"/>
    <w:rsid w:val="003F6102"/>
    <w:rsid w:val="003F7037"/>
    <w:rsid w:val="0040099C"/>
    <w:rsid w:val="00401A30"/>
    <w:rsid w:val="004026E6"/>
    <w:rsid w:val="0040289F"/>
    <w:rsid w:val="00405551"/>
    <w:rsid w:val="00405C84"/>
    <w:rsid w:val="00406E59"/>
    <w:rsid w:val="004071EE"/>
    <w:rsid w:val="004133E3"/>
    <w:rsid w:val="00414912"/>
    <w:rsid w:val="00415531"/>
    <w:rsid w:val="00415A81"/>
    <w:rsid w:val="00416D83"/>
    <w:rsid w:val="00417F53"/>
    <w:rsid w:val="004203CF"/>
    <w:rsid w:val="0042054D"/>
    <w:rsid w:val="00422417"/>
    <w:rsid w:val="00423745"/>
    <w:rsid w:val="00424EB9"/>
    <w:rsid w:val="00424F4D"/>
    <w:rsid w:val="004251AC"/>
    <w:rsid w:val="00425BDE"/>
    <w:rsid w:val="00425F82"/>
    <w:rsid w:val="0042602C"/>
    <w:rsid w:val="0042718E"/>
    <w:rsid w:val="00427239"/>
    <w:rsid w:val="004273E7"/>
    <w:rsid w:val="00427875"/>
    <w:rsid w:val="004301CA"/>
    <w:rsid w:val="00430CB3"/>
    <w:rsid w:val="00430CF8"/>
    <w:rsid w:val="00431092"/>
    <w:rsid w:val="00431B0E"/>
    <w:rsid w:val="004329D6"/>
    <w:rsid w:val="00432BDD"/>
    <w:rsid w:val="00433778"/>
    <w:rsid w:val="00433840"/>
    <w:rsid w:val="00434A9A"/>
    <w:rsid w:val="0043536B"/>
    <w:rsid w:val="00435F3D"/>
    <w:rsid w:val="00435FBA"/>
    <w:rsid w:val="0043647A"/>
    <w:rsid w:val="00436626"/>
    <w:rsid w:val="004367CE"/>
    <w:rsid w:val="00437B29"/>
    <w:rsid w:val="00437F05"/>
    <w:rsid w:val="0044040A"/>
    <w:rsid w:val="00441028"/>
    <w:rsid w:val="00441A64"/>
    <w:rsid w:val="00441AE2"/>
    <w:rsid w:val="00441E16"/>
    <w:rsid w:val="00441F51"/>
    <w:rsid w:val="004429FD"/>
    <w:rsid w:val="00442DF0"/>
    <w:rsid w:val="00442E82"/>
    <w:rsid w:val="00443B05"/>
    <w:rsid w:val="00443C31"/>
    <w:rsid w:val="0044553B"/>
    <w:rsid w:val="00445D66"/>
    <w:rsid w:val="00446193"/>
    <w:rsid w:val="0044718C"/>
    <w:rsid w:val="00447870"/>
    <w:rsid w:val="00447D5C"/>
    <w:rsid w:val="004509FD"/>
    <w:rsid w:val="004517A9"/>
    <w:rsid w:val="00451804"/>
    <w:rsid w:val="0045250C"/>
    <w:rsid w:val="004526D1"/>
    <w:rsid w:val="00452990"/>
    <w:rsid w:val="00453938"/>
    <w:rsid w:val="00453A54"/>
    <w:rsid w:val="00454498"/>
    <w:rsid w:val="00454BDF"/>
    <w:rsid w:val="00454E7D"/>
    <w:rsid w:val="0045540A"/>
    <w:rsid w:val="004568E0"/>
    <w:rsid w:val="00456E10"/>
    <w:rsid w:val="00461FCA"/>
    <w:rsid w:val="004623D8"/>
    <w:rsid w:val="00463477"/>
    <w:rsid w:val="00463CBC"/>
    <w:rsid w:val="00463FD6"/>
    <w:rsid w:val="00464583"/>
    <w:rsid w:val="00465B75"/>
    <w:rsid w:val="00465CF4"/>
    <w:rsid w:val="00466616"/>
    <w:rsid w:val="0046742D"/>
    <w:rsid w:val="00470635"/>
    <w:rsid w:val="0047199A"/>
    <w:rsid w:val="00471A9E"/>
    <w:rsid w:val="004729D3"/>
    <w:rsid w:val="004731FD"/>
    <w:rsid w:val="00473C3C"/>
    <w:rsid w:val="00473E82"/>
    <w:rsid w:val="0047479E"/>
    <w:rsid w:val="004748CD"/>
    <w:rsid w:val="00476195"/>
    <w:rsid w:val="004801BD"/>
    <w:rsid w:val="00480254"/>
    <w:rsid w:val="004807E5"/>
    <w:rsid w:val="0048173C"/>
    <w:rsid w:val="004822CE"/>
    <w:rsid w:val="00483290"/>
    <w:rsid w:val="0048438C"/>
    <w:rsid w:val="004845ED"/>
    <w:rsid w:val="00484A36"/>
    <w:rsid w:val="00484EFC"/>
    <w:rsid w:val="004859EA"/>
    <w:rsid w:val="0048604B"/>
    <w:rsid w:val="004865C6"/>
    <w:rsid w:val="0048770C"/>
    <w:rsid w:val="00490B0B"/>
    <w:rsid w:val="00491315"/>
    <w:rsid w:val="00492057"/>
    <w:rsid w:val="004927D5"/>
    <w:rsid w:val="00492BBD"/>
    <w:rsid w:val="004930A8"/>
    <w:rsid w:val="00493404"/>
    <w:rsid w:val="00494074"/>
    <w:rsid w:val="00494452"/>
    <w:rsid w:val="004946B2"/>
    <w:rsid w:val="004948A4"/>
    <w:rsid w:val="004952BB"/>
    <w:rsid w:val="00495F30"/>
    <w:rsid w:val="00495FD7"/>
    <w:rsid w:val="00496C42"/>
    <w:rsid w:val="004A060E"/>
    <w:rsid w:val="004A0ABF"/>
    <w:rsid w:val="004A1CC0"/>
    <w:rsid w:val="004A1F0A"/>
    <w:rsid w:val="004A24BB"/>
    <w:rsid w:val="004A3A00"/>
    <w:rsid w:val="004A3C6A"/>
    <w:rsid w:val="004A3F58"/>
    <w:rsid w:val="004A4DCE"/>
    <w:rsid w:val="004A53C9"/>
    <w:rsid w:val="004A5DC5"/>
    <w:rsid w:val="004A5EAC"/>
    <w:rsid w:val="004A6349"/>
    <w:rsid w:val="004A685A"/>
    <w:rsid w:val="004A686C"/>
    <w:rsid w:val="004A784D"/>
    <w:rsid w:val="004B0205"/>
    <w:rsid w:val="004B1421"/>
    <w:rsid w:val="004B1474"/>
    <w:rsid w:val="004B235C"/>
    <w:rsid w:val="004B482E"/>
    <w:rsid w:val="004B4F7C"/>
    <w:rsid w:val="004B67D5"/>
    <w:rsid w:val="004B7256"/>
    <w:rsid w:val="004B74FB"/>
    <w:rsid w:val="004C0D2D"/>
    <w:rsid w:val="004C0E37"/>
    <w:rsid w:val="004C16F0"/>
    <w:rsid w:val="004C2874"/>
    <w:rsid w:val="004C40C2"/>
    <w:rsid w:val="004C41FB"/>
    <w:rsid w:val="004C5572"/>
    <w:rsid w:val="004C657F"/>
    <w:rsid w:val="004C67D5"/>
    <w:rsid w:val="004D101D"/>
    <w:rsid w:val="004D2946"/>
    <w:rsid w:val="004D3458"/>
    <w:rsid w:val="004D3DD7"/>
    <w:rsid w:val="004D6726"/>
    <w:rsid w:val="004D6759"/>
    <w:rsid w:val="004D7622"/>
    <w:rsid w:val="004D79AE"/>
    <w:rsid w:val="004E0177"/>
    <w:rsid w:val="004E0DCF"/>
    <w:rsid w:val="004E0EF1"/>
    <w:rsid w:val="004E1042"/>
    <w:rsid w:val="004E159F"/>
    <w:rsid w:val="004E181E"/>
    <w:rsid w:val="004E1A31"/>
    <w:rsid w:val="004E1B73"/>
    <w:rsid w:val="004E27E2"/>
    <w:rsid w:val="004E2BF7"/>
    <w:rsid w:val="004E2E2C"/>
    <w:rsid w:val="004E3225"/>
    <w:rsid w:val="004E49B5"/>
    <w:rsid w:val="004E5FA3"/>
    <w:rsid w:val="004F087E"/>
    <w:rsid w:val="004F135C"/>
    <w:rsid w:val="004F2A70"/>
    <w:rsid w:val="004F3459"/>
    <w:rsid w:val="004F694B"/>
    <w:rsid w:val="004F6B1F"/>
    <w:rsid w:val="004F6F69"/>
    <w:rsid w:val="0050015C"/>
    <w:rsid w:val="00502124"/>
    <w:rsid w:val="00502813"/>
    <w:rsid w:val="005030F5"/>
    <w:rsid w:val="00504112"/>
    <w:rsid w:val="00504526"/>
    <w:rsid w:val="00504699"/>
    <w:rsid w:val="0051011E"/>
    <w:rsid w:val="005111A7"/>
    <w:rsid w:val="00511866"/>
    <w:rsid w:val="0051263D"/>
    <w:rsid w:val="0051279A"/>
    <w:rsid w:val="0051286B"/>
    <w:rsid w:val="00513638"/>
    <w:rsid w:val="00513928"/>
    <w:rsid w:val="00513BC6"/>
    <w:rsid w:val="00514126"/>
    <w:rsid w:val="00514A15"/>
    <w:rsid w:val="0051547B"/>
    <w:rsid w:val="0051580B"/>
    <w:rsid w:val="00515CA6"/>
    <w:rsid w:val="00515E0E"/>
    <w:rsid w:val="00516940"/>
    <w:rsid w:val="00517B11"/>
    <w:rsid w:val="00517C85"/>
    <w:rsid w:val="00517EAB"/>
    <w:rsid w:val="00517ECB"/>
    <w:rsid w:val="0052012D"/>
    <w:rsid w:val="0052084A"/>
    <w:rsid w:val="00520994"/>
    <w:rsid w:val="00521076"/>
    <w:rsid w:val="0052195D"/>
    <w:rsid w:val="00522DA5"/>
    <w:rsid w:val="005232BD"/>
    <w:rsid w:val="00523E35"/>
    <w:rsid w:val="00524E27"/>
    <w:rsid w:val="0052560B"/>
    <w:rsid w:val="00525D97"/>
    <w:rsid w:val="00530DCD"/>
    <w:rsid w:val="00531576"/>
    <w:rsid w:val="00531623"/>
    <w:rsid w:val="00532457"/>
    <w:rsid w:val="005328EE"/>
    <w:rsid w:val="00534048"/>
    <w:rsid w:val="0053617E"/>
    <w:rsid w:val="00536DD9"/>
    <w:rsid w:val="00537C29"/>
    <w:rsid w:val="00540901"/>
    <w:rsid w:val="005416C4"/>
    <w:rsid w:val="00541793"/>
    <w:rsid w:val="00541BF1"/>
    <w:rsid w:val="00542A69"/>
    <w:rsid w:val="00542B18"/>
    <w:rsid w:val="00542E86"/>
    <w:rsid w:val="005445F0"/>
    <w:rsid w:val="00545301"/>
    <w:rsid w:val="00546FA3"/>
    <w:rsid w:val="005509FE"/>
    <w:rsid w:val="00551690"/>
    <w:rsid w:val="00551B2C"/>
    <w:rsid w:val="00551F40"/>
    <w:rsid w:val="00552266"/>
    <w:rsid w:val="005524F4"/>
    <w:rsid w:val="00552C9B"/>
    <w:rsid w:val="00553766"/>
    <w:rsid w:val="0055399D"/>
    <w:rsid w:val="0055585D"/>
    <w:rsid w:val="00555CCF"/>
    <w:rsid w:val="00557168"/>
    <w:rsid w:val="005572C8"/>
    <w:rsid w:val="00557408"/>
    <w:rsid w:val="00557833"/>
    <w:rsid w:val="00560025"/>
    <w:rsid w:val="005604CD"/>
    <w:rsid w:val="00560717"/>
    <w:rsid w:val="00561D8E"/>
    <w:rsid w:val="005627D8"/>
    <w:rsid w:val="00562974"/>
    <w:rsid w:val="005633E6"/>
    <w:rsid w:val="005647C3"/>
    <w:rsid w:val="00564960"/>
    <w:rsid w:val="00564C86"/>
    <w:rsid w:val="00564CEA"/>
    <w:rsid w:val="00565AE7"/>
    <w:rsid w:val="00565EEA"/>
    <w:rsid w:val="005662AD"/>
    <w:rsid w:val="005663FF"/>
    <w:rsid w:val="00566C29"/>
    <w:rsid w:val="00567733"/>
    <w:rsid w:val="00567BF7"/>
    <w:rsid w:val="005707BF"/>
    <w:rsid w:val="00570AD0"/>
    <w:rsid w:val="00570DED"/>
    <w:rsid w:val="00572BCC"/>
    <w:rsid w:val="00572EF6"/>
    <w:rsid w:val="005737F5"/>
    <w:rsid w:val="00575629"/>
    <w:rsid w:val="00576621"/>
    <w:rsid w:val="005815E7"/>
    <w:rsid w:val="00581850"/>
    <w:rsid w:val="00582325"/>
    <w:rsid w:val="0058275E"/>
    <w:rsid w:val="00582AA4"/>
    <w:rsid w:val="005841E2"/>
    <w:rsid w:val="00584D2A"/>
    <w:rsid w:val="005851CE"/>
    <w:rsid w:val="0058558C"/>
    <w:rsid w:val="00586C72"/>
    <w:rsid w:val="005875B6"/>
    <w:rsid w:val="00587FD5"/>
    <w:rsid w:val="005916ED"/>
    <w:rsid w:val="00591A03"/>
    <w:rsid w:val="00592AFB"/>
    <w:rsid w:val="00592EB4"/>
    <w:rsid w:val="00593605"/>
    <w:rsid w:val="00593EBF"/>
    <w:rsid w:val="00594864"/>
    <w:rsid w:val="0059513C"/>
    <w:rsid w:val="0059532E"/>
    <w:rsid w:val="005955D3"/>
    <w:rsid w:val="00595FCF"/>
    <w:rsid w:val="00596029"/>
    <w:rsid w:val="0059639C"/>
    <w:rsid w:val="00596465"/>
    <w:rsid w:val="00597D1E"/>
    <w:rsid w:val="005A2123"/>
    <w:rsid w:val="005A36B1"/>
    <w:rsid w:val="005A39AB"/>
    <w:rsid w:val="005A3B3D"/>
    <w:rsid w:val="005A3CFE"/>
    <w:rsid w:val="005A6178"/>
    <w:rsid w:val="005A7260"/>
    <w:rsid w:val="005B0399"/>
    <w:rsid w:val="005B0934"/>
    <w:rsid w:val="005B3DB3"/>
    <w:rsid w:val="005B3E18"/>
    <w:rsid w:val="005B416C"/>
    <w:rsid w:val="005B5854"/>
    <w:rsid w:val="005B6F00"/>
    <w:rsid w:val="005B717F"/>
    <w:rsid w:val="005B7DBD"/>
    <w:rsid w:val="005C07E6"/>
    <w:rsid w:val="005C097B"/>
    <w:rsid w:val="005C1485"/>
    <w:rsid w:val="005C203B"/>
    <w:rsid w:val="005C20BA"/>
    <w:rsid w:val="005C280E"/>
    <w:rsid w:val="005C3134"/>
    <w:rsid w:val="005C3F5B"/>
    <w:rsid w:val="005C44C0"/>
    <w:rsid w:val="005C594E"/>
    <w:rsid w:val="005C5E02"/>
    <w:rsid w:val="005C6871"/>
    <w:rsid w:val="005C6C9C"/>
    <w:rsid w:val="005D03C6"/>
    <w:rsid w:val="005D0C81"/>
    <w:rsid w:val="005D25D2"/>
    <w:rsid w:val="005D2E07"/>
    <w:rsid w:val="005D33EE"/>
    <w:rsid w:val="005D3529"/>
    <w:rsid w:val="005D3959"/>
    <w:rsid w:val="005D403A"/>
    <w:rsid w:val="005D5094"/>
    <w:rsid w:val="005D56E2"/>
    <w:rsid w:val="005D5878"/>
    <w:rsid w:val="005D6AE0"/>
    <w:rsid w:val="005D776E"/>
    <w:rsid w:val="005D7970"/>
    <w:rsid w:val="005D7AB3"/>
    <w:rsid w:val="005D7CD2"/>
    <w:rsid w:val="005E024B"/>
    <w:rsid w:val="005E0F45"/>
    <w:rsid w:val="005E1D5D"/>
    <w:rsid w:val="005E2017"/>
    <w:rsid w:val="005E20A5"/>
    <w:rsid w:val="005E2BA0"/>
    <w:rsid w:val="005E2F7B"/>
    <w:rsid w:val="005E3170"/>
    <w:rsid w:val="005E3488"/>
    <w:rsid w:val="005E355D"/>
    <w:rsid w:val="005E38A0"/>
    <w:rsid w:val="005E43B5"/>
    <w:rsid w:val="005E446A"/>
    <w:rsid w:val="005E4D53"/>
    <w:rsid w:val="005E5EEC"/>
    <w:rsid w:val="005E624D"/>
    <w:rsid w:val="005E62D4"/>
    <w:rsid w:val="005E7957"/>
    <w:rsid w:val="005E7A9C"/>
    <w:rsid w:val="005F01EA"/>
    <w:rsid w:val="005F0DAC"/>
    <w:rsid w:val="005F19E6"/>
    <w:rsid w:val="005F2A52"/>
    <w:rsid w:val="005F2C5F"/>
    <w:rsid w:val="005F3782"/>
    <w:rsid w:val="005F4367"/>
    <w:rsid w:val="005F453D"/>
    <w:rsid w:val="005F45BB"/>
    <w:rsid w:val="005F5D91"/>
    <w:rsid w:val="005F5FE6"/>
    <w:rsid w:val="005F64F3"/>
    <w:rsid w:val="005F6912"/>
    <w:rsid w:val="005F758B"/>
    <w:rsid w:val="0060115C"/>
    <w:rsid w:val="0060134E"/>
    <w:rsid w:val="0060325C"/>
    <w:rsid w:val="00603652"/>
    <w:rsid w:val="006036D4"/>
    <w:rsid w:val="0060574C"/>
    <w:rsid w:val="0060775E"/>
    <w:rsid w:val="00607C67"/>
    <w:rsid w:val="00611731"/>
    <w:rsid w:val="00611734"/>
    <w:rsid w:val="00611CB3"/>
    <w:rsid w:val="00611D12"/>
    <w:rsid w:val="00615901"/>
    <w:rsid w:val="0061623F"/>
    <w:rsid w:val="00616427"/>
    <w:rsid w:val="00616614"/>
    <w:rsid w:val="00616E0D"/>
    <w:rsid w:val="006207A4"/>
    <w:rsid w:val="00620D52"/>
    <w:rsid w:val="00620EF3"/>
    <w:rsid w:val="00621392"/>
    <w:rsid w:val="006227ED"/>
    <w:rsid w:val="00622A96"/>
    <w:rsid w:val="00625233"/>
    <w:rsid w:val="006253E2"/>
    <w:rsid w:val="00626406"/>
    <w:rsid w:val="006269FB"/>
    <w:rsid w:val="006320E5"/>
    <w:rsid w:val="00632914"/>
    <w:rsid w:val="00632CC6"/>
    <w:rsid w:val="00633D4A"/>
    <w:rsid w:val="00634764"/>
    <w:rsid w:val="00636667"/>
    <w:rsid w:val="0063692D"/>
    <w:rsid w:val="006374C6"/>
    <w:rsid w:val="00637A23"/>
    <w:rsid w:val="00640125"/>
    <w:rsid w:val="00640D87"/>
    <w:rsid w:val="006412F2"/>
    <w:rsid w:val="00641692"/>
    <w:rsid w:val="00641968"/>
    <w:rsid w:val="00641EDA"/>
    <w:rsid w:val="00642844"/>
    <w:rsid w:val="00642DC1"/>
    <w:rsid w:val="00644337"/>
    <w:rsid w:val="006444AC"/>
    <w:rsid w:val="00644A8A"/>
    <w:rsid w:val="00646437"/>
    <w:rsid w:val="0064652D"/>
    <w:rsid w:val="00646920"/>
    <w:rsid w:val="00646C44"/>
    <w:rsid w:val="00646C81"/>
    <w:rsid w:val="00647D69"/>
    <w:rsid w:val="006501A5"/>
    <w:rsid w:val="006505F9"/>
    <w:rsid w:val="006507D9"/>
    <w:rsid w:val="006510B5"/>
    <w:rsid w:val="00651131"/>
    <w:rsid w:val="00652840"/>
    <w:rsid w:val="00654902"/>
    <w:rsid w:val="006568B7"/>
    <w:rsid w:val="0065722B"/>
    <w:rsid w:val="00660259"/>
    <w:rsid w:val="006609D4"/>
    <w:rsid w:val="00660D6A"/>
    <w:rsid w:val="0066158B"/>
    <w:rsid w:val="00661B54"/>
    <w:rsid w:val="006628D6"/>
    <w:rsid w:val="00662E23"/>
    <w:rsid w:val="0066355C"/>
    <w:rsid w:val="00663798"/>
    <w:rsid w:val="006639A2"/>
    <w:rsid w:val="006643AF"/>
    <w:rsid w:val="00664F83"/>
    <w:rsid w:val="00665822"/>
    <w:rsid w:val="0066594C"/>
    <w:rsid w:val="00666523"/>
    <w:rsid w:val="00666742"/>
    <w:rsid w:val="006677BF"/>
    <w:rsid w:val="00667A1A"/>
    <w:rsid w:val="00667C47"/>
    <w:rsid w:val="00670A15"/>
    <w:rsid w:val="00670E1D"/>
    <w:rsid w:val="006713FF"/>
    <w:rsid w:val="00671934"/>
    <w:rsid w:val="00671D12"/>
    <w:rsid w:val="00672FA6"/>
    <w:rsid w:val="006738D4"/>
    <w:rsid w:val="00676519"/>
    <w:rsid w:val="00677440"/>
    <w:rsid w:val="00677F43"/>
    <w:rsid w:val="00681AE2"/>
    <w:rsid w:val="00682D8C"/>
    <w:rsid w:val="00683656"/>
    <w:rsid w:val="00683715"/>
    <w:rsid w:val="00683E40"/>
    <w:rsid w:val="00685953"/>
    <w:rsid w:val="006861D0"/>
    <w:rsid w:val="00686BC1"/>
    <w:rsid w:val="006876F6"/>
    <w:rsid w:val="006879B8"/>
    <w:rsid w:val="00690B6E"/>
    <w:rsid w:val="006914B3"/>
    <w:rsid w:val="00691BA7"/>
    <w:rsid w:val="006924D8"/>
    <w:rsid w:val="00692A06"/>
    <w:rsid w:val="00692C6E"/>
    <w:rsid w:val="0069433C"/>
    <w:rsid w:val="00694387"/>
    <w:rsid w:val="006944E2"/>
    <w:rsid w:val="006945C4"/>
    <w:rsid w:val="00694A06"/>
    <w:rsid w:val="00694B3E"/>
    <w:rsid w:val="00696B87"/>
    <w:rsid w:val="006A066B"/>
    <w:rsid w:val="006A18E2"/>
    <w:rsid w:val="006A1DAB"/>
    <w:rsid w:val="006A20CC"/>
    <w:rsid w:val="006A347A"/>
    <w:rsid w:val="006A3770"/>
    <w:rsid w:val="006A3EFE"/>
    <w:rsid w:val="006A4360"/>
    <w:rsid w:val="006A50E9"/>
    <w:rsid w:val="006A5766"/>
    <w:rsid w:val="006A5EBC"/>
    <w:rsid w:val="006A712A"/>
    <w:rsid w:val="006A763E"/>
    <w:rsid w:val="006B28C9"/>
    <w:rsid w:val="006B31E5"/>
    <w:rsid w:val="006B324F"/>
    <w:rsid w:val="006B35EC"/>
    <w:rsid w:val="006B3D6E"/>
    <w:rsid w:val="006B47F7"/>
    <w:rsid w:val="006B65C7"/>
    <w:rsid w:val="006B7F24"/>
    <w:rsid w:val="006C0126"/>
    <w:rsid w:val="006C2542"/>
    <w:rsid w:val="006C2C45"/>
    <w:rsid w:val="006C364C"/>
    <w:rsid w:val="006C36F3"/>
    <w:rsid w:val="006C4257"/>
    <w:rsid w:val="006C59BF"/>
    <w:rsid w:val="006C6428"/>
    <w:rsid w:val="006C64D7"/>
    <w:rsid w:val="006C673E"/>
    <w:rsid w:val="006C7730"/>
    <w:rsid w:val="006D0FA7"/>
    <w:rsid w:val="006D123F"/>
    <w:rsid w:val="006D2C88"/>
    <w:rsid w:val="006D3515"/>
    <w:rsid w:val="006D38C0"/>
    <w:rsid w:val="006D417E"/>
    <w:rsid w:val="006D41DD"/>
    <w:rsid w:val="006D4208"/>
    <w:rsid w:val="006D462F"/>
    <w:rsid w:val="006D46A4"/>
    <w:rsid w:val="006D5370"/>
    <w:rsid w:val="006D5B43"/>
    <w:rsid w:val="006D6095"/>
    <w:rsid w:val="006D6868"/>
    <w:rsid w:val="006D6FD7"/>
    <w:rsid w:val="006D7CBA"/>
    <w:rsid w:val="006E036A"/>
    <w:rsid w:val="006E15B2"/>
    <w:rsid w:val="006E1D93"/>
    <w:rsid w:val="006E215F"/>
    <w:rsid w:val="006E29FB"/>
    <w:rsid w:val="006E2E6A"/>
    <w:rsid w:val="006E3517"/>
    <w:rsid w:val="006E35E3"/>
    <w:rsid w:val="006E372C"/>
    <w:rsid w:val="006E3824"/>
    <w:rsid w:val="006E44AF"/>
    <w:rsid w:val="006E4733"/>
    <w:rsid w:val="006E5228"/>
    <w:rsid w:val="006E6C5F"/>
    <w:rsid w:val="006E7389"/>
    <w:rsid w:val="006E7C0C"/>
    <w:rsid w:val="006E7D3A"/>
    <w:rsid w:val="006F1B08"/>
    <w:rsid w:val="006F2444"/>
    <w:rsid w:val="006F2AA4"/>
    <w:rsid w:val="006F2CF3"/>
    <w:rsid w:val="006F3E45"/>
    <w:rsid w:val="006F42EF"/>
    <w:rsid w:val="006F53B7"/>
    <w:rsid w:val="006F55AA"/>
    <w:rsid w:val="006F61B4"/>
    <w:rsid w:val="006F758A"/>
    <w:rsid w:val="00700855"/>
    <w:rsid w:val="00700A77"/>
    <w:rsid w:val="00700B08"/>
    <w:rsid w:val="0070195C"/>
    <w:rsid w:val="00701A96"/>
    <w:rsid w:val="007021D3"/>
    <w:rsid w:val="00703EE4"/>
    <w:rsid w:val="00704F78"/>
    <w:rsid w:val="0070553D"/>
    <w:rsid w:val="007062AA"/>
    <w:rsid w:val="00706E70"/>
    <w:rsid w:val="007071A4"/>
    <w:rsid w:val="00707218"/>
    <w:rsid w:val="00707B0F"/>
    <w:rsid w:val="00710538"/>
    <w:rsid w:val="007108F3"/>
    <w:rsid w:val="00710CBC"/>
    <w:rsid w:val="00710D00"/>
    <w:rsid w:val="0071192C"/>
    <w:rsid w:val="00712050"/>
    <w:rsid w:val="007131DC"/>
    <w:rsid w:val="007137C4"/>
    <w:rsid w:val="007138A4"/>
    <w:rsid w:val="00713FFD"/>
    <w:rsid w:val="00714F77"/>
    <w:rsid w:val="007151B8"/>
    <w:rsid w:val="00716747"/>
    <w:rsid w:val="00716A22"/>
    <w:rsid w:val="007173AB"/>
    <w:rsid w:val="007175C9"/>
    <w:rsid w:val="00717CAB"/>
    <w:rsid w:val="00720754"/>
    <w:rsid w:val="00721399"/>
    <w:rsid w:val="0072144E"/>
    <w:rsid w:val="0072282C"/>
    <w:rsid w:val="00722FEF"/>
    <w:rsid w:val="0072354B"/>
    <w:rsid w:val="00723F9F"/>
    <w:rsid w:val="0072459B"/>
    <w:rsid w:val="007257D8"/>
    <w:rsid w:val="00725885"/>
    <w:rsid w:val="00731310"/>
    <w:rsid w:val="007313F3"/>
    <w:rsid w:val="0073187D"/>
    <w:rsid w:val="007318FC"/>
    <w:rsid w:val="0073337E"/>
    <w:rsid w:val="00733853"/>
    <w:rsid w:val="00733F12"/>
    <w:rsid w:val="00733FDC"/>
    <w:rsid w:val="007343B4"/>
    <w:rsid w:val="007343F0"/>
    <w:rsid w:val="00734804"/>
    <w:rsid w:val="00734E7E"/>
    <w:rsid w:val="00735704"/>
    <w:rsid w:val="00735ED0"/>
    <w:rsid w:val="00736447"/>
    <w:rsid w:val="00736AFB"/>
    <w:rsid w:val="007371EA"/>
    <w:rsid w:val="00740087"/>
    <w:rsid w:val="007407B3"/>
    <w:rsid w:val="00742D58"/>
    <w:rsid w:val="00743CEA"/>
    <w:rsid w:val="00744C98"/>
    <w:rsid w:val="0074511E"/>
    <w:rsid w:val="0074550D"/>
    <w:rsid w:val="007460D2"/>
    <w:rsid w:val="00746377"/>
    <w:rsid w:val="00746453"/>
    <w:rsid w:val="0074798B"/>
    <w:rsid w:val="00747DC5"/>
    <w:rsid w:val="007507AF"/>
    <w:rsid w:val="00751857"/>
    <w:rsid w:val="007529A3"/>
    <w:rsid w:val="007532B0"/>
    <w:rsid w:val="00753BCF"/>
    <w:rsid w:val="00753F19"/>
    <w:rsid w:val="00755729"/>
    <w:rsid w:val="007563E2"/>
    <w:rsid w:val="007566E2"/>
    <w:rsid w:val="007575C2"/>
    <w:rsid w:val="007577F9"/>
    <w:rsid w:val="00757CD4"/>
    <w:rsid w:val="0076081F"/>
    <w:rsid w:val="007613D7"/>
    <w:rsid w:val="00761978"/>
    <w:rsid w:val="00762E27"/>
    <w:rsid w:val="0076346A"/>
    <w:rsid w:val="00763DD5"/>
    <w:rsid w:val="007641E0"/>
    <w:rsid w:val="007649B3"/>
    <w:rsid w:val="007666AD"/>
    <w:rsid w:val="007670E1"/>
    <w:rsid w:val="00767DE2"/>
    <w:rsid w:val="00770DE4"/>
    <w:rsid w:val="00771B36"/>
    <w:rsid w:val="00772947"/>
    <w:rsid w:val="00772FBC"/>
    <w:rsid w:val="00773812"/>
    <w:rsid w:val="00773CDD"/>
    <w:rsid w:val="0077574D"/>
    <w:rsid w:val="00775D6E"/>
    <w:rsid w:val="00776D17"/>
    <w:rsid w:val="00776F77"/>
    <w:rsid w:val="0077726B"/>
    <w:rsid w:val="00777DE0"/>
    <w:rsid w:val="00777E56"/>
    <w:rsid w:val="0078038A"/>
    <w:rsid w:val="00780453"/>
    <w:rsid w:val="007817B4"/>
    <w:rsid w:val="0078245C"/>
    <w:rsid w:val="0078260C"/>
    <w:rsid w:val="007826ED"/>
    <w:rsid w:val="007836F6"/>
    <w:rsid w:val="0078435E"/>
    <w:rsid w:val="007848F6"/>
    <w:rsid w:val="00786485"/>
    <w:rsid w:val="0078653F"/>
    <w:rsid w:val="0078759D"/>
    <w:rsid w:val="007900A8"/>
    <w:rsid w:val="007913AE"/>
    <w:rsid w:val="007921DE"/>
    <w:rsid w:val="00792514"/>
    <w:rsid w:val="00793424"/>
    <w:rsid w:val="00794389"/>
    <w:rsid w:val="0079614B"/>
    <w:rsid w:val="00797C84"/>
    <w:rsid w:val="007A00C4"/>
    <w:rsid w:val="007A09BC"/>
    <w:rsid w:val="007A0DB7"/>
    <w:rsid w:val="007A107B"/>
    <w:rsid w:val="007A1C95"/>
    <w:rsid w:val="007A1D79"/>
    <w:rsid w:val="007A302A"/>
    <w:rsid w:val="007A3C32"/>
    <w:rsid w:val="007A3CA3"/>
    <w:rsid w:val="007A3DAE"/>
    <w:rsid w:val="007A4571"/>
    <w:rsid w:val="007A51C0"/>
    <w:rsid w:val="007A52EA"/>
    <w:rsid w:val="007A5476"/>
    <w:rsid w:val="007A5504"/>
    <w:rsid w:val="007A5E7C"/>
    <w:rsid w:val="007A6C99"/>
    <w:rsid w:val="007A6FD7"/>
    <w:rsid w:val="007A7B79"/>
    <w:rsid w:val="007B01E0"/>
    <w:rsid w:val="007B1DF0"/>
    <w:rsid w:val="007B1E32"/>
    <w:rsid w:val="007B27F6"/>
    <w:rsid w:val="007B497F"/>
    <w:rsid w:val="007B5A88"/>
    <w:rsid w:val="007B5E63"/>
    <w:rsid w:val="007B64CE"/>
    <w:rsid w:val="007B687A"/>
    <w:rsid w:val="007B774A"/>
    <w:rsid w:val="007B7C89"/>
    <w:rsid w:val="007B7E60"/>
    <w:rsid w:val="007C055B"/>
    <w:rsid w:val="007C08E7"/>
    <w:rsid w:val="007C0ADE"/>
    <w:rsid w:val="007C1018"/>
    <w:rsid w:val="007C2029"/>
    <w:rsid w:val="007C263B"/>
    <w:rsid w:val="007C2A46"/>
    <w:rsid w:val="007C34AB"/>
    <w:rsid w:val="007C353A"/>
    <w:rsid w:val="007C3551"/>
    <w:rsid w:val="007C3C38"/>
    <w:rsid w:val="007C3D45"/>
    <w:rsid w:val="007C3D9A"/>
    <w:rsid w:val="007C5611"/>
    <w:rsid w:val="007C5D57"/>
    <w:rsid w:val="007C64B5"/>
    <w:rsid w:val="007C6B07"/>
    <w:rsid w:val="007C7E99"/>
    <w:rsid w:val="007D0CDD"/>
    <w:rsid w:val="007D2B77"/>
    <w:rsid w:val="007D32B0"/>
    <w:rsid w:val="007D3918"/>
    <w:rsid w:val="007D44FD"/>
    <w:rsid w:val="007D4FA4"/>
    <w:rsid w:val="007D5003"/>
    <w:rsid w:val="007D5F35"/>
    <w:rsid w:val="007D63FC"/>
    <w:rsid w:val="007D7E9D"/>
    <w:rsid w:val="007D7EB5"/>
    <w:rsid w:val="007E0574"/>
    <w:rsid w:val="007E139A"/>
    <w:rsid w:val="007E13BE"/>
    <w:rsid w:val="007E145E"/>
    <w:rsid w:val="007E2074"/>
    <w:rsid w:val="007E3AC5"/>
    <w:rsid w:val="007E420C"/>
    <w:rsid w:val="007E43A1"/>
    <w:rsid w:val="007E5764"/>
    <w:rsid w:val="007E60F2"/>
    <w:rsid w:val="007E64F8"/>
    <w:rsid w:val="007E7FA9"/>
    <w:rsid w:val="007F1295"/>
    <w:rsid w:val="007F36DE"/>
    <w:rsid w:val="007F3E37"/>
    <w:rsid w:val="007F49C5"/>
    <w:rsid w:val="007F4AF0"/>
    <w:rsid w:val="007F5044"/>
    <w:rsid w:val="007F5288"/>
    <w:rsid w:val="007F5503"/>
    <w:rsid w:val="007F6497"/>
    <w:rsid w:val="007F77DB"/>
    <w:rsid w:val="00800984"/>
    <w:rsid w:val="00800E74"/>
    <w:rsid w:val="00800F0F"/>
    <w:rsid w:val="00801F7B"/>
    <w:rsid w:val="0080585C"/>
    <w:rsid w:val="00805C85"/>
    <w:rsid w:val="0080624E"/>
    <w:rsid w:val="00806BF0"/>
    <w:rsid w:val="00806FD9"/>
    <w:rsid w:val="00807BA3"/>
    <w:rsid w:val="00810813"/>
    <w:rsid w:val="00810C06"/>
    <w:rsid w:val="00812885"/>
    <w:rsid w:val="00813A1C"/>
    <w:rsid w:val="008144B6"/>
    <w:rsid w:val="00815458"/>
    <w:rsid w:val="00816D8F"/>
    <w:rsid w:val="0081724B"/>
    <w:rsid w:val="00817266"/>
    <w:rsid w:val="0081791A"/>
    <w:rsid w:val="00817DF8"/>
    <w:rsid w:val="0082020C"/>
    <w:rsid w:val="00820570"/>
    <w:rsid w:val="00820DB3"/>
    <w:rsid w:val="00821406"/>
    <w:rsid w:val="00821C24"/>
    <w:rsid w:val="008220B8"/>
    <w:rsid w:val="008220CD"/>
    <w:rsid w:val="00822FD1"/>
    <w:rsid w:val="0082336F"/>
    <w:rsid w:val="008238D7"/>
    <w:rsid w:val="00823CCA"/>
    <w:rsid w:val="008243AA"/>
    <w:rsid w:val="008255E7"/>
    <w:rsid w:val="00826002"/>
    <w:rsid w:val="008262C3"/>
    <w:rsid w:val="00826A53"/>
    <w:rsid w:val="008273A6"/>
    <w:rsid w:val="0082744C"/>
    <w:rsid w:val="00827BFD"/>
    <w:rsid w:val="008312CE"/>
    <w:rsid w:val="00831C32"/>
    <w:rsid w:val="00831F99"/>
    <w:rsid w:val="008320E9"/>
    <w:rsid w:val="008324C9"/>
    <w:rsid w:val="00832D19"/>
    <w:rsid w:val="00832DBE"/>
    <w:rsid w:val="00832F03"/>
    <w:rsid w:val="0083328F"/>
    <w:rsid w:val="00833D7E"/>
    <w:rsid w:val="00835524"/>
    <w:rsid w:val="00835725"/>
    <w:rsid w:val="0083597E"/>
    <w:rsid w:val="00836445"/>
    <w:rsid w:val="0083756B"/>
    <w:rsid w:val="0083778E"/>
    <w:rsid w:val="008402FD"/>
    <w:rsid w:val="00840399"/>
    <w:rsid w:val="008412AC"/>
    <w:rsid w:val="00841B86"/>
    <w:rsid w:val="008428B9"/>
    <w:rsid w:val="00843592"/>
    <w:rsid w:val="00844082"/>
    <w:rsid w:val="00844083"/>
    <w:rsid w:val="008445F1"/>
    <w:rsid w:val="0084480B"/>
    <w:rsid w:val="008453C1"/>
    <w:rsid w:val="00845EC5"/>
    <w:rsid w:val="008469A9"/>
    <w:rsid w:val="008469D6"/>
    <w:rsid w:val="008470C7"/>
    <w:rsid w:val="00850153"/>
    <w:rsid w:val="008501A5"/>
    <w:rsid w:val="0085021C"/>
    <w:rsid w:val="008509D8"/>
    <w:rsid w:val="00850BED"/>
    <w:rsid w:val="00851726"/>
    <w:rsid w:val="00851A1C"/>
    <w:rsid w:val="008527F9"/>
    <w:rsid w:val="00852F17"/>
    <w:rsid w:val="008537B1"/>
    <w:rsid w:val="00853C57"/>
    <w:rsid w:val="00854848"/>
    <w:rsid w:val="00855033"/>
    <w:rsid w:val="008554CA"/>
    <w:rsid w:val="008556F4"/>
    <w:rsid w:val="00855D55"/>
    <w:rsid w:val="0085645F"/>
    <w:rsid w:val="00856E1B"/>
    <w:rsid w:val="008571B5"/>
    <w:rsid w:val="008572DF"/>
    <w:rsid w:val="00860207"/>
    <w:rsid w:val="00860889"/>
    <w:rsid w:val="00861AE1"/>
    <w:rsid w:val="008629F3"/>
    <w:rsid w:val="00863483"/>
    <w:rsid w:val="00863540"/>
    <w:rsid w:val="00863914"/>
    <w:rsid w:val="008647B2"/>
    <w:rsid w:val="00865108"/>
    <w:rsid w:val="008652BA"/>
    <w:rsid w:val="00866B6C"/>
    <w:rsid w:val="00866DAE"/>
    <w:rsid w:val="0087106A"/>
    <w:rsid w:val="008716A7"/>
    <w:rsid w:val="008718FF"/>
    <w:rsid w:val="00871C47"/>
    <w:rsid w:val="00871C4C"/>
    <w:rsid w:val="00872275"/>
    <w:rsid w:val="0087236C"/>
    <w:rsid w:val="008729E5"/>
    <w:rsid w:val="00872DBE"/>
    <w:rsid w:val="00873341"/>
    <w:rsid w:val="00873A0D"/>
    <w:rsid w:val="008766E6"/>
    <w:rsid w:val="0087674A"/>
    <w:rsid w:val="00880720"/>
    <w:rsid w:val="00881B22"/>
    <w:rsid w:val="00881D22"/>
    <w:rsid w:val="0088209C"/>
    <w:rsid w:val="00882165"/>
    <w:rsid w:val="008824D8"/>
    <w:rsid w:val="00884433"/>
    <w:rsid w:val="0088702D"/>
    <w:rsid w:val="008878FF"/>
    <w:rsid w:val="00887C49"/>
    <w:rsid w:val="00887F15"/>
    <w:rsid w:val="008906B8"/>
    <w:rsid w:val="00890BB0"/>
    <w:rsid w:val="00890E83"/>
    <w:rsid w:val="0089192B"/>
    <w:rsid w:val="008924C4"/>
    <w:rsid w:val="00893967"/>
    <w:rsid w:val="0089414C"/>
    <w:rsid w:val="008952D2"/>
    <w:rsid w:val="0089749C"/>
    <w:rsid w:val="008A0A39"/>
    <w:rsid w:val="008A0F8B"/>
    <w:rsid w:val="008A131F"/>
    <w:rsid w:val="008A1506"/>
    <w:rsid w:val="008A2C58"/>
    <w:rsid w:val="008A36A8"/>
    <w:rsid w:val="008A3AE2"/>
    <w:rsid w:val="008A3B4B"/>
    <w:rsid w:val="008A5413"/>
    <w:rsid w:val="008A5448"/>
    <w:rsid w:val="008A58C8"/>
    <w:rsid w:val="008A6384"/>
    <w:rsid w:val="008A67CC"/>
    <w:rsid w:val="008A6D54"/>
    <w:rsid w:val="008B06C9"/>
    <w:rsid w:val="008B170D"/>
    <w:rsid w:val="008B2E54"/>
    <w:rsid w:val="008B42A7"/>
    <w:rsid w:val="008B4806"/>
    <w:rsid w:val="008B4AB4"/>
    <w:rsid w:val="008B55CC"/>
    <w:rsid w:val="008B56A7"/>
    <w:rsid w:val="008B6CBE"/>
    <w:rsid w:val="008B7070"/>
    <w:rsid w:val="008B70B2"/>
    <w:rsid w:val="008B7662"/>
    <w:rsid w:val="008B7C30"/>
    <w:rsid w:val="008C0299"/>
    <w:rsid w:val="008C1121"/>
    <w:rsid w:val="008C1D6D"/>
    <w:rsid w:val="008C2458"/>
    <w:rsid w:val="008C249B"/>
    <w:rsid w:val="008C342D"/>
    <w:rsid w:val="008C3C7F"/>
    <w:rsid w:val="008C5AF4"/>
    <w:rsid w:val="008C68F4"/>
    <w:rsid w:val="008C6B2A"/>
    <w:rsid w:val="008C6F8F"/>
    <w:rsid w:val="008C709B"/>
    <w:rsid w:val="008C781C"/>
    <w:rsid w:val="008C7E94"/>
    <w:rsid w:val="008D127E"/>
    <w:rsid w:val="008D21D6"/>
    <w:rsid w:val="008D21F3"/>
    <w:rsid w:val="008D2D6D"/>
    <w:rsid w:val="008D3C15"/>
    <w:rsid w:val="008D3F2B"/>
    <w:rsid w:val="008D57A8"/>
    <w:rsid w:val="008D7DE1"/>
    <w:rsid w:val="008E042A"/>
    <w:rsid w:val="008E0A52"/>
    <w:rsid w:val="008E0B18"/>
    <w:rsid w:val="008E0E3A"/>
    <w:rsid w:val="008E0F7F"/>
    <w:rsid w:val="008E14DD"/>
    <w:rsid w:val="008E15FC"/>
    <w:rsid w:val="008E175A"/>
    <w:rsid w:val="008E1CDE"/>
    <w:rsid w:val="008E1D0F"/>
    <w:rsid w:val="008E4459"/>
    <w:rsid w:val="008E47D2"/>
    <w:rsid w:val="008E4D74"/>
    <w:rsid w:val="008E6894"/>
    <w:rsid w:val="008E7554"/>
    <w:rsid w:val="008F077C"/>
    <w:rsid w:val="008F07EA"/>
    <w:rsid w:val="008F0867"/>
    <w:rsid w:val="008F1521"/>
    <w:rsid w:val="008F1950"/>
    <w:rsid w:val="008F2F41"/>
    <w:rsid w:val="008F6325"/>
    <w:rsid w:val="008F632D"/>
    <w:rsid w:val="008F64EA"/>
    <w:rsid w:val="008F6666"/>
    <w:rsid w:val="008F67D0"/>
    <w:rsid w:val="00900C98"/>
    <w:rsid w:val="009017B5"/>
    <w:rsid w:val="009025B4"/>
    <w:rsid w:val="00904FDB"/>
    <w:rsid w:val="00906E0D"/>
    <w:rsid w:val="009105AD"/>
    <w:rsid w:val="009114F4"/>
    <w:rsid w:val="00911921"/>
    <w:rsid w:val="00911A01"/>
    <w:rsid w:val="00911F04"/>
    <w:rsid w:val="0091215A"/>
    <w:rsid w:val="009131CF"/>
    <w:rsid w:val="009134B0"/>
    <w:rsid w:val="009137ED"/>
    <w:rsid w:val="00914BB1"/>
    <w:rsid w:val="00915CE6"/>
    <w:rsid w:val="00916DD4"/>
    <w:rsid w:val="009223D9"/>
    <w:rsid w:val="009239F9"/>
    <w:rsid w:val="00923E80"/>
    <w:rsid w:val="0092401D"/>
    <w:rsid w:val="009242A4"/>
    <w:rsid w:val="00925B3E"/>
    <w:rsid w:val="00926C1C"/>
    <w:rsid w:val="0092734A"/>
    <w:rsid w:val="0092765F"/>
    <w:rsid w:val="00927B02"/>
    <w:rsid w:val="009301E2"/>
    <w:rsid w:val="0093089D"/>
    <w:rsid w:val="00931086"/>
    <w:rsid w:val="009325BF"/>
    <w:rsid w:val="00932DE3"/>
    <w:rsid w:val="00934AFD"/>
    <w:rsid w:val="00935C8D"/>
    <w:rsid w:val="00936133"/>
    <w:rsid w:val="009364CE"/>
    <w:rsid w:val="009371C6"/>
    <w:rsid w:val="00937DA1"/>
    <w:rsid w:val="009403A2"/>
    <w:rsid w:val="0094048F"/>
    <w:rsid w:val="00940A08"/>
    <w:rsid w:val="009411A2"/>
    <w:rsid w:val="00941C6C"/>
    <w:rsid w:val="00941EAD"/>
    <w:rsid w:val="00943437"/>
    <w:rsid w:val="009435E4"/>
    <w:rsid w:val="009436D9"/>
    <w:rsid w:val="00944C3C"/>
    <w:rsid w:val="00947278"/>
    <w:rsid w:val="0094740B"/>
    <w:rsid w:val="00950B71"/>
    <w:rsid w:val="00950F37"/>
    <w:rsid w:val="009513DA"/>
    <w:rsid w:val="00951EB8"/>
    <w:rsid w:val="009523CF"/>
    <w:rsid w:val="00952637"/>
    <w:rsid w:val="00952CE5"/>
    <w:rsid w:val="00952E75"/>
    <w:rsid w:val="00954896"/>
    <w:rsid w:val="0095594C"/>
    <w:rsid w:val="009559A9"/>
    <w:rsid w:val="00956815"/>
    <w:rsid w:val="00956BC5"/>
    <w:rsid w:val="00957200"/>
    <w:rsid w:val="009601A2"/>
    <w:rsid w:val="0096030C"/>
    <w:rsid w:val="009603BA"/>
    <w:rsid w:val="009613EB"/>
    <w:rsid w:val="00961A7C"/>
    <w:rsid w:val="00962C08"/>
    <w:rsid w:val="0096590F"/>
    <w:rsid w:val="00966CE2"/>
    <w:rsid w:val="00966CF6"/>
    <w:rsid w:val="009679BC"/>
    <w:rsid w:val="009702AF"/>
    <w:rsid w:val="009704C2"/>
    <w:rsid w:val="009705FD"/>
    <w:rsid w:val="0097132B"/>
    <w:rsid w:val="00971E42"/>
    <w:rsid w:val="00972028"/>
    <w:rsid w:val="00972E6D"/>
    <w:rsid w:val="0097380D"/>
    <w:rsid w:val="00973E5B"/>
    <w:rsid w:val="00973F94"/>
    <w:rsid w:val="00974586"/>
    <w:rsid w:val="00974590"/>
    <w:rsid w:val="00975458"/>
    <w:rsid w:val="00975944"/>
    <w:rsid w:val="009765D3"/>
    <w:rsid w:val="009772FE"/>
    <w:rsid w:val="00980264"/>
    <w:rsid w:val="009808C0"/>
    <w:rsid w:val="00980DC7"/>
    <w:rsid w:val="009822E6"/>
    <w:rsid w:val="00982D47"/>
    <w:rsid w:val="00983444"/>
    <w:rsid w:val="00985160"/>
    <w:rsid w:val="009853FC"/>
    <w:rsid w:val="00985859"/>
    <w:rsid w:val="0098586C"/>
    <w:rsid w:val="0098622C"/>
    <w:rsid w:val="00987BF8"/>
    <w:rsid w:val="00987C22"/>
    <w:rsid w:val="009903B3"/>
    <w:rsid w:val="0099088E"/>
    <w:rsid w:val="00990C78"/>
    <w:rsid w:val="00992273"/>
    <w:rsid w:val="00992D3C"/>
    <w:rsid w:val="00994197"/>
    <w:rsid w:val="009948F9"/>
    <w:rsid w:val="00994B46"/>
    <w:rsid w:val="00994B7A"/>
    <w:rsid w:val="009953C1"/>
    <w:rsid w:val="00996420"/>
    <w:rsid w:val="00996598"/>
    <w:rsid w:val="00996B7B"/>
    <w:rsid w:val="00997756"/>
    <w:rsid w:val="00997BAE"/>
    <w:rsid w:val="009A013B"/>
    <w:rsid w:val="009A025F"/>
    <w:rsid w:val="009A07F4"/>
    <w:rsid w:val="009A0FA8"/>
    <w:rsid w:val="009A1897"/>
    <w:rsid w:val="009A1DDD"/>
    <w:rsid w:val="009A239C"/>
    <w:rsid w:val="009A2A43"/>
    <w:rsid w:val="009A33A6"/>
    <w:rsid w:val="009A3714"/>
    <w:rsid w:val="009A37A1"/>
    <w:rsid w:val="009A3F57"/>
    <w:rsid w:val="009A4095"/>
    <w:rsid w:val="009A63A3"/>
    <w:rsid w:val="009A6E57"/>
    <w:rsid w:val="009A7088"/>
    <w:rsid w:val="009A72FC"/>
    <w:rsid w:val="009A77E5"/>
    <w:rsid w:val="009A7933"/>
    <w:rsid w:val="009B09F1"/>
    <w:rsid w:val="009B2149"/>
    <w:rsid w:val="009B229B"/>
    <w:rsid w:val="009B254C"/>
    <w:rsid w:val="009B2826"/>
    <w:rsid w:val="009B37C6"/>
    <w:rsid w:val="009B5B82"/>
    <w:rsid w:val="009B6252"/>
    <w:rsid w:val="009B77BA"/>
    <w:rsid w:val="009C004A"/>
    <w:rsid w:val="009C0837"/>
    <w:rsid w:val="009C0A18"/>
    <w:rsid w:val="009C1539"/>
    <w:rsid w:val="009C2E33"/>
    <w:rsid w:val="009C3649"/>
    <w:rsid w:val="009C3E90"/>
    <w:rsid w:val="009C4CC7"/>
    <w:rsid w:val="009C5407"/>
    <w:rsid w:val="009D0DE2"/>
    <w:rsid w:val="009D1CD4"/>
    <w:rsid w:val="009D1ECA"/>
    <w:rsid w:val="009D33F4"/>
    <w:rsid w:val="009D3FC8"/>
    <w:rsid w:val="009D4975"/>
    <w:rsid w:val="009D5A3B"/>
    <w:rsid w:val="009D5DCC"/>
    <w:rsid w:val="009D762F"/>
    <w:rsid w:val="009D7B21"/>
    <w:rsid w:val="009E015A"/>
    <w:rsid w:val="009E14ED"/>
    <w:rsid w:val="009E2001"/>
    <w:rsid w:val="009E222A"/>
    <w:rsid w:val="009E22E7"/>
    <w:rsid w:val="009E2B4F"/>
    <w:rsid w:val="009E3C0C"/>
    <w:rsid w:val="009E3F58"/>
    <w:rsid w:val="009E48B4"/>
    <w:rsid w:val="009E7A13"/>
    <w:rsid w:val="009F0DBA"/>
    <w:rsid w:val="009F106D"/>
    <w:rsid w:val="009F2D84"/>
    <w:rsid w:val="009F3AE2"/>
    <w:rsid w:val="009F556F"/>
    <w:rsid w:val="009F67BC"/>
    <w:rsid w:val="009F69DA"/>
    <w:rsid w:val="009F7CB6"/>
    <w:rsid w:val="00A041A0"/>
    <w:rsid w:val="00A046B5"/>
    <w:rsid w:val="00A0482D"/>
    <w:rsid w:val="00A04C4A"/>
    <w:rsid w:val="00A053FD"/>
    <w:rsid w:val="00A0547B"/>
    <w:rsid w:val="00A071E2"/>
    <w:rsid w:val="00A103FC"/>
    <w:rsid w:val="00A107A4"/>
    <w:rsid w:val="00A122DC"/>
    <w:rsid w:val="00A1233E"/>
    <w:rsid w:val="00A125B2"/>
    <w:rsid w:val="00A158CE"/>
    <w:rsid w:val="00A161CA"/>
    <w:rsid w:val="00A177FE"/>
    <w:rsid w:val="00A1783B"/>
    <w:rsid w:val="00A17ACF"/>
    <w:rsid w:val="00A22513"/>
    <w:rsid w:val="00A24BDB"/>
    <w:rsid w:val="00A2544E"/>
    <w:rsid w:val="00A2573E"/>
    <w:rsid w:val="00A263F4"/>
    <w:rsid w:val="00A30659"/>
    <w:rsid w:val="00A30707"/>
    <w:rsid w:val="00A30F2C"/>
    <w:rsid w:val="00A31299"/>
    <w:rsid w:val="00A3314B"/>
    <w:rsid w:val="00A346BA"/>
    <w:rsid w:val="00A34C9A"/>
    <w:rsid w:val="00A35155"/>
    <w:rsid w:val="00A3587B"/>
    <w:rsid w:val="00A36588"/>
    <w:rsid w:val="00A371D0"/>
    <w:rsid w:val="00A40630"/>
    <w:rsid w:val="00A40AC2"/>
    <w:rsid w:val="00A4178A"/>
    <w:rsid w:val="00A41B20"/>
    <w:rsid w:val="00A422BB"/>
    <w:rsid w:val="00A4363B"/>
    <w:rsid w:val="00A43FA5"/>
    <w:rsid w:val="00A4498E"/>
    <w:rsid w:val="00A45A36"/>
    <w:rsid w:val="00A46D72"/>
    <w:rsid w:val="00A46F00"/>
    <w:rsid w:val="00A47820"/>
    <w:rsid w:val="00A47C9D"/>
    <w:rsid w:val="00A5113F"/>
    <w:rsid w:val="00A51D65"/>
    <w:rsid w:val="00A52A5E"/>
    <w:rsid w:val="00A52E4A"/>
    <w:rsid w:val="00A54AE9"/>
    <w:rsid w:val="00A5526D"/>
    <w:rsid w:val="00A56126"/>
    <w:rsid w:val="00A56562"/>
    <w:rsid w:val="00A56915"/>
    <w:rsid w:val="00A56A57"/>
    <w:rsid w:val="00A56AA0"/>
    <w:rsid w:val="00A56F3E"/>
    <w:rsid w:val="00A60232"/>
    <w:rsid w:val="00A613AC"/>
    <w:rsid w:val="00A61F26"/>
    <w:rsid w:val="00A62144"/>
    <w:rsid w:val="00A62F4C"/>
    <w:rsid w:val="00A63A06"/>
    <w:rsid w:val="00A63F96"/>
    <w:rsid w:val="00A650E4"/>
    <w:rsid w:val="00A651F1"/>
    <w:rsid w:val="00A658B6"/>
    <w:rsid w:val="00A66366"/>
    <w:rsid w:val="00A67146"/>
    <w:rsid w:val="00A671EF"/>
    <w:rsid w:val="00A674B5"/>
    <w:rsid w:val="00A6761E"/>
    <w:rsid w:val="00A677B9"/>
    <w:rsid w:val="00A6785F"/>
    <w:rsid w:val="00A67C35"/>
    <w:rsid w:val="00A70302"/>
    <w:rsid w:val="00A70CFE"/>
    <w:rsid w:val="00A70FA7"/>
    <w:rsid w:val="00A716A1"/>
    <w:rsid w:val="00A72CE6"/>
    <w:rsid w:val="00A74616"/>
    <w:rsid w:val="00A74681"/>
    <w:rsid w:val="00A746DD"/>
    <w:rsid w:val="00A74B47"/>
    <w:rsid w:val="00A74BF6"/>
    <w:rsid w:val="00A7556E"/>
    <w:rsid w:val="00A75FD0"/>
    <w:rsid w:val="00A77B12"/>
    <w:rsid w:val="00A80BB6"/>
    <w:rsid w:val="00A82027"/>
    <w:rsid w:val="00A8349B"/>
    <w:rsid w:val="00A83BBC"/>
    <w:rsid w:val="00A84006"/>
    <w:rsid w:val="00A858F6"/>
    <w:rsid w:val="00A85A95"/>
    <w:rsid w:val="00A85F6F"/>
    <w:rsid w:val="00A86398"/>
    <w:rsid w:val="00A8765E"/>
    <w:rsid w:val="00A87BE9"/>
    <w:rsid w:val="00A87DC7"/>
    <w:rsid w:val="00A901C8"/>
    <w:rsid w:val="00A918F1"/>
    <w:rsid w:val="00A92D5C"/>
    <w:rsid w:val="00A93658"/>
    <w:rsid w:val="00A93937"/>
    <w:rsid w:val="00A951C9"/>
    <w:rsid w:val="00A95234"/>
    <w:rsid w:val="00A95E8E"/>
    <w:rsid w:val="00AA0971"/>
    <w:rsid w:val="00AA141E"/>
    <w:rsid w:val="00AA1C5D"/>
    <w:rsid w:val="00AA27D6"/>
    <w:rsid w:val="00AA3209"/>
    <w:rsid w:val="00AA3C10"/>
    <w:rsid w:val="00AA4C44"/>
    <w:rsid w:val="00AA5A1C"/>
    <w:rsid w:val="00AA5AEB"/>
    <w:rsid w:val="00AA62CA"/>
    <w:rsid w:val="00AA647C"/>
    <w:rsid w:val="00AA64DA"/>
    <w:rsid w:val="00AB0694"/>
    <w:rsid w:val="00AB0C7E"/>
    <w:rsid w:val="00AB1020"/>
    <w:rsid w:val="00AB1727"/>
    <w:rsid w:val="00AB280F"/>
    <w:rsid w:val="00AB2D15"/>
    <w:rsid w:val="00AB2D44"/>
    <w:rsid w:val="00AB396E"/>
    <w:rsid w:val="00AB3E31"/>
    <w:rsid w:val="00AB4DCA"/>
    <w:rsid w:val="00AB52AB"/>
    <w:rsid w:val="00AB5373"/>
    <w:rsid w:val="00AB5422"/>
    <w:rsid w:val="00AB5877"/>
    <w:rsid w:val="00AC01E9"/>
    <w:rsid w:val="00AC0D1B"/>
    <w:rsid w:val="00AC15DB"/>
    <w:rsid w:val="00AC16C0"/>
    <w:rsid w:val="00AC35BE"/>
    <w:rsid w:val="00AC3B1E"/>
    <w:rsid w:val="00AC503D"/>
    <w:rsid w:val="00AC56A2"/>
    <w:rsid w:val="00AC5A89"/>
    <w:rsid w:val="00AC5D29"/>
    <w:rsid w:val="00AC66DE"/>
    <w:rsid w:val="00AC6703"/>
    <w:rsid w:val="00AC6716"/>
    <w:rsid w:val="00AC73F2"/>
    <w:rsid w:val="00AD0AEB"/>
    <w:rsid w:val="00AD1129"/>
    <w:rsid w:val="00AD119C"/>
    <w:rsid w:val="00AD195F"/>
    <w:rsid w:val="00AD58EB"/>
    <w:rsid w:val="00AD5C18"/>
    <w:rsid w:val="00AD65A4"/>
    <w:rsid w:val="00AD684D"/>
    <w:rsid w:val="00AD6D83"/>
    <w:rsid w:val="00AD7268"/>
    <w:rsid w:val="00AE0131"/>
    <w:rsid w:val="00AE0D76"/>
    <w:rsid w:val="00AE1177"/>
    <w:rsid w:val="00AE49D0"/>
    <w:rsid w:val="00AE4B41"/>
    <w:rsid w:val="00AE687E"/>
    <w:rsid w:val="00AE6D47"/>
    <w:rsid w:val="00AF01D1"/>
    <w:rsid w:val="00AF0760"/>
    <w:rsid w:val="00AF17B5"/>
    <w:rsid w:val="00AF1B2A"/>
    <w:rsid w:val="00AF285E"/>
    <w:rsid w:val="00AF3088"/>
    <w:rsid w:val="00AF30B4"/>
    <w:rsid w:val="00AF3268"/>
    <w:rsid w:val="00AF3C82"/>
    <w:rsid w:val="00AF3D16"/>
    <w:rsid w:val="00AF5F29"/>
    <w:rsid w:val="00AF60E3"/>
    <w:rsid w:val="00AF7AF4"/>
    <w:rsid w:val="00AF7ECC"/>
    <w:rsid w:val="00B022EC"/>
    <w:rsid w:val="00B024C8"/>
    <w:rsid w:val="00B034A9"/>
    <w:rsid w:val="00B035C1"/>
    <w:rsid w:val="00B03849"/>
    <w:rsid w:val="00B0488B"/>
    <w:rsid w:val="00B04D69"/>
    <w:rsid w:val="00B05A89"/>
    <w:rsid w:val="00B05B48"/>
    <w:rsid w:val="00B05CFC"/>
    <w:rsid w:val="00B069B9"/>
    <w:rsid w:val="00B071F4"/>
    <w:rsid w:val="00B106C3"/>
    <w:rsid w:val="00B10CF9"/>
    <w:rsid w:val="00B10F38"/>
    <w:rsid w:val="00B115D2"/>
    <w:rsid w:val="00B149C6"/>
    <w:rsid w:val="00B14C09"/>
    <w:rsid w:val="00B15319"/>
    <w:rsid w:val="00B15D55"/>
    <w:rsid w:val="00B1625B"/>
    <w:rsid w:val="00B162F7"/>
    <w:rsid w:val="00B16A8A"/>
    <w:rsid w:val="00B17239"/>
    <w:rsid w:val="00B17C97"/>
    <w:rsid w:val="00B20012"/>
    <w:rsid w:val="00B2117B"/>
    <w:rsid w:val="00B21355"/>
    <w:rsid w:val="00B22471"/>
    <w:rsid w:val="00B22E2F"/>
    <w:rsid w:val="00B22E93"/>
    <w:rsid w:val="00B230B5"/>
    <w:rsid w:val="00B24ACB"/>
    <w:rsid w:val="00B25764"/>
    <w:rsid w:val="00B27711"/>
    <w:rsid w:val="00B3013C"/>
    <w:rsid w:val="00B30E40"/>
    <w:rsid w:val="00B30F60"/>
    <w:rsid w:val="00B32266"/>
    <w:rsid w:val="00B3261A"/>
    <w:rsid w:val="00B32E63"/>
    <w:rsid w:val="00B3325D"/>
    <w:rsid w:val="00B332D0"/>
    <w:rsid w:val="00B3383F"/>
    <w:rsid w:val="00B33B26"/>
    <w:rsid w:val="00B33C49"/>
    <w:rsid w:val="00B33F4D"/>
    <w:rsid w:val="00B33F96"/>
    <w:rsid w:val="00B342AD"/>
    <w:rsid w:val="00B347BB"/>
    <w:rsid w:val="00B35656"/>
    <w:rsid w:val="00B364F6"/>
    <w:rsid w:val="00B3664F"/>
    <w:rsid w:val="00B36D5A"/>
    <w:rsid w:val="00B37018"/>
    <w:rsid w:val="00B37164"/>
    <w:rsid w:val="00B3780A"/>
    <w:rsid w:val="00B3784A"/>
    <w:rsid w:val="00B400F6"/>
    <w:rsid w:val="00B40EF8"/>
    <w:rsid w:val="00B412E8"/>
    <w:rsid w:val="00B43BA2"/>
    <w:rsid w:val="00B43C6F"/>
    <w:rsid w:val="00B43D2C"/>
    <w:rsid w:val="00B449B2"/>
    <w:rsid w:val="00B44C03"/>
    <w:rsid w:val="00B452A4"/>
    <w:rsid w:val="00B45C35"/>
    <w:rsid w:val="00B4792E"/>
    <w:rsid w:val="00B47B53"/>
    <w:rsid w:val="00B47D39"/>
    <w:rsid w:val="00B507BB"/>
    <w:rsid w:val="00B513E4"/>
    <w:rsid w:val="00B51730"/>
    <w:rsid w:val="00B526DC"/>
    <w:rsid w:val="00B5277A"/>
    <w:rsid w:val="00B538C9"/>
    <w:rsid w:val="00B53FEE"/>
    <w:rsid w:val="00B54FAD"/>
    <w:rsid w:val="00B564EF"/>
    <w:rsid w:val="00B6021F"/>
    <w:rsid w:val="00B603FC"/>
    <w:rsid w:val="00B63C6C"/>
    <w:rsid w:val="00B63E02"/>
    <w:rsid w:val="00B64479"/>
    <w:rsid w:val="00B66C02"/>
    <w:rsid w:val="00B70675"/>
    <w:rsid w:val="00B7080D"/>
    <w:rsid w:val="00B7118F"/>
    <w:rsid w:val="00B71521"/>
    <w:rsid w:val="00B7250A"/>
    <w:rsid w:val="00B72D16"/>
    <w:rsid w:val="00B73014"/>
    <w:rsid w:val="00B73979"/>
    <w:rsid w:val="00B73F29"/>
    <w:rsid w:val="00B745A4"/>
    <w:rsid w:val="00B76309"/>
    <w:rsid w:val="00B76B9A"/>
    <w:rsid w:val="00B77D37"/>
    <w:rsid w:val="00B801C3"/>
    <w:rsid w:val="00B8024A"/>
    <w:rsid w:val="00B80AC7"/>
    <w:rsid w:val="00B811DE"/>
    <w:rsid w:val="00B81A2C"/>
    <w:rsid w:val="00B81C0D"/>
    <w:rsid w:val="00B822E3"/>
    <w:rsid w:val="00B826F3"/>
    <w:rsid w:val="00B830FD"/>
    <w:rsid w:val="00B83F72"/>
    <w:rsid w:val="00B8484D"/>
    <w:rsid w:val="00B84E9A"/>
    <w:rsid w:val="00B87696"/>
    <w:rsid w:val="00B87CD0"/>
    <w:rsid w:val="00B9052C"/>
    <w:rsid w:val="00B90FB2"/>
    <w:rsid w:val="00B91200"/>
    <w:rsid w:val="00B91DF7"/>
    <w:rsid w:val="00B92FB5"/>
    <w:rsid w:val="00B93971"/>
    <w:rsid w:val="00B9443C"/>
    <w:rsid w:val="00B95230"/>
    <w:rsid w:val="00B9676F"/>
    <w:rsid w:val="00B96F3C"/>
    <w:rsid w:val="00B9700D"/>
    <w:rsid w:val="00B979D9"/>
    <w:rsid w:val="00B97E46"/>
    <w:rsid w:val="00BA03B0"/>
    <w:rsid w:val="00BA22A2"/>
    <w:rsid w:val="00BA3150"/>
    <w:rsid w:val="00BA32CA"/>
    <w:rsid w:val="00BA34D4"/>
    <w:rsid w:val="00BA3877"/>
    <w:rsid w:val="00BA4826"/>
    <w:rsid w:val="00BA48F5"/>
    <w:rsid w:val="00BA4A44"/>
    <w:rsid w:val="00BA5A2A"/>
    <w:rsid w:val="00BA5D9D"/>
    <w:rsid w:val="00BA5F4D"/>
    <w:rsid w:val="00BA68A0"/>
    <w:rsid w:val="00BA731E"/>
    <w:rsid w:val="00BA75F7"/>
    <w:rsid w:val="00BB03A7"/>
    <w:rsid w:val="00BB189F"/>
    <w:rsid w:val="00BB1C65"/>
    <w:rsid w:val="00BB1D7E"/>
    <w:rsid w:val="00BB22B4"/>
    <w:rsid w:val="00BB28CA"/>
    <w:rsid w:val="00BB2C15"/>
    <w:rsid w:val="00BB3134"/>
    <w:rsid w:val="00BB53B7"/>
    <w:rsid w:val="00BB5C08"/>
    <w:rsid w:val="00BB5D6D"/>
    <w:rsid w:val="00BB776C"/>
    <w:rsid w:val="00BC00B3"/>
    <w:rsid w:val="00BC0302"/>
    <w:rsid w:val="00BC1941"/>
    <w:rsid w:val="00BC2009"/>
    <w:rsid w:val="00BC2941"/>
    <w:rsid w:val="00BC2E72"/>
    <w:rsid w:val="00BC379C"/>
    <w:rsid w:val="00BC3ACC"/>
    <w:rsid w:val="00BC3EE9"/>
    <w:rsid w:val="00BC475B"/>
    <w:rsid w:val="00BC4AAE"/>
    <w:rsid w:val="00BC4CFA"/>
    <w:rsid w:val="00BC4F64"/>
    <w:rsid w:val="00BC55B1"/>
    <w:rsid w:val="00BC6B68"/>
    <w:rsid w:val="00BC74A0"/>
    <w:rsid w:val="00BC7802"/>
    <w:rsid w:val="00BC7EE9"/>
    <w:rsid w:val="00BD0169"/>
    <w:rsid w:val="00BD0B0B"/>
    <w:rsid w:val="00BD2006"/>
    <w:rsid w:val="00BD2F99"/>
    <w:rsid w:val="00BD3358"/>
    <w:rsid w:val="00BD374E"/>
    <w:rsid w:val="00BD3A30"/>
    <w:rsid w:val="00BD41DB"/>
    <w:rsid w:val="00BD4589"/>
    <w:rsid w:val="00BD4716"/>
    <w:rsid w:val="00BD5DA4"/>
    <w:rsid w:val="00BD63F1"/>
    <w:rsid w:val="00BD71F1"/>
    <w:rsid w:val="00BD732B"/>
    <w:rsid w:val="00BE0647"/>
    <w:rsid w:val="00BE225B"/>
    <w:rsid w:val="00BE24A5"/>
    <w:rsid w:val="00BE4E1A"/>
    <w:rsid w:val="00BE64A4"/>
    <w:rsid w:val="00BE67F7"/>
    <w:rsid w:val="00BE7E12"/>
    <w:rsid w:val="00BF058A"/>
    <w:rsid w:val="00BF0D13"/>
    <w:rsid w:val="00BF1796"/>
    <w:rsid w:val="00BF1F25"/>
    <w:rsid w:val="00BF22D6"/>
    <w:rsid w:val="00BF239D"/>
    <w:rsid w:val="00BF3A64"/>
    <w:rsid w:val="00BF3E66"/>
    <w:rsid w:val="00BF41EC"/>
    <w:rsid w:val="00BF4BF9"/>
    <w:rsid w:val="00BF5244"/>
    <w:rsid w:val="00BF616F"/>
    <w:rsid w:val="00C002CF"/>
    <w:rsid w:val="00C01EE2"/>
    <w:rsid w:val="00C026AD"/>
    <w:rsid w:val="00C04D26"/>
    <w:rsid w:val="00C0622B"/>
    <w:rsid w:val="00C0681A"/>
    <w:rsid w:val="00C06DED"/>
    <w:rsid w:val="00C070E4"/>
    <w:rsid w:val="00C074B9"/>
    <w:rsid w:val="00C10A0B"/>
    <w:rsid w:val="00C10E5B"/>
    <w:rsid w:val="00C117A3"/>
    <w:rsid w:val="00C12790"/>
    <w:rsid w:val="00C137B0"/>
    <w:rsid w:val="00C152D1"/>
    <w:rsid w:val="00C15C8C"/>
    <w:rsid w:val="00C167E6"/>
    <w:rsid w:val="00C172E5"/>
    <w:rsid w:val="00C210F3"/>
    <w:rsid w:val="00C22F09"/>
    <w:rsid w:val="00C230E5"/>
    <w:rsid w:val="00C2412F"/>
    <w:rsid w:val="00C2513E"/>
    <w:rsid w:val="00C25586"/>
    <w:rsid w:val="00C25A8F"/>
    <w:rsid w:val="00C268BE"/>
    <w:rsid w:val="00C26B17"/>
    <w:rsid w:val="00C26EF9"/>
    <w:rsid w:val="00C27DDF"/>
    <w:rsid w:val="00C31816"/>
    <w:rsid w:val="00C32A3C"/>
    <w:rsid w:val="00C32B78"/>
    <w:rsid w:val="00C33121"/>
    <w:rsid w:val="00C344ED"/>
    <w:rsid w:val="00C3538A"/>
    <w:rsid w:val="00C36569"/>
    <w:rsid w:val="00C36B95"/>
    <w:rsid w:val="00C37226"/>
    <w:rsid w:val="00C376E9"/>
    <w:rsid w:val="00C377B4"/>
    <w:rsid w:val="00C378A5"/>
    <w:rsid w:val="00C410C3"/>
    <w:rsid w:val="00C41180"/>
    <w:rsid w:val="00C417D2"/>
    <w:rsid w:val="00C41D3A"/>
    <w:rsid w:val="00C420AD"/>
    <w:rsid w:val="00C421E9"/>
    <w:rsid w:val="00C45716"/>
    <w:rsid w:val="00C46043"/>
    <w:rsid w:val="00C468BC"/>
    <w:rsid w:val="00C52364"/>
    <w:rsid w:val="00C52D8D"/>
    <w:rsid w:val="00C53C12"/>
    <w:rsid w:val="00C56888"/>
    <w:rsid w:val="00C5780E"/>
    <w:rsid w:val="00C579F1"/>
    <w:rsid w:val="00C57C4C"/>
    <w:rsid w:val="00C61A06"/>
    <w:rsid w:val="00C6235E"/>
    <w:rsid w:val="00C62440"/>
    <w:rsid w:val="00C62596"/>
    <w:rsid w:val="00C64A70"/>
    <w:rsid w:val="00C65984"/>
    <w:rsid w:val="00C669B5"/>
    <w:rsid w:val="00C66CBD"/>
    <w:rsid w:val="00C70126"/>
    <w:rsid w:val="00C70F79"/>
    <w:rsid w:val="00C7124F"/>
    <w:rsid w:val="00C71E08"/>
    <w:rsid w:val="00C722A4"/>
    <w:rsid w:val="00C723D2"/>
    <w:rsid w:val="00C72579"/>
    <w:rsid w:val="00C72D58"/>
    <w:rsid w:val="00C73412"/>
    <w:rsid w:val="00C73DDF"/>
    <w:rsid w:val="00C7473A"/>
    <w:rsid w:val="00C75A06"/>
    <w:rsid w:val="00C77062"/>
    <w:rsid w:val="00C773D1"/>
    <w:rsid w:val="00C77817"/>
    <w:rsid w:val="00C77906"/>
    <w:rsid w:val="00C81699"/>
    <w:rsid w:val="00C81ADA"/>
    <w:rsid w:val="00C81E8A"/>
    <w:rsid w:val="00C861F9"/>
    <w:rsid w:val="00C8659D"/>
    <w:rsid w:val="00C87079"/>
    <w:rsid w:val="00C90432"/>
    <w:rsid w:val="00C90946"/>
    <w:rsid w:val="00C939B0"/>
    <w:rsid w:val="00C94DC5"/>
    <w:rsid w:val="00C95378"/>
    <w:rsid w:val="00C954F1"/>
    <w:rsid w:val="00C96B8D"/>
    <w:rsid w:val="00C96BAA"/>
    <w:rsid w:val="00CA0C79"/>
    <w:rsid w:val="00CA2370"/>
    <w:rsid w:val="00CA2509"/>
    <w:rsid w:val="00CA261A"/>
    <w:rsid w:val="00CA416F"/>
    <w:rsid w:val="00CA4963"/>
    <w:rsid w:val="00CA60BF"/>
    <w:rsid w:val="00CA611D"/>
    <w:rsid w:val="00CA7086"/>
    <w:rsid w:val="00CA78B7"/>
    <w:rsid w:val="00CA7982"/>
    <w:rsid w:val="00CB1F4B"/>
    <w:rsid w:val="00CB3482"/>
    <w:rsid w:val="00CB3D0E"/>
    <w:rsid w:val="00CB49C2"/>
    <w:rsid w:val="00CB512D"/>
    <w:rsid w:val="00CB61AA"/>
    <w:rsid w:val="00CB65DF"/>
    <w:rsid w:val="00CB682D"/>
    <w:rsid w:val="00CB76B8"/>
    <w:rsid w:val="00CB7F57"/>
    <w:rsid w:val="00CC00D5"/>
    <w:rsid w:val="00CC109C"/>
    <w:rsid w:val="00CC14EB"/>
    <w:rsid w:val="00CC2769"/>
    <w:rsid w:val="00CC2842"/>
    <w:rsid w:val="00CC2C91"/>
    <w:rsid w:val="00CC3A2D"/>
    <w:rsid w:val="00CC46BC"/>
    <w:rsid w:val="00CC53DE"/>
    <w:rsid w:val="00CC5F81"/>
    <w:rsid w:val="00CC661A"/>
    <w:rsid w:val="00CC677C"/>
    <w:rsid w:val="00CD0457"/>
    <w:rsid w:val="00CD070D"/>
    <w:rsid w:val="00CD08BD"/>
    <w:rsid w:val="00CD0D79"/>
    <w:rsid w:val="00CD1102"/>
    <w:rsid w:val="00CD3604"/>
    <w:rsid w:val="00CD3F24"/>
    <w:rsid w:val="00CD47D3"/>
    <w:rsid w:val="00CD5591"/>
    <w:rsid w:val="00CD721C"/>
    <w:rsid w:val="00CD737F"/>
    <w:rsid w:val="00CD77D0"/>
    <w:rsid w:val="00CD7B48"/>
    <w:rsid w:val="00CE0E4D"/>
    <w:rsid w:val="00CE1158"/>
    <w:rsid w:val="00CE2598"/>
    <w:rsid w:val="00CE3309"/>
    <w:rsid w:val="00CE4172"/>
    <w:rsid w:val="00CE4211"/>
    <w:rsid w:val="00CE47EB"/>
    <w:rsid w:val="00CE48F3"/>
    <w:rsid w:val="00CE5F6B"/>
    <w:rsid w:val="00CE6720"/>
    <w:rsid w:val="00CE7684"/>
    <w:rsid w:val="00CE7CEB"/>
    <w:rsid w:val="00CF0CF1"/>
    <w:rsid w:val="00CF405E"/>
    <w:rsid w:val="00CF4D32"/>
    <w:rsid w:val="00CF4DD2"/>
    <w:rsid w:val="00CF5C3B"/>
    <w:rsid w:val="00CF5DB4"/>
    <w:rsid w:val="00CF7D40"/>
    <w:rsid w:val="00D01702"/>
    <w:rsid w:val="00D01E16"/>
    <w:rsid w:val="00D01EED"/>
    <w:rsid w:val="00D0247B"/>
    <w:rsid w:val="00D02481"/>
    <w:rsid w:val="00D027B2"/>
    <w:rsid w:val="00D02CC2"/>
    <w:rsid w:val="00D058ED"/>
    <w:rsid w:val="00D06B18"/>
    <w:rsid w:val="00D06CFB"/>
    <w:rsid w:val="00D078DE"/>
    <w:rsid w:val="00D10AB5"/>
    <w:rsid w:val="00D11E89"/>
    <w:rsid w:val="00D127E3"/>
    <w:rsid w:val="00D129E5"/>
    <w:rsid w:val="00D13C4D"/>
    <w:rsid w:val="00D13FB9"/>
    <w:rsid w:val="00D14B6F"/>
    <w:rsid w:val="00D14B96"/>
    <w:rsid w:val="00D15462"/>
    <w:rsid w:val="00D16922"/>
    <w:rsid w:val="00D170D7"/>
    <w:rsid w:val="00D20902"/>
    <w:rsid w:val="00D20FF5"/>
    <w:rsid w:val="00D216E0"/>
    <w:rsid w:val="00D223A1"/>
    <w:rsid w:val="00D22BE9"/>
    <w:rsid w:val="00D23547"/>
    <w:rsid w:val="00D236A7"/>
    <w:rsid w:val="00D24311"/>
    <w:rsid w:val="00D24792"/>
    <w:rsid w:val="00D24B93"/>
    <w:rsid w:val="00D24FA0"/>
    <w:rsid w:val="00D251DC"/>
    <w:rsid w:val="00D25E17"/>
    <w:rsid w:val="00D27D32"/>
    <w:rsid w:val="00D30186"/>
    <w:rsid w:val="00D3157B"/>
    <w:rsid w:val="00D333B5"/>
    <w:rsid w:val="00D33884"/>
    <w:rsid w:val="00D35385"/>
    <w:rsid w:val="00D35501"/>
    <w:rsid w:val="00D36433"/>
    <w:rsid w:val="00D36DAD"/>
    <w:rsid w:val="00D36DE8"/>
    <w:rsid w:val="00D3753D"/>
    <w:rsid w:val="00D37AF7"/>
    <w:rsid w:val="00D37B12"/>
    <w:rsid w:val="00D37CAA"/>
    <w:rsid w:val="00D4041E"/>
    <w:rsid w:val="00D4078C"/>
    <w:rsid w:val="00D40CB3"/>
    <w:rsid w:val="00D41561"/>
    <w:rsid w:val="00D41748"/>
    <w:rsid w:val="00D41876"/>
    <w:rsid w:val="00D41F84"/>
    <w:rsid w:val="00D4414D"/>
    <w:rsid w:val="00D44597"/>
    <w:rsid w:val="00D445CF"/>
    <w:rsid w:val="00D466E2"/>
    <w:rsid w:val="00D46BFF"/>
    <w:rsid w:val="00D479C7"/>
    <w:rsid w:val="00D47A12"/>
    <w:rsid w:val="00D50691"/>
    <w:rsid w:val="00D50ABF"/>
    <w:rsid w:val="00D5186D"/>
    <w:rsid w:val="00D52906"/>
    <w:rsid w:val="00D53A7C"/>
    <w:rsid w:val="00D53BEB"/>
    <w:rsid w:val="00D542C7"/>
    <w:rsid w:val="00D55D70"/>
    <w:rsid w:val="00D566EF"/>
    <w:rsid w:val="00D56E43"/>
    <w:rsid w:val="00D570AD"/>
    <w:rsid w:val="00D60634"/>
    <w:rsid w:val="00D6153F"/>
    <w:rsid w:val="00D61E89"/>
    <w:rsid w:val="00D620B8"/>
    <w:rsid w:val="00D622CE"/>
    <w:rsid w:val="00D63656"/>
    <w:rsid w:val="00D6543E"/>
    <w:rsid w:val="00D6551E"/>
    <w:rsid w:val="00D66535"/>
    <w:rsid w:val="00D67CBB"/>
    <w:rsid w:val="00D70078"/>
    <w:rsid w:val="00D704D3"/>
    <w:rsid w:val="00D71AD9"/>
    <w:rsid w:val="00D72554"/>
    <w:rsid w:val="00D729EB"/>
    <w:rsid w:val="00D752D6"/>
    <w:rsid w:val="00D755EC"/>
    <w:rsid w:val="00D75D8E"/>
    <w:rsid w:val="00D7639E"/>
    <w:rsid w:val="00D76E52"/>
    <w:rsid w:val="00D77CA5"/>
    <w:rsid w:val="00D80A5F"/>
    <w:rsid w:val="00D816C6"/>
    <w:rsid w:val="00D8428D"/>
    <w:rsid w:val="00D848A0"/>
    <w:rsid w:val="00D86212"/>
    <w:rsid w:val="00D865AD"/>
    <w:rsid w:val="00D8683A"/>
    <w:rsid w:val="00D93372"/>
    <w:rsid w:val="00D9349D"/>
    <w:rsid w:val="00D936F8"/>
    <w:rsid w:val="00D93C41"/>
    <w:rsid w:val="00D93DD2"/>
    <w:rsid w:val="00D947E1"/>
    <w:rsid w:val="00D94803"/>
    <w:rsid w:val="00D94E33"/>
    <w:rsid w:val="00D95182"/>
    <w:rsid w:val="00D968FE"/>
    <w:rsid w:val="00DA0656"/>
    <w:rsid w:val="00DA0E63"/>
    <w:rsid w:val="00DA1C71"/>
    <w:rsid w:val="00DA2A15"/>
    <w:rsid w:val="00DA2D67"/>
    <w:rsid w:val="00DA33CB"/>
    <w:rsid w:val="00DA35DC"/>
    <w:rsid w:val="00DA5079"/>
    <w:rsid w:val="00DA5805"/>
    <w:rsid w:val="00DA582F"/>
    <w:rsid w:val="00DA6DF8"/>
    <w:rsid w:val="00DB010D"/>
    <w:rsid w:val="00DB347D"/>
    <w:rsid w:val="00DB4383"/>
    <w:rsid w:val="00DB65C8"/>
    <w:rsid w:val="00DB6B29"/>
    <w:rsid w:val="00DB6BC4"/>
    <w:rsid w:val="00DC1807"/>
    <w:rsid w:val="00DC343B"/>
    <w:rsid w:val="00DC3BF7"/>
    <w:rsid w:val="00DC3F80"/>
    <w:rsid w:val="00DC44F6"/>
    <w:rsid w:val="00DC500B"/>
    <w:rsid w:val="00DC5091"/>
    <w:rsid w:val="00DC57E6"/>
    <w:rsid w:val="00DC58A9"/>
    <w:rsid w:val="00DC60C4"/>
    <w:rsid w:val="00DC6146"/>
    <w:rsid w:val="00DC6637"/>
    <w:rsid w:val="00DC798D"/>
    <w:rsid w:val="00DD1253"/>
    <w:rsid w:val="00DD256A"/>
    <w:rsid w:val="00DD26E8"/>
    <w:rsid w:val="00DD397C"/>
    <w:rsid w:val="00DD44E3"/>
    <w:rsid w:val="00DD4A7C"/>
    <w:rsid w:val="00DD5BFF"/>
    <w:rsid w:val="00DD70EA"/>
    <w:rsid w:val="00DE0E57"/>
    <w:rsid w:val="00DE1545"/>
    <w:rsid w:val="00DE4335"/>
    <w:rsid w:val="00DE48F2"/>
    <w:rsid w:val="00DE5492"/>
    <w:rsid w:val="00DE5BC2"/>
    <w:rsid w:val="00DE78DE"/>
    <w:rsid w:val="00DE7A48"/>
    <w:rsid w:val="00DF0A9A"/>
    <w:rsid w:val="00DF189F"/>
    <w:rsid w:val="00DF3986"/>
    <w:rsid w:val="00DF3BA2"/>
    <w:rsid w:val="00DF52A4"/>
    <w:rsid w:val="00DF6ACC"/>
    <w:rsid w:val="00DF7868"/>
    <w:rsid w:val="00E0220F"/>
    <w:rsid w:val="00E02828"/>
    <w:rsid w:val="00E03485"/>
    <w:rsid w:val="00E03711"/>
    <w:rsid w:val="00E03D3C"/>
    <w:rsid w:val="00E045BD"/>
    <w:rsid w:val="00E046BF"/>
    <w:rsid w:val="00E04BAB"/>
    <w:rsid w:val="00E0509F"/>
    <w:rsid w:val="00E051AA"/>
    <w:rsid w:val="00E0629E"/>
    <w:rsid w:val="00E07771"/>
    <w:rsid w:val="00E1037B"/>
    <w:rsid w:val="00E10625"/>
    <w:rsid w:val="00E10830"/>
    <w:rsid w:val="00E1203F"/>
    <w:rsid w:val="00E136AC"/>
    <w:rsid w:val="00E145A0"/>
    <w:rsid w:val="00E14656"/>
    <w:rsid w:val="00E1502A"/>
    <w:rsid w:val="00E15128"/>
    <w:rsid w:val="00E16C33"/>
    <w:rsid w:val="00E17563"/>
    <w:rsid w:val="00E20B25"/>
    <w:rsid w:val="00E21235"/>
    <w:rsid w:val="00E219D1"/>
    <w:rsid w:val="00E221E3"/>
    <w:rsid w:val="00E23112"/>
    <w:rsid w:val="00E2461D"/>
    <w:rsid w:val="00E248F8"/>
    <w:rsid w:val="00E24BA7"/>
    <w:rsid w:val="00E25126"/>
    <w:rsid w:val="00E254F3"/>
    <w:rsid w:val="00E26B63"/>
    <w:rsid w:val="00E26B72"/>
    <w:rsid w:val="00E315C1"/>
    <w:rsid w:val="00E31A06"/>
    <w:rsid w:val="00E320C8"/>
    <w:rsid w:val="00E322C0"/>
    <w:rsid w:val="00E330F1"/>
    <w:rsid w:val="00E339A6"/>
    <w:rsid w:val="00E34D0B"/>
    <w:rsid w:val="00E36562"/>
    <w:rsid w:val="00E3686C"/>
    <w:rsid w:val="00E36A89"/>
    <w:rsid w:val="00E36D76"/>
    <w:rsid w:val="00E40DCE"/>
    <w:rsid w:val="00E41A17"/>
    <w:rsid w:val="00E41F5A"/>
    <w:rsid w:val="00E42763"/>
    <w:rsid w:val="00E42A03"/>
    <w:rsid w:val="00E42B06"/>
    <w:rsid w:val="00E44701"/>
    <w:rsid w:val="00E4517B"/>
    <w:rsid w:val="00E45263"/>
    <w:rsid w:val="00E469DB"/>
    <w:rsid w:val="00E46A1F"/>
    <w:rsid w:val="00E46B44"/>
    <w:rsid w:val="00E470B5"/>
    <w:rsid w:val="00E47DE6"/>
    <w:rsid w:val="00E47F5A"/>
    <w:rsid w:val="00E47F70"/>
    <w:rsid w:val="00E5190D"/>
    <w:rsid w:val="00E527BE"/>
    <w:rsid w:val="00E52EFA"/>
    <w:rsid w:val="00E534A4"/>
    <w:rsid w:val="00E540B4"/>
    <w:rsid w:val="00E5613E"/>
    <w:rsid w:val="00E615BF"/>
    <w:rsid w:val="00E617BB"/>
    <w:rsid w:val="00E61CC4"/>
    <w:rsid w:val="00E62773"/>
    <w:rsid w:val="00E64F5F"/>
    <w:rsid w:val="00E65DE3"/>
    <w:rsid w:val="00E662B1"/>
    <w:rsid w:val="00E67ECC"/>
    <w:rsid w:val="00E7087D"/>
    <w:rsid w:val="00E70FCD"/>
    <w:rsid w:val="00E72158"/>
    <w:rsid w:val="00E726A9"/>
    <w:rsid w:val="00E7345E"/>
    <w:rsid w:val="00E744A0"/>
    <w:rsid w:val="00E744F6"/>
    <w:rsid w:val="00E746C8"/>
    <w:rsid w:val="00E75A9F"/>
    <w:rsid w:val="00E7726E"/>
    <w:rsid w:val="00E77289"/>
    <w:rsid w:val="00E77990"/>
    <w:rsid w:val="00E800A0"/>
    <w:rsid w:val="00E80632"/>
    <w:rsid w:val="00E80658"/>
    <w:rsid w:val="00E80806"/>
    <w:rsid w:val="00E80C2C"/>
    <w:rsid w:val="00E81EF9"/>
    <w:rsid w:val="00E824CB"/>
    <w:rsid w:val="00E82ECB"/>
    <w:rsid w:val="00E834B9"/>
    <w:rsid w:val="00E852BA"/>
    <w:rsid w:val="00E861D9"/>
    <w:rsid w:val="00E86AD1"/>
    <w:rsid w:val="00E875B7"/>
    <w:rsid w:val="00E87C9F"/>
    <w:rsid w:val="00E901A4"/>
    <w:rsid w:val="00E91AFB"/>
    <w:rsid w:val="00E923F7"/>
    <w:rsid w:val="00E92E6C"/>
    <w:rsid w:val="00E93325"/>
    <w:rsid w:val="00E95617"/>
    <w:rsid w:val="00E95A20"/>
    <w:rsid w:val="00E960DC"/>
    <w:rsid w:val="00E97D2C"/>
    <w:rsid w:val="00E97E71"/>
    <w:rsid w:val="00E97EB5"/>
    <w:rsid w:val="00EA0851"/>
    <w:rsid w:val="00EA0B03"/>
    <w:rsid w:val="00EA0CE0"/>
    <w:rsid w:val="00EA1FEF"/>
    <w:rsid w:val="00EA3ADC"/>
    <w:rsid w:val="00EA3E34"/>
    <w:rsid w:val="00EA52EA"/>
    <w:rsid w:val="00EA6841"/>
    <w:rsid w:val="00EA7373"/>
    <w:rsid w:val="00EA7546"/>
    <w:rsid w:val="00EA76A1"/>
    <w:rsid w:val="00EB0ED3"/>
    <w:rsid w:val="00EB10B2"/>
    <w:rsid w:val="00EB2031"/>
    <w:rsid w:val="00EB3F61"/>
    <w:rsid w:val="00EB418A"/>
    <w:rsid w:val="00EB456F"/>
    <w:rsid w:val="00EB4B2F"/>
    <w:rsid w:val="00EB50D3"/>
    <w:rsid w:val="00EC085F"/>
    <w:rsid w:val="00EC08FB"/>
    <w:rsid w:val="00EC0AF4"/>
    <w:rsid w:val="00EC0C0E"/>
    <w:rsid w:val="00EC11FB"/>
    <w:rsid w:val="00EC3E8C"/>
    <w:rsid w:val="00EC4DD2"/>
    <w:rsid w:val="00EC5367"/>
    <w:rsid w:val="00ED1629"/>
    <w:rsid w:val="00ED26C6"/>
    <w:rsid w:val="00ED2F62"/>
    <w:rsid w:val="00ED53B8"/>
    <w:rsid w:val="00ED5657"/>
    <w:rsid w:val="00ED5BEA"/>
    <w:rsid w:val="00ED5EA2"/>
    <w:rsid w:val="00ED5F1C"/>
    <w:rsid w:val="00ED5FF1"/>
    <w:rsid w:val="00ED6491"/>
    <w:rsid w:val="00ED6512"/>
    <w:rsid w:val="00ED6AA7"/>
    <w:rsid w:val="00ED791E"/>
    <w:rsid w:val="00EE16AA"/>
    <w:rsid w:val="00EE1BDC"/>
    <w:rsid w:val="00EE27C0"/>
    <w:rsid w:val="00EE2CF7"/>
    <w:rsid w:val="00EE34D2"/>
    <w:rsid w:val="00EE383B"/>
    <w:rsid w:val="00EE39AB"/>
    <w:rsid w:val="00EE5A99"/>
    <w:rsid w:val="00EE602B"/>
    <w:rsid w:val="00EE6CBF"/>
    <w:rsid w:val="00EE7975"/>
    <w:rsid w:val="00EE7D8C"/>
    <w:rsid w:val="00EF12B1"/>
    <w:rsid w:val="00EF1778"/>
    <w:rsid w:val="00EF2020"/>
    <w:rsid w:val="00EF388D"/>
    <w:rsid w:val="00EF450C"/>
    <w:rsid w:val="00EF4F0F"/>
    <w:rsid w:val="00EF58D6"/>
    <w:rsid w:val="00EF63A5"/>
    <w:rsid w:val="00EF7420"/>
    <w:rsid w:val="00EF78AC"/>
    <w:rsid w:val="00F01EE2"/>
    <w:rsid w:val="00F01FDE"/>
    <w:rsid w:val="00F02016"/>
    <w:rsid w:val="00F025C6"/>
    <w:rsid w:val="00F0310C"/>
    <w:rsid w:val="00F034D2"/>
    <w:rsid w:val="00F0359A"/>
    <w:rsid w:val="00F03A4C"/>
    <w:rsid w:val="00F0474B"/>
    <w:rsid w:val="00F04A20"/>
    <w:rsid w:val="00F05A3A"/>
    <w:rsid w:val="00F05EE8"/>
    <w:rsid w:val="00F06292"/>
    <w:rsid w:val="00F066FE"/>
    <w:rsid w:val="00F06CCC"/>
    <w:rsid w:val="00F072DC"/>
    <w:rsid w:val="00F10881"/>
    <w:rsid w:val="00F10C63"/>
    <w:rsid w:val="00F123B3"/>
    <w:rsid w:val="00F133E9"/>
    <w:rsid w:val="00F13635"/>
    <w:rsid w:val="00F145A2"/>
    <w:rsid w:val="00F152D0"/>
    <w:rsid w:val="00F15A39"/>
    <w:rsid w:val="00F15E6D"/>
    <w:rsid w:val="00F160CF"/>
    <w:rsid w:val="00F1637B"/>
    <w:rsid w:val="00F1670B"/>
    <w:rsid w:val="00F17171"/>
    <w:rsid w:val="00F175CB"/>
    <w:rsid w:val="00F20E21"/>
    <w:rsid w:val="00F21225"/>
    <w:rsid w:val="00F218BC"/>
    <w:rsid w:val="00F218CC"/>
    <w:rsid w:val="00F22D59"/>
    <w:rsid w:val="00F2463F"/>
    <w:rsid w:val="00F24E3D"/>
    <w:rsid w:val="00F26CBA"/>
    <w:rsid w:val="00F26CCC"/>
    <w:rsid w:val="00F278D6"/>
    <w:rsid w:val="00F30E62"/>
    <w:rsid w:val="00F315EB"/>
    <w:rsid w:val="00F33BB3"/>
    <w:rsid w:val="00F34518"/>
    <w:rsid w:val="00F350F6"/>
    <w:rsid w:val="00F3781A"/>
    <w:rsid w:val="00F37D26"/>
    <w:rsid w:val="00F407FC"/>
    <w:rsid w:val="00F4090F"/>
    <w:rsid w:val="00F40DB3"/>
    <w:rsid w:val="00F4317E"/>
    <w:rsid w:val="00F436F5"/>
    <w:rsid w:val="00F44392"/>
    <w:rsid w:val="00F4496C"/>
    <w:rsid w:val="00F45AF8"/>
    <w:rsid w:val="00F45C02"/>
    <w:rsid w:val="00F474C9"/>
    <w:rsid w:val="00F47C3E"/>
    <w:rsid w:val="00F504CB"/>
    <w:rsid w:val="00F50750"/>
    <w:rsid w:val="00F51994"/>
    <w:rsid w:val="00F52661"/>
    <w:rsid w:val="00F53D96"/>
    <w:rsid w:val="00F5477D"/>
    <w:rsid w:val="00F54836"/>
    <w:rsid w:val="00F5495F"/>
    <w:rsid w:val="00F554A3"/>
    <w:rsid w:val="00F5550A"/>
    <w:rsid w:val="00F55BA6"/>
    <w:rsid w:val="00F55C61"/>
    <w:rsid w:val="00F560B0"/>
    <w:rsid w:val="00F568CA"/>
    <w:rsid w:val="00F573F1"/>
    <w:rsid w:val="00F61050"/>
    <w:rsid w:val="00F6206E"/>
    <w:rsid w:val="00F62625"/>
    <w:rsid w:val="00F64A30"/>
    <w:rsid w:val="00F65013"/>
    <w:rsid w:val="00F66505"/>
    <w:rsid w:val="00F66A5A"/>
    <w:rsid w:val="00F6717B"/>
    <w:rsid w:val="00F70183"/>
    <w:rsid w:val="00F70D7F"/>
    <w:rsid w:val="00F70E50"/>
    <w:rsid w:val="00F71C7A"/>
    <w:rsid w:val="00F72F89"/>
    <w:rsid w:val="00F730EA"/>
    <w:rsid w:val="00F73269"/>
    <w:rsid w:val="00F73561"/>
    <w:rsid w:val="00F73ADC"/>
    <w:rsid w:val="00F754F0"/>
    <w:rsid w:val="00F75788"/>
    <w:rsid w:val="00F757AA"/>
    <w:rsid w:val="00F76085"/>
    <w:rsid w:val="00F769B0"/>
    <w:rsid w:val="00F775FE"/>
    <w:rsid w:val="00F776E3"/>
    <w:rsid w:val="00F7775C"/>
    <w:rsid w:val="00F77762"/>
    <w:rsid w:val="00F77CBC"/>
    <w:rsid w:val="00F80352"/>
    <w:rsid w:val="00F80DBF"/>
    <w:rsid w:val="00F83D32"/>
    <w:rsid w:val="00F844DE"/>
    <w:rsid w:val="00F848BC"/>
    <w:rsid w:val="00F857F2"/>
    <w:rsid w:val="00F85D25"/>
    <w:rsid w:val="00F86246"/>
    <w:rsid w:val="00F8699A"/>
    <w:rsid w:val="00F86ED3"/>
    <w:rsid w:val="00F86F8D"/>
    <w:rsid w:val="00F875C9"/>
    <w:rsid w:val="00F878B2"/>
    <w:rsid w:val="00F90370"/>
    <w:rsid w:val="00F90423"/>
    <w:rsid w:val="00F91421"/>
    <w:rsid w:val="00F91A50"/>
    <w:rsid w:val="00F92490"/>
    <w:rsid w:val="00F925AB"/>
    <w:rsid w:val="00F926B9"/>
    <w:rsid w:val="00F939D8"/>
    <w:rsid w:val="00F93D85"/>
    <w:rsid w:val="00F93F19"/>
    <w:rsid w:val="00F96A31"/>
    <w:rsid w:val="00F97168"/>
    <w:rsid w:val="00F971AF"/>
    <w:rsid w:val="00F97539"/>
    <w:rsid w:val="00FA0862"/>
    <w:rsid w:val="00FA1352"/>
    <w:rsid w:val="00FA1FB0"/>
    <w:rsid w:val="00FA28A0"/>
    <w:rsid w:val="00FA3A8F"/>
    <w:rsid w:val="00FA4727"/>
    <w:rsid w:val="00FA4B76"/>
    <w:rsid w:val="00FA4BCC"/>
    <w:rsid w:val="00FA525F"/>
    <w:rsid w:val="00FA6687"/>
    <w:rsid w:val="00FA6950"/>
    <w:rsid w:val="00FA7246"/>
    <w:rsid w:val="00FA7530"/>
    <w:rsid w:val="00FA7F0B"/>
    <w:rsid w:val="00FB00CD"/>
    <w:rsid w:val="00FB1D69"/>
    <w:rsid w:val="00FB1FAE"/>
    <w:rsid w:val="00FB2A9B"/>
    <w:rsid w:val="00FB2F29"/>
    <w:rsid w:val="00FB36AC"/>
    <w:rsid w:val="00FB39C2"/>
    <w:rsid w:val="00FB3D61"/>
    <w:rsid w:val="00FB3D89"/>
    <w:rsid w:val="00FB746D"/>
    <w:rsid w:val="00FB7F29"/>
    <w:rsid w:val="00FC0145"/>
    <w:rsid w:val="00FC1005"/>
    <w:rsid w:val="00FC1253"/>
    <w:rsid w:val="00FC1E5F"/>
    <w:rsid w:val="00FC291C"/>
    <w:rsid w:val="00FC3A85"/>
    <w:rsid w:val="00FC3D2B"/>
    <w:rsid w:val="00FC426F"/>
    <w:rsid w:val="00FC4D0D"/>
    <w:rsid w:val="00FC4F1A"/>
    <w:rsid w:val="00FC5795"/>
    <w:rsid w:val="00FC60CD"/>
    <w:rsid w:val="00FC6D15"/>
    <w:rsid w:val="00FC70DE"/>
    <w:rsid w:val="00FC7240"/>
    <w:rsid w:val="00FD0344"/>
    <w:rsid w:val="00FD0FB6"/>
    <w:rsid w:val="00FD1196"/>
    <w:rsid w:val="00FD14C7"/>
    <w:rsid w:val="00FD2595"/>
    <w:rsid w:val="00FD279D"/>
    <w:rsid w:val="00FD2D68"/>
    <w:rsid w:val="00FD30A6"/>
    <w:rsid w:val="00FD3FAD"/>
    <w:rsid w:val="00FD54A2"/>
    <w:rsid w:val="00FD683A"/>
    <w:rsid w:val="00FD6BD3"/>
    <w:rsid w:val="00FD6F65"/>
    <w:rsid w:val="00FE0F4C"/>
    <w:rsid w:val="00FE13B7"/>
    <w:rsid w:val="00FE1F32"/>
    <w:rsid w:val="00FE2333"/>
    <w:rsid w:val="00FE2C3E"/>
    <w:rsid w:val="00FE317B"/>
    <w:rsid w:val="00FE3379"/>
    <w:rsid w:val="00FE3579"/>
    <w:rsid w:val="00FE459A"/>
    <w:rsid w:val="00FE466C"/>
    <w:rsid w:val="00FE4D09"/>
    <w:rsid w:val="00FE5490"/>
    <w:rsid w:val="00FE5BEF"/>
    <w:rsid w:val="00FE6097"/>
    <w:rsid w:val="00FE63EF"/>
    <w:rsid w:val="00FE669A"/>
    <w:rsid w:val="00FE67E3"/>
    <w:rsid w:val="00FE6E1F"/>
    <w:rsid w:val="00FE7846"/>
    <w:rsid w:val="00FE7862"/>
    <w:rsid w:val="00FF09F0"/>
    <w:rsid w:val="00FF0D4D"/>
    <w:rsid w:val="00FF0E79"/>
    <w:rsid w:val="00FF157A"/>
    <w:rsid w:val="00FF15B2"/>
    <w:rsid w:val="00FF1F5F"/>
    <w:rsid w:val="00FF28A8"/>
    <w:rsid w:val="00FF412E"/>
    <w:rsid w:val="00FF4582"/>
    <w:rsid w:val="00FF5C2D"/>
    <w:rsid w:val="00FF6738"/>
    <w:rsid w:val="00FF6BF4"/>
    <w:rsid w:val="00FF6BFB"/>
    <w:rsid w:val="00FF70F4"/>
    <w:rsid w:val="00FF7753"/>
    <w:rsid w:val="00FF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EBF8"/>
  <w15:chartTrackingRefBased/>
  <w15:docId w15:val="{773294BF-9664-4F38-A5DA-BAD1965E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
    <w:qFormat/>
    <w:rsid w:val="0004459C"/>
    <w:pPr>
      <w:jc w:val="both"/>
    </w:pPr>
    <w:rPr>
      <w:rFonts w:ascii="Times New Roman" w:hAnsi="Times New Roman"/>
      <w:sz w:val="28"/>
      <w:lang w:val="en-GB"/>
    </w:rPr>
  </w:style>
  <w:style w:type="paragraph" w:styleId="Heading4">
    <w:name w:val="heading 4"/>
    <w:basedOn w:val="Normal"/>
    <w:next w:val="Normal"/>
    <w:link w:val="Heading4Char"/>
    <w:uiPriority w:val="9"/>
    <w:unhideWhenUsed/>
    <w:qFormat/>
    <w:rsid w:val="0093089D"/>
    <w:pPr>
      <w:keepNext/>
      <w:keepLines/>
      <w:spacing w:before="40" w:after="0"/>
      <w:jc w:val="left"/>
      <w:outlineLvl w:val="3"/>
    </w:pPr>
    <w:rPr>
      <w:rFonts w:asciiTheme="majorHAnsi" w:eastAsiaTheme="majorEastAsia" w:hAnsiTheme="majorHAnsi" w:cstheme="majorBidi"/>
      <w:i/>
      <w:iCs/>
      <w:color w:val="2E74B5" w:themeColor="accent1" w:themeShade="BF"/>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59C"/>
    <w:rPr>
      <w:color w:val="0563C1" w:themeColor="hyperlink"/>
      <w:u w:val="single"/>
    </w:rPr>
  </w:style>
  <w:style w:type="paragraph" w:styleId="Header">
    <w:name w:val="header"/>
    <w:basedOn w:val="Normal"/>
    <w:link w:val="HeaderChar"/>
    <w:uiPriority w:val="99"/>
    <w:unhideWhenUsed/>
    <w:rsid w:val="00AC503D"/>
    <w:pPr>
      <w:tabs>
        <w:tab w:val="center" w:pos="4844"/>
        <w:tab w:val="right" w:pos="9689"/>
      </w:tabs>
      <w:spacing w:after="0" w:line="240" w:lineRule="auto"/>
    </w:pPr>
  </w:style>
  <w:style w:type="character" w:customStyle="1" w:styleId="HeaderChar">
    <w:name w:val="Header Char"/>
    <w:basedOn w:val="DefaultParagraphFont"/>
    <w:link w:val="Header"/>
    <w:uiPriority w:val="99"/>
    <w:rsid w:val="00AC503D"/>
    <w:rPr>
      <w:rFonts w:ascii="Times New Roman" w:hAnsi="Times New Roman"/>
      <w:sz w:val="28"/>
      <w:lang w:val="en-GB"/>
    </w:rPr>
  </w:style>
  <w:style w:type="paragraph" w:styleId="Footer">
    <w:name w:val="footer"/>
    <w:basedOn w:val="Normal"/>
    <w:link w:val="FooterChar"/>
    <w:uiPriority w:val="99"/>
    <w:unhideWhenUsed/>
    <w:rsid w:val="00AC503D"/>
    <w:pPr>
      <w:tabs>
        <w:tab w:val="center" w:pos="4844"/>
        <w:tab w:val="right" w:pos="9689"/>
      </w:tabs>
      <w:spacing w:after="0" w:line="240" w:lineRule="auto"/>
    </w:pPr>
  </w:style>
  <w:style w:type="character" w:customStyle="1" w:styleId="FooterChar">
    <w:name w:val="Footer Char"/>
    <w:basedOn w:val="DefaultParagraphFont"/>
    <w:link w:val="Footer"/>
    <w:uiPriority w:val="99"/>
    <w:rsid w:val="00AC503D"/>
    <w:rPr>
      <w:rFonts w:ascii="Times New Roman" w:hAnsi="Times New Roman"/>
      <w:sz w:val="28"/>
      <w:lang w:val="en-GB"/>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Обычный (веб)1,Текст сноски1,Текст сноски11"/>
    <w:basedOn w:val="Normal"/>
    <w:link w:val="NormalWebChar"/>
    <w:uiPriority w:val="99"/>
    <w:unhideWhenUsed/>
    <w:qFormat/>
    <w:rsid w:val="006412F2"/>
    <w:rPr>
      <w:rFonts w:cs="Times New Roman"/>
      <w:sz w:val="24"/>
      <w:szCs w:val="24"/>
    </w:rPr>
  </w:style>
  <w:style w:type="paragraph" w:styleId="FootnoteText">
    <w:name w:val="footnote text"/>
    <w:aliases w:val="Char, Char,Знак1, Знак1, Знак,Знак,single space,footnote text,FOOTNOTES,fn,Footnote Text Char1,Footnote Text Char2 Char,Footnote Text Char1 Char Char,Footnote Text Char2 Char Char Char,Footnote Text Char1 Char Char Char Char, Cha,ft,A,Cha"/>
    <w:basedOn w:val="Normal"/>
    <w:link w:val="FootnoteTextChar"/>
    <w:uiPriority w:val="99"/>
    <w:unhideWhenUsed/>
    <w:qFormat/>
    <w:rsid w:val="006412F2"/>
    <w:pPr>
      <w:spacing w:after="0" w:line="240" w:lineRule="auto"/>
      <w:jc w:val="left"/>
    </w:pPr>
    <w:rPr>
      <w:rFonts w:asciiTheme="minorHAnsi" w:hAnsiTheme="minorHAnsi"/>
      <w:sz w:val="20"/>
      <w:szCs w:val="20"/>
      <w:lang w:val="en-US"/>
    </w:rPr>
  </w:style>
  <w:style w:type="character" w:customStyle="1" w:styleId="FootnoteTextChar">
    <w:name w:val="Footnote Text Char"/>
    <w:aliases w:val="Char Char, Char Char,Знак1 Char, Знак1 Char, Знак Char,Знак Char,single space Char,footnote text Char,FOOTNOTES Char,fn Char,Footnote Text Char1 Char,Footnote Text Char2 Char Char,Footnote Text Char1 Char Char Char, Cha Char,ft Char"/>
    <w:basedOn w:val="DefaultParagraphFont"/>
    <w:link w:val="FootnoteText"/>
    <w:uiPriority w:val="99"/>
    <w:rsid w:val="006412F2"/>
    <w:rPr>
      <w:sz w:val="20"/>
      <w:szCs w:val="20"/>
    </w:rPr>
  </w:style>
  <w:style w:type="character" w:styleId="FootnoteReference">
    <w:name w:val="footnote reference"/>
    <w:aliases w:val="ftref,Times 10 Point,Exposant 3 Point,Footnote symbol,Footnote reference number,EN Footnote Reference,note TESI,16 Point,Superscript 6 Point,BVI fnr,Footnote Text Char2,Char Char1,FOOTNOTES Char1,fn Char1,single space Char1,ft Char1"/>
    <w:basedOn w:val="DefaultParagraphFont"/>
    <w:link w:val="FNRefeCharChar"/>
    <w:uiPriority w:val="99"/>
    <w:unhideWhenUsed/>
    <w:rsid w:val="006412F2"/>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6412F2"/>
    <w:pPr>
      <w:spacing w:line="240" w:lineRule="exact"/>
      <w:jc w:val="left"/>
    </w:pPr>
    <w:rPr>
      <w:rFonts w:asciiTheme="minorHAnsi" w:hAnsiTheme="minorHAnsi"/>
      <w:sz w:val="22"/>
      <w:vertAlign w:val="superscript"/>
      <w:lang w:val="en-US"/>
    </w:rPr>
  </w:style>
  <w:style w:type="paragraph" w:styleId="NoSpacing">
    <w:name w:val="No Spacing"/>
    <w:link w:val="NoSpacingChar"/>
    <w:uiPriority w:val="1"/>
    <w:qFormat/>
    <w:rsid w:val="006412F2"/>
    <w:pPr>
      <w:spacing w:after="0" w:line="240" w:lineRule="auto"/>
    </w:pPr>
    <w:rPr>
      <w:rFonts w:ascii="Calibri" w:eastAsia="Times New Roman" w:hAnsi="Calibri" w:cs="Times New Roman"/>
      <w:lang w:val="ru-RU"/>
    </w:rPr>
  </w:style>
  <w:style w:type="character" w:customStyle="1" w:styleId="NoSpacingChar">
    <w:name w:val="No Spacing Char"/>
    <w:basedOn w:val="DefaultParagraphFont"/>
    <w:link w:val="NoSpacing"/>
    <w:uiPriority w:val="1"/>
    <w:locked/>
    <w:rsid w:val="006412F2"/>
    <w:rPr>
      <w:rFonts w:ascii="Calibri" w:eastAsia="Times New Roman" w:hAnsi="Calibri" w:cs="Times New Roman"/>
      <w:lang w:val="ru-RU"/>
    </w:rPr>
  </w:style>
  <w:style w:type="table" w:customStyle="1" w:styleId="GridTable1Light12">
    <w:name w:val="Grid Table 1 Light12"/>
    <w:basedOn w:val="TableNormal"/>
    <w:next w:val="GridTable1Light"/>
    <w:uiPriority w:val="46"/>
    <w:rsid w:val="008952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952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39"/>
    <w:rsid w:val="006F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F7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90F"/>
    <w:pPr>
      <w:ind w:left="720"/>
      <w:contextualSpacing/>
    </w:pPr>
  </w:style>
  <w:style w:type="table" w:customStyle="1" w:styleId="GridTable1Light1">
    <w:name w:val="Grid Table 1 Light1"/>
    <w:basedOn w:val="TableNormal"/>
    <w:next w:val="GridTable1Light"/>
    <w:uiPriority w:val="46"/>
    <w:rsid w:val="006E37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
    <w:name w:val="Основной текст (2)_"/>
    <w:basedOn w:val="DefaultParagraphFont"/>
    <w:link w:val="20"/>
    <w:rsid w:val="008320E9"/>
    <w:rPr>
      <w:rFonts w:ascii="Times New Roman" w:eastAsia="Times New Roman" w:hAnsi="Times New Roman" w:cs="Times New Roman"/>
      <w:shd w:val="clear" w:color="auto" w:fill="FFFFFF"/>
    </w:rPr>
  </w:style>
  <w:style w:type="paragraph" w:customStyle="1" w:styleId="20">
    <w:name w:val="Основной текст (2)"/>
    <w:basedOn w:val="Normal"/>
    <w:link w:val="2"/>
    <w:rsid w:val="008320E9"/>
    <w:pPr>
      <w:widowControl w:val="0"/>
      <w:shd w:val="clear" w:color="auto" w:fill="FFFFFF"/>
      <w:spacing w:after="260" w:line="244" w:lineRule="exact"/>
      <w:jc w:val="right"/>
    </w:pPr>
    <w:rPr>
      <w:rFonts w:eastAsia="Times New Roman" w:cs="Times New Roman"/>
      <w:sz w:val="22"/>
      <w:lang w:val="en-US"/>
    </w:rPr>
  </w:style>
  <w:style w:type="table" w:customStyle="1" w:styleId="TableGrid1">
    <w:name w:val="Table Grid1"/>
    <w:basedOn w:val="TableNormal"/>
    <w:next w:val="TableGrid"/>
    <w:uiPriority w:val="39"/>
    <w:rsid w:val="00F5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3089D"/>
    <w:rPr>
      <w:rFonts w:asciiTheme="majorHAnsi" w:eastAsiaTheme="majorEastAsia" w:hAnsiTheme="majorHAnsi" w:cstheme="majorBidi"/>
      <w:i/>
      <w:iCs/>
      <w:color w:val="2E74B5" w:themeColor="accent1" w:themeShade="BF"/>
      <w:lang w:val="ro-RO"/>
    </w:rPr>
  </w:style>
  <w:style w:type="character" w:customStyle="1" w:styleId="Bodytext2995pt">
    <w:name w:val="Body text (29) + 9.5 pt"/>
    <w:aliases w:val="Not Bold,Body text (4) + Franklin Gothic Heavy,19 pt,Body text (4) + 20 pt"/>
    <w:basedOn w:val="DefaultParagraphFont"/>
    <w:rsid w:val="00C87079"/>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character" w:styleId="Emphasis">
    <w:name w:val="Emphasis"/>
    <w:basedOn w:val="DefaultParagraphFont"/>
    <w:uiPriority w:val="20"/>
    <w:qFormat/>
    <w:rsid w:val="00B95230"/>
    <w:rPr>
      <w:i/>
      <w:iCs/>
    </w:rPr>
  </w:style>
  <w:style w:type="character" w:styleId="FollowedHyperlink">
    <w:name w:val="FollowedHyperlink"/>
    <w:basedOn w:val="DefaultParagraphFont"/>
    <w:uiPriority w:val="99"/>
    <w:semiHidden/>
    <w:unhideWhenUsed/>
    <w:rsid w:val="00D86212"/>
    <w:rPr>
      <w:color w:val="954F72"/>
      <w:u w:val="single"/>
    </w:rPr>
  </w:style>
  <w:style w:type="paragraph" w:customStyle="1" w:styleId="msonormal0">
    <w:name w:val="msonormal"/>
    <w:basedOn w:val="Normal"/>
    <w:rsid w:val="00D86212"/>
    <w:pPr>
      <w:spacing w:before="100" w:beforeAutospacing="1" w:after="100" w:afterAutospacing="1" w:line="240" w:lineRule="auto"/>
      <w:jc w:val="left"/>
    </w:pPr>
    <w:rPr>
      <w:rFonts w:eastAsia="Times New Roman" w:cs="Times New Roman"/>
      <w:sz w:val="24"/>
      <w:szCs w:val="24"/>
      <w:lang w:val="en-US"/>
    </w:rPr>
  </w:style>
  <w:style w:type="paragraph" w:customStyle="1" w:styleId="font5">
    <w:name w:val="font5"/>
    <w:basedOn w:val="Normal"/>
    <w:rsid w:val="00D86212"/>
    <w:pPr>
      <w:spacing w:before="100" w:beforeAutospacing="1" w:after="100" w:afterAutospacing="1" w:line="240" w:lineRule="auto"/>
      <w:jc w:val="left"/>
    </w:pPr>
    <w:rPr>
      <w:rFonts w:eastAsia="Times New Roman" w:cs="Times New Roman"/>
      <w:b/>
      <w:bCs/>
      <w:color w:val="000000"/>
      <w:sz w:val="20"/>
      <w:szCs w:val="20"/>
      <w:lang w:val="en-US"/>
    </w:rPr>
  </w:style>
  <w:style w:type="paragraph" w:customStyle="1" w:styleId="font6">
    <w:name w:val="font6"/>
    <w:basedOn w:val="Normal"/>
    <w:rsid w:val="00D86212"/>
    <w:pPr>
      <w:spacing w:before="100" w:beforeAutospacing="1" w:after="100" w:afterAutospacing="1" w:line="240" w:lineRule="auto"/>
      <w:jc w:val="left"/>
    </w:pPr>
    <w:rPr>
      <w:rFonts w:eastAsia="Times New Roman" w:cs="Times New Roman"/>
      <w:b/>
      <w:bCs/>
      <w:color w:val="000000"/>
      <w:sz w:val="20"/>
      <w:szCs w:val="20"/>
      <w:u w:val="single"/>
      <w:lang w:val="en-US"/>
    </w:rPr>
  </w:style>
  <w:style w:type="paragraph" w:customStyle="1" w:styleId="font7">
    <w:name w:val="font7"/>
    <w:basedOn w:val="Normal"/>
    <w:rsid w:val="00D86212"/>
    <w:pPr>
      <w:spacing w:before="100" w:beforeAutospacing="1" w:after="100" w:afterAutospacing="1" w:line="240" w:lineRule="auto"/>
      <w:jc w:val="left"/>
    </w:pPr>
    <w:rPr>
      <w:rFonts w:eastAsia="Times New Roman" w:cs="Times New Roman"/>
      <w:b/>
      <w:bCs/>
      <w:sz w:val="20"/>
      <w:szCs w:val="20"/>
      <w:lang w:val="en-US"/>
    </w:rPr>
  </w:style>
  <w:style w:type="paragraph" w:customStyle="1" w:styleId="font8">
    <w:name w:val="font8"/>
    <w:basedOn w:val="Normal"/>
    <w:rsid w:val="00D86212"/>
    <w:pPr>
      <w:spacing w:before="100" w:beforeAutospacing="1" w:after="100" w:afterAutospacing="1" w:line="240" w:lineRule="auto"/>
      <w:jc w:val="left"/>
    </w:pPr>
    <w:rPr>
      <w:rFonts w:eastAsia="Times New Roman" w:cs="Times New Roman"/>
      <w:b/>
      <w:bCs/>
      <w:sz w:val="20"/>
      <w:szCs w:val="20"/>
      <w:u w:val="single"/>
      <w:lang w:val="en-US"/>
    </w:rPr>
  </w:style>
  <w:style w:type="paragraph" w:customStyle="1" w:styleId="xl65">
    <w:name w:val="xl65"/>
    <w:basedOn w:val="Normal"/>
    <w:rsid w:val="00D86212"/>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6">
    <w:name w:val="xl66"/>
    <w:basedOn w:val="Normal"/>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7">
    <w:name w:val="xl67"/>
    <w:basedOn w:val="Normal"/>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sz w:val="24"/>
      <w:szCs w:val="24"/>
      <w:lang w:val="en-US"/>
    </w:rPr>
  </w:style>
  <w:style w:type="paragraph" w:customStyle="1" w:styleId="xl68">
    <w:name w:val="xl68"/>
    <w:basedOn w:val="Normal"/>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000000"/>
      <w:sz w:val="24"/>
      <w:szCs w:val="24"/>
      <w:lang w:val="en-US"/>
    </w:rPr>
  </w:style>
  <w:style w:type="paragraph" w:customStyle="1" w:styleId="xl69">
    <w:name w:val="xl69"/>
    <w:basedOn w:val="Normal"/>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70">
    <w:name w:val="xl70"/>
    <w:basedOn w:val="Normal"/>
    <w:rsid w:val="00D86212"/>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color w:val="000000"/>
      <w:sz w:val="18"/>
      <w:szCs w:val="18"/>
      <w:lang w:val="en-US"/>
    </w:rPr>
  </w:style>
  <w:style w:type="paragraph" w:customStyle="1" w:styleId="xl71">
    <w:name w:val="xl71"/>
    <w:basedOn w:val="Normal"/>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72">
    <w:name w:val="xl72"/>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3">
    <w:name w:val="xl73"/>
    <w:basedOn w:val="Normal"/>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4">
    <w:name w:val="xl74"/>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75">
    <w:name w:val="xl75"/>
    <w:basedOn w:val="Normal"/>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color w:val="000000"/>
      <w:sz w:val="18"/>
      <w:szCs w:val="18"/>
      <w:lang w:val="en-US"/>
    </w:rPr>
  </w:style>
  <w:style w:type="paragraph" w:customStyle="1" w:styleId="xl76">
    <w:name w:val="xl76"/>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color w:val="000000"/>
      <w:sz w:val="18"/>
      <w:szCs w:val="18"/>
      <w:lang w:val="en-US"/>
    </w:rPr>
  </w:style>
  <w:style w:type="paragraph" w:customStyle="1" w:styleId="xl77">
    <w:name w:val="xl77"/>
    <w:basedOn w:val="Normal"/>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000000"/>
      <w:sz w:val="18"/>
      <w:szCs w:val="18"/>
      <w:lang w:val="en-US"/>
    </w:rPr>
  </w:style>
  <w:style w:type="paragraph" w:customStyle="1" w:styleId="xl78">
    <w:name w:val="xl78"/>
    <w:basedOn w:val="Normal"/>
    <w:rsid w:val="00D86212"/>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79">
    <w:name w:val="xl79"/>
    <w:basedOn w:val="Normal"/>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80">
    <w:name w:val="xl80"/>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1">
    <w:name w:val="xl81"/>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2">
    <w:name w:val="xl82"/>
    <w:basedOn w:val="Normal"/>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3">
    <w:name w:val="xl83"/>
    <w:basedOn w:val="Normal"/>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4">
    <w:name w:val="xl84"/>
    <w:basedOn w:val="Normal"/>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85">
    <w:name w:val="xl85"/>
    <w:basedOn w:val="Normal"/>
    <w:rsid w:val="00D86212"/>
    <w:pPr>
      <w:pBdr>
        <w:top w:val="single" w:sz="4" w:space="0" w:color="auto"/>
      </w:pBdr>
      <w:spacing w:before="100" w:beforeAutospacing="1" w:after="100" w:afterAutospacing="1" w:line="240" w:lineRule="auto"/>
      <w:jc w:val="right"/>
      <w:textAlignment w:val="top"/>
    </w:pPr>
    <w:rPr>
      <w:rFonts w:eastAsia="Times New Roman" w:cs="Times New Roman"/>
      <w:sz w:val="18"/>
      <w:szCs w:val="18"/>
      <w:lang w:val="en-US"/>
    </w:rPr>
  </w:style>
  <w:style w:type="paragraph" w:customStyle="1" w:styleId="xl86">
    <w:name w:val="xl86"/>
    <w:basedOn w:val="Normal"/>
    <w:rsid w:val="00D8621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87">
    <w:name w:val="xl87"/>
    <w:basedOn w:val="Normal"/>
    <w:rsid w:val="00D8621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88">
    <w:name w:val="xl88"/>
    <w:basedOn w:val="Normal"/>
    <w:rsid w:val="00D86212"/>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89">
    <w:name w:val="xl89"/>
    <w:basedOn w:val="Normal"/>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0">
    <w:name w:val="xl90"/>
    <w:basedOn w:val="Normal"/>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1">
    <w:name w:val="xl91"/>
    <w:basedOn w:val="Normal"/>
    <w:rsid w:val="00D8621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2">
    <w:name w:val="xl92"/>
    <w:basedOn w:val="Normal"/>
    <w:rsid w:val="00D86212"/>
    <w:pPr>
      <w:pBdr>
        <w:top w:val="single" w:sz="4" w:space="0" w:color="auto"/>
        <w:left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93">
    <w:name w:val="xl93"/>
    <w:basedOn w:val="Normal"/>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4">
    <w:name w:val="xl94"/>
    <w:basedOn w:val="Normal"/>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5">
    <w:name w:val="xl95"/>
    <w:basedOn w:val="Normal"/>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6">
    <w:name w:val="xl96"/>
    <w:basedOn w:val="Normal"/>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97">
    <w:name w:val="xl97"/>
    <w:basedOn w:val="Normal"/>
    <w:rsid w:val="00D86212"/>
    <w:pPr>
      <w:pBdr>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98">
    <w:name w:val="xl98"/>
    <w:basedOn w:val="Normal"/>
    <w:rsid w:val="00D8621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99">
    <w:name w:val="xl99"/>
    <w:basedOn w:val="Normal"/>
    <w:rsid w:val="00D862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0">
    <w:name w:val="xl100"/>
    <w:basedOn w:val="Normal"/>
    <w:rsid w:val="00D8621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1">
    <w:name w:val="xl101"/>
    <w:basedOn w:val="Normal"/>
    <w:rsid w:val="00D862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02">
    <w:name w:val="xl102"/>
    <w:basedOn w:val="Normal"/>
    <w:rsid w:val="00D862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3">
    <w:name w:val="xl103"/>
    <w:basedOn w:val="Normal"/>
    <w:rsid w:val="00D86212"/>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4">
    <w:name w:val="xl104"/>
    <w:basedOn w:val="Normal"/>
    <w:rsid w:val="00D86212"/>
    <w:pPr>
      <w:pBdr>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5">
    <w:name w:val="xl105"/>
    <w:basedOn w:val="Normal"/>
    <w:rsid w:val="00D8621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6">
    <w:name w:val="xl106"/>
    <w:basedOn w:val="Normal"/>
    <w:rsid w:val="00D86212"/>
    <w:pPr>
      <w:pBdr>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07">
    <w:name w:val="xl107"/>
    <w:basedOn w:val="Normal"/>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08">
    <w:name w:val="xl108"/>
    <w:basedOn w:val="Normal"/>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09">
    <w:name w:val="xl109"/>
    <w:basedOn w:val="Normal"/>
    <w:rsid w:val="00D8621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0">
    <w:name w:val="xl110"/>
    <w:basedOn w:val="Normal"/>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1">
    <w:name w:val="xl111"/>
    <w:basedOn w:val="Normal"/>
    <w:rsid w:val="00D86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2">
    <w:name w:val="xl112"/>
    <w:basedOn w:val="Normal"/>
    <w:rsid w:val="00D86212"/>
    <w:pP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13">
    <w:name w:val="xl113"/>
    <w:basedOn w:val="Normal"/>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4">
    <w:name w:val="xl114"/>
    <w:basedOn w:val="Normal"/>
    <w:rsid w:val="00D86212"/>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5">
    <w:name w:val="xl115"/>
    <w:basedOn w:val="Normal"/>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6">
    <w:name w:val="xl116"/>
    <w:basedOn w:val="Normal"/>
    <w:rsid w:val="00D86212"/>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17">
    <w:name w:val="xl117"/>
    <w:basedOn w:val="Normal"/>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18">
    <w:name w:val="xl118"/>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19">
    <w:name w:val="xl119"/>
    <w:basedOn w:val="Normal"/>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0">
    <w:name w:val="xl120"/>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21">
    <w:name w:val="xl121"/>
    <w:basedOn w:val="Normal"/>
    <w:rsid w:val="00D86212"/>
    <w:pP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2">
    <w:name w:val="xl122"/>
    <w:basedOn w:val="Normal"/>
    <w:rsid w:val="00D86212"/>
    <w:pPr>
      <w:pBdr>
        <w:left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3">
    <w:name w:val="xl123"/>
    <w:basedOn w:val="Normal"/>
    <w:rsid w:val="00D862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4">
    <w:name w:val="xl124"/>
    <w:basedOn w:val="Normal"/>
    <w:rsid w:val="00D8621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25">
    <w:name w:val="xl125"/>
    <w:basedOn w:val="Normal"/>
    <w:rsid w:val="00D862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26">
    <w:name w:val="xl126"/>
    <w:basedOn w:val="Normal"/>
    <w:rsid w:val="00D86212"/>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7">
    <w:name w:val="xl127"/>
    <w:basedOn w:val="Normal"/>
    <w:rsid w:val="00D86212"/>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8">
    <w:name w:val="xl128"/>
    <w:basedOn w:val="Normal"/>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29">
    <w:name w:val="xl129"/>
    <w:basedOn w:val="Normal"/>
    <w:rsid w:val="00D86212"/>
    <w:pPr>
      <w:pBdr>
        <w:top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0">
    <w:name w:val="xl130"/>
    <w:basedOn w:val="Normal"/>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31">
    <w:name w:val="xl131"/>
    <w:basedOn w:val="Normal"/>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132">
    <w:name w:val="xl132"/>
    <w:basedOn w:val="Normal"/>
    <w:rsid w:val="00D86212"/>
    <w:pPr>
      <w:pBdr>
        <w:top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33">
    <w:name w:val="xl133"/>
    <w:basedOn w:val="Normal"/>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134">
    <w:name w:val="xl134"/>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5">
    <w:name w:val="xl135"/>
    <w:basedOn w:val="Normal"/>
    <w:rsid w:val="00D86212"/>
    <w:pPr>
      <w:pBdr>
        <w:top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36">
    <w:name w:val="xl136"/>
    <w:basedOn w:val="Normal"/>
    <w:rsid w:val="00D86212"/>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7">
    <w:name w:val="xl137"/>
    <w:basedOn w:val="Normal"/>
    <w:rsid w:val="00D8621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38">
    <w:name w:val="xl138"/>
    <w:basedOn w:val="Normal"/>
    <w:rsid w:val="00D86212"/>
    <w:pPr>
      <w:pBdr>
        <w:top w:val="single" w:sz="4" w:space="0" w:color="auto"/>
        <w:lef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39">
    <w:name w:val="xl139"/>
    <w:basedOn w:val="Normal"/>
    <w:rsid w:val="00D86212"/>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40">
    <w:name w:val="xl140"/>
    <w:basedOn w:val="Normal"/>
    <w:rsid w:val="00D86212"/>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1">
    <w:name w:val="xl141"/>
    <w:basedOn w:val="Normal"/>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2">
    <w:name w:val="xl142"/>
    <w:basedOn w:val="Normal"/>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3">
    <w:name w:val="xl143"/>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144">
    <w:name w:val="xl144"/>
    <w:basedOn w:val="Normal"/>
    <w:rsid w:val="00D86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5">
    <w:name w:val="xl145"/>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46">
    <w:name w:val="xl146"/>
    <w:basedOn w:val="Normal"/>
    <w:rsid w:val="00D86212"/>
    <w:pP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47">
    <w:name w:val="xl147"/>
    <w:basedOn w:val="Normal"/>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48">
    <w:name w:val="xl148"/>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49">
    <w:name w:val="xl149"/>
    <w:basedOn w:val="Normal"/>
    <w:rsid w:val="00D862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0">
    <w:name w:val="xl150"/>
    <w:basedOn w:val="Normal"/>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1">
    <w:name w:val="xl151"/>
    <w:basedOn w:val="Normal"/>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2">
    <w:name w:val="xl152"/>
    <w:basedOn w:val="Normal"/>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153">
    <w:name w:val="xl153"/>
    <w:basedOn w:val="Normal"/>
    <w:rsid w:val="00D86212"/>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4">
    <w:name w:val="xl154"/>
    <w:basedOn w:val="Normal"/>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55">
    <w:name w:val="xl155"/>
    <w:basedOn w:val="Normal"/>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56">
    <w:name w:val="xl156"/>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57">
    <w:name w:val="xl157"/>
    <w:basedOn w:val="Normal"/>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158">
    <w:name w:val="xl158"/>
    <w:basedOn w:val="Normal"/>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000000"/>
      <w:sz w:val="18"/>
      <w:szCs w:val="18"/>
      <w:lang w:val="en-US"/>
    </w:rPr>
  </w:style>
  <w:style w:type="paragraph" w:customStyle="1" w:styleId="xl159">
    <w:name w:val="xl159"/>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160">
    <w:name w:val="xl160"/>
    <w:basedOn w:val="Normal"/>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61">
    <w:name w:val="xl161"/>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62">
    <w:name w:val="xl162"/>
    <w:basedOn w:val="Normal"/>
    <w:rsid w:val="00D86212"/>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cs="Times New Roman"/>
      <w:sz w:val="18"/>
      <w:szCs w:val="18"/>
      <w:lang w:val="en-US"/>
    </w:rPr>
  </w:style>
  <w:style w:type="paragraph" w:customStyle="1" w:styleId="xl163">
    <w:name w:val="xl163"/>
    <w:basedOn w:val="Normal"/>
    <w:rsid w:val="00D86212"/>
    <w:pPr>
      <w:shd w:val="clear" w:color="000000" w:fill="FFFFFF"/>
      <w:spacing w:before="100" w:beforeAutospacing="1" w:after="100" w:afterAutospacing="1" w:line="240" w:lineRule="auto"/>
      <w:jc w:val="left"/>
    </w:pPr>
    <w:rPr>
      <w:rFonts w:eastAsia="Times New Roman" w:cs="Times New Roman"/>
      <w:sz w:val="24"/>
      <w:szCs w:val="24"/>
      <w:lang w:val="en-US"/>
    </w:rPr>
  </w:style>
  <w:style w:type="paragraph" w:customStyle="1" w:styleId="xl164">
    <w:name w:val="xl164"/>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color w:val="000000"/>
      <w:sz w:val="24"/>
      <w:szCs w:val="24"/>
      <w:lang w:val="en-US"/>
    </w:rPr>
  </w:style>
  <w:style w:type="paragraph" w:customStyle="1" w:styleId="xl165">
    <w:name w:val="xl165"/>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166">
    <w:name w:val="xl166"/>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167">
    <w:name w:val="xl167"/>
    <w:basedOn w:val="Normal"/>
    <w:rsid w:val="00D86212"/>
    <w:pPr>
      <w:shd w:val="clear" w:color="000000" w:fill="FFFFFF"/>
      <w:spacing w:before="100" w:beforeAutospacing="1" w:after="100" w:afterAutospacing="1" w:line="240" w:lineRule="auto"/>
      <w:jc w:val="left"/>
    </w:pPr>
    <w:rPr>
      <w:rFonts w:eastAsia="Times New Roman" w:cs="Times New Roman"/>
      <w:i/>
      <w:iCs/>
      <w:sz w:val="24"/>
      <w:szCs w:val="24"/>
      <w:lang w:val="en-US"/>
    </w:rPr>
  </w:style>
  <w:style w:type="paragraph" w:customStyle="1" w:styleId="xl168">
    <w:name w:val="xl168"/>
    <w:basedOn w:val="Normal"/>
    <w:rsid w:val="00D8621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69">
    <w:name w:val="xl169"/>
    <w:basedOn w:val="Normal"/>
    <w:rsid w:val="00D862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0">
    <w:name w:val="xl170"/>
    <w:basedOn w:val="Normal"/>
    <w:rsid w:val="00D86212"/>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18"/>
      <w:szCs w:val="18"/>
      <w:lang w:val="en-US"/>
    </w:rPr>
  </w:style>
  <w:style w:type="paragraph" w:customStyle="1" w:styleId="xl171">
    <w:name w:val="xl171"/>
    <w:basedOn w:val="Normal"/>
    <w:rsid w:val="00D8621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2">
    <w:name w:val="xl172"/>
    <w:basedOn w:val="Normal"/>
    <w:rsid w:val="00D862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3">
    <w:name w:val="xl173"/>
    <w:basedOn w:val="Normal"/>
    <w:rsid w:val="00D8621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4">
    <w:name w:val="xl174"/>
    <w:basedOn w:val="Normal"/>
    <w:rsid w:val="00D8621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20"/>
      <w:szCs w:val="20"/>
      <w:lang w:val="en-US"/>
    </w:rPr>
  </w:style>
  <w:style w:type="paragraph" w:customStyle="1" w:styleId="xl175">
    <w:name w:val="xl175"/>
    <w:basedOn w:val="Normal"/>
    <w:rsid w:val="00D86212"/>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sz w:val="20"/>
      <w:szCs w:val="20"/>
      <w:lang w:val="en-US"/>
    </w:rPr>
  </w:style>
  <w:style w:type="paragraph" w:customStyle="1" w:styleId="xl176">
    <w:name w:val="xl176"/>
    <w:basedOn w:val="Normal"/>
    <w:rsid w:val="00D86212"/>
    <w:pPr>
      <w:pBdr>
        <w:top w:val="single" w:sz="8" w:space="0" w:color="auto"/>
        <w:lef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177">
    <w:name w:val="xl177"/>
    <w:basedOn w:val="Normal"/>
    <w:rsid w:val="00D862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78">
    <w:name w:val="xl178"/>
    <w:basedOn w:val="Normal"/>
    <w:rsid w:val="00D8621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79">
    <w:name w:val="xl179"/>
    <w:basedOn w:val="Normal"/>
    <w:rsid w:val="00D86212"/>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0">
    <w:name w:val="xl180"/>
    <w:basedOn w:val="Normal"/>
    <w:rsid w:val="00D86212"/>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1">
    <w:name w:val="xl181"/>
    <w:basedOn w:val="Normal"/>
    <w:rsid w:val="00D8621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2">
    <w:name w:val="xl182"/>
    <w:basedOn w:val="Normal"/>
    <w:rsid w:val="00D86212"/>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3">
    <w:name w:val="xl183"/>
    <w:basedOn w:val="Normal"/>
    <w:rsid w:val="00D86212"/>
    <w:pPr>
      <w:pBdr>
        <w:top w:val="single" w:sz="8" w:space="0" w:color="auto"/>
      </w:pBdr>
      <w:shd w:val="clear" w:color="000000" w:fill="FFFFFF"/>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4">
    <w:name w:val="xl184"/>
    <w:basedOn w:val="Normal"/>
    <w:rsid w:val="00D86212"/>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5">
    <w:name w:val="xl185"/>
    <w:basedOn w:val="Normal"/>
    <w:rsid w:val="00D8621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6">
    <w:name w:val="xl186"/>
    <w:basedOn w:val="Normal"/>
    <w:rsid w:val="00D86212"/>
    <w:pPr>
      <w:pBdr>
        <w:top w:val="single" w:sz="8" w:space="0" w:color="auto"/>
      </w:pBdr>
      <w:spacing w:before="100" w:beforeAutospacing="1" w:after="100" w:afterAutospacing="1" w:line="240" w:lineRule="auto"/>
      <w:jc w:val="center"/>
      <w:textAlignment w:val="center"/>
    </w:pPr>
    <w:rPr>
      <w:rFonts w:eastAsia="Times New Roman" w:cs="Times New Roman"/>
      <w:b/>
      <w:bCs/>
      <w:i/>
      <w:iCs/>
      <w:sz w:val="16"/>
      <w:szCs w:val="16"/>
      <w:lang w:val="en-US"/>
    </w:rPr>
  </w:style>
  <w:style w:type="paragraph" w:customStyle="1" w:styleId="xl187">
    <w:name w:val="xl187"/>
    <w:basedOn w:val="Normal"/>
    <w:rsid w:val="00D86212"/>
    <w:pPr>
      <w:pBdr>
        <w:top w:val="single" w:sz="8" w:space="0" w:color="auto"/>
        <w:lef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i/>
      <w:iCs/>
      <w:color w:val="000000"/>
      <w:sz w:val="16"/>
      <w:szCs w:val="16"/>
      <w:lang w:val="en-US"/>
    </w:rPr>
  </w:style>
  <w:style w:type="paragraph" w:customStyle="1" w:styleId="xl188">
    <w:name w:val="xl188"/>
    <w:basedOn w:val="Normal"/>
    <w:rsid w:val="00D86212"/>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b/>
      <w:bCs/>
      <w:sz w:val="20"/>
      <w:szCs w:val="20"/>
      <w:lang w:val="en-US"/>
    </w:rPr>
  </w:style>
  <w:style w:type="paragraph" w:customStyle="1" w:styleId="xl189">
    <w:name w:val="xl189"/>
    <w:basedOn w:val="Normal"/>
    <w:rsid w:val="00D86212"/>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190">
    <w:name w:val="xl190"/>
    <w:basedOn w:val="Normal"/>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1">
    <w:name w:val="xl191"/>
    <w:basedOn w:val="Normal"/>
    <w:rsid w:val="00D862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color w:val="FF0000"/>
      <w:sz w:val="18"/>
      <w:szCs w:val="18"/>
      <w:lang w:val="en-US"/>
    </w:rPr>
  </w:style>
  <w:style w:type="paragraph" w:customStyle="1" w:styleId="xl192">
    <w:name w:val="xl192"/>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3">
    <w:name w:val="xl193"/>
    <w:basedOn w:val="Normal"/>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4">
    <w:name w:val="xl194"/>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195">
    <w:name w:val="xl195"/>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i/>
      <w:iCs/>
      <w:color w:val="FF0000"/>
      <w:sz w:val="24"/>
      <w:szCs w:val="24"/>
      <w:lang w:val="en-US"/>
    </w:rPr>
  </w:style>
  <w:style w:type="paragraph" w:customStyle="1" w:styleId="xl196">
    <w:name w:val="xl196"/>
    <w:basedOn w:val="Normal"/>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color w:val="FF0000"/>
      <w:sz w:val="24"/>
      <w:szCs w:val="24"/>
      <w:lang w:val="en-US"/>
    </w:rPr>
  </w:style>
  <w:style w:type="paragraph" w:customStyle="1" w:styleId="xl197">
    <w:name w:val="xl197"/>
    <w:basedOn w:val="Normal"/>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color w:val="FF0000"/>
      <w:sz w:val="18"/>
      <w:szCs w:val="18"/>
      <w:lang w:val="en-US"/>
    </w:rPr>
  </w:style>
  <w:style w:type="paragraph" w:customStyle="1" w:styleId="xl198">
    <w:name w:val="xl198"/>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color w:val="FF0000"/>
      <w:sz w:val="18"/>
      <w:szCs w:val="18"/>
      <w:lang w:val="en-US"/>
    </w:rPr>
  </w:style>
  <w:style w:type="paragraph" w:customStyle="1" w:styleId="xl199">
    <w:name w:val="xl199"/>
    <w:basedOn w:val="Normal"/>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0">
    <w:name w:val="xl200"/>
    <w:basedOn w:val="Normal"/>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1">
    <w:name w:val="xl201"/>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2">
    <w:name w:val="xl202"/>
    <w:basedOn w:val="Normal"/>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3">
    <w:name w:val="xl203"/>
    <w:basedOn w:val="Normal"/>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4">
    <w:name w:val="xl204"/>
    <w:basedOn w:val="Normal"/>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5">
    <w:name w:val="xl205"/>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color w:val="FF0000"/>
      <w:sz w:val="20"/>
      <w:szCs w:val="20"/>
      <w:lang w:val="en-US"/>
    </w:rPr>
  </w:style>
  <w:style w:type="paragraph" w:customStyle="1" w:styleId="xl206">
    <w:name w:val="xl206"/>
    <w:basedOn w:val="Normal"/>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color w:val="FF0000"/>
      <w:sz w:val="18"/>
      <w:szCs w:val="18"/>
      <w:lang w:val="en-US"/>
    </w:rPr>
  </w:style>
  <w:style w:type="paragraph" w:customStyle="1" w:styleId="xl207">
    <w:name w:val="xl207"/>
    <w:basedOn w:val="Normal"/>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08">
    <w:name w:val="xl208"/>
    <w:basedOn w:val="Normal"/>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color w:val="FF0000"/>
      <w:sz w:val="20"/>
      <w:szCs w:val="20"/>
      <w:lang w:val="en-US"/>
    </w:rPr>
  </w:style>
  <w:style w:type="paragraph" w:customStyle="1" w:styleId="xl209">
    <w:name w:val="xl209"/>
    <w:basedOn w:val="Normal"/>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b/>
      <w:bCs/>
      <w:color w:val="FF0000"/>
      <w:sz w:val="18"/>
      <w:szCs w:val="18"/>
      <w:lang w:val="en-US"/>
    </w:rPr>
  </w:style>
  <w:style w:type="paragraph" w:customStyle="1" w:styleId="xl210">
    <w:name w:val="xl210"/>
    <w:basedOn w:val="Normal"/>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color w:val="000000"/>
      <w:sz w:val="24"/>
      <w:szCs w:val="24"/>
      <w:lang w:val="en-US"/>
    </w:rPr>
  </w:style>
  <w:style w:type="paragraph" w:customStyle="1" w:styleId="xl211">
    <w:name w:val="xl211"/>
    <w:basedOn w:val="Normal"/>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2">
    <w:name w:val="xl212"/>
    <w:basedOn w:val="Normal"/>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13">
    <w:name w:val="xl213"/>
    <w:basedOn w:val="Normal"/>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b/>
      <w:bCs/>
      <w:color w:val="FF0000"/>
      <w:sz w:val="24"/>
      <w:szCs w:val="24"/>
      <w:lang w:val="en-US"/>
    </w:rPr>
  </w:style>
  <w:style w:type="paragraph" w:customStyle="1" w:styleId="xl214">
    <w:name w:val="xl214"/>
    <w:basedOn w:val="Normal"/>
    <w:rsid w:val="00D86212"/>
    <w:pPr>
      <w:pBdr>
        <w:top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15">
    <w:name w:val="xl215"/>
    <w:basedOn w:val="Normal"/>
    <w:rsid w:val="00D86212"/>
    <w:pPr>
      <w:pBdr>
        <w:top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16">
    <w:name w:val="xl216"/>
    <w:basedOn w:val="Normal"/>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7">
    <w:name w:val="xl217"/>
    <w:basedOn w:val="Normal"/>
    <w:rsid w:val="00D8621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b/>
      <w:bCs/>
      <w:i/>
      <w:iCs/>
      <w:sz w:val="24"/>
      <w:szCs w:val="24"/>
      <w:lang w:val="en-US"/>
    </w:rPr>
  </w:style>
  <w:style w:type="paragraph" w:customStyle="1" w:styleId="xl218">
    <w:name w:val="xl218"/>
    <w:basedOn w:val="Normal"/>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18"/>
      <w:szCs w:val="18"/>
      <w:lang w:val="en-US"/>
    </w:rPr>
  </w:style>
  <w:style w:type="paragraph" w:customStyle="1" w:styleId="xl219">
    <w:name w:val="xl219"/>
    <w:basedOn w:val="Normal"/>
    <w:rsid w:val="00D86212"/>
    <w:pPr>
      <w:pBdr>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0">
    <w:name w:val="xl220"/>
    <w:basedOn w:val="Normal"/>
    <w:rsid w:val="00D86212"/>
    <w:pPr>
      <w:pBdr>
        <w:top w:val="single" w:sz="4" w:space="0" w:color="auto"/>
        <w:left w:val="single" w:sz="8" w:space="0" w:color="auto"/>
        <w:bottom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1">
    <w:name w:val="xl221"/>
    <w:basedOn w:val="Normal"/>
    <w:rsid w:val="00D862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2">
    <w:name w:val="xl222"/>
    <w:basedOn w:val="Normal"/>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23">
    <w:name w:val="xl223"/>
    <w:basedOn w:val="Normal"/>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24">
    <w:name w:val="xl224"/>
    <w:basedOn w:val="Normal"/>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25">
    <w:name w:val="xl225"/>
    <w:basedOn w:val="Normal"/>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26">
    <w:name w:val="xl226"/>
    <w:basedOn w:val="Normal"/>
    <w:rsid w:val="00D86212"/>
    <w:pPr>
      <w:pBdr>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27">
    <w:name w:val="xl227"/>
    <w:basedOn w:val="Normal"/>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28">
    <w:name w:val="xl228"/>
    <w:basedOn w:val="Normal"/>
    <w:rsid w:val="00D862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29">
    <w:name w:val="xl229"/>
    <w:basedOn w:val="Normal"/>
    <w:rsid w:val="00D86212"/>
    <w:pPr>
      <w:pBdr>
        <w:top w:val="single" w:sz="4" w:space="0" w:color="auto"/>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30">
    <w:name w:val="xl230"/>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231">
    <w:name w:val="xl231"/>
    <w:basedOn w:val="Normal"/>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i/>
      <w:iCs/>
      <w:sz w:val="18"/>
      <w:szCs w:val="18"/>
      <w:lang w:val="en-US"/>
    </w:rPr>
  </w:style>
  <w:style w:type="paragraph" w:customStyle="1" w:styleId="xl232">
    <w:name w:val="xl232"/>
    <w:basedOn w:val="Normal"/>
    <w:rsid w:val="00D8621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33">
    <w:name w:val="xl233"/>
    <w:basedOn w:val="Normal"/>
    <w:rsid w:val="00D86212"/>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34">
    <w:name w:val="xl234"/>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35">
    <w:name w:val="xl235"/>
    <w:basedOn w:val="Normal"/>
    <w:rsid w:val="00D86212"/>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36">
    <w:name w:val="xl236"/>
    <w:basedOn w:val="Normal"/>
    <w:rsid w:val="00D86212"/>
    <w:pPr>
      <w:pBdr>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37">
    <w:name w:val="xl237"/>
    <w:basedOn w:val="Normal"/>
    <w:rsid w:val="00D86212"/>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38">
    <w:name w:val="xl238"/>
    <w:basedOn w:val="Normal"/>
    <w:rsid w:val="00D86212"/>
    <w:pPr>
      <w:pBdr>
        <w:bottom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39">
    <w:name w:val="xl239"/>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0">
    <w:name w:val="xl240"/>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1">
    <w:name w:val="xl241"/>
    <w:basedOn w:val="Normal"/>
    <w:rsid w:val="00D8621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2">
    <w:name w:val="xl242"/>
    <w:basedOn w:val="Normal"/>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43">
    <w:name w:val="xl243"/>
    <w:basedOn w:val="Normal"/>
    <w:rsid w:val="00D862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44">
    <w:name w:val="xl244"/>
    <w:basedOn w:val="Normal"/>
    <w:rsid w:val="00D8621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45">
    <w:name w:val="xl245"/>
    <w:basedOn w:val="Normal"/>
    <w:rsid w:val="00D86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46">
    <w:name w:val="xl246"/>
    <w:basedOn w:val="Normal"/>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47">
    <w:name w:val="xl247"/>
    <w:basedOn w:val="Normal"/>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48">
    <w:name w:val="xl248"/>
    <w:basedOn w:val="Normal"/>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49">
    <w:name w:val="xl249"/>
    <w:basedOn w:val="Normal"/>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4"/>
      <w:szCs w:val="24"/>
      <w:lang w:val="en-US"/>
    </w:rPr>
  </w:style>
  <w:style w:type="paragraph" w:customStyle="1" w:styleId="xl250">
    <w:name w:val="xl250"/>
    <w:basedOn w:val="Normal"/>
    <w:rsid w:val="00D86212"/>
    <w:pPr>
      <w:pBdr>
        <w:top w:val="single" w:sz="4" w:space="0" w:color="auto"/>
        <w:left w:val="single" w:sz="8"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51">
    <w:name w:val="xl251"/>
    <w:basedOn w:val="Normal"/>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52">
    <w:name w:val="xl252"/>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top"/>
    </w:pPr>
    <w:rPr>
      <w:rFonts w:eastAsia="Times New Roman" w:cs="Times New Roman"/>
      <w:b/>
      <w:bCs/>
      <w:sz w:val="18"/>
      <w:szCs w:val="18"/>
      <w:lang w:val="en-US"/>
    </w:rPr>
  </w:style>
  <w:style w:type="paragraph" w:customStyle="1" w:styleId="xl253">
    <w:name w:val="xl253"/>
    <w:basedOn w:val="Normal"/>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54">
    <w:name w:val="xl254"/>
    <w:basedOn w:val="Normal"/>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55">
    <w:name w:val="xl255"/>
    <w:basedOn w:val="Normal"/>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0"/>
      <w:szCs w:val="20"/>
      <w:lang w:val="en-US"/>
    </w:rPr>
  </w:style>
  <w:style w:type="paragraph" w:customStyle="1" w:styleId="xl256">
    <w:name w:val="xl256"/>
    <w:basedOn w:val="Normal"/>
    <w:rsid w:val="00D86212"/>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top"/>
    </w:pPr>
    <w:rPr>
      <w:rFonts w:eastAsia="Times New Roman" w:cs="Times New Roman"/>
      <w:i/>
      <w:iCs/>
      <w:sz w:val="20"/>
      <w:szCs w:val="20"/>
      <w:lang w:val="en-US"/>
    </w:rPr>
  </w:style>
  <w:style w:type="paragraph" w:customStyle="1" w:styleId="xl257">
    <w:name w:val="xl257"/>
    <w:basedOn w:val="Normal"/>
    <w:rsid w:val="00D8621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eastAsia="Times New Roman" w:cs="Times New Roman"/>
      <w:color w:val="000000"/>
      <w:sz w:val="18"/>
      <w:szCs w:val="18"/>
      <w:lang w:val="en-US"/>
    </w:rPr>
  </w:style>
  <w:style w:type="paragraph" w:customStyle="1" w:styleId="xl258">
    <w:name w:val="xl258"/>
    <w:basedOn w:val="Normal"/>
    <w:rsid w:val="00D862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cs="Times New Roman"/>
      <w:sz w:val="20"/>
      <w:szCs w:val="20"/>
      <w:lang w:val="en-US"/>
    </w:rPr>
  </w:style>
  <w:style w:type="paragraph" w:customStyle="1" w:styleId="xl259">
    <w:name w:val="xl259"/>
    <w:basedOn w:val="Normal"/>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right"/>
      <w:textAlignment w:val="top"/>
    </w:pPr>
    <w:rPr>
      <w:rFonts w:eastAsia="Times New Roman" w:cs="Times New Roman"/>
      <w:b/>
      <w:bCs/>
      <w:sz w:val="18"/>
      <w:szCs w:val="18"/>
      <w:lang w:val="en-US"/>
    </w:rPr>
  </w:style>
  <w:style w:type="paragraph" w:customStyle="1" w:styleId="xl260">
    <w:name w:val="xl260"/>
    <w:basedOn w:val="Normal"/>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i/>
      <w:iCs/>
      <w:sz w:val="24"/>
      <w:szCs w:val="24"/>
      <w:lang w:val="en-US"/>
    </w:rPr>
  </w:style>
  <w:style w:type="paragraph" w:customStyle="1" w:styleId="xl261">
    <w:name w:val="xl261"/>
    <w:basedOn w:val="Normal"/>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2">
    <w:name w:val="xl262"/>
    <w:basedOn w:val="Normal"/>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18"/>
      <w:szCs w:val="18"/>
      <w:lang w:val="en-US"/>
    </w:rPr>
  </w:style>
  <w:style w:type="paragraph" w:customStyle="1" w:styleId="xl263">
    <w:name w:val="xl263"/>
    <w:basedOn w:val="Normal"/>
    <w:rsid w:val="00D86212"/>
    <w:pPr>
      <w:pBdr>
        <w:top w:val="single" w:sz="4" w:space="0" w:color="auto"/>
        <w:left w:val="single" w:sz="4" w:space="0" w:color="auto"/>
        <w:bottom w:val="single" w:sz="4" w:space="0" w:color="auto"/>
      </w:pBdr>
      <w:shd w:val="clear" w:color="000000" w:fill="DDEBF7"/>
      <w:spacing w:before="100" w:beforeAutospacing="1" w:after="100" w:afterAutospacing="1" w:line="240" w:lineRule="auto"/>
      <w:jc w:val="center"/>
      <w:textAlignment w:val="top"/>
    </w:pPr>
    <w:rPr>
      <w:rFonts w:eastAsia="Times New Roman" w:cs="Times New Roman"/>
      <w:b/>
      <w:bCs/>
      <w:sz w:val="20"/>
      <w:szCs w:val="20"/>
      <w:lang w:val="en-US"/>
    </w:rPr>
  </w:style>
  <w:style w:type="paragraph" w:customStyle="1" w:styleId="xl264">
    <w:name w:val="xl264"/>
    <w:basedOn w:val="Normal"/>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18"/>
      <w:szCs w:val="18"/>
      <w:lang w:val="en-US"/>
    </w:rPr>
  </w:style>
  <w:style w:type="paragraph" w:customStyle="1" w:styleId="xl265">
    <w:name w:val="xl265"/>
    <w:basedOn w:val="Normal"/>
    <w:rsid w:val="00D862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b/>
      <w:bCs/>
      <w:sz w:val="18"/>
      <w:szCs w:val="18"/>
      <w:lang w:val="en-US"/>
    </w:rPr>
  </w:style>
  <w:style w:type="paragraph" w:customStyle="1" w:styleId="xl266">
    <w:name w:val="xl266"/>
    <w:basedOn w:val="Normal"/>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7">
    <w:name w:val="xl267"/>
    <w:basedOn w:val="Normal"/>
    <w:rsid w:val="00D8621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8">
    <w:name w:val="xl268"/>
    <w:basedOn w:val="Normal"/>
    <w:rsid w:val="00D86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18"/>
      <w:szCs w:val="18"/>
      <w:lang w:val="en-US"/>
    </w:rPr>
  </w:style>
  <w:style w:type="paragraph" w:customStyle="1" w:styleId="xl269">
    <w:name w:val="xl269"/>
    <w:basedOn w:val="Normal"/>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0">
    <w:name w:val="xl270"/>
    <w:basedOn w:val="Normal"/>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1">
    <w:name w:val="xl271"/>
    <w:basedOn w:val="Normal"/>
    <w:rsid w:val="00D86212"/>
    <w:pPr>
      <w:pBdr>
        <w:top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272">
    <w:name w:val="xl272"/>
    <w:basedOn w:val="Normal"/>
    <w:rsid w:val="00D86212"/>
    <w:pPr>
      <w:spacing w:before="100" w:beforeAutospacing="1" w:after="100" w:afterAutospacing="1" w:line="240" w:lineRule="auto"/>
      <w:jc w:val="center"/>
      <w:textAlignment w:val="center"/>
    </w:pPr>
    <w:rPr>
      <w:rFonts w:eastAsia="Times New Roman" w:cs="Times New Roman"/>
      <w:b/>
      <w:bCs/>
      <w:color w:val="000000"/>
      <w:sz w:val="20"/>
      <w:szCs w:val="20"/>
      <w:lang w:val="en-US"/>
    </w:rPr>
  </w:style>
  <w:style w:type="paragraph" w:customStyle="1" w:styleId="xl273">
    <w:name w:val="xl273"/>
    <w:basedOn w:val="Normal"/>
    <w:rsid w:val="00D86212"/>
    <w:pPr>
      <w:pBdr>
        <w:top w:val="single" w:sz="4" w:space="0" w:color="auto"/>
        <w:left w:val="single" w:sz="8"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4">
    <w:name w:val="xl274"/>
    <w:basedOn w:val="Normal"/>
    <w:rsid w:val="00D86212"/>
    <w:pPr>
      <w:pBdr>
        <w:top w:val="single" w:sz="4"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5">
    <w:name w:val="xl275"/>
    <w:basedOn w:val="Normal"/>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6">
    <w:name w:val="xl276"/>
    <w:basedOn w:val="Normal"/>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7">
    <w:name w:val="xl277"/>
    <w:basedOn w:val="Normal"/>
    <w:rsid w:val="00D86212"/>
    <w:pPr>
      <w:pBdr>
        <w:top w:val="single" w:sz="4" w:space="0" w:color="auto"/>
        <w:left w:val="single" w:sz="8"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8">
    <w:name w:val="xl278"/>
    <w:basedOn w:val="Normal"/>
    <w:rsid w:val="00D86212"/>
    <w:pPr>
      <w:pBdr>
        <w:top w:val="single" w:sz="4" w:space="0" w:color="auto"/>
        <w:bottom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79">
    <w:name w:val="xl279"/>
    <w:basedOn w:val="Normal"/>
    <w:rsid w:val="00D86212"/>
    <w:pPr>
      <w:pBdr>
        <w:top w:val="single" w:sz="4" w:space="0" w:color="auto"/>
        <w:left w:val="single" w:sz="8"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sz w:val="24"/>
      <w:szCs w:val="24"/>
      <w:lang w:val="en-US"/>
    </w:rPr>
  </w:style>
  <w:style w:type="paragraph" w:customStyle="1" w:styleId="xl280">
    <w:name w:val="xl280"/>
    <w:basedOn w:val="Normal"/>
    <w:rsid w:val="00D86212"/>
    <w:pPr>
      <w:pBdr>
        <w:top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color w:val="000000"/>
      <w:sz w:val="24"/>
      <w:szCs w:val="24"/>
      <w:lang w:val="en-US"/>
    </w:rPr>
  </w:style>
  <w:style w:type="paragraph" w:customStyle="1" w:styleId="xl281">
    <w:name w:val="xl281"/>
    <w:basedOn w:val="Normal"/>
    <w:rsid w:val="00D86212"/>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left"/>
      <w:textAlignment w:val="top"/>
    </w:pPr>
    <w:rPr>
      <w:rFonts w:eastAsia="Times New Roman" w:cs="Times New Roman"/>
      <w:b/>
      <w:bCs/>
      <w:color w:val="000000"/>
      <w:sz w:val="24"/>
      <w:szCs w:val="24"/>
      <w:lang w:val="en-US"/>
    </w:rPr>
  </w:style>
  <w:style w:type="table" w:customStyle="1" w:styleId="GridTable1Light22">
    <w:name w:val="Grid Table 1 Light22"/>
    <w:basedOn w:val="TableNormal"/>
    <w:next w:val="GridTable1Light"/>
    <w:uiPriority w:val="46"/>
    <w:rsid w:val="00CB76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Обычный (веб)1 Char,Текст сноски1 Char"/>
    <w:basedOn w:val="DefaultParagraphFont"/>
    <w:link w:val="NormalWeb"/>
    <w:uiPriority w:val="99"/>
    <w:locked/>
    <w:rsid w:val="00C56888"/>
    <w:rPr>
      <w:rFonts w:ascii="Times New Roman" w:hAnsi="Times New Roman" w:cs="Times New Roman"/>
      <w:sz w:val="24"/>
      <w:szCs w:val="24"/>
      <w:lang w:val="en-GB"/>
    </w:rPr>
  </w:style>
  <w:style w:type="paragraph" w:styleId="BalloonText">
    <w:name w:val="Balloon Text"/>
    <w:basedOn w:val="Normal"/>
    <w:link w:val="BalloonTextChar"/>
    <w:uiPriority w:val="99"/>
    <w:semiHidden/>
    <w:unhideWhenUsed/>
    <w:rsid w:val="00D70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078"/>
    <w:rPr>
      <w:rFonts w:ascii="Segoe UI" w:hAnsi="Segoe UI" w:cs="Segoe UI"/>
      <w:sz w:val="18"/>
      <w:szCs w:val="18"/>
      <w:lang w:val="en-GB"/>
    </w:rPr>
  </w:style>
  <w:style w:type="character" w:styleId="CommentReference">
    <w:name w:val="annotation reference"/>
    <w:basedOn w:val="DefaultParagraphFont"/>
    <w:uiPriority w:val="99"/>
    <w:semiHidden/>
    <w:unhideWhenUsed/>
    <w:rsid w:val="00A053FD"/>
    <w:rPr>
      <w:sz w:val="16"/>
      <w:szCs w:val="16"/>
    </w:rPr>
  </w:style>
  <w:style w:type="paragraph" w:styleId="CommentText">
    <w:name w:val="annotation text"/>
    <w:basedOn w:val="Normal"/>
    <w:link w:val="CommentTextChar"/>
    <w:uiPriority w:val="99"/>
    <w:semiHidden/>
    <w:unhideWhenUsed/>
    <w:rsid w:val="00A053FD"/>
    <w:pPr>
      <w:spacing w:line="240" w:lineRule="auto"/>
    </w:pPr>
    <w:rPr>
      <w:sz w:val="20"/>
      <w:szCs w:val="20"/>
    </w:rPr>
  </w:style>
  <w:style w:type="character" w:customStyle="1" w:styleId="CommentTextChar">
    <w:name w:val="Comment Text Char"/>
    <w:basedOn w:val="DefaultParagraphFont"/>
    <w:link w:val="CommentText"/>
    <w:uiPriority w:val="99"/>
    <w:semiHidden/>
    <w:rsid w:val="00A053FD"/>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A053FD"/>
    <w:rPr>
      <w:b/>
      <w:bCs/>
    </w:rPr>
  </w:style>
  <w:style w:type="character" w:customStyle="1" w:styleId="CommentSubjectChar">
    <w:name w:val="Comment Subject Char"/>
    <w:basedOn w:val="CommentTextChar"/>
    <w:link w:val="CommentSubject"/>
    <w:uiPriority w:val="99"/>
    <w:semiHidden/>
    <w:rsid w:val="00A053FD"/>
    <w:rPr>
      <w:rFonts w:ascii="Times New Roman" w:hAnsi="Times New Roman"/>
      <w:b/>
      <w:bCs/>
      <w:sz w:val="20"/>
      <w:szCs w:val="20"/>
      <w:lang w:val="en-GB"/>
    </w:rPr>
  </w:style>
  <w:style w:type="paragraph" w:styleId="Revision">
    <w:name w:val="Revision"/>
    <w:hidden/>
    <w:uiPriority w:val="99"/>
    <w:semiHidden/>
    <w:rsid w:val="00642DC1"/>
    <w:pPr>
      <w:spacing w:after="0" w:line="240" w:lineRule="auto"/>
    </w:pPr>
    <w:rPr>
      <w:rFonts w:ascii="Times New Roman" w:hAnsi="Times New Roman"/>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9394">
      <w:bodyDiv w:val="1"/>
      <w:marLeft w:val="0"/>
      <w:marRight w:val="0"/>
      <w:marTop w:val="0"/>
      <w:marBottom w:val="0"/>
      <w:divBdr>
        <w:top w:val="none" w:sz="0" w:space="0" w:color="auto"/>
        <w:left w:val="none" w:sz="0" w:space="0" w:color="auto"/>
        <w:bottom w:val="none" w:sz="0" w:space="0" w:color="auto"/>
        <w:right w:val="none" w:sz="0" w:space="0" w:color="auto"/>
      </w:divBdr>
    </w:div>
    <w:div w:id="39785802">
      <w:bodyDiv w:val="1"/>
      <w:marLeft w:val="0"/>
      <w:marRight w:val="0"/>
      <w:marTop w:val="0"/>
      <w:marBottom w:val="0"/>
      <w:divBdr>
        <w:top w:val="none" w:sz="0" w:space="0" w:color="auto"/>
        <w:left w:val="none" w:sz="0" w:space="0" w:color="auto"/>
        <w:bottom w:val="none" w:sz="0" w:space="0" w:color="auto"/>
        <w:right w:val="none" w:sz="0" w:space="0" w:color="auto"/>
      </w:divBdr>
    </w:div>
    <w:div w:id="71899197">
      <w:bodyDiv w:val="1"/>
      <w:marLeft w:val="0"/>
      <w:marRight w:val="0"/>
      <w:marTop w:val="0"/>
      <w:marBottom w:val="0"/>
      <w:divBdr>
        <w:top w:val="none" w:sz="0" w:space="0" w:color="auto"/>
        <w:left w:val="none" w:sz="0" w:space="0" w:color="auto"/>
        <w:bottom w:val="none" w:sz="0" w:space="0" w:color="auto"/>
        <w:right w:val="none" w:sz="0" w:space="0" w:color="auto"/>
      </w:divBdr>
    </w:div>
    <w:div w:id="87626710">
      <w:bodyDiv w:val="1"/>
      <w:marLeft w:val="0"/>
      <w:marRight w:val="0"/>
      <w:marTop w:val="0"/>
      <w:marBottom w:val="0"/>
      <w:divBdr>
        <w:top w:val="none" w:sz="0" w:space="0" w:color="auto"/>
        <w:left w:val="none" w:sz="0" w:space="0" w:color="auto"/>
        <w:bottom w:val="none" w:sz="0" w:space="0" w:color="auto"/>
        <w:right w:val="none" w:sz="0" w:space="0" w:color="auto"/>
      </w:divBdr>
    </w:div>
    <w:div w:id="135728553">
      <w:bodyDiv w:val="1"/>
      <w:marLeft w:val="0"/>
      <w:marRight w:val="0"/>
      <w:marTop w:val="0"/>
      <w:marBottom w:val="0"/>
      <w:divBdr>
        <w:top w:val="none" w:sz="0" w:space="0" w:color="auto"/>
        <w:left w:val="none" w:sz="0" w:space="0" w:color="auto"/>
        <w:bottom w:val="none" w:sz="0" w:space="0" w:color="auto"/>
        <w:right w:val="none" w:sz="0" w:space="0" w:color="auto"/>
      </w:divBdr>
    </w:div>
    <w:div w:id="159586071">
      <w:bodyDiv w:val="1"/>
      <w:marLeft w:val="0"/>
      <w:marRight w:val="0"/>
      <w:marTop w:val="0"/>
      <w:marBottom w:val="0"/>
      <w:divBdr>
        <w:top w:val="none" w:sz="0" w:space="0" w:color="auto"/>
        <w:left w:val="none" w:sz="0" w:space="0" w:color="auto"/>
        <w:bottom w:val="none" w:sz="0" w:space="0" w:color="auto"/>
        <w:right w:val="none" w:sz="0" w:space="0" w:color="auto"/>
      </w:divBdr>
    </w:div>
    <w:div w:id="173569567">
      <w:bodyDiv w:val="1"/>
      <w:marLeft w:val="0"/>
      <w:marRight w:val="0"/>
      <w:marTop w:val="0"/>
      <w:marBottom w:val="0"/>
      <w:divBdr>
        <w:top w:val="none" w:sz="0" w:space="0" w:color="auto"/>
        <w:left w:val="none" w:sz="0" w:space="0" w:color="auto"/>
        <w:bottom w:val="none" w:sz="0" w:space="0" w:color="auto"/>
        <w:right w:val="none" w:sz="0" w:space="0" w:color="auto"/>
      </w:divBdr>
    </w:div>
    <w:div w:id="221058695">
      <w:bodyDiv w:val="1"/>
      <w:marLeft w:val="0"/>
      <w:marRight w:val="0"/>
      <w:marTop w:val="0"/>
      <w:marBottom w:val="0"/>
      <w:divBdr>
        <w:top w:val="none" w:sz="0" w:space="0" w:color="auto"/>
        <w:left w:val="none" w:sz="0" w:space="0" w:color="auto"/>
        <w:bottom w:val="none" w:sz="0" w:space="0" w:color="auto"/>
        <w:right w:val="none" w:sz="0" w:space="0" w:color="auto"/>
      </w:divBdr>
    </w:div>
    <w:div w:id="263879839">
      <w:bodyDiv w:val="1"/>
      <w:marLeft w:val="0"/>
      <w:marRight w:val="0"/>
      <w:marTop w:val="0"/>
      <w:marBottom w:val="0"/>
      <w:divBdr>
        <w:top w:val="none" w:sz="0" w:space="0" w:color="auto"/>
        <w:left w:val="none" w:sz="0" w:space="0" w:color="auto"/>
        <w:bottom w:val="none" w:sz="0" w:space="0" w:color="auto"/>
        <w:right w:val="none" w:sz="0" w:space="0" w:color="auto"/>
      </w:divBdr>
    </w:div>
    <w:div w:id="296296779">
      <w:bodyDiv w:val="1"/>
      <w:marLeft w:val="0"/>
      <w:marRight w:val="0"/>
      <w:marTop w:val="0"/>
      <w:marBottom w:val="0"/>
      <w:divBdr>
        <w:top w:val="none" w:sz="0" w:space="0" w:color="auto"/>
        <w:left w:val="none" w:sz="0" w:space="0" w:color="auto"/>
        <w:bottom w:val="none" w:sz="0" w:space="0" w:color="auto"/>
        <w:right w:val="none" w:sz="0" w:space="0" w:color="auto"/>
      </w:divBdr>
    </w:div>
    <w:div w:id="304971119">
      <w:bodyDiv w:val="1"/>
      <w:marLeft w:val="0"/>
      <w:marRight w:val="0"/>
      <w:marTop w:val="0"/>
      <w:marBottom w:val="0"/>
      <w:divBdr>
        <w:top w:val="none" w:sz="0" w:space="0" w:color="auto"/>
        <w:left w:val="none" w:sz="0" w:space="0" w:color="auto"/>
        <w:bottom w:val="none" w:sz="0" w:space="0" w:color="auto"/>
        <w:right w:val="none" w:sz="0" w:space="0" w:color="auto"/>
      </w:divBdr>
    </w:div>
    <w:div w:id="322469240">
      <w:bodyDiv w:val="1"/>
      <w:marLeft w:val="0"/>
      <w:marRight w:val="0"/>
      <w:marTop w:val="0"/>
      <w:marBottom w:val="0"/>
      <w:divBdr>
        <w:top w:val="none" w:sz="0" w:space="0" w:color="auto"/>
        <w:left w:val="none" w:sz="0" w:space="0" w:color="auto"/>
        <w:bottom w:val="none" w:sz="0" w:space="0" w:color="auto"/>
        <w:right w:val="none" w:sz="0" w:space="0" w:color="auto"/>
      </w:divBdr>
    </w:div>
    <w:div w:id="370300655">
      <w:bodyDiv w:val="1"/>
      <w:marLeft w:val="0"/>
      <w:marRight w:val="0"/>
      <w:marTop w:val="0"/>
      <w:marBottom w:val="0"/>
      <w:divBdr>
        <w:top w:val="none" w:sz="0" w:space="0" w:color="auto"/>
        <w:left w:val="none" w:sz="0" w:space="0" w:color="auto"/>
        <w:bottom w:val="none" w:sz="0" w:space="0" w:color="auto"/>
        <w:right w:val="none" w:sz="0" w:space="0" w:color="auto"/>
      </w:divBdr>
    </w:div>
    <w:div w:id="410278812">
      <w:bodyDiv w:val="1"/>
      <w:marLeft w:val="0"/>
      <w:marRight w:val="0"/>
      <w:marTop w:val="0"/>
      <w:marBottom w:val="0"/>
      <w:divBdr>
        <w:top w:val="none" w:sz="0" w:space="0" w:color="auto"/>
        <w:left w:val="none" w:sz="0" w:space="0" w:color="auto"/>
        <w:bottom w:val="none" w:sz="0" w:space="0" w:color="auto"/>
        <w:right w:val="none" w:sz="0" w:space="0" w:color="auto"/>
      </w:divBdr>
    </w:div>
    <w:div w:id="413665659">
      <w:bodyDiv w:val="1"/>
      <w:marLeft w:val="0"/>
      <w:marRight w:val="0"/>
      <w:marTop w:val="0"/>
      <w:marBottom w:val="0"/>
      <w:divBdr>
        <w:top w:val="none" w:sz="0" w:space="0" w:color="auto"/>
        <w:left w:val="none" w:sz="0" w:space="0" w:color="auto"/>
        <w:bottom w:val="none" w:sz="0" w:space="0" w:color="auto"/>
        <w:right w:val="none" w:sz="0" w:space="0" w:color="auto"/>
      </w:divBdr>
    </w:div>
    <w:div w:id="434054019">
      <w:bodyDiv w:val="1"/>
      <w:marLeft w:val="0"/>
      <w:marRight w:val="0"/>
      <w:marTop w:val="0"/>
      <w:marBottom w:val="0"/>
      <w:divBdr>
        <w:top w:val="none" w:sz="0" w:space="0" w:color="auto"/>
        <w:left w:val="none" w:sz="0" w:space="0" w:color="auto"/>
        <w:bottom w:val="none" w:sz="0" w:space="0" w:color="auto"/>
        <w:right w:val="none" w:sz="0" w:space="0" w:color="auto"/>
      </w:divBdr>
    </w:div>
    <w:div w:id="456530883">
      <w:bodyDiv w:val="1"/>
      <w:marLeft w:val="0"/>
      <w:marRight w:val="0"/>
      <w:marTop w:val="0"/>
      <w:marBottom w:val="0"/>
      <w:divBdr>
        <w:top w:val="none" w:sz="0" w:space="0" w:color="auto"/>
        <w:left w:val="none" w:sz="0" w:space="0" w:color="auto"/>
        <w:bottom w:val="none" w:sz="0" w:space="0" w:color="auto"/>
        <w:right w:val="none" w:sz="0" w:space="0" w:color="auto"/>
      </w:divBdr>
    </w:div>
    <w:div w:id="500699783">
      <w:bodyDiv w:val="1"/>
      <w:marLeft w:val="0"/>
      <w:marRight w:val="0"/>
      <w:marTop w:val="0"/>
      <w:marBottom w:val="0"/>
      <w:divBdr>
        <w:top w:val="none" w:sz="0" w:space="0" w:color="auto"/>
        <w:left w:val="none" w:sz="0" w:space="0" w:color="auto"/>
        <w:bottom w:val="none" w:sz="0" w:space="0" w:color="auto"/>
        <w:right w:val="none" w:sz="0" w:space="0" w:color="auto"/>
      </w:divBdr>
    </w:div>
    <w:div w:id="525678347">
      <w:bodyDiv w:val="1"/>
      <w:marLeft w:val="0"/>
      <w:marRight w:val="0"/>
      <w:marTop w:val="0"/>
      <w:marBottom w:val="0"/>
      <w:divBdr>
        <w:top w:val="none" w:sz="0" w:space="0" w:color="auto"/>
        <w:left w:val="none" w:sz="0" w:space="0" w:color="auto"/>
        <w:bottom w:val="none" w:sz="0" w:space="0" w:color="auto"/>
        <w:right w:val="none" w:sz="0" w:space="0" w:color="auto"/>
      </w:divBdr>
    </w:div>
    <w:div w:id="584919715">
      <w:bodyDiv w:val="1"/>
      <w:marLeft w:val="0"/>
      <w:marRight w:val="0"/>
      <w:marTop w:val="0"/>
      <w:marBottom w:val="0"/>
      <w:divBdr>
        <w:top w:val="none" w:sz="0" w:space="0" w:color="auto"/>
        <w:left w:val="none" w:sz="0" w:space="0" w:color="auto"/>
        <w:bottom w:val="none" w:sz="0" w:space="0" w:color="auto"/>
        <w:right w:val="none" w:sz="0" w:space="0" w:color="auto"/>
      </w:divBdr>
    </w:div>
    <w:div w:id="629632488">
      <w:bodyDiv w:val="1"/>
      <w:marLeft w:val="0"/>
      <w:marRight w:val="0"/>
      <w:marTop w:val="0"/>
      <w:marBottom w:val="0"/>
      <w:divBdr>
        <w:top w:val="none" w:sz="0" w:space="0" w:color="auto"/>
        <w:left w:val="none" w:sz="0" w:space="0" w:color="auto"/>
        <w:bottom w:val="none" w:sz="0" w:space="0" w:color="auto"/>
        <w:right w:val="none" w:sz="0" w:space="0" w:color="auto"/>
      </w:divBdr>
    </w:div>
    <w:div w:id="635648549">
      <w:bodyDiv w:val="1"/>
      <w:marLeft w:val="0"/>
      <w:marRight w:val="0"/>
      <w:marTop w:val="0"/>
      <w:marBottom w:val="0"/>
      <w:divBdr>
        <w:top w:val="none" w:sz="0" w:space="0" w:color="auto"/>
        <w:left w:val="none" w:sz="0" w:space="0" w:color="auto"/>
        <w:bottom w:val="none" w:sz="0" w:space="0" w:color="auto"/>
        <w:right w:val="none" w:sz="0" w:space="0" w:color="auto"/>
      </w:divBdr>
    </w:div>
    <w:div w:id="643972068">
      <w:bodyDiv w:val="1"/>
      <w:marLeft w:val="0"/>
      <w:marRight w:val="0"/>
      <w:marTop w:val="0"/>
      <w:marBottom w:val="0"/>
      <w:divBdr>
        <w:top w:val="none" w:sz="0" w:space="0" w:color="auto"/>
        <w:left w:val="none" w:sz="0" w:space="0" w:color="auto"/>
        <w:bottom w:val="none" w:sz="0" w:space="0" w:color="auto"/>
        <w:right w:val="none" w:sz="0" w:space="0" w:color="auto"/>
      </w:divBdr>
    </w:div>
    <w:div w:id="648441019">
      <w:bodyDiv w:val="1"/>
      <w:marLeft w:val="0"/>
      <w:marRight w:val="0"/>
      <w:marTop w:val="0"/>
      <w:marBottom w:val="0"/>
      <w:divBdr>
        <w:top w:val="none" w:sz="0" w:space="0" w:color="auto"/>
        <w:left w:val="none" w:sz="0" w:space="0" w:color="auto"/>
        <w:bottom w:val="none" w:sz="0" w:space="0" w:color="auto"/>
        <w:right w:val="none" w:sz="0" w:space="0" w:color="auto"/>
      </w:divBdr>
    </w:div>
    <w:div w:id="694814534">
      <w:bodyDiv w:val="1"/>
      <w:marLeft w:val="0"/>
      <w:marRight w:val="0"/>
      <w:marTop w:val="0"/>
      <w:marBottom w:val="0"/>
      <w:divBdr>
        <w:top w:val="none" w:sz="0" w:space="0" w:color="auto"/>
        <w:left w:val="none" w:sz="0" w:space="0" w:color="auto"/>
        <w:bottom w:val="none" w:sz="0" w:space="0" w:color="auto"/>
        <w:right w:val="none" w:sz="0" w:space="0" w:color="auto"/>
      </w:divBdr>
    </w:div>
    <w:div w:id="696658604">
      <w:bodyDiv w:val="1"/>
      <w:marLeft w:val="0"/>
      <w:marRight w:val="0"/>
      <w:marTop w:val="0"/>
      <w:marBottom w:val="0"/>
      <w:divBdr>
        <w:top w:val="none" w:sz="0" w:space="0" w:color="auto"/>
        <w:left w:val="none" w:sz="0" w:space="0" w:color="auto"/>
        <w:bottom w:val="none" w:sz="0" w:space="0" w:color="auto"/>
        <w:right w:val="none" w:sz="0" w:space="0" w:color="auto"/>
      </w:divBdr>
    </w:div>
    <w:div w:id="703798443">
      <w:bodyDiv w:val="1"/>
      <w:marLeft w:val="0"/>
      <w:marRight w:val="0"/>
      <w:marTop w:val="0"/>
      <w:marBottom w:val="0"/>
      <w:divBdr>
        <w:top w:val="none" w:sz="0" w:space="0" w:color="auto"/>
        <w:left w:val="none" w:sz="0" w:space="0" w:color="auto"/>
        <w:bottom w:val="none" w:sz="0" w:space="0" w:color="auto"/>
        <w:right w:val="none" w:sz="0" w:space="0" w:color="auto"/>
      </w:divBdr>
    </w:div>
    <w:div w:id="798063364">
      <w:bodyDiv w:val="1"/>
      <w:marLeft w:val="0"/>
      <w:marRight w:val="0"/>
      <w:marTop w:val="0"/>
      <w:marBottom w:val="0"/>
      <w:divBdr>
        <w:top w:val="none" w:sz="0" w:space="0" w:color="auto"/>
        <w:left w:val="none" w:sz="0" w:space="0" w:color="auto"/>
        <w:bottom w:val="none" w:sz="0" w:space="0" w:color="auto"/>
        <w:right w:val="none" w:sz="0" w:space="0" w:color="auto"/>
      </w:divBdr>
    </w:div>
    <w:div w:id="812210259">
      <w:bodyDiv w:val="1"/>
      <w:marLeft w:val="0"/>
      <w:marRight w:val="0"/>
      <w:marTop w:val="0"/>
      <w:marBottom w:val="0"/>
      <w:divBdr>
        <w:top w:val="none" w:sz="0" w:space="0" w:color="auto"/>
        <w:left w:val="none" w:sz="0" w:space="0" w:color="auto"/>
        <w:bottom w:val="none" w:sz="0" w:space="0" w:color="auto"/>
        <w:right w:val="none" w:sz="0" w:space="0" w:color="auto"/>
      </w:divBdr>
    </w:div>
    <w:div w:id="847056854">
      <w:bodyDiv w:val="1"/>
      <w:marLeft w:val="0"/>
      <w:marRight w:val="0"/>
      <w:marTop w:val="0"/>
      <w:marBottom w:val="0"/>
      <w:divBdr>
        <w:top w:val="none" w:sz="0" w:space="0" w:color="auto"/>
        <w:left w:val="none" w:sz="0" w:space="0" w:color="auto"/>
        <w:bottom w:val="none" w:sz="0" w:space="0" w:color="auto"/>
        <w:right w:val="none" w:sz="0" w:space="0" w:color="auto"/>
      </w:divBdr>
    </w:div>
    <w:div w:id="953095343">
      <w:bodyDiv w:val="1"/>
      <w:marLeft w:val="0"/>
      <w:marRight w:val="0"/>
      <w:marTop w:val="0"/>
      <w:marBottom w:val="0"/>
      <w:divBdr>
        <w:top w:val="none" w:sz="0" w:space="0" w:color="auto"/>
        <w:left w:val="none" w:sz="0" w:space="0" w:color="auto"/>
        <w:bottom w:val="none" w:sz="0" w:space="0" w:color="auto"/>
        <w:right w:val="none" w:sz="0" w:space="0" w:color="auto"/>
      </w:divBdr>
    </w:div>
    <w:div w:id="997155463">
      <w:bodyDiv w:val="1"/>
      <w:marLeft w:val="0"/>
      <w:marRight w:val="0"/>
      <w:marTop w:val="0"/>
      <w:marBottom w:val="0"/>
      <w:divBdr>
        <w:top w:val="none" w:sz="0" w:space="0" w:color="auto"/>
        <w:left w:val="none" w:sz="0" w:space="0" w:color="auto"/>
        <w:bottom w:val="none" w:sz="0" w:space="0" w:color="auto"/>
        <w:right w:val="none" w:sz="0" w:space="0" w:color="auto"/>
      </w:divBdr>
    </w:div>
    <w:div w:id="1071270491">
      <w:bodyDiv w:val="1"/>
      <w:marLeft w:val="0"/>
      <w:marRight w:val="0"/>
      <w:marTop w:val="0"/>
      <w:marBottom w:val="0"/>
      <w:divBdr>
        <w:top w:val="none" w:sz="0" w:space="0" w:color="auto"/>
        <w:left w:val="none" w:sz="0" w:space="0" w:color="auto"/>
        <w:bottom w:val="none" w:sz="0" w:space="0" w:color="auto"/>
        <w:right w:val="none" w:sz="0" w:space="0" w:color="auto"/>
      </w:divBdr>
    </w:div>
    <w:div w:id="1090076879">
      <w:bodyDiv w:val="1"/>
      <w:marLeft w:val="0"/>
      <w:marRight w:val="0"/>
      <w:marTop w:val="0"/>
      <w:marBottom w:val="0"/>
      <w:divBdr>
        <w:top w:val="none" w:sz="0" w:space="0" w:color="auto"/>
        <w:left w:val="none" w:sz="0" w:space="0" w:color="auto"/>
        <w:bottom w:val="none" w:sz="0" w:space="0" w:color="auto"/>
        <w:right w:val="none" w:sz="0" w:space="0" w:color="auto"/>
      </w:divBdr>
    </w:div>
    <w:div w:id="1098719913">
      <w:bodyDiv w:val="1"/>
      <w:marLeft w:val="0"/>
      <w:marRight w:val="0"/>
      <w:marTop w:val="0"/>
      <w:marBottom w:val="0"/>
      <w:divBdr>
        <w:top w:val="none" w:sz="0" w:space="0" w:color="auto"/>
        <w:left w:val="none" w:sz="0" w:space="0" w:color="auto"/>
        <w:bottom w:val="none" w:sz="0" w:space="0" w:color="auto"/>
        <w:right w:val="none" w:sz="0" w:space="0" w:color="auto"/>
      </w:divBdr>
    </w:div>
    <w:div w:id="1127746164">
      <w:bodyDiv w:val="1"/>
      <w:marLeft w:val="0"/>
      <w:marRight w:val="0"/>
      <w:marTop w:val="0"/>
      <w:marBottom w:val="0"/>
      <w:divBdr>
        <w:top w:val="none" w:sz="0" w:space="0" w:color="auto"/>
        <w:left w:val="none" w:sz="0" w:space="0" w:color="auto"/>
        <w:bottom w:val="none" w:sz="0" w:space="0" w:color="auto"/>
        <w:right w:val="none" w:sz="0" w:space="0" w:color="auto"/>
      </w:divBdr>
    </w:div>
    <w:div w:id="1127894690">
      <w:bodyDiv w:val="1"/>
      <w:marLeft w:val="0"/>
      <w:marRight w:val="0"/>
      <w:marTop w:val="0"/>
      <w:marBottom w:val="0"/>
      <w:divBdr>
        <w:top w:val="none" w:sz="0" w:space="0" w:color="auto"/>
        <w:left w:val="none" w:sz="0" w:space="0" w:color="auto"/>
        <w:bottom w:val="none" w:sz="0" w:space="0" w:color="auto"/>
        <w:right w:val="none" w:sz="0" w:space="0" w:color="auto"/>
      </w:divBdr>
    </w:div>
    <w:div w:id="1147211145">
      <w:bodyDiv w:val="1"/>
      <w:marLeft w:val="0"/>
      <w:marRight w:val="0"/>
      <w:marTop w:val="0"/>
      <w:marBottom w:val="0"/>
      <w:divBdr>
        <w:top w:val="none" w:sz="0" w:space="0" w:color="auto"/>
        <w:left w:val="none" w:sz="0" w:space="0" w:color="auto"/>
        <w:bottom w:val="none" w:sz="0" w:space="0" w:color="auto"/>
        <w:right w:val="none" w:sz="0" w:space="0" w:color="auto"/>
      </w:divBdr>
    </w:div>
    <w:div w:id="1165629629">
      <w:bodyDiv w:val="1"/>
      <w:marLeft w:val="0"/>
      <w:marRight w:val="0"/>
      <w:marTop w:val="0"/>
      <w:marBottom w:val="0"/>
      <w:divBdr>
        <w:top w:val="none" w:sz="0" w:space="0" w:color="auto"/>
        <w:left w:val="none" w:sz="0" w:space="0" w:color="auto"/>
        <w:bottom w:val="none" w:sz="0" w:space="0" w:color="auto"/>
        <w:right w:val="none" w:sz="0" w:space="0" w:color="auto"/>
      </w:divBdr>
    </w:div>
    <w:div w:id="1170170324">
      <w:bodyDiv w:val="1"/>
      <w:marLeft w:val="0"/>
      <w:marRight w:val="0"/>
      <w:marTop w:val="0"/>
      <w:marBottom w:val="0"/>
      <w:divBdr>
        <w:top w:val="none" w:sz="0" w:space="0" w:color="auto"/>
        <w:left w:val="none" w:sz="0" w:space="0" w:color="auto"/>
        <w:bottom w:val="none" w:sz="0" w:space="0" w:color="auto"/>
        <w:right w:val="none" w:sz="0" w:space="0" w:color="auto"/>
      </w:divBdr>
    </w:div>
    <w:div w:id="1220633935">
      <w:bodyDiv w:val="1"/>
      <w:marLeft w:val="0"/>
      <w:marRight w:val="0"/>
      <w:marTop w:val="0"/>
      <w:marBottom w:val="0"/>
      <w:divBdr>
        <w:top w:val="none" w:sz="0" w:space="0" w:color="auto"/>
        <w:left w:val="none" w:sz="0" w:space="0" w:color="auto"/>
        <w:bottom w:val="none" w:sz="0" w:space="0" w:color="auto"/>
        <w:right w:val="none" w:sz="0" w:space="0" w:color="auto"/>
      </w:divBdr>
    </w:div>
    <w:div w:id="1256010638">
      <w:bodyDiv w:val="1"/>
      <w:marLeft w:val="0"/>
      <w:marRight w:val="0"/>
      <w:marTop w:val="0"/>
      <w:marBottom w:val="0"/>
      <w:divBdr>
        <w:top w:val="none" w:sz="0" w:space="0" w:color="auto"/>
        <w:left w:val="none" w:sz="0" w:space="0" w:color="auto"/>
        <w:bottom w:val="none" w:sz="0" w:space="0" w:color="auto"/>
        <w:right w:val="none" w:sz="0" w:space="0" w:color="auto"/>
      </w:divBdr>
    </w:div>
    <w:div w:id="1299451964">
      <w:bodyDiv w:val="1"/>
      <w:marLeft w:val="0"/>
      <w:marRight w:val="0"/>
      <w:marTop w:val="0"/>
      <w:marBottom w:val="0"/>
      <w:divBdr>
        <w:top w:val="none" w:sz="0" w:space="0" w:color="auto"/>
        <w:left w:val="none" w:sz="0" w:space="0" w:color="auto"/>
        <w:bottom w:val="none" w:sz="0" w:space="0" w:color="auto"/>
        <w:right w:val="none" w:sz="0" w:space="0" w:color="auto"/>
      </w:divBdr>
    </w:div>
    <w:div w:id="1305545120">
      <w:bodyDiv w:val="1"/>
      <w:marLeft w:val="0"/>
      <w:marRight w:val="0"/>
      <w:marTop w:val="0"/>
      <w:marBottom w:val="0"/>
      <w:divBdr>
        <w:top w:val="none" w:sz="0" w:space="0" w:color="auto"/>
        <w:left w:val="none" w:sz="0" w:space="0" w:color="auto"/>
        <w:bottom w:val="none" w:sz="0" w:space="0" w:color="auto"/>
        <w:right w:val="none" w:sz="0" w:space="0" w:color="auto"/>
      </w:divBdr>
    </w:div>
    <w:div w:id="1335448985">
      <w:bodyDiv w:val="1"/>
      <w:marLeft w:val="0"/>
      <w:marRight w:val="0"/>
      <w:marTop w:val="0"/>
      <w:marBottom w:val="0"/>
      <w:divBdr>
        <w:top w:val="none" w:sz="0" w:space="0" w:color="auto"/>
        <w:left w:val="none" w:sz="0" w:space="0" w:color="auto"/>
        <w:bottom w:val="none" w:sz="0" w:space="0" w:color="auto"/>
        <w:right w:val="none" w:sz="0" w:space="0" w:color="auto"/>
      </w:divBdr>
    </w:div>
    <w:div w:id="1359115100">
      <w:bodyDiv w:val="1"/>
      <w:marLeft w:val="0"/>
      <w:marRight w:val="0"/>
      <w:marTop w:val="0"/>
      <w:marBottom w:val="0"/>
      <w:divBdr>
        <w:top w:val="none" w:sz="0" w:space="0" w:color="auto"/>
        <w:left w:val="none" w:sz="0" w:space="0" w:color="auto"/>
        <w:bottom w:val="none" w:sz="0" w:space="0" w:color="auto"/>
        <w:right w:val="none" w:sz="0" w:space="0" w:color="auto"/>
      </w:divBdr>
    </w:div>
    <w:div w:id="1397900337">
      <w:bodyDiv w:val="1"/>
      <w:marLeft w:val="0"/>
      <w:marRight w:val="0"/>
      <w:marTop w:val="0"/>
      <w:marBottom w:val="0"/>
      <w:divBdr>
        <w:top w:val="none" w:sz="0" w:space="0" w:color="auto"/>
        <w:left w:val="none" w:sz="0" w:space="0" w:color="auto"/>
        <w:bottom w:val="none" w:sz="0" w:space="0" w:color="auto"/>
        <w:right w:val="none" w:sz="0" w:space="0" w:color="auto"/>
      </w:divBdr>
    </w:div>
    <w:div w:id="1470435574">
      <w:bodyDiv w:val="1"/>
      <w:marLeft w:val="0"/>
      <w:marRight w:val="0"/>
      <w:marTop w:val="0"/>
      <w:marBottom w:val="0"/>
      <w:divBdr>
        <w:top w:val="none" w:sz="0" w:space="0" w:color="auto"/>
        <w:left w:val="none" w:sz="0" w:space="0" w:color="auto"/>
        <w:bottom w:val="none" w:sz="0" w:space="0" w:color="auto"/>
        <w:right w:val="none" w:sz="0" w:space="0" w:color="auto"/>
      </w:divBdr>
    </w:div>
    <w:div w:id="1488862244">
      <w:bodyDiv w:val="1"/>
      <w:marLeft w:val="0"/>
      <w:marRight w:val="0"/>
      <w:marTop w:val="0"/>
      <w:marBottom w:val="0"/>
      <w:divBdr>
        <w:top w:val="none" w:sz="0" w:space="0" w:color="auto"/>
        <w:left w:val="none" w:sz="0" w:space="0" w:color="auto"/>
        <w:bottom w:val="none" w:sz="0" w:space="0" w:color="auto"/>
        <w:right w:val="none" w:sz="0" w:space="0" w:color="auto"/>
      </w:divBdr>
    </w:div>
    <w:div w:id="1502433119">
      <w:bodyDiv w:val="1"/>
      <w:marLeft w:val="0"/>
      <w:marRight w:val="0"/>
      <w:marTop w:val="0"/>
      <w:marBottom w:val="0"/>
      <w:divBdr>
        <w:top w:val="none" w:sz="0" w:space="0" w:color="auto"/>
        <w:left w:val="none" w:sz="0" w:space="0" w:color="auto"/>
        <w:bottom w:val="none" w:sz="0" w:space="0" w:color="auto"/>
        <w:right w:val="none" w:sz="0" w:space="0" w:color="auto"/>
      </w:divBdr>
    </w:div>
    <w:div w:id="1545873201">
      <w:bodyDiv w:val="1"/>
      <w:marLeft w:val="0"/>
      <w:marRight w:val="0"/>
      <w:marTop w:val="0"/>
      <w:marBottom w:val="0"/>
      <w:divBdr>
        <w:top w:val="none" w:sz="0" w:space="0" w:color="auto"/>
        <w:left w:val="none" w:sz="0" w:space="0" w:color="auto"/>
        <w:bottom w:val="none" w:sz="0" w:space="0" w:color="auto"/>
        <w:right w:val="none" w:sz="0" w:space="0" w:color="auto"/>
      </w:divBdr>
    </w:div>
    <w:div w:id="1564825429">
      <w:bodyDiv w:val="1"/>
      <w:marLeft w:val="0"/>
      <w:marRight w:val="0"/>
      <w:marTop w:val="0"/>
      <w:marBottom w:val="0"/>
      <w:divBdr>
        <w:top w:val="none" w:sz="0" w:space="0" w:color="auto"/>
        <w:left w:val="none" w:sz="0" w:space="0" w:color="auto"/>
        <w:bottom w:val="none" w:sz="0" w:space="0" w:color="auto"/>
        <w:right w:val="none" w:sz="0" w:space="0" w:color="auto"/>
      </w:divBdr>
    </w:div>
    <w:div w:id="1580288563">
      <w:bodyDiv w:val="1"/>
      <w:marLeft w:val="0"/>
      <w:marRight w:val="0"/>
      <w:marTop w:val="0"/>
      <w:marBottom w:val="0"/>
      <w:divBdr>
        <w:top w:val="none" w:sz="0" w:space="0" w:color="auto"/>
        <w:left w:val="none" w:sz="0" w:space="0" w:color="auto"/>
        <w:bottom w:val="none" w:sz="0" w:space="0" w:color="auto"/>
        <w:right w:val="none" w:sz="0" w:space="0" w:color="auto"/>
      </w:divBdr>
    </w:div>
    <w:div w:id="1585798214">
      <w:bodyDiv w:val="1"/>
      <w:marLeft w:val="0"/>
      <w:marRight w:val="0"/>
      <w:marTop w:val="0"/>
      <w:marBottom w:val="0"/>
      <w:divBdr>
        <w:top w:val="none" w:sz="0" w:space="0" w:color="auto"/>
        <w:left w:val="none" w:sz="0" w:space="0" w:color="auto"/>
        <w:bottom w:val="none" w:sz="0" w:space="0" w:color="auto"/>
        <w:right w:val="none" w:sz="0" w:space="0" w:color="auto"/>
      </w:divBdr>
    </w:div>
    <w:div w:id="1632786469">
      <w:bodyDiv w:val="1"/>
      <w:marLeft w:val="0"/>
      <w:marRight w:val="0"/>
      <w:marTop w:val="0"/>
      <w:marBottom w:val="0"/>
      <w:divBdr>
        <w:top w:val="none" w:sz="0" w:space="0" w:color="auto"/>
        <w:left w:val="none" w:sz="0" w:space="0" w:color="auto"/>
        <w:bottom w:val="none" w:sz="0" w:space="0" w:color="auto"/>
        <w:right w:val="none" w:sz="0" w:space="0" w:color="auto"/>
      </w:divBdr>
    </w:div>
    <w:div w:id="1661734432">
      <w:bodyDiv w:val="1"/>
      <w:marLeft w:val="0"/>
      <w:marRight w:val="0"/>
      <w:marTop w:val="0"/>
      <w:marBottom w:val="0"/>
      <w:divBdr>
        <w:top w:val="none" w:sz="0" w:space="0" w:color="auto"/>
        <w:left w:val="none" w:sz="0" w:space="0" w:color="auto"/>
        <w:bottom w:val="none" w:sz="0" w:space="0" w:color="auto"/>
        <w:right w:val="none" w:sz="0" w:space="0" w:color="auto"/>
      </w:divBdr>
    </w:div>
    <w:div w:id="1688210793">
      <w:bodyDiv w:val="1"/>
      <w:marLeft w:val="0"/>
      <w:marRight w:val="0"/>
      <w:marTop w:val="0"/>
      <w:marBottom w:val="0"/>
      <w:divBdr>
        <w:top w:val="none" w:sz="0" w:space="0" w:color="auto"/>
        <w:left w:val="none" w:sz="0" w:space="0" w:color="auto"/>
        <w:bottom w:val="none" w:sz="0" w:space="0" w:color="auto"/>
        <w:right w:val="none" w:sz="0" w:space="0" w:color="auto"/>
      </w:divBdr>
    </w:div>
    <w:div w:id="1774859734">
      <w:bodyDiv w:val="1"/>
      <w:marLeft w:val="0"/>
      <w:marRight w:val="0"/>
      <w:marTop w:val="0"/>
      <w:marBottom w:val="0"/>
      <w:divBdr>
        <w:top w:val="none" w:sz="0" w:space="0" w:color="auto"/>
        <w:left w:val="none" w:sz="0" w:space="0" w:color="auto"/>
        <w:bottom w:val="none" w:sz="0" w:space="0" w:color="auto"/>
        <w:right w:val="none" w:sz="0" w:space="0" w:color="auto"/>
      </w:divBdr>
    </w:div>
    <w:div w:id="1841894951">
      <w:bodyDiv w:val="1"/>
      <w:marLeft w:val="0"/>
      <w:marRight w:val="0"/>
      <w:marTop w:val="0"/>
      <w:marBottom w:val="0"/>
      <w:divBdr>
        <w:top w:val="none" w:sz="0" w:space="0" w:color="auto"/>
        <w:left w:val="none" w:sz="0" w:space="0" w:color="auto"/>
        <w:bottom w:val="none" w:sz="0" w:space="0" w:color="auto"/>
        <w:right w:val="none" w:sz="0" w:space="0" w:color="auto"/>
      </w:divBdr>
    </w:div>
    <w:div w:id="1875926426">
      <w:bodyDiv w:val="1"/>
      <w:marLeft w:val="0"/>
      <w:marRight w:val="0"/>
      <w:marTop w:val="0"/>
      <w:marBottom w:val="0"/>
      <w:divBdr>
        <w:top w:val="none" w:sz="0" w:space="0" w:color="auto"/>
        <w:left w:val="none" w:sz="0" w:space="0" w:color="auto"/>
        <w:bottom w:val="none" w:sz="0" w:space="0" w:color="auto"/>
        <w:right w:val="none" w:sz="0" w:space="0" w:color="auto"/>
      </w:divBdr>
    </w:div>
    <w:div w:id="1969780440">
      <w:bodyDiv w:val="1"/>
      <w:marLeft w:val="0"/>
      <w:marRight w:val="0"/>
      <w:marTop w:val="0"/>
      <w:marBottom w:val="0"/>
      <w:divBdr>
        <w:top w:val="none" w:sz="0" w:space="0" w:color="auto"/>
        <w:left w:val="none" w:sz="0" w:space="0" w:color="auto"/>
        <w:bottom w:val="none" w:sz="0" w:space="0" w:color="auto"/>
        <w:right w:val="none" w:sz="0" w:space="0" w:color="auto"/>
      </w:divBdr>
    </w:div>
    <w:div w:id="1997538286">
      <w:bodyDiv w:val="1"/>
      <w:marLeft w:val="0"/>
      <w:marRight w:val="0"/>
      <w:marTop w:val="0"/>
      <w:marBottom w:val="0"/>
      <w:divBdr>
        <w:top w:val="none" w:sz="0" w:space="0" w:color="auto"/>
        <w:left w:val="none" w:sz="0" w:space="0" w:color="auto"/>
        <w:bottom w:val="none" w:sz="0" w:space="0" w:color="auto"/>
        <w:right w:val="none" w:sz="0" w:space="0" w:color="auto"/>
      </w:divBdr>
    </w:div>
    <w:div w:id="2007634148">
      <w:bodyDiv w:val="1"/>
      <w:marLeft w:val="0"/>
      <w:marRight w:val="0"/>
      <w:marTop w:val="0"/>
      <w:marBottom w:val="0"/>
      <w:divBdr>
        <w:top w:val="none" w:sz="0" w:space="0" w:color="auto"/>
        <w:left w:val="none" w:sz="0" w:space="0" w:color="auto"/>
        <w:bottom w:val="none" w:sz="0" w:space="0" w:color="auto"/>
        <w:right w:val="none" w:sz="0" w:space="0" w:color="auto"/>
      </w:divBdr>
    </w:div>
    <w:div w:id="2019885961">
      <w:bodyDiv w:val="1"/>
      <w:marLeft w:val="0"/>
      <w:marRight w:val="0"/>
      <w:marTop w:val="0"/>
      <w:marBottom w:val="0"/>
      <w:divBdr>
        <w:top w:val="none" w:sz="0" w:space="0" w:color="auto"/>
        <w:left w:val="none" w:sz="0" w:space="0" w:color="auto"/>
        <w:bottom w:val="none" w:sz="0" w:space="0" w:color="auto"/>
        <w:right w:val="none" w:sz="0" w:space="0" w:color="auto"/>
      </w:divBdr>
    </w:div>
    <w:div w:id="2047560271">
      <w:bodyDiv w:val="1"/>
      <w:marLeft w:val="0"/>
      <w:marRight w:val="0"/>
      <w:marTop w:val="0"/>
      <w:marBottom w:val="0"/>
      <w:divBdr>
        <w:top w:val="none" w:sz="0" w:space="0" w:color="auto"/>
        <w:left w:val="none" w:sz="0" w:space="0" w:color="auto"/>
        <w:bottom w:val="none" w:sz="0" w:space="0" w:color="auto"/>
        <w:right w:val="none" w:sz="0" w:space="0" w:color="auto"/>
      </w:divBdr>
    </w:div>
    <w:div w:id="2072147107">
      <w:bodyDiv w:val="1"/>
      <w:marLeft w:val="0"/>
      <w:marRight w:val="0"/>
      <w:marTop w:val="0"/>
      <w:marBottom w:val="0"/>
      <w:divBdr>
        <w:top w:val="none" w:sz="0" w:space="0" w:color="auto"/>
        <w:left w:val="none" w:sz="0" w:space="0" w:color="auto"/>
        <w:bottom w:val="none" w:sz="0" w:space="0" w:color="auto"/>
        <w:right w:val="none" w:sz="0" w:space="0" w:color="auto"/>
      </w:divBdr>
    </w:div>
    <w:div w:id="2106924307">
      <w:bodyDiv w:val="1"/>
      <w:marLeft w:val="0"/>
      <w:marRight w:val="0"/>
      <w:marTop w:val="0"/>
      <w:marBottom w:val="0"/>
      <w:divBdr>
        <w:top w:val="none" w:sz="0" w:space="0" w:color="auto"/>
        <w:left w:val="none" w:sz="0" w:space="0" w:color="auto"/>
        <w:bottom w:val="none" w:sz="0" w:space="0" w:color="auto"/>
        <w:right w:val="none" w:sz="0" w:space="0" w:color="auto"/>
      </w:divBdr>
    </w:div>
    <w:div w:id="2118451274">
      <w:bodyDiv w:val="1"/>
      <w:marLeft w:val="0"/>
      <w:marRight w:val="0"/>
      <w:marTop w:val="0"/>
      <w:marBottom w:val="0"/>
      <w:divBdr>
        <w:top w:val="none" w:sz="0" w:space="0" w:color="auto"/>
        <w:left w:val="none" w:sz="0" w:space="0" w:color="auto"/>
        <w:bottom w:val="none" w:sz="0" w:space="0" w:color="auto"/>
        <w:right w:val="none" w:sz="0" w:space="0" w:color="auto"/>
      </w:divBdr>
    </w:div>
    <w:div w:id="213748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rm.md/activitatea-curtii-de-conturi-1-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w="19050" cap="flat" cmpd="sng" algn="ctr">
          <a:solidFill>
            <a:schemeClr val="tx1">
              <a:lumMod val="25000"/>
              <a:lumOff val="75000"/>
            </a:schemeClr>
          </a:solidFill>
          <a:round/>
        </a:ln>
        <a:effectLst/>
        <a:sp3d contourW="19050">
          <a:contourClr>
            <a:schemeClr val="tx1">
              <a:lumMod val="25000"/>
              <a:lumOff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394699272157165"/>
          <c:y val="0.23355981136607393"/>
          <c:w val="0.87158137212826148"/>
          <c:h val="0.52623062709127533"/>
        </c:manualLayout>
      </c:layout>
      <c:bar3DChart>
        <c:barDir val="col"/>
        <c:grouping val="stacked"/>
        <c:varyColors val="0"/>
        <c:ser>
          <c:idx val="0"/>
          <c:order val="0"/>
          <c:tx>
            <c:strRef>
              <c:f>Sheet1!$B$1</c:f>
              <c:strCache>
                <c:ptCount val="1"/>
                <c:pt idx="0">
                  <c:v>всего расходов и нефинансовых активов</c:v>
                </c:pt>
              </c:strCache>
            </c:strRef>
          </c:tx>
          <c:spPr>
            <a:solidFill>
              <a:srgbClr val="FFC000">
                <a:lumMod val="60000"/>
                <a:lumOff val="40000"/>
              </a:srgbClr>
            </a:solidFill>
            <a:ln>
              <a:solidFill>
                <a:schemeClr val="accent6"/>
              </a:solidFill>
            </a:ln>
            <a:effectLst/>
            <a:sp3d>
              <a:contourClr>
                <a:schemeClr val="accent6"/>
              </a:contourClr>
            </a:sp3d>
          </c:spPr>
          <c:invertIfNegative val="0"/>
          <c:dPt>
            <c:idx val="0"/>
            <c:invertIfNegative val="0"/>
            <c:bubble3D val="0"/>
            <c:spPr>
              <a:solidFill>
                <a:srgbClr val="FFC000">
                  <a:lumMod val="60000"/>
                  <a:lumOff val="40000"/>
                </a:srgbClr>
              </a:solidFill>
              <a:ln w="15875">
                <a:solidFill>
                  <a:schemeClr val="accent6"/>
                </a:solidFill>
              </a:ln>
              <a:effectLst/>
              <a:sp3d contourW="15875">
                <a:contourClr>
                  <a:schemeClr val="accent6"/>
                </a:contourClr>
              </a:sp3d>
            </c:spPr>
            <c:extLst>
              <c:ext xmlns:c16="http://schemas.microsoft.com/office/drawing/2014/chart" uri="{C3380CC4-5D6E-409C-BE32-E72D297353CC}">
                <c16:uniqueId val="{00000001-4E0D-47A3-832B-B476DBDA3052}"/>
              </c:ext>
            </c:extLst>
          </c:dPt>
          <c:dPt>
            <c:idx val="1"/>
            <c:invertIfNegative val="0"/>
            <c:bubble3D val="0"/>
            <c:spPr>
              <a:solidFill>
                <a:srgbClr val="FFC000">
                  <a:lumMod val="60000"/>
                  <a:lumOff val="40000"/>
                </a:srgbClr>
              </a:solidFill>
              <a:ln w="15875">
                <a:solidFill>
                  <a:schemeClr val="accent6"/>
                </a:solidFill>
              </a:ln>
              <a:effectLst/>
              <a:sp3d contourW="15875">
                <a:contourClr>
                  <a:schemeClr val="accent6"/>
                </a:contourClr>
              </a:sp3d>
            </c:spPr>
            <c:extLst>
              <c:ext xmlns:c16="http://schemas.microsoft.com/office/drawing/2014/chart" uri="{C3380CC4-5D6E-409C-BE32-E72D297353CC}">
                <c16:uniqueId val="{00000003-4E0D-47A3-832B-B476DBDA3052}"/>
              </c:ext>
            </c:extLst>
          </c:dPt>
          <c:dPt>
            <c:idx val="2"/>
            <c:invertIfNegative val="0"/>
            <c:bubble3D val="0"/>
            <c:spPr>
              <a:solidFill>
                <a:srgbClr val="FFC000">
                  <a:lumMod val="60000"/>
                  <a:lumOff val="40000"/>
                </a:srgbClr>
              </a:solidFill>
              <a:ln w="15875">
                <a:solidFill>
                  <a:schemeClr val="accent6"/>
                </a:solidFill>
              </a:ln>
              <a:effectLst/>
              <a:sp3d contourW="15875">
                <a:contourClr>
                  <a:schemeClr val="accent6"/>
                </a:contourClr>
              </a:sp3d>
            </c:spPr>
            <c:extLst>
              <c:ext xmlns:c16="http://schemas.microsoft.com/office/drawing/2014/chart" uri="{C3380CC4-5D6E-409C-BE32-E72D297353CC}">
                <c16:uniqueId val="{00000005-4E0D-47A3-832B-B476DBDA3052}"/>
              </c:ext>
            </c:extLst>
          </c:dPt>
          <c:dLbls>
            <c:dLbl>
              <c:idx val="0"/>
              <c:layout>
                <c:manualLayout>
                  <c:x val="2.2255192878338232E-2"/>
                  <c:y val="-4.2735042735043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0D-47A3-832B-B476DBDA3052}"/>
                </c:ext>
              </c:extLst>
            </c:dLbl>
            <c:dLbl>
              <c:idx val="1"/>
              <c:layout>
                <c:manualLayout>
                  <c:x val="1.978239366963402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0D-47A3-832B-B476DBDA3052}"/>
                </c:ext>
              </c:extLst>
            </c:dLbl>
            <c:dLbl>
              <c:idx val="2"/>
              <c:layout>
                <c:manualLayout>
                  <c:x val="1.7309594460929771E-2"/>
                  <c:y val="-7.834667328012302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E0D-47A3-832B-B476DBDA3052}"/>
                </c:ext>
              </c:extLst>
            </c:dLbl>
            <c:spPr>
              <a:solidFill>
                <a:schemeClr val="accent6">
                  <a:lumMod val="20000"/>
                  <a:lumOff val="80000"/>
                </a:schemeClr>
              </a:solidFill>
              <a:ln>
                <a:noFill/>
              </a:ln>
              <a:effectLst/>
            </c:spPr>
            <c:txPr>
              <a:bodyPr rot="0" spcFirstLastPara="1" vertOverflow="ellipsis" vert="horz" wrap="square" anchor="ctr" anchorCtr="1"/>
              <a:lstStyle/>
              <a:p>
                <a:pPr>
                  <a:defRPr sz="1200" b="1" i="0" u="none" strike="noStrike" kern="1200" baseline="0">
                    <a:solidFill>
                      <a:schemeClr val="dk1"/>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2018 год</c:v>
                </c:pt>
                <c:pt idx="1">
                  <c:v>2019 год</c:v>
                </c:pt>
                <c:pt idx="2">
                  <c:v>2020 год</c:v>
                </c:pt>
              </c:strCache>
            </c:strRef>
          </c:cat>
          <c:val>
            <c:numRef>
              <c:f>Sheet1!$B$2:$B$4</c:f>
              <c:numCache>
                <c:formatCode>#,##0.0</c:formatCode>
                <c:ptCount val="3"/>
                <c:pt idx="0">
                  <c:v>38708.300000000003</c:v>
                </c:pt>
                <c:pt idx="1">
                  <c:v>43073.9</c:v>
                </c:pt>
                <c:pt idx="2">
                  <c:v>49635.4</c:v>
                </c:pt>
              </c:numCache>
            </c:numRef>
          </c:val>
          <c:shape val="pyramidToMax"/>
          <c:extLst>
            <c:ext xmlns:c16="http://schemas.microsoft.com/office/drawing/2014/chart" uri="{C3380CC4-5D6E-409C-BE32-E72D297353CC}">
              <c16:uniqueId val="{00000006-4E0D-47A3-832B-B476DBDA3052}"/>
            </c:ext>
          </c:extLst>
        </c:ser>
        <c:ser>
          <c:idx val="1"/>
          <c:order val="1"/>
          <c:tx>
            <c:strRef>
              <c:f>Sheet1!$C$1</c:f>
              <c:strCache>
                <c:ptCount val="1"/>
                <c:pt idx="0">
                  <c:v>включая трансферты, предоставленные в рамках НПБ</c:v>
                </c:pt>
              </c:strCache>
            </c:strRef>
          </c:tx>
          <c:spPr>
            <a:pattFill prst="ltDnDiag">
              <a:fgClr>
                <a:schemeClr val="accent5"/>
              </a:fgClr>
              <a:bgClr>
                <a:schemeClr val="accent5">
                  <a:lumMod val="20000"/>
                  <a:lumOff val="80000"/>
                </a:schemeClr>
              </a:bgClr>
            </a:pattFill>
            <a:ln>
              <a:solidFill>
                <a:schemeClr val="accent5"/>
              </a:solidFill>
            </a:ln>
            <a:effectLst/>
            <a:sp3d>
              <a:contourClr>
                <a:schemeClr val="accent5"/>
              </a:contourClr>
            </a:sp3d>
          </c:spPr>
          <c:invertIfNegative val="0"/>
          <c:dLbls>
            <c:dLbl>
              <c:idx val="0"/>
              <c:layout>
                <c:manualLayout>
                  <c:x val="1.4836775722183664E-2"/>
                  <c:y val="-0.108820160366552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E0D-47A3-832B-B476DBDA3052}"/>
                </c:ext>
              </c:extLst>
            </c:dLbl>
            <c:dLbl>
              <c:idx val="1"/>
              <c:layout>
                <c:manualLayout>
                  <c:x val="1.9782367629578218E-2"/>
                  <c:y val="-0.101638841536560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E0D-47A3-832B-B476DBDA3052}"/>
                </c:ext>
              </c:extLst>
            </c:dLbl>
            <c:dLbl>
              <c:idx val="2"/>
              <c:layout>
                <c:manualLayout>
                  <c:x val="9.8911838147890153E-3"/>
                  <c:y val="-0.108820160366552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E0D-47A3-832B-B476DBDA3052}"/>
                </c:ext>
              </c:extLst>
            </c:dLbl>
            <c:spPr>
              <a:solidFill>
                <a:sysClr val="window" lastClr="FFFFFF">
                  <a:lumMod val="95000"/>
                </a:sysClr>
              </a:solid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dk1"/>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2018 год</c:v>
                </c:pt>
                <c:pt idx="1">
                  <c:v>2019 год</c:v>
                </c:pt>
                <c:pt idx="2">
                  <c:v>2020 год</c:v>
                </c:pt>
              </c:strCache>
            </c:strRef>
          </c:cat>
          <c:val>
            <c:numRef>
              <c:f>Sheet1!$C$2:$C$4</c:f>
              <c:numCache>
                <c:formatCode>#,##0.0</c:formatCode>
                <c:ptCount val="3"/>
                <c:pt idx="0">
                  <c:v>19755.599999999999</c:v>
                </c:pt>
                <c:pt idx="1">
                  <c:v>23098.82</c:v>
                </c:pt>
                <c:pt idx="2">
                  <c:v>26920.98</c:v>
                </c:pt>
              </c:numCache>
            </c:numRef>
          </c:val>
          <c:shape val="pyramidToMax"/>
          <c:extLst>
            <c:ext xmlns:c16="http://schemas.microsoft.com/office/drawing/2014/chart" uri="{C3380CC4-5D6E-409C-BE32-E72D297353CC}">
              <c16:uniqueId val="{0000000A-4E0D-47A3-832B-B476DBDA3052}"/>
            </c:ext>
          </c:extLst>
        </c:ser>
        <c:dLbls>
          <c:showLegendKey val="0"/>
          <c:showVal val="1"/>
          <c:showCatName val="0"/>
          <c:showSerName val="0"/>
          <c:showPercent val="0"/>
          <c:showBubbleSize val="0"/>
        </c:dLbls>
        <c:gapWidth val="160"/>
        <c:gapDepth val="160"/>
        <c:shape val="pyramidToMax"/>
        <c:axId val="147384824"/>
        <c:axId val="147385216"/>
        <c:axId val="0"/>
      </c:bar3DChart>
      <c:catAx>
        <c:axId val="14738482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200" b="1" i="0" u="none" strike="noStrike" kern="1200" baseline="0">
                <a:solidFill>
                  <a:schemeClr val="dk1"/>
                </a:solidFill>
                <a:latin typeface="+mj-lt"/>
                <a:ea typeface="+mn-ea"/>
                <a:cs typeface="+mn-cs"/>
              </a:defRPr>
            </a:pPr>
            <a:endParaRPr lang="en-US"/>
          </a:p>
        </c:txPr>
        <c:crossAx val="147385216"/>
        <c:crosses val="autoZero"/>
        <c:auto val="1"/>
        <c:lblAlgn val="ctr"/>
        <c:lblOffset val="100"/>
        <c:noMultiLvlLbl val="0"/>
      </c:catAx>
      <c:valAx>
        <c:axId val="147385216"/>
        <c:scaling>
          <c:orientation val="minMax"/>
        </c:scaling>
        <c:delete val="0"/>
        <c:axPos val="l"/>
        <c:majorGridlines>
          <c:spPr>
            <a:ln>
              <a:solidFill>
                <a:schemeClr val="tx1">
                  <a:lumMod val="15000"/>
                  <a:lumOff val="85000"/>
                </a:schemeClr>
              </a:solidFill>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47384824"/>
        <c:crosses val="autoZero"/>
        <c:crossBetween val="between"/>
      </c:valAx>
      <c:spPr>
        <a:noFill/>
        <a:ln w="25400">
          <a:noFill/>
        </a:ln>
        <a:effectLst/>
      </c:spPr>
    </c:plotArea>
    <c:legend>
      <c:legendPos val="t"/>
      <c:layout>
        <c:manualLayout>
          <c:xMode val="edge"/>
          <c:yMode val="edge"/>
          <c:x val="0"/>
          <c:y val="2.564102564102564E-2"/>
          <c:w val="1"/>
          <c:h val="0.2063306040233342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mj-lt"/>
              <a:ea typeface="+mn-ea"/>
              <a:cs typeface="+mn-cs"/>
            </a:defRPr>
          </a:pPr>
          <a:endParaRPr lang="en-US"/>
        </a:p>
      </c:txPr>
    </c:legend>
    <c:plotVisOnly val="1"/>
    <c:dispBlanksAs val="gap"/>
    <c:showDLblsOverMax val="0"/>
  </c:chart>
  <c:spPr>
    <a:solidFill>
      <a:schemeClr val="lt1"/>
    </a:solidFill>
    <a:ln w="12700" cap="flat" cmpd="sng" algn="ctr">
      <a:solidFill>
        <a:schemeClr val="accent1"/>
      </a:solidFill>
      <a:prstDash val="solid"/>
      <a:miter lim="800000"/>
    </a:ln>
    <a:effectLst>
      <a:glow rad="63500">
        <a:srgbClr val="FFC000">
          <a:satMod val="175000"/>
          <a:alpha val="40000"/>
        </a:srgbClr>
      </a:glow>
    </a:effectLst>
  </c:spPr>
  <c:txPr>
    <a:bodyPr/>
    <a:lstStyle/>
    <a:p>
      <a:pPr>
        <a:defRPr>
          <a:solidFill>
            <a:schemeClr val="dk1"/>
          </a:solidFill>
          <a:latin typeface="+mn-lt"/>
          <a:ea typeface="+mn-ea"/>
          <a:cs typeface="+mn-cs"/>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51E5E-5377-4AB2-BAFE-6F6B8AA47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69</Pages>
  <Words>25118</Words>
  <Characters>143174</Characters>
  <Application>Microsoft Office Word</Application>
  <DocSecurity>0</DocSecurity>
  <Lines>1193</Lines>
  <Paragraphs>335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Savva Maia</dc:creator>
  <cp:keywords/>
  <dc:description/>
  <cp:lastModifiedBy>Paiu Eugenia</cp:lastModifiedBy>
  <cp:revision>40</cp:revision>
  <cp:lastPrinted>2021-06-21T07:01:00Z</cp:lastPrinted>
  <dcterms:created xsi:type="dcterms:W3CDTF">2021-07-08T11:24:00Z</dcterms:created>
  <dcterms:modified xsi:type="dcterms:W3CDTF">2021-07-08T12:09:00Z</dcterms:modified>
</cp:coreProperties>
</file>