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631" w:rsidRPr="003A5991" w:rsidRDefault="00C65631" w:rsidP="008A4055">
      <w:pPr>
        <w:spacing w:after="0" w:line="276" w:lineRule="auto"/>
        <w:jc w:val="right"/>
        <w:rPr>
          <w:rFonts w:asciiTheme="majorHAnsi" w:eastAsia="Times New Roman" w:hAnsiTheme="majorHAnsi" w:cstheme="majorHAnsi"/>
          <w:i/>
          <w:noProof/>
          <w:sz w:val="24"/>
          <w:szCs w:val="24"/>
          <w:lang w:val="ro-RO"/>
        </w:rPr>
      </w:pPr>
      <w:r w:rsidRPr="003A5991">
        <w:rPr>
          <w:rFonts w:asciiTheme="majorHAnsi" w:eastAsia="Times New Roman" w:hAnsiTheme="majorHAnsi" w:cstheme="majorHAnsi"/>
          <w:bCs/>
          <w:i/>
          <w:noProof/>
          <w:sz w:val="24"/>
          <w:szCs w:val="24"/>
          <w:lang w:val="ro-RO"/>
        </w:rPr>
        <w:t>A</w:t>
      </w:r>
      <w:r w:rsidRPr="003A5991">
        <w:rPr>
          <w:rFonts w:asciiTheme="majorHAnsi" w:eastAsia="Times New Roman" w:hAnsiTheme="majorHAnsi" w:cstheme="majorHAnsi"/>
          <w:i/>
          <w:noProof/>
          <w:sz w:val="24"/>
          <w:szCs w:val="24"/>
          <w:lang w:val="ro-RO"/>
        </w:rPr>
        <w:t xml:space="preserve">nexă </w:t>
      </w:r>
    </w:p>
    <w:p w:rsidR="00C65631" w:rsidRPr="003A5991" w:rsidRDefault="00C65631" w:rsidP="008A4055">
      <w:pPr>
        <w:spacing w:after="0" w:line="276" w:lineRule="auto"/>
        <w:jc w:val="right"/>
        <w:rPr>
          <w:rFonts w:asciiTheme="majorHAnsi" w:eastAsia="Times New Roman" w:hAnsiTheme="majorHAnsi" w:cstheme="majorHAnsi"/>
          <w:noProof/>
          <w:sz w:val="24"/>
          <w:szCs w:val="24"/>
          <w:lang w:val="ro-RO"/>
        </w:rPr>
      </w:pPr>
      <w:r w:rsidRPr="003A5991">
        <w:rPr>
          <w:rFonts w:asciiTheme="majorHAnsi" w:eastAsia="Times New Roman" w:hAnsiTheme="majorHAnsi" w:cstheme="majorHAnsi"/>
          <w:noProof/>
          <w:sz w:val="24"/>
          <w:szCs w:val="24"/>
          <w:lang w:val="ro-RO"/>
        </w:rPr>
        <w:t xml:space="preserve">la Hotărârea Curții de Conturi </w:t>
      </w:r>
    </w:p>
    <w:p w:rsidR="00C65631" w:rsidRPr="003A5991" w:rsidRDefault="00E04FE9" w:rsidP="008A4055">
      <w:pPr>
        <w:spacing w:after="0" w:line="276" w:lineRule="auto"/>
        <w:jc w:val="right"/>
        <w:rPr>
          <w:rFonts w:asciiTheme="majorHAnsi" w:eastAsia="Times New Roman" w:hAnsiTheme="majorHAnsi" w:cstheme="majorHAnsi"/>
          <w:noProof/>
          <w:sz w:val="24"/>
          <w:szCs w:val="24"/>
          <w:lang w:val="ro-RO"/>
        </w:rPr>
      </w:pPr>
      <w:r>
        <w:rPr>
          <w:rFonts w:asciiTheme="majorHAnsi" w:eastAsia="Times New Roman" w:hAnsiTheme="majorHAnsi" w:cstheme="majorHAnsi"/>
          <w:noProof/>
          <w:sz w:val="24"/>
          <w:szCs w:val="24"/>
          <w:lang w:val="ro-RO"/>
        </w:rPr>
        <w:t xml:space="preserve">nr.50 </w:t>
      </w:r>
      <w:bookmarkStart w:id="0" w:name="_GoBack"/>
      <w:bookmarkEnd w:id="0"/>
      <w:r w:rsidR="0063098A">
        <w:rPr>
          <w:rFonts w:asciiTheme="majorHAnsi" w:eastAsia="Times New Roman" w:hAnsiTheme="majorHAnsi" w:cstheme="majorHAnsi"/>
          <w:noProof/>
          <w:sz w:val="24"/>
          <w:szCs w:val="24"/>
          <w:lang w:val="ro-RO"/>
        </w:rPr>
        <w:t>din 23.11.2020</w:t>
      </w:r>
    </w:p>
    <w:p w:rsidR="00C65631" w:rsidRPr="003A5991" w:rsidRDefault="00C65631" w:rsidP="008A4055">
      <w:pPr>
        <w:spacing w:after="0" w:line="276" w:lineRule="auto"/>
        <w:jc w:val="right"/>
        <w:rPr>
          <w:rFonts w:asciiTheme="majorHAnsi" w:eastAsia="Calibri" w:hAnsiTheme="majorHAnsi" w:cstheme="majorHAnsi"/>
          <w:i/>
          <w:noProof/>
          <w:sz w:val="24"/>
          <w:szCs w:val="24"/>
          <w:lang w:val="ro-RO"/>
        </w:rPr>
      </w:pPr>
    </w:p>
    <w:p w:rsidR="00C65631" w:rsidRPr="003A5991" w:rsidRDefault="00C65631" w:rsidP="008A4055">
      <w:pPr>
        <w:spacing w:after="0" w:line="276" w:lineRule="auto"/>
        <w:jc w:val="center"/>
        <w:rPr>
          <w:rFonts w:asciiTheme="majorHAnsi" w:eastAsia="Calibri" w:hAnsiTheme="majorHAnsi" w:cstheme="majorHAnsi"/>
          <w:i/>
          <w:noProof/>
          <w:sz w:val="24"/>
          <w:szCs w:val="24"/>
          <w:lang w:val="ro-RO"/>
        </w:rPr>
      </w:pPr>
    </w:p>
    <w:p w:rsidR="00C65631" w:rsidRPr="003A5991" w:rsidRDefault="00C65631" w:rsidP="008A4055">
      <w:pPr>
        <w:spacing w:after="0" w:line="276" w:lineRule="auto"/>
        <w:jc w:val="center"/>
        <w:rPr>
          <w:rFonts w:asciiTheme="majorHAnsi" w:eastAsia="Calibri" w:hAnsiTheme="majorHAnsi" w:cstheme="majorHAnsi"/>
          <w:i/>
          <w:noProof/>
          <w:sz w:val="24"/>
          <w:szCs w:val="24"/>
          <w:lang w:val="ro-RO"/>
        </w:rPr>
      </w:pPr>
    </w:p>
    <w:p w:rsidR="00C65631" w:rsidRPr="003A5991" w:rsidRDefault="00C65631" w:rsidP="008A4055">
      <w:pPr>
        <w:spacing w:after="0" w:line="276" w:lineRule="auto"/>
        <w:jc w:val="center"/>
        <w:rPr>
          <w:rFonts w:asciiTheme="majorHAnsi" w:eastAsia="Calibri" w:hAnsiTheme="majorHAnsi" w:cstheme="majorHAnsi"/>
          <w:i/>
          <w:noProof/>
          <w:sz w:val="24"/>
          <w:szCs w:val="24"/>
          <w:lang w:val="ro-RO"/>
        </w:rPr>
      </w:pPr>
    </w:p>
    <w:p w:rsidR="00C65631" w:rsidRPr="003A5991" w:rsidRDefault="00C65631" w:rsidP="008A4055">
      <w:pPr>
        <w:spacing w:after="0" w:line="276" w:lineRule="auto"/>
        <w:jc w:val="center"/>
        <w:rPr>
          <w:rFonts w:asciiTheme="majorHAnsi" w:eastAsia="Calibri" w:hAnsiTheme="majorHAnsi" w:cstheme="majorHAnsi"/>
          <w:i/>
          <w:noProof/>
          <w:sz w:val="24"/>
          <w:szCs w:val="24"/>
          <w:lang w:val="ro-RO"/>
        </w:rPr>
      </w:pPr>
    </w:p>
    <w:p w:rsidR="00C65631" w:rsidRPr="003A5991" w:rsidRDefault="00C65631" w:rsidP="008A4055">
      <w:pPr>
        <w:spacing w:after="0" w:line="276" w:lineRule="auto"/>
        <w:jc w:val="center"/>
        <w:rPr>
          <w:rFonts w:asciiTheme="majorHAnsi" w:eastAsia="Calibri" w:hAnsiTheme="majorHAnsi" w:cstheme="majorHAnsi"/>
          <w:i/>
          <w:noProof/>
          <w:sz w:val="24"/>
          <w:szCs w:val="24"/>
          <w:lang w:val="ro-RO"/>
        </w:rPr>
      </w:pPr>
    </w:p>
    <w:p w:rsidR="00C65631" w:rsidRPr="003A5991" w:rsidRDefault="00C65631" w:rsidP="008A4055">
      <w:pPr>
        <w:spacing w:after="0" w:line="276" w:lineRule="auto"/>
        <w:rPr>
          <w:rFonts w:asciiTheme="majorHAnsi" w:eastAsia="Calibri" w:hAnsiTheme="majorHAnsi" w:cstheme="majorHAnsi"/>
          <w:i/>
          <w:noProof/>
          <w:sz w:val="24"/>
          <w:szCs w:val="24"/>
          <w:lang w:val="ro-RO"/>
        </w:rPr>
      </w:pPr>
    </w:p>
    <w:p w:rsidR="008A4055" w:rsidRPr="003A5991" w:rsidRDefault="004F704E" w:rsidP="004F704E">
      <w:pPr>
        <w:spacing w:after="0" w:line="276" w:lineRule="auto"/>
        <w:jc w:val="center"/>
        <w:rPr>
          <w:rFonts w:asciiTheme="majorHAnsi" w:eastAsia="Calibri" w:hAnsiTheme="majorHAnsi" w:cstheme="majorHAnsi"/>
          <w:i/>
          <w:noProof/>
          <w:sz w:val="24"/>
          <w:szCs w:val="24"/>
          <w:lang w:val="ro-RO"/>
        </w:rPr>
      </w:pPr>
      <w:r>
        <w:rPr>
          <w:rFonts w:asciiTheme="majorHAnsi" w:eastAsia="Calibri" w:hAnsiTheme="majorHAnsi" w:cstheme="majorHAnsi"/>
          <w:i/>
          <w:noProof/>
          <w:sz w:val="24"/>
          <w:szCs w:val="24"/>
          <w:lang w:val="ru-RU" w:eastAsia="ru-RU"/>
        </w:rPr>
        <w:drawing>
          <wp:inline distT="0" distB="0" distL="0" distR="0" wp14:anchorId="58D0C1B6" wp14:editId="5BA44B1E">
            <wp:extent cx="963295" cy="963295"/>
            <wp:effectExtent l="0" t="0" r="825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pic:spPr>
                </pic:pic>
              </a:graphicData>
            </a:graphic>
          </wp:inline>
        </w:drawing>
      </w:r>
    </w:p>
    <w:p w:rsidR="008A4055" w:rsidRPr="003A5991" w:rsidRDefault="008A4055" w:rsidP="004F704E">
      <w:pPr>
        <w:spacing w:after="0" w:line="276" w:lineRule="auto"/>
        <w:jc w:val="center"/>
        <w:rPr>
          <w:rFonts w:asciiTheme="majorHAnsi" w:eastAsia="Calibri" w:hAnsiTheme="majorHAnsi" w:cstheme="majorHAnsi"/>
          <w:b/>
          <w:noProof/>
          <w:sz w:val="24"/>
          <w:szCs w:val="24"/>
          <w:lang w:val="ro-RO"/>
        </w:rPr>
      </w:pPr>
    </w:p>
    <w:p w:rsidR="00C65631" w:rsidRPr="003A5991" w:rsidRDefault="00C65631" w:rsidP="008A4055">
      <w:pPr>
        <w:spacing w:after="0" w:line="276" w:lineRule="auto"/>
        <w:jc w:val="center"/>
        <w:rPr>
          <w:rFonts w:asciiTheme="majorHAnsi" w:eastAsia="Calibri" w:hAnsiTheme="majorHAnsi" w:cstheme="majorHAnsi"/>
          <w:b/>
          <w:noProof/>
          <w:sz w:val="32"/>
          <w:szCs w:val="32"/>
          <w:lang w:val="ro-RO"/>
        </w:rPr>
      </w:pPr>
      <w:r w:rsidRPr="003A5991">
        <w:rPr>
          <w:rFonts w:asciiTheme="majorHAnsi" w:eastAsia="Calibri" w:hAnsiTheme="majorHAnsi" w:cstheme="majorHAnsi"/>
          <w:b/>
          <w:noProof/>
          <w:sz w:val="32"/>
          <w:szCs w:val="32"/>
          <w:lang w:val="ro-RO"/>
        </w:rPr>
        <w:t>CURTEA DE CONTURI A REPUBLICII MOLDOVA</w:t>
      </w:r>
    </w:p>
    <w:p w:rsidR="00C65631" w:rsidRPr="003A5991" w:rsidRDefault="00C65631" w:rsidP="008A4055">
      <w:pPr>
        <w:spacing w:after="0" w:line="276" w:lineRule="auto"/>
        <w:rPr>
          <w:rFonts w:asciiTheme="majorHAnsi" w:eastAsia="Calibri" w:hAnsiTheme="majorHAnsi" w:cstheme="majorHAnsi"/>
          <w:noProof/>
          <w:sz w:val="24"/>
          <w:szCs w:val="24"/>
          <w:lang w:val="ro-RO"/>
        </w:rPr>
      </w:pPr>
    </w:p>
    <w:tbl>
      <w:tblPr>
        <w:tblW w:w="0" w:type="auto"/>
        <w:jc w:val="center"/>
        <w:tblBorders>
          <w:top w:val="thinThickSmallGap" w:sz="12" w:space="0" w:color="auto"/>
          <w:bottom w:val="thickThinSmallGap" w:sz="12" w:space="0" w:color="auto"/>
        </w:tblBorders>
        <w:tblLook w:val="04A0" w:firstRow="1" w:lastRow="0" w:firstColumn="1" w:lastColumn="0" w:noHBand="0" w:noVBand="1"/>
      </w:tblPr>
      <w:tblGrid>
        <w:gridCol w:w="9350"/>
      </w:tblGrid>
      <w:tr w:rsidR="00C65631" w:rsidRPr="00FF4D9F" w:rsidTr="000E4C55">
        <w:trPr>
          <w:trHeight w:val="396"/>
          <w:jc w:val="center"/>
        </w:trPr>
        <w:tc>
          <w:tcPr>
            <w:tcW w:w="9350" w:type="dxa"/>
          </w:tcPr>
          <w:p w:rsidR="00D16E46" w:rsidRPr="00D16E46" w:rsidRDefault="00D16E46" w:rsidP="00D16E46">
            <w:pPr>
              <w:tabs>
                <w:tab w:val="left" w:pos="720"/>
              </w:tabs>
              <w:spacing w:after="0" w:line="276" w:lineRule="auto"/>
              <w:jc w:val="center"/>
              <w:rPr>
                <w:rFonts w:asciiTheme="majorHAnsi" w:eastAsia="Calibri" w:hAnsiTheme="majorHAnsi" w:cstheme="majorHAnsi"/>
                <w:b/>
                <w:bCs/>
                <w:iCs/>
                <w:noProof/>
                <w:sz w:val="20"/>
                <w:szCs w:val="20"/>
                <w:lang w:val="ro-RO"/>
              </w:rPr>
            </w:pPr>
            <w:r w:rsidRPr="00D16E46">
              <w:rPr>
                <w:rFonts w:asciiTheme="majorHAnsi" w:eastAsia="Calibri" w:hAnsiTheme="majorHAnsi" w:cstheme="majorHAnsi"/>
                <w:b/>
                <w:bCs/>
                <w:iCs/>
                <w:noProof/>
                <w:sz w:val="20"/>
                <w:szCs w:val="20"/>
                <w:lang w:val="ro-RO"/>
              </w:rPr>
              <w:t xml:space="preserve">MD-2001, mun. Chișinău, bd. Ștefan cel Mare și Sfânt nr.69, tel. (+373 22) 26 60 02, </w:t>
            </w:r>
          </w:p>
          <w:p w:rsidR="00C65631" w:rsidRPr="003A5991" w:rsidRDefault="00D16E46" w:rsidP="00D16E46">
            <w:pPr>
              <w:tabs>
                <w:tab w:val="left" w:pos="720"/>
              </w:tabs>
              <w:spacing w:after="0" w:line="276" w:lineRule="auto"/>
              <w:jc w:val="center"/>
              <w:rPr>
                <w:rFonts w:asciiTheme="majorHAnsi" w:eastAsia="Calibri" w:hAnsiTheme="majorHAnsi" w:cstheme="majorHAnsi"/>
                <w:noProof/>
                <w:color w:val="1F4E79"/>
                <w:sz w:val="20"/>
                <w:szCs w:val="20"/>
                <w:lang w:val="ro-RO"/>
              </w:rPr>
            </w:pPr>
            <w:r w:rsidRPr="00D16E46">
              <w:rPr>
                <w:rFonts w:asciiTheme="majorHAnsi" w:eastAsia="Calibri" w:hAnsiTheme="majorHAnsi" w:cstheme="majorHAnsi"/>
                <w:b/>
                <w:bCs/>
                <w:iCs/>
                <w:noProof/>
                <w:sz w:val="20"/>
                <w:szCs w:val="20"/>
                <w:lang w:val="ro-RO"/>
              </w:rPr>
              <w:t xml:space="preserve">fax: (+373 22) 26 61 00, web: </w:t>
            </w:r>
            <w:hyperlink r:id="rId9" w:history="1">
              <w:r w:rsidRPr="00D16E46">
                <w:rPr>
                  <w:rStyle w:val="ae"/>
                  <w:rFonts w:asciiTheme="majorHAnsi" w:eastAsia="Calibri" w:hAnsiTheme="majorHAnsi" w:cstheme="majorHAnsi"/>
                  <w:b/>
                  <w:bCs/>
                  <w:iCs/>
                  <w:noProof/>
                  <w:sz w:val="20"/>
                  <w:szCs w:val="20"/>
                  <w:lang w:val="ro-RO"/>
                </w:rPr>
                <w:t>www.ccrm.md</w:t>
              </w:r>
            </w:hyperlink>
            <w:r w:rsidRPr="00D16E46">
              <w:rPr>
                <w:rFonts w:asciiTheme="majorHAnsi" w:eastAsia="Calibri" w:hAnsiTheme="majorHAnsi" w:cstheme="majorHAnsi"/>
                <w:b/>
                <w:bCs/>
                <w:iCs/>
                <w:noProof/>
                <w:sz w:val="20"/>
                <w:szCs w:val="20"/>
                <w:lang w:val="ro-RO"/>
              </w:rPr>
              <w:t xml:space="preserve">, e-mail: </w:t>
            </w:r>
            <w:hyperlink r:id="rId10" w:history="1">
              <w:r w:rsidRPr="00D16E46">
                <w:rPr>
                  <w:rStyle w:val="ae"/>
                  <w:rFonts w:asciiTheme="majorHAnsi" w:eastAsia="Calibri" w:hAnsiTheme="majorHAnsi" w:cstheme="majorHAnsi"/>
                  <w:b/>
                  <w:bCs/>
                  <w:iCs/>
                  <w:noProof/>
                  <w:sz w:val="20"/>
                  <w:szCs w:val="20"/>
                  <w:lang w:val="ro-RO"/>
                </w:rPr>
                <w:t>ccrm@ccrm.md</w:t>
              </w:r>
            </w:hyperlink>
          </w:p>
        </w:tc>
      </w:tr>
    </w:tbl>
    <w:p w:rsidR="00C65631" w:rsidRPr="003A5991" w:rsidRDefault="00C65631" w:rsidP="008A4055">
      <w:pPr>
        <w:spacing w:after="0" w:line="276" w:lineRule="auto"/>
        <w:jc w:val="center"/>
        <w:rPr>
          <w:rFonts w:asciiTheme="majorHAnsi" w:eastAsia="Times New Roman" w:hAnsiTheme="majorHAnsi" w:cstheme="majorHAnsi"/>
          <w:noProof/>
          <w:sz w:val="24"/>
          <w:szCs w:val="24"/>
          <w:lang w:val="ro-RO"/>
        </w:rPr>
      </w:pPr>
    </w:p>
    <w:p w:rsidR="008A4055" w:rsidRPr="003A5991" w:rsidRDefault="008A4055" w:rsidP="008A4055">
      <w:pPr>
        <w:spacing w:after="0" w:line="276" w:lineRule="auto"/>
        <w:jc w:val="center"/>
        <w:rPr>
          <w:rFonts w:asciiTheme="majorHAnsi" w:eastAsia="Times New Roman" w:hAnsiTheme="majorHAnsi" w:cstheme="majorHAnsi"/>
          <w:b/>
          <w:bCs/>
          <w:noProof/>
          <w:sz w:val="24"/>
          <w:szCs w:val="24"/>
          <w:lang w:val="ro-RO"/>
        </w:rPr>
      </w:pPr>
    </w:p>
    <w:p w:rsidR="00C65631" w:rsidRPr="003A5991" w:rsidRDefault="00C65631" w:rsidP="008A4055">
      <w:pPr>
        <w:spacing w:after="0" w:line="276" w:lineRule="auto"/>
        <w:jc w:val="center"/>
        <w:rPr>
          <w:rFonts w:asciiTheme="majorHAnsi" w:eastAsia="Times New Roman" w:hAnsiTheme="majorHAnsi" w:cstheme="majorHAnsi"/>
          <w:b/>
          <w:bCs/>
          <w:noProof/>
          <w:sz w:val="24"/>
          <w:szCs w:val="24"/>
          <w:lang w:val="ro-RO"/>
        </w:rPr>
      </w:pPr>
    </w:p>
    <w:p w:rsidR="008A4055" w:rsidRDefault="008A4055" w:rsidP="008A4055">
      <w:pPr>
        <w:spacing w:after="0" w:line="276" w:lineRule="auto"/>
        <w:jc w:val="center"/>
        <w:rPr>
          <w:rFonts w:asciiTheme="majorHAnsi" w:eastAsia="Times New Roman" w:hAnsiTheme="majorHAnsi" w:cstheme="majorHAnsi"/>
          <w:b/>
          <w:bCs/>
          <w:noProof/>
          <w:sz w:val="24"/>
          <w:szCs w:val="24"/>
          <w:lang w:val="ro-RO"/>
        </w:rPr>
      </w:pPr>
    </w:p>
    <w:p w:rsidR="001415B1" w:rsidRPr="003A5991" w:rsidRDefault="001415B1" w:rsidP="008A4055">
      <w:pPr>
        <w:spacing w:after="0" w:line="276" w:lineRule="auto"/>
        <w:jc w:val="center"/>
        <w:rPr>
          <w:rFonts w:asciiTheme="majorHAnsi" w:eastAsia="Times New Roman" w:hAnsiTheme="majorHAnsi" w:cstheme="majorHAnsi"/>
          <w:b/>
          <w:bCs/>
          <w:noProof/>
          <w:sz w:val="24"/>
          <w:szCs w:val="24"/>
          <w:lang w:val="ro-RO"/>
        </w:rPr>
      </w:pPr>
    </w:p>
    <w:p w:rsidR="00C65631" w:rsidRPr="003A5991" w:rsidRDefault="00C65631" w:rsidP="008A4055">
      <w:pPr>
        <w:spacing w:after="0" w:line="276" w:lineRule="auto"/>
        <w:jc w:val="center"/>
        <w:rPr>
          <w:rFonts w:asciiTheme="majorHAnsi" w:eastAsia="Times New Roman" w:hAnsiTheme="majorHAnsi" w:cstheme="majorHAnsi"/>
          <w:b/>
          <w:bCs/>
          <w:noProof/>
          <w:sz w:val="28"/>
          <w:szCs w:val="28"/>
          <w:lang w:val="ro-RO"/>
        </w:rPr>
      </w:pPr>
      <w:r w:rsidRPr="003A5991">
        <w:rPr>
          <w:rFonts w:asciiTheme="majorHAnsi" w:eastAsia="Times New Roman" w:hAnsiTheme="majorHAnsi" w:cstheme="majorHAnsi"/>
          <w:b/>
          <w:bCs/>
          <w:noProof/>
          <w:sz w:val="28"/>
          <w:szCs w:val="28"/>
          <w:lang w:val="ro-RO"/>
        </w:rPr>
        <w:t>RAPORTUL</w:t>
      </w:r>
    </w:p>
    <w:p w:rsidR="005751AD" w:rsidRPr="003A5991" w:rsidRDefault="00213D74" w:rsidP="001F30E0">
      <w:pPr>
        <w:spacing w:after="0" w:line="276" w:lineRule="auto"/>
        <w:jc w:val="center"/>
        <w:rPr>
          <w:rFonts w:asciiTheme="majorHAnsi" w:eastAsia="Calibri" w:hAnsiTheme="majorHAnsi" w:cstheme="majorHAnsi"/>
          <w:sz w:val="28"/>
          <w:szCs w:val="28"/>
          <w:lang w:val="ro-RO"/>
        </w:rPr>
      </w:pPr>
      <w:r w:rsidRPr="003A5991">
        <w:rPr>
          <w:rFonts w:asciiTheme="majorHAnsi" w:eastAsia="Calibri" w:hAnsiTheme="majorHAnsi" w:cstheme="majorHAnsi"/>
          <w:b/>
          <w:noProof/>
          <w:sz w:val="28"/>
          <w:szCs w:val="28"/>
          <w:lang w:val="ro-RO"/>
        </w:rPr>
        <w:t xml:space="preserve">auditului </w:t>
      </w:r>
      <w:r w:rsidR="001B6EB9">
        <w:rPr>
          <w:rFonts w:asciiTheme="majorHAnsi" w:eastAsia="Calibri" w:hAnsiTheme="majorHAnsi" w:cstheme="majorHAnsi"/>
          <w:b/>
          <w:noProof/>
          <w:sz w:val="28"/>
          <w:szCs w:val="28"/>
          <w:lang w:val="ro-RO"/>
        </w:rPr>
        <w:t xml:space="preserve">asupra </w:t>
      </w:r>
      <w:r w:rsidRPr="003A5991">
        <w:rPr>
          <w:rFonts w:asciiTheme="majorHAnsi" w:eastAsia="Calibri" w:hAnsiTheme="majorHAnsi" w:cstheme="majorHAnsi"/>
          <w:b/>
          <w:noProof/>
          <w:sz w:val="28"/>
          <w:szCs w:val="28"/>
          <w:lang w:val="ro-RO"/>
        </w:rPr>
        <w:t xml:space="preserve">rapoartelor </w:t>
      </w:r>
      <w:r w:rsidR="00C65631" w:rsidRPr="003A5991">
        <w:rPr>
          <w:rFonts w:asciiTheme="majorHAnsi" w:eastAsia="Calibri" w:hAnsiTheme="majorHAnsi" w:cstheme="majorHAnsi"/>
          <w:b/>
          <w:noProof/>
          <w:sz w:val="28"/>
          <w:szCs w:val="28"/>
          <w:lang w:val="ro-RO"/>
        </w:rPr>
        <w:t xml:space="preserve">financiare </w:t>
      </w:r>
      <w:r w:rsidR="001F30E0" w:rsidRPr="001F30E0">
        <w:rPr>
          <w:rFonts w:asciiTheme="majorHAnsi" w:eastAsia="Calibri" w:hAnsiTheme="majorHAnsi" w:cstheme="majorHAnsi"/>
          <w:b/>
          <w:noProof/>
          <w:sz w:val="28"/>
          <w:szCs w:val="28"/>
          <w:lang w:val="ro-RO"/>
        </w:rPr>
        <w:t>ale unității admin</w:t>
      </w:r>
      <w:r w:rsidR="001F30E0">
        <w:rPr>
          <w:rFonts w:asciiTheme="majorHAnsi" w:eastAsia="Calibri" w:hAnsiTheme="majorHAnsi" w:cstheme="majorHAnsi"/>
          <w:b/>
          <w:noProof/>
          <w:sz w:val="28"/>
          <w:szCs w:val="28"/>
          <w:lang w:val="ro-RO"/>
        </w:rPr>
        <w:t>istrativ</w:t>
      </w:r>
      <w:r w:rsidR="0063622F">
        <w:rPr>
          <w:rFonts w:asciiTheme="majorHAnsi" w:eastAsia="Calibri" w:hAnsiTheme="majorHAnsi" w:cstheme="majorHAnsi"/>
          <w:b/>
          <w:noProof/>
          <w:sz w:val="28"/>
          <w:szCs w:val="28"/>
          <w:lang w:val="ro-RO"/>
        </w:rPr>
        <w:t>-</w:t>
      </w:r>
      <w:r w:rsidR="001F30E0">
        <w:rPr>
          <w:rFonts w:asciiTheme="majorHAnsi" w:eastAsia="Calibri" w:hAnsiTheme="majorHAnsi" w:cstheme="majorHAnsi"/>
          <w:b/>
          <w:noProof/>
          <w:sz w:val="28"/>
          <w:szCs w:val="28"/>
          <w:lang w:val="ro-RO"/>
        </w:rPr>
        <w:t>teritoriale or.</w:t>
      </w:r>
      <w:r w:rsidR="00D70DA5">
        <w:rPr>
          <w:rFonts w:asciiTheme="majorHAnsi" w:eastAsia="Calibri" w:hAnsiTheme="majorHAnsi" w:cstheme="majorHAnsi"/>
          <w:b/>
          <w:noProof/>
          <w:sz w:val="28"/>
          <w:szCs w:val="28"/>
          <w:lang w:val="ro-RO"/>
        </w:rPr>
        <w:t xml:space="preserve"> </w:t>
      </w:r>
      <w:r w:rsidR="001F30E0">
        <w:rPr>
          <w:rFonts w:asciiTheme="majorHAnsi" w:eastAsia="Calibri" w:hAnsiTheme="majorHAnsi" w:cstheme="majorHAnsi"/>
          <w:b/>
          <w:noProof/>
          <w:sz w:val="28"/>
          <w:szCs w:val="28"/>
          <w:lang w:val="ro-RO"/>
        </w:rPr>
        <w:t>Fălești</w:t>
      </w:r>
      <w:r w:rsidR="001F30E0" w:rsidRPr="001F30E0">
        <w:rPr>
          <w:rFonts w:asciiTheme="majorHAnsi" w:eastAsia="Calibri" w:hAnsiTheme="majorHAnsi" w:cstheme="majorHAnsi"/>
          <w:b/>
          <w:noProof/>
          <w:sz w:val="28"/>
          <w:szCs w:val="28"/>
          <w:lang w:val="ro-RO"/>
        </w:rPr>
        <w:t xml:space="preserve"> încheiate la 31.12.2019</w:t>
      </w:r>
    </w:p>
    <w:p w:rsidR="005751AD" w:rsidRPr="003A5991" w:rsidRDefault="005751AD" w:rsidP="005751AD">
      <w:pPr>
        <w:rPr>
          <w:rFonts w:asciiTheme="majorHAnsi" w:eastAsia="Calibri" w:hAnsiTheme="majorHAnsi" w:cstheme="majorHAnsi"/>
          <w:sz w:val="28"/>
          <w:szCs w:val="28"/>
          <w:lang w:val="ro-RO"/>
        </w:rPr>
      </w:pPr>
    </w:p>
    <w:p w:rsidR="005751AD" w:rsidRPr="003A5991" w:rsidRDefault="005751AD" w:rsidP="005751AD">
      <w:pPr>
        <w:rPr>
          <w:rFonts w:asciiTheme="majorHAnsi" w:eastAsia="Calibri" w:hAnsiTheme="majorHAnsi" w:cstheme="majorHAnsi"/>
          <w:sz w:val="28"/>
          <w:szCs w:val="28"/>
          <w:lang w:val="ro-RO"/>
        </w:rPr>
      </w:pPr>
    </w:p>
    <w:p w:rsidR="005751AD" w:rsidRPr="003A5991" w:rsidRDefault="005751AD" w:rsidP="005751AD">
      <w:pPr>
        <w:rPr>
          <w:rFonts w:asciiTheme="majorHAnsi" w:eastAsia="Calibri" w:hAnsiTheme="majorHAnsi" w:cstheme="majorHAnsi"/>
          <w:sz w:val="28"/>
          <w:szCs w:val="28"/>
          <w:lang w:val="ro-RO"/>
        </w:rPr>
      </w:pPr>
    </w:p>
    <w:p w:rsidR="005751AD" w:rsidRPr="003A5991" w:rsidRDefault="005751AD" w:rsidP="005751AD">
      <w:pPr>
        <w:rPr>
          <w:rFonts w:asciiTheme="majorHAnsi" w:eastAsia="Calibri" w:hAnsiTheme="majorHAnsi" w:cstheme="majorHAnsi"/>
          <w:sz w:val="28"/>
          <w:szCs w:val="28"/>
          <w:lang w:val="ro-RO"/>
        </w:rPr>
      </w:pPr>
    </w:p>
    <w:p w:rsidR="005751AD" w:rsidRPr="003A5991" w:rsidRDefault="005751AD" w:rsidP="005751AD">
      <w:pPr>
        <w:rPr>
          <w:rFonts w:asciiTheme="majorHAnsi" w:eastAsia="Calibri" w:hAnsiTheme="majorHAnsi" w:cstheme="majorHAnsi"/>
          <w:sz w:val="28"/>
          <w:szCs w:val="28"/>
          <w:lang w:val="ro-RO"/>
        </w:rPr>
      </w:pPr>
    </w:p>
    <w:p w:rsidR="005751AD" w:rsidRPr="003A5991" w:rsidRDefault="005751AD" w:rsidP="005751AD">
      <w:pPr>
        <w:rPr>
          <w:rFonts w:asciiTheme="majorHAnsi" w:eastAsia="Calibri" w:hAnsiTheme="majorHAnsi" w:cstheme="majorHAnsi"/>
          <w:sz w:val="28"/>
          <w:szCs w:val="28"/>
          <w:lang w:val="ro-RO"/>
        </w:rPr>
      </w:pPr>
    </w:p>
    <w:p w:rsidR="005751AD" w:rsidRPr="003A5991" w:rsidRDefault="005751AD" w:rsidP="005751AD">
      <w:pPr>
        <w:rPr>
          <w:rFonts w:asciiTheme="majorHAnsi" w:eastAsia="Calibri" w:hAnsiTheme="majorHAnsi" w:cstheme="majorHAnsi"/>
          <w:sz w:val="28"/>
          <w:szCs w:val="28"/>
          <w:lang w:val="ro-RO"/>
        </w:rPr>
      </w:pPr>
    </w:p>
    <w:p w:rsidR="00C65631" w:rsidRPr="003A5991" w:rsidRDefault="00C65631" w:rsidP="005751AD">
      <w:pPr>
        <w:rPr>
          <w:rFonts w:asciiTheme="majorHAnsi" w:eastAsia="Calibri" w:hAnsiTheme="majorHAnsi" w:cstheme="majorHAnsi"/>
          <w:sz w:val="28"/>
          <w:szCs w:val="28"/>
          <w:lang w:val="ro-RO"/>
        </w:rPr>
        <w:sectPr w:rsidR="00C65631" w:rsidRPr="003A5991" w:rsidSect="00244062">
          <w:footerReference w:type="default" r:id="rId11"/>
          <w:pgSz w:w="11906" w:h="16838" w:code="9"/>
          <w:pgMar w:top="709" w:right="849" w:bottom="851" w:left="1134" w:header="720" w:footer="720" w:gutter="0"/>
          <w:cols w:space="708"/>
          <w:noEndnote/>
          <w:docGrid w:linePitch="326"/>
        </w:sectPr>
      </w:pPr>
    </w:p>
    <w:p w:rsidR="00081026" w:rsidRPr="003A5991" w:rsidRDefault="00081026" w:rsidP="0025375F">
      <w:pPr>
        <w:pStyle w:val="ab"/>
        <w:numPr>
          <w:ilvl w:val="0"/>
          <w:numId w:val="13"/>
        </w:numPr>
        <w:tabs>
          <w:tab w:val="left" w:pos="0"/>
          <w:tab w:val="left" w:pos="284"/>
        </w:tabs>
        <w:spacing w:before="120" w:after="0" w:line="276" w:lineRule="auto"/>
        <w:ind w:left="0" w:firstLine="0"/>
        <w:jc w:val="center"/>
        <w:outlineLvl w:val="0"/>
        <w:rPr>
          <w:rFonts w:asciiTheme="majorHAnsi" w:eastAsia="Calibri" w:hAnsiTheme="majorHAnsi" w:cstheme="majorHAnsi"/>
          <w:b/>
          <w:sz w:val="28"/>
          <w:szCs w:val="28"/>
          <w:lang w:val="ro-RO"/>
        </w:rPr>
      </w:pPr>
      <w:bookmarkStart w:id="1" w:name="_Toc529533665"/>
      <w:r w:rsidRPr="003A5991">
        <w:rPr>
          <w:rFonts w:asciiTheme="majorHAnsi" w:eastAsia="Calibri" w:hAnsiTheme="majorHAnsi" w:cstheme="majorHAnsi"/>
          <w:b/>
          <w:sz w:val="28"/>
          <w:szCs w:val="28"/>
          <w:lang w:val="ro-RO"/>
        </w:rPr>
        <w:lastRenderedPageBreak/>
        <w:t>OPINIE CONTRARĂ</w:t>
      </w:r>
      <w:bookmarkEnd w:id="1"/>
    </w:p>
    <w:p w:rsidR="00081026" w:rsidRPr="003A5991" w:rsidRDefault="00081026" w:rsidP="00060DE1">
      <w:pPr>
        <w:tabs>
          <w:tab w:val="left" w:pos="709"/>
        </w:tabs>
        <w:spacing w:after="0" w:line="276" w:lineRule="auto"/>
        <w:ind w:firstLine="709"/>
        <w:jc w:val="both"/>
        <w:rPr>
          <w:rFonts w:asciiTheme="majorHAnsi" w:eastAsia="Times New Roman" w:hAnsiTheme="majorHAnsi" w:cstheme="majorHAnsi"/>
          <w:sz w:val="24"/>
          <w:szCs w:val="24"/>
          <w:lang w:val="ro-RO"/>
        </w:rPr>
      </w:pPr>
      <w:r w:rsidRPr="003A5991">
        <w:rPr>
          <w:rFonts w:asciiTheme="majorHAnsi" w:eastAsia="Times New Roman" w:hAnsiTheme="majorHAnsi" w:cstheme="majorHAnsi"/>
          <w:sz w:val="24"/>
          <w:szCs w:val="24"/>
          <w:lang w:val="ro-RO"/>
        </w:rPr>
        <w:t xml:space="preserve">Am auditat </w:t>
      </w:r>
      <w:r w:rsidR="00B02012" w:rsidRPr="003A5991">
        <w:rPr>
          <w:rFonts w:asciiTheme="majorHAnsi" w:eastAsia="Times New Roman" w:hAnsiTheme="majorHAnsi" w:cstheme="majorHAnsi"/>
          <w:sz w:val="24"/>
          <w:szCs w:val="24"/>
          <w:lang w:val="ro-RO"/>
        </w:rPr>
        <w:t>rapoartele</w:t>
      </w:r>
      <w:r w:rsidRPr="003A5991">
        <w:rPr>
          <w:rFonts w:asciiTheme="majorHAnsi" w:eastAsia="Times New Roman" w:hAnsiTheme="majorHAnsi" w:cstheme="majorHAnsi"/>
          <w:sz w:val="24"/>
          <w:szCs w:val="24"/>
          <w:lang w:val="ro-RO"/>
        </w:rPr>
        <w:t xml:space="preserve"> financiare</w:t>
      </w:r>
      <w:r w:rsidR="00B02012" w:rsidRPr="003A5991">
        <w:rPr>
          <w:rFonts w:asciiTheme="majorHAnsi" w:eastAsia="Times New Roman" w:hAnsiTheme="majorHAnsi" w:cstheme="majorHAnsi"/>
          <w:sz w:val="24"/>
          <w:szCs w:val="24"/>
          <w:vertAlign w:val="superscript"/>
          <w:lang w:val="ro-RO"/>
        </w:rPr>
        <w:footnoteReference w:id="1"/>
      </w:r>
      <w:r w:rsidRPr="003A5991">
        <w:rPr>
          <w:rFonts w:asciiTheme="majorHAnsi" w:eastAsia="Times New Roman" w:hAnsiTheme="majorHAnsi" w:cstheme="majorHAnsi"/>
          <w:sz w:val="24"/>
          <w:szCs w:val="24"/>
          <w:lang w:val="ro-RO"/>
        </w:rPr>
        <w:t xml:space="preserve"> ale </w:t>
      </w:r>
      <w:r w:rsidR="00AB3567">
        <w:rPr>
          <w:rFonts w:asciiTheme="majorHAnsi" w:eastAsia="Times New Roman" w:hAnsiTheme="majorHAnsi" w:cstheme="majorHAnsi"/>
          <w:sz w:val="24"/>
          <w:szCs w:val="24"/>
          <w:lang w:val="ro-RO"/>
        </w:rPr>
        <w:t>UAT or.</w:t>
      </w:r>
      <w:r w:rsidR="00E86629">
        <w:rPr>
          <w:rFonts w:asciiTheme="majorHAnsi" w:eastAsia="Times New Roman" w:hAnsiTheme="majorHAnsi" w:cstheme="majorHAnsi"/>
          <w:sz w:val="24"/>
          <w:szCs w:val="24"/>
          <w:lang w:val="ro-RO"/>
        </w:rPr>
        <w:t xml:space="preserve"> Fălești</w:t>
      </w:r>
      <w:r w:rsidRPr="003A5991">
        <w:rPr>
          <w:rFonts w:asciiTheme="majorHAnsi" w:eastAsia="Times New Roman" w:hAnsiTheme="majorHAnsi" w:cstheme="majorHAnsi"/>
          <w:sz w:val="24"/>
          <w:szCs w:val="24"/>
          <w:lang w:val="ro-RO"/>
        </w:rPr>
        <w:t xml:space="preserve"> </w:t>
      </w:r>
      <w:r w:rsidR="00AB3567" w:rsidRPr="00AB3567">
        <w:rPr>
          <w:rFonts w:asciiTheme="majorHAnsi" w:eastAsia="Times New Roman" w:hAnsiTheme="majorHAnsi" w:cstheme="majorHAnsi"/>
          <w:sz w:val="24"/>
          <w:szCs w:val="24"/>
          <w:lang w:val="ro-MD"/>
        </w:rPr>
        <w:t>pentru exercițiul încheiat la 31 decembrie 2019, c</w:t>
      </w:r>
      <w:r w:rsidR="003356FA">
        <w:rPr>
          <w:rFonts w:asciiTheme="majorHAnsi" w:eastAsia="Times New Roman" w:hAnsiTheme="majorHAnsi" w:cstheme="majorHAnsi"/>
          <w:sz w:val="24"/>
          <w:szCs w:val="24"/>
          <w:lang w:val="ro-MD"/>
        </w:rPr>
        <w:t>ar</w:t>
      </w:r>
      <w:r w:rsidR="00AB3567" w:rsidRPr="00AB3567">
        <w:rPr>
          <w:rFonts w:asciiTheme="majorHAnsi" w:eastAsia="Times New Roman" w:hAnsiTheme="majorHAnsi" w:cstheme="majorHAnsi"/>
          <w:sz w:val="24"/>
          <w:szCs w:val="24"/>
          <w:lang w:val="ro-MD"/>
        </w:rPr>
        <w:t>e cuprind Bilanțul contabil, Raportul privind veniturile și cheltuielile, Raportul privind fluxul mijloacelor bănești, Raportul privind executarea bugetului, Raportul narativ privind executarea bugetului, inclusiv un sumar al politicilor contabile semnificative</w:t>
      </w:r>
      <w:r w:rsidR="00AB3567" w:rsidRPr="005305CF">
        <w:rPr>
          <w:rFonts w:asciiTheme="majorHAnsi" w:eastAsia="Times New Roman" w:hAnsiTheme="majorHAnsi" w:cstheme="majorHAnsi"/>
          <w:sz w:val="24"/>
          <w:szCs w:val="24"/>
          <w:lang w:val="ro-MD"/>
        </w:rPr>
        <w:t xml:space="preserve">. </w:t>
      </w:r>
      <w:r w:rsidR="00433E6E" w:rsidRPr="00702A60">
        <w:rPr>
          <w:rFonts w:asciiTheme="majorHAnsi" w:eastAsia="Times New Roman" w:hAnsiTheme="majorHAnsi" w:cstheme="majorHAnsi"/>
          <w:sz w:val="24"/>
          <w:szCs w:val="24"/>
          <w:lang w:val="ro-MD"/>
        </w:rPr>
        <w:t xml:space="preserve">În opinia noastră, ținând cont de semnificația aspectelor descrise în secțiunea </w:t>
      </w:r>
      <w:r w:rsidR="00433E6E" w:rsidRPr="00702A60">
        <w:rPr>
          <w:rFonts w:asciiTheme="majorHAnsi" w:eastAsia="Times New Roman" w:hAnsiTheme="majorHAnsi" w:cstheme="majorHAnsi"/>
          <w:i/>
          <w:sz w:val="24"/>
          <w:szCs w:val="24"/>
          <w:lang w:val="ro-MD"/>
        </w:rPr>
        <w:t>Baza pentru opinia contrară</w:t>
      </w:r>
      <w:r w:rsidR="00433E6E" w:rsidRPr="00702A60">
        <w:rPr>
          <w:rFonts w:asciiTheme="majorHAnsi" w:eastAsia="Times New Roman" w:hAnsiTheme="majorHAnsi" w:cstheme="majorHAnsi"/>
          <w:sz w:val="24"/>
          <w:szCs w:val="24"/>
          <w:lang w:val="ro-MD"/>
        </w:rPr>
        <w:t xml:space="preserve"> și de caracterul pervaziv al </w:t>
      </w:r>
      <w:r w:rsidR="005305CF" w:rsidRPr="00702A60">
        <w:rPr>
          <w:rFonts w:asciiTheme="majorHAnsi" w:eastAsia="Times New Roman" w:hAnsiTheme="majorHAnsi" w:cstheme="majorHAnsi"/>
          <w:sz w:val="24"/>
          <w:szCs w:val="24"/>
          <w:lang w:val="ro-MD"/>
        </w:rPr>
        <w:t>deficiențelor identificate</w:t>
      </w:r>
      <w:r w:rsidR="00433E6E" w:rsidRPr="00702A60">
        <w:rPr>
          <w:rFonts w:asciiTheme="majorHAnsi" w:eastAsia="Times New Roman" w:hAnsiTheme="majorHAnsi" w:cstheme="majorHAnsi"/>
          <w:sz w:val="24"/>
          <w:szCs w:val="24"/>
          <w:lang w:val="ro-MD"/>
        </w:rPr>
        <w:t xml:space="preserve">, </w:t>
      </w:r>
      <w:r w:rsidR="00AB3567" w:rsidRPr="00702A60">
        <w:rPr>
          <w:rFonts w:asciiTheme="majorHAnsi" w:eastAsia="Times New Roman" w:hAnsiTheme="majorHAnsi" w:cstheme="majorHAnsi"/>
          <w:sz w:val="24"/>
          <w:szCs w:val="24"/>
          <w:lang w:val="ro-MD"/>
        </w:rPr>
        <w:t xml:space="preserve">rapoartele financiare </w:t>
      </w:r>
      <w:r w:rsidR="00AB3567" w:rsidRPr="00702A60">
        <w:rPr>
          <w:rFonts w:asciiTheme="majorHAnsi" w:eastAsia="Times New Roman" w:hAnsiTheme="majorHAnsi" w:cstheme="majorHAnsi"/>
          <w:b/>
          <w:i/>
          <w:sz w:val="24"/>
          <w:szCs w:val="24"/>
          <w:lang w:val="ro-MD"/>
        </w:rPr>
        <w:t>nu prezintă o</w:t>
      </w:r>
      <w:r w:rsidR="00AB3567" w:rsidRPr="00AB3567">
        <w:rPr>
          <w:rFonts w:asciiTheme="majorHAnsi" w:eastAsia="Times New Roman" w:hAnsiTheme="majorHAnsi" w:cstheme="majorHAnsi"/>
          <w:b/>
          <w:i/>
          <w:sz w:val="24"/>
          <w:szCs w:val="24"/>
          <w:lang w:val="ro-MD"/>
        </w:rPr>
        <w:t xml:space="preserve"> imagine corectă și fidelă</w:t>
      </w:r>
      <w:r w:rsidR="00AB3567" w:rsidRPr="00AB3567">
        <w:rPr>
          <w:rFonts w:asciiTheme="majorHAnsi" w:eastAsia="Times New Roman" w:hAnsiTheme="majorHAnsi" w:cstheme="majorHAnsi"/>
          <w:sz w:val="24"/>
          <w:szCs w:val="24"/>
          <w:lang w:val="ro-MD"/>
        </w:rPr>
        <w:t xml:space="preserve"> în conformitate cu cadrul de raportare financiară aplicabil</w:t>
      </w:r>
      <w:r w:rsidR="00AB3567" w:rsidRPr="00AB3567">
        <w:rPr>
          <w:rFonts w:asciiTheme="majorHAnsi" w:eastAsia="Times New Roman" w:hAnsiTheme="majorHAnsi" w:cstheme="majorHAnsi"/>
          <w:sz w:val="24"/>
          <w:szCs w:val="24"/>
          <w:vertAlign w:val="superscript"/>
          <w:lang w:val="ro-MD"/>
        </w:rPr>
        <w:footnoteReference w:id="2"/>
      </w:r>
      <w:r w:rsidR="00AB3567" w:rsidRPr="00AB3567">
        <w:rPr>
          <w:rFonts w:asciiTheme="majorHAnsi" w:eastAsia="Times New Roman" w:hAnsiTheme="majorHAnsi" w:cstheme="majorHAnsi"/>
          <w:sz w:val="24"/>
          <w:szCs w:val="24"/>
          <w:lang w:val="ro-MD"/>
        </w:rPr>
        <w:t>.</w:t>
      </w:r>
    </w:p>
    <w:p w:rsidR="009C18CE" w:rsidRPr="003A5991" w:rsidRDefault="009C18CE" w:rsidP="007B5CAD">
      <w:pPr>
        <w:keepNext/>
        <w:keepLines/>
        <w:numPr>
          <w:ilvl w:val="0"/>
          <w:numId w:val="3"/>
        </w:numPr>
        <w:tabs>
          <w:tab w:val="left" w:pos="284"/>
        </w:tabs>
        <w:spacing w:before="120" w:after="0" w:line="276" w:lineRule="auto"/>
        <w:ind w:left="0" w:firstLine="0"/>
        <w:jc w:val="center"/>
        <w:outlineLvl w:val="0"/>
        <w:rPr>
          <w:rFonts w:asciiTheme="majorHAnsi" w:eastAsia="Times New Roman" w:hAnsiTheme="majorHAnsi" w:cstheme="majorHAnsi"/>
          <w:b/>
          <w:color w:val="000000"/>
          <w:sz w:val="28"/>
          <w:szCs w:val="28"/>
          <w:lang w:val="ro-RO"/>
        </w:rPr>
      </w:pPr>
      <w:bookmarkStart w:id="2" w:name="_Toc529533666"/>
      <w:r w:rsidRPr="003A5991">
        <w:rPr>
          <w:rFonts w:asciiTheme="majorHAnsi" w:eastAsia="Times New Roman" w:hAnsiTheme="majorHAnsi" w:cstheme="majorHAnsi"/>
          <w:b/>
          <w:color w:val="000000"/>
          <w:sz w:val="28"/>
          <w:szCs w:val="28"/>
          <w:lang w:val="ro-RO"/>
        </w:rPr>
        <w:t>BAZA PENTRU OPINIA CONTRARĂ</w:t>
      </w:r>
      <w:bookmarkEnd w:id="2"/>
    </w:p>
    <w:p w:rsidR="00672305" w:rsidRPr="00B1061C" w:rsidRDefault="00B81000" w:rsidP="00D94C41">
      <w:pPr>
        <w:widowControl w:val="0"/>
        <w:numPr>
          <w:ilvl w:val="1"/>
          <w:numId w:val="20"/>
        </w:numPr>
        <w:shd w:val="clear" w:color="auto" w:fill="FFFFFF"/>
        <w:tabs>
          <w:tab w:val="left" w:pos="0"/>
          <w:tab w:val="left" w:pos="709"/>
          <w:tab w:val="left" w:pos="851"/>
          <w:tab w:val="left" w:pos="1134"/>
        </w:tabs>
        <w:spacing w:after="0" w:line="276" w:lineRule="auto"/>
        <w:ind w:left="0" w:firstLine="709"/>
        <w:jc w:val="both"/>
        <w:rPr>
          <w:rFonts w:asciiTheme="majorHAnsi" w:eastAsia="Times New Roman" w:hAnsiTheme="majorHAnsi" w:cstheme="majorHAnsi"/>
          <w:sz w:val="24"/>
          <w:szCs w:val="24"/>
          <w:lang w:val="ro-MD"/>
        </w:rPr>
      </w:pPr>
      <w:r w:rsidRPr="00B1061C">
        <w:rPr>
          <w:rFonts w:asciiTheme="majorHAnsi" w:eastAsia="Times New Roman" w:hAnsiTheme="majorHAnsi" w:cstheme="majorHAnsi"/>
          <w:sz w:val="24"/>
          <w:szCs w:val="24"/>
          <w:lang w:val="ro-RO"/>
        </w:rPr>
        <w:t>Subevaluarea</w:t>
      </w:r>
      <w:r w:rsidR="0063098A" w:rsidRPr="00B1061C">
        <w:rPr>
          <w:rFonts w:asciiTheme="majorHAnsi" w:eastAsia="Times New Roman" w:hAnsiTheme="majorHAnsi" w:cstheme="majorHAnsi"/>
          <w:sz w:val="24"/>
          <w:szCs w:val="24"/>
          <w:lang w:val="ro-MD"/>
        </w:rPr>
        <w:t xml:space="preserve"> </w:t>
      </w:r>
      <w:r w:rsidR="00C16CD2" w:rsidRPr="00B1061C">
        <w:rPr>
          <w:rFonts w:asciiTheme="majorHAnsi" w:eastAsia="Times New Roman" w:hAnsiTheme="majorHAnsi" w:cstheme="majorHAnsi"/>
          <w:sz w:val="24"/>
          <w:szCs w:val="24"/>
          <w:lang w:val="ro-MD"/>
        </w:rPr>
        <w:t xml:space="preserve">valorii </w:t>
      </w:r>
      <w:r w:rsidR="0063098A" w:rsidRPr="00B1061C">
        <w:rPr>
          <w:rFonts w:asciiTheme="majorHAnsi" w:eastAsia="Times New Roman" w:hAnsiTheme="majorHAnsi" w:cstheme="majorHAnsi"/>
          <w:sz w:val="24"/>
          <w:szCs w:val="24"/>
          <w:lang w:val="ro-MD"/>
        </w:rPr>
        <w:t>contului 371 „Terenuri”</w:t>
      </w:r>
      <w:r w:rsidR="0063098A" w:rsidRPr="00B1061C">
        <w:rPr>
          <w:rFonts w:asciiTheme="majorHAnsi" w:eastAsia="Times New Roman" w:hAnsiTheme="majorHAnsi" w:cstheme="majorHAnsi"/>
          <w:bCs/>
          <w:sz w:val="24"/>
          <w:szCs w:val="24"/>
          <w:lang w:val="ro-MD"/>
        </w:rPr>
        <w:t xml:space="preserve"> cu suma de </w:t>
      </w:r>
      <w:r w:rsidR="0063098A" w:rsidRPr="00B1061C">
        <w:rPr>
          <w:rFonts w:asciiTheme="majorHAnsi" w:eastAsia="Times New Roman" w:hAnsiTheme="majorHAnsi" w:cstheme="majorHAnsi"/>
          <w:bCs/>
          <w:sz w:val="24"/>
          <w:szCs w:val="24"/>
          <w:lang w:val="ro-RO"/>
        </w:rPr>
        <w:t>353123,7</w:t>
      </w:r>
      <w:r w:rsidR="0063098A" w:rsidRPr="00B1061C">
        <w:rPr>
          <w:rFonts w:asciiTheme="majorHAnsi" w:eastAsia="Times New Roman" w:hAnsiTheme="majorHAnsi" w:cstheme="majorHAnsi"/>
          <w:bCs/>
          <w:sz w:val="24"/>
          <w:szCs w:val="24"/>
          <w:lang w:val="ro-MD"/>
        </w:rPr>
        <w:t xml:space="preserve"> mii lei,</w:t>
      </w:r>
      <w:r w:rsidR="0063098A" w:rsidRPr="00B1061C">
        <w:rPr>
          <w:rFonts w:asciiTheme="majorHAnsi" w:eastAsia="Times New Roman" w:hAnsiTheme="majorHAnsi" w:cstheme="majorHAnsi"/>
          <w:sz w:val="24"/>
          <w:szCs w:val="24"/>
          <w:lang w:val="ro-RO"/>
        </w:rPr>
        <w:t xml:space="preserve"> inclusiv</w:t>
      </w:r>
      <w:r w:rsidR="0063098A" w:rsidRPr="00B1061C">
        <w:rPr>
          <w:rFonts w:asciiTheme="majorHAnsi" w:eastAsia="Times New Roman" w:hAnsiTheme="majorHAnsi" w:cstheme="majorHAnsi"/>
          <w:sz w:val="24"/>
          <w:szCs w:val="24"/>
          <w:lang w:val="ro-MD"/>
        </w:rPr>
        <w:t>:</w:t>
      </w:r>
      <w:r w:rsidR="00797780" w:rsidRPr="00B1061C">
        <w:rPr>
          <w:rFonts w:asciiTheme="majorHAnsi" w:eastAsia="Times New Roman" w:hAnsiTheme="majorHAnsi" w:cstheme="majorHAnsi"/>
          <w:sz w:val="24"/>
          <w:szCs w:val="24"/>
          <w:lang w:val="ro-RO"/>
        </w:rPr>
        <w:t xml:space="preserve"> </w:t>
      </w:r>
      <w:r w:rsidR="0063098A" w:rsidRPr="00B1061C">
        <w:rPr>
          <w:rFonts w:asciiTheme="majorHAnsi" w:eastAsia="Times New Roman" w:hAnsiTheme="majorHAnsi" w:cstheme="majorHAnsi"/>
          <w:bCs/>
          <w:sz w:val="24"/>
          <w:szCs w:val="24"/>
          <w:lang w:val="ro-RO"/>
        </w:rPr>
        <w:t>358762,0</w:t>
      </w:r>
      <w:r w:rsidR="00797780" w:rsidRPr="00B1061C">
        <w:rPr>
          <w:rFonts w:asciiTheme="majorHAnsi" w:eastAsia="Times New Roman" w:hAnsiTheme="majorHAnsi" w:cstheme="majorHAnsi"/>
          <w:bCs/>
          <w:sz w:val="24"/>
          <w:szCs w:val="24"/>
          <w:lang w:val="ro-MD"/>
        </w:rPr>
        <w:t xml:space="preserve"> mii lei</w:t>
      </w:r>
      <w:r w:rsidR="0063098A" w:rsidRPr="00B1061C">
        <w:rPr>
          <w:rFonts w:asciiTheme="majorHAnsi" w:eastAsia="Times New Roman" w:hAnsiTheme="majorHAnsi" w:cstheme="majorHAnsi"/>
          <w:sz w:val="24"/>
          <w:szCs w:val="24"/>
          <w:lang w:val="ro-MD"/>
        </w:rPr>
        <w:t>,</w:t>
      </w:r>
      <w:r w:rsidR="00797780" w:rsidRPr="00B1061C">
        <w:rPr>
          <w:rFonts w:asciiTheme="majorHAnsi" w:eastAsia="Times New Roman" w:hAnsiTheme="majorHAnsi" w:cstheme="majorHAnsi"/>
          <w:sz w:val="24"/>
          <w:szCs w:val="24"/>
          <w:lang w:val="ro-RO"/>
        </w:rPr>
        <w:t xml:space="preserve"> ca efect al neincluderii și neraportării în evidența contabilă</w:t>
      </w:r>
      <w:r w:rsidR="00002061" w:rsidRPr="00B1061C">
        <w:rPr>
          <w:rStyle w:val="aa"/>
          <w:rFonts w:asciiTheme="majorHAnsi" w:eastAsia="Times New Roman" w:hAnsiTheme="majorHAnsi" w:cstheme="majorHAnsi"/>
          <w:sz w:val="24"/>
          <w:szCs w:val="24"/>
          <w:lang w:val="ro-RO"/>
        </w:rPr>
        <w:footnoteReference w:id="3"/>
      </w:r>
      <w:r w:rsidR="0063098A" w:rsidRPr="00B1061C">
        <w:rPr>
          <w:rFonts w:asciiTheme="majorHAnsi" w:eastAsia="Times New Roman" w:hAnsiTheme="majorHAnsi" w:cstheme="majorHAnsi"/>
          <w:sz w:val="24"/>
          <w:szCs w:val="24"/>
          <w:lang w:val="ro-RO"/>
        </w:rPr>
        <w:t xml:space="preserve"> a terenurilor proprietate publică cu suprafața totală de </w:t>
      </w:r>
      <w:r w:rsidR="0063098A" w:rsidRPr="00B1061C">
        <w:rPr>
          <w:rFonts w:asciiTheme="majorHAnsi" w:eastAsia="Times New Roman" w:hAnsiTheme="majorHAnsi" w:cstheme="majorHAnsi"/>
          <w:bCs/>
          <w:sz w:val="24"/>
          <w:szCs w:val="24"/>
          <w:lang w:val="ro-RO"/>
        </w:rPr>
        <w:t xml:space="preserve">618,33 </w:t>
      </w:r>
      <w:r w:rsidR="0063098A" w:rsidRPr="00B1061C">
        <w:rPr>
          <w:rFonts w:asciiTheme="majorHAnsi" w:eastAsia="Times New Roman" w:hAnsiTheme="majorHAnsi" w:cstheme="majorHAnsi"/>
          <w:sz w:val="24"/>
          <w:szCs w:val="24"/>
          <w:lang w:val="ro-RO"/>
        </w:rPr>
        <w:t>ha</w:t>
      </w:r>
      <w:r w:rsidR="0063098A" w:rsidRPr="00B1061C">
        <w:rPr>
          <w:rFonts w:asciiTheme="majorHAnsi" w:eastAsia="Times New Roman" w:hAnsiTheme="majorHAnsi" w:cstheme="majorHAnsi"/>
          <w:bCs/>
          <w:sz w:val="24"/>
          <w:szCs w:val="24"/>
          <w:vertAlign w:val="superscript"/>
          <w:lang w:val="ro-MD"/>
        </w:rPr>
        <w:footnoteReference w:id="4"/>
      </w:r>
      <w:r w:rsidR="0063098A" w:rsidRPr="00B1061C">
        <w:rPr>
          <w:rFonts w:asciiTheme="majorHAnsi" w:eastAsia="Times New Roman" w:hAnsiTheme="majorHAnsi" w:cstheme="majorHAnsi"/>
          <w:sz w:val="24"/>
          <w:szCs w:val="24"/>
          <w:lang w:val="ro-RO"/>
        </w:rPr>
        <w:t xml:space="preserve"> și </w:t>
      </w:r>
      <w:r w:rsidR="0063098A" w:rsidRPr="00B1061C">
        <w:rPr>
          <w:rFonts w:asciiTheme="majorHAnsi" w:eastAsia="Calibri" w:hAnsiTheme="majorHAnsi" w:cstheme="majorHAnsi"/>
          <w:sz w:val="24"/>
          <w:szCs w:val="24"/>
          <w:lang w:val="ro-RO"/>
        </w:rPr>
        <w:t>5638,3 mii lei</w:t>
      </w:r>
      <w:r w:rsidR="0063098A" w:rsidRPr="00B1061C">
        <w:rPr>
          <w:rStyle w:val="aa"/>
          <w:rFonts w:asciiTheme="majorHAnsi" w:eastAsia="Calibri" w:hAnsiTheme="majorHAnsi" w:cstheme="majorHAnsi"/>
          <w:sz w:val="24"/>
          <w:szCs w:val="24"/>
          <w:lang w:val="ro-RO"/>
        </w:rPr>
        <w:footnoteReference w:id="5"/>
      </w:r>
      <w:r w:rsidR="0063098A" w:rsidRPr="00B1061C">
        <w:rPr>
          <w:rFonts w:asciiTheme="majorHAnsi" w:eastAsia="Calibri" w:hAnsiTheme="majorHAnsi" w:cstheme="majorHAnsi"/>
          <w:sz w:val="24"/>
          <w:szCs w:val="24"/>
          <w:lang w:val="ro-RO"/>
        </w:rPr>
        <w:t>,</w:t>
      </w:r>
      <w:r w:rsidR="0063098A" w:rsidRPr="00B1061C">
        <w:rPr>
          <w:rFonts w:asciiTheme="majorHAnsi" w:eastAsia="Times New Roman" w:hAnsiTheme="majorHAnsi" w:cstheme="majorHAnsi"/>
          <w:sz w:val="24"/>
          <w:szCs w:val="24"/>
          <w:lang w:val="ro-RO"/>
        </w:rPr>
        <w:t xml:space="preserve"> </w:t>
      </w:r>
      <w:r w:rsidR="00F13441" w:rsidRPr="00B1061C">
        <w:rPr>
          <w:rFonts w:asciiTheme="majorHAnsi" w:eastAsia="Times New Roman" w:hAnsiTheme="majorHAnsi" w:cstheme="majorHAnsi"/>
          <w:sz w:val="24"/>
          <w:szCs w:val="24"/>
          <w:lang w:val="ro-RO"/>
        </w:rPr>
        <w:t>din cauza</w:t>
      </w:r>
      <w:r w:rsidR="0063098A" w:rsidRPr="00B1061C">
        <w:rPr>
          <w:rFonts w:asciiTheme="majorHAnsi" w:eastAsia="Times New Roman" w:hAnsiTheme="majorHAnsi" w:cstheme="majorHAnsi"/>
          <w:sz w:val="24"/>
          <w:szCs w:val="24"/>
          <w:lang w:val="ro-RO"/>
        </w:rPr>
        <w:t xml:space="preserve"> neajustării</w:t>
      </w:r>
      <w:r w:rsidR="00DA241C" w:rsidRPr="00B1061C">
        <w:rPr>
          <w:rFonts w:asciiTheme="majorHAnsi" w:eastAsia="Times New Roman" w:hAnsiTheme="majorHAnsi" w:cstheme="majorHAnsi"/>
          <w:sz w:val="24"/>
          <w:szCs w:val="24"/>
          <w:lang w:val="ro-RO"/>
        </w:rPr>
        <w:t xml:space="preserve"> </w:t>
      </w:r>
      <w:r w:rsidR="0063098A" w:rsidRPr="00B1061C">
        <w:rPr>
          <w:rFonts w:asciiTheme="majorHAnsi" w:eastAsia="Calibri" w:hAnsiTheme="majorHAnsi" w:cstheme="majorHAnsi"/>
          <w:sz w:val="24"/>
          <w:szCs w:val="24"/>
          <w:lang w:val="ro-RO"/>
        </w:rPr>
        <w:t xml:space="preserve">valorii terenurilor contabilizate odată cu modificarea prevederilor legale </w:t>
      </w:r>
      <w:r w:rsidR="00002061" w:rsidRPr="00B1061C">
        <w:rPr>
          <w:rFonts w:asciiTheme="majorHAnsi" w:eastAsia="Calibri" w:hAnsiTheme="majorHAnsi" w:cstheme="majorHAnsi"/>
          <w:sz w:val="24"/>
          <w:szCs w:val="24"/>
          <w:lang w:val="ro-RO"/>
        </w:rPr>
        <w:t>prin care se reglementează formarea valorii terenurilor proprietate publică</w:t>
      </w:r>
      <w:r w:rsidR="005E67EF" w:rsidRPr="00B1061C">
        <w:rPr>
          <w:rStyle w:val="aa"/>
          <w:rFonts w:asciiTheme="majorHAnsi" w:eastAsia="Calibri" w:hAnsiTheme="majorHAnsi" w:cstheme="majorHAnsi"/>
          <w:sz w:val="24"/>
          <w:szCs w:val="24"/>
          <w:lang w:val="ro-RO"/>
        </w:rPr>
        <w:footnoteReference w:id="6"/>
      </w:r>
      <w:r w:rsidR="005E67EF" w:rsidRPr="00B1061C">
        <w:rPr>
          <w:rFonts w:asciiTheme="majorHAnsi" w:eastAsia="Calibri" w:hAnsiTheme="majorHAnsi" w:cstheme="majorHAnsi"/>
          <w:sz w:val="24"/>
          <w:szCs w:val="24"/>
          <w:lang w:val="ro-RO"/>
        </w:rPr>
        <w:t>;</w:t>
      </w:r>
    </w:p>
    <w:p w:rsidR="00CD4A42" w:rsidRPr="00B1061C" w:rsidRDefault="00CD4A42" w:rsidP="000436CC">
      <w:pPr>
        <w:widowControl w:val="0"/>
        <w:numPr>
          <w:ilvl w:val="1"/>
          <w:numId w:val="20"/>
        </w:numPr>
        <w:shd w:val="clear" w:color="auto" w:fill="FFFFFF"/>
        <w:tabs>
          <w:tab w:val="left" w:pos="1134"/>
        </w:tabs>
        <w:spacing w:after="0" w:line="276" w:lineRule="auto"/>
        <w:ind w:left="0" w:firstLine="709"/>
        <w:jc w:val="both"/>
        <w:rPr>
          <w:rFonts w:asciiTheme="majorHAnsi" w:eastAsia="Times New Roman" w:hAnsiTheme="majorHAnsi" w:cstheme="majorHAnsi"/>
          <w:sz w:val="24"/>
          <w:szCs w:val="24"/>
          <w:lang w:val="ro-MD"/>
        </w:rPr>
      </w:pPr>
      <w:r w:rsidRPr="00B1061C">
        <w:rPr>
          <w:rFonts w:asciiTheme="majorHAnsi" w:eastAsia="Times New Roman" w:hAnsiTheme="majorHAnsi" w:cstheme="majorHAnsi"/>
          <w:sz w:val="24"/>
          <w:szCs w:val="24"/>
          <w:lang w:val="ro-MD"/>
        </w:rPr>
        <w:t xml:space="preserve">Diminuarea valorii </w:t>
      </w:r>
      <w:r w:rsidRPr="00B1061C">
        <w:rPr>
          <w:rFonts w:asciiTheme="majorHAnsi" w:eastAsia="Times New Roman" w:hAnsiTheme="majorHAnsi" w:cstheme="majorHAnsi"/>
          <w:sz w:val="24"/>
          <w:szCs w:val="24"/>
          <w:lang w:val="ro-RO"/>
        </w:rPr>
        <w:t xml:space="preserve">contului 311 „Clădiri” cu suma de 3954,9 mii lei, </w:t>
      </w:r>
      <w:r w:rsidRPr="00B1061C">
        <w:rPr>
          <w:rFonts w:asciiTheme="majorHAnsi" w:eastAsia="Times New Roman" w:hAnsiTheme="majorHAnsi" w:cstheme="majorHAnsi"/>
          <w:bCs/>
          <w:sz w:val="24"/>
          <w:szCs w:val="24"/>
          <w:lang w:val="ro-RO"/>
        </w:rPr>
        <w:t>determinată de nerecunoașterea și necontabilizarea</w:t>
      </w:r>
      <w:r w:rsidRPr="00B1061C">
        <w:rPr>
          <w:rFonts w:asciiTheme="majorHAnsi" w:eastAsia="Times New Roman" w:hAnsiTheme="majorHAnsi" w:cstheme="majorHAnsi"/>
          <w:sz w:val="24"/>
          <w:szCs w:val="24"/>
          <w:vertAlign w:val="superscript"/>
          <w:lang w:val="ro-MD"/>
        </w:rPr>
        <w:footnoteReference w:id="7"/>
      </w:r>
      <w:r w:rsidR="00FD2044" w:rsidRPr="00B1061C">
        <w:rPr>
          <w:rFonts w:asciiTheme="majorHAnsi" w:eastAsia="Times New Roman" w:hAnsiTheme="majorHAnsi" w:cstheme="majorHAnsi"/>
          <w:bCs/>
          <w:sz w:val="24"/>
          <w:szCs w:val="24"/>
          <w:lang w:val="ro-RO"/>
        </w:rPr>
        <w:t xml:space="preserve"> </w:t>
      </w:r>
      <w:r w:rsidRPr="00B1061C">
        <w:rPr>
          <w:rFonts w:asciiTheme="majorHAnsi" w:eastAsia="Times New Roman" w:hAnsiTheme="majorHAnsi" w:cstheme="majorHAnsi"/>
          <w:sz w:val="24"/>
          <w:szCs w:val="24"/>
          <w:lang w:val="ro-MD"/>
        </w:rPr>
        <w:t xml:space="preserve">apartamentelor și </w:t>
      </w:r>
      <w:r w:rsidRPr="00B1061C">
        <w:rPr>
          <w:rFonts w:asciiTheme="majorHAnsi" w:eastAsia="Times New Roman" w:hAnsiTheme="majorHAnsi" w:cstheme="majorHAnsi"/>
          <w:bCs/>
          <w:sz w:val="24"/>
          <w:szCs w:val="24"/>
          <w:lang w:val="ro-RO"/>
        </w:rPr>
        <w:t>încăperilor izolate</w:t>
      </w:r>
      <w:r w:rsidRPr="00B1061C">
        <w:rPr>
          <w:rFonts w:asciiTheme="majorHAnsi" w:eastAsia="Times New Roman" w:hAnsiTheme="majorHAnsi" w:cstheme="majorHAnsi"/>
          <w:sz w:val="24"/>
          <w:szCs w:val="24"/>
          <w:lang w:val="ro-MD"/>
        </w:rPr>
        <w:t xml:space="preserve"> neprivatizate</w:t>
      </w:r>
      <w:r w:rsidRPr="00B1061C">
        <w:rPr>
          <w:rFonts w:asciiTheme="majorHAnsi" w:eastAsia="Times New Roman" w:hAnsiTheme="majorHAnsi" w:cstheme="majorHAnsi"/>
          <w:bCs/>
          <w:sz w:val="24"/>
          <w:szCs w:val="24"/>
          <w:vertAlign w:val="superscript"/>
          <w:lang w:val="ro-RO"/>
        </w:rPr>
        <w:footnoteReference w:id="8"/>
      </w:r>
      <w:r w:rsidRPr="00B1061C">
        <w:rPr>
          <w:rFonts w:asciiTheme="majorHAnsi" w:eastAsia="Times New Roman" w:hAnsiTheme="majorHAnsi" w:cstheme="majorHAnsi"/>
          <w:sz w:val="24"/>
          <w:szCs w:val="24"/>
          <w:lang w:val="ro-MD"/>
        </w:rPr>
        <w:t xml:space="preserve">, totodată, fiind supraevaluată </w:t>
      </w:r>
      <w:r w:rsidRPr="00B1061C">
        <w:rPr>
          <w:rFonts w:asciiTheme="majorHAnsi" w:eastAsia="Times New Roman" w:hAnsiTheme="majorHAnsi" w:cstheme="majorHAnsi"/>
          <w:bCs/>
          <w:sz w:val="24"/>
          <w:szCs w:val="24"/>
          <w:lang w:val="ro-RO"/>
        </w:rPr>
        <w:t xml:space="preserve">grupa de conturi 415 „Acțiuni și alte forme de participare în capital în interiorul țârii” cu </w:t>
      </w:r>
      <w:r w:rsidR="005A2512" w:rsidRPr="00B1061C">
        <w:rPr>
          <w:rFonts w:asciiTheme="majorHAnsi" w:eastAsia="Times New Roman" w:hAnsiTheme="majorHAnsi" w:cstheme="majorHAnsi"/>
          <w:bCs/>
          <w:sz w:val="24"/>
          <w:szCs w:val="24"/>
          <w:lang w:val="ro-RO"/>
        </w:rPr>
        <w:t>suma de 2572,2 mii lei</w:t>
      </w:r>
      <w:r w:rsidR="00AD752A" w:rsidRPr="00B1061C">
        <w:rPr>
          <w:rFonts w:asciiTheme="majorHAnsi" w:eastAsia="Times New Roman" w:hAnsiTheme="majorHAnsi" w:cstheme="majorHAnsi"/>
          <w:bCs/>
          <w:sz w:val="24"/>
          <w:szCs w:val="24"/>
          <w:lang w:val="ro-RO"/>
        </w:rPr>
        <w:t>, precum și diminuat</w:t>
      </w:r>
      <w:r w:rsidR="005A2512" w:rsidRPr="00B1061C">
        <w:rPr>
          <w:rFonts w:asciiTheme="majorHAnsi" w:eastAsia="Times New Roman" w:hAnsiTheme="majorHAnsi" w:cstheme="majorHAnsi"/>
          <w:bCs/>
          <w:sz w:val="24"/>
          <w:szCs w:val="24"/>
          <w:lang w:val="ro-RO"/>
        </w:rPr>
        <w:t xml:space="preserve"> </w:t>
      </w:r>
      <w:r w:rsidR="00AD752A" w:rsidRPr="00B1061C">
        <w:rPr>
          <w:rFonts w:asciiTheme="majorHAnsi" w:eastAsia="Times New Roman" w:hAnsiTheme="majorHAnsi" w:cstheme="majorHAnsi"/>
          <w:bCs/>
          <w:sz w:val="24"/>
          <w:szCs w:val="24"/>
          <w:lang w:val="ro-RO"/>
        </w:rPr>
        <w:t>cu suma de 1382,7 mii lei contul 723 „Rezultatul financiar al instituției”</w:t>
      </w:r>
      <w:r w:rsidR="002C38F5" w:rsidRPr="00B1061C">
        <w:rPr>
          <w:rFonts w:asciiTheme="majorHAnsi" w:eastAsia="Times New Roman" w:hAnsiTheme="majorHAnsi" w:cstheme="majorHAnsi"/>
          <w:bCs/>
          <w:sz w:val="24"/>
          <w:szCs w:val="24"/>
          <w:lang w:val="ro-RO"/>
        </w:rPr>
        <w:t>;</w:t>
      </w:r>
    </w:p>
    <w:p w:rsidR="00672305" w:rsidRPr="00B1061C" w:rsidRDefault="00672305" w:rsidP="00672305">
      <w:pPr>
        <w:widowControl w:val="0"/>
        <w:numPr>
          <w:ilvl w:val="1"/>
          <w:numId w:val="20"/>
        </w:numPr>
        <w:shd w:val="clear" w:color="auto" w:fill="FFFFFF"/>
        <w:tabs>
          <w:tab w:val="left" w:pos="0"/>
          <w:tab w:val="left" w:pos="851"/>
          <w:tab w:val="left" w:pos="1134"/>
        </w:tabs>
        <w:spacing w:after="0" w:line="276" w:lineRule="auto"/>
        <w:ind w:left="0" w:firstLine="709"/>
        <w:jc w:val="both"/>
        <w:rPr>
          <w:rFonts w:asciiTheme="majorHAnsi" w:eastAsia="Times New Roman" w:hAnsiTheme="majorHAnsi" w:cstheme="majorHAnsi"/>
          <w:sz w:val="24"/>
          <w:szCs w:val="24"/>
          <w:lang w:val="ro-MD"/>
        </w:rPr>
      </w:pPr>
      <w:r w:rsidRPr="00B1061C">
        <w:rPr>
          <w:rFonts w:asciiTheme="majorHAnsi" w:hAnsiTheme="majorHAnsi" w:cstheme="majorHAnsi"/>
          <w:sz w:val="24"/>
          <w:szCs w:val="24"/>
          <w:lang w:val="ro-RO"/>
        </w:rPr>
        <w:t xml:space="preserve">Diminuarea </w:t>
      </w:r>
      <w:r w:rsidR="005733AF" w:rsidRPr="00B1061C">
        <w:rPr>
          <w:rFonts w:asciiTheme="majorHAnsi" w:hAnsiTheme="majorHAnsi" w:cstheme="majorHAnsi"/>
          <w:sz w:val="24"/>
          <w:szCs w:val="24"/>
          <w:lang w:val="ro-RO"/>
        </w:rPr>
        <w:t xml:space="preserve">valorii </w:t>
      </w:r>
      <w:r w:rsidR="000436CC" w:rsidRPr="00B1061C">
        <w:rPr>
          <w:rFonts w:asciiTheme="majorHAnsi" w:hAnsiTheme="majorHAnsi" w:cstheme="majorHAnsi"/>
          <w:bCs/>
          <w:sz w:val="24"/>
          <w:szCs w:val="24"/>
          <w:lang w:val="ro-RO"/>
        </w:rPr>
        <w:t>contului</w:t>
      </w:r>
      <w:r w:rsidRPr="00B1061C">
        <w:rPr>
          <w:rFonts w:asciiTheme="majorHAnsi" w:hAnsiTheme="majorHAnsi" w:cstheme="majorHAnsi"/>
          <w:bCs/>
          <w:sz w:val="24"/>
          <w:szCs w:val="24"/>
          <w:lang w:val="ro-RO"/>
        </w:rPr>
        <w:t xml:space="preserve"> 313 „Instalații de transmisie” cu suma de 18981,5 mii lei, determinată de nerecunoașterea și necontabilizarea,</w:t>
      </w:r>
      <w:r w:rsidRPr="00B1061C">
        <w:rPr>
          <w:rFonts w:asciiTheme="majorHAnsi" w:hAnsiTheme="majorHAnsi" w:cstheme="majorHAnsi"/>
          <w:sz w:val="24"/>
          <w:szCs w:val="24"/>
          <w:lang w:val="ro-MD"/>
        </w:rPr>
        <w:t xml:space="preserve"> </w:t>
      </w:r>
      <w:r w:rsidRPr="00B1061C">
        <w:rPr>
          <w:rFonts w:asciiTheme="majorHAnsi" w:hAnsiTheme="majorHAnsi" w:cstheme="majorHAnsi"/>
          <w:bCs/>
          <w:sz w:val="24"/>
          <w:szCs w:val="24"/>
          <w:lang w:val="ro-RO"/>
        </w:rPr>
        <w:t>conform prevederilor normative</w:t>
      </w:r>
      <w:r w:rsidRPr="00B1061C">
        <w:rPr>
          <w:rStyle w:val="aa"/>
          <w:rFonts w:asciiTheme="majorHAnsi" w:hAnsiTheme="majorHAnsi" w:cstheme="majorHAnsi"/>
          <w:bCs/>
          <w:sz w:val="24"/>
          <w:szCs w:val="24"/>
          <w:lang w:val="ro-RO"/>
        </w:rPr>
        <w:footnoteReference w:id="9"/>
      </w:r>
      <w:r w:rsidRPr="00B1061C">
        <w:rPr>
          <w:rFonts w:asciiTheme="majorHAnsi" w:hAnsiTheme="majorHAnsi" w:cstheme="majorHAnsi"/>
          <w:bCs/>
          <w:sz w:val="24"/>
          <w:szCs w:val="24"/>
          <w:lang w:val="ro-RO"/>
        </w:rPr>
        <w:t xml:space="preserve">, a infrastructurii tehnico-edilitare a sistemelor publice de alimentare cu apă și </w:t>
      </w:r>
      <w:r w:rsidR="005305CF">
        <w:rPr>
          <w:rFonts w:asciiTheme="majorHAnsi" w:hAnsiTheme="majorHAnsi" w:cstheme="majorHAnsi"/>
          <w:bCs/>
          <w:sz w:val="24"/>
          <w:szCs w:val="24"/>
          <w:lang w:val="ro-RO"/>
        </w:rPr>
        <w:t xml:space="preserve">de </w:t>
      </w:r>
      <w:r w:rsidRPr="00B1061C">
        <w:rPr>
          <w:rFonts w:asciiTheme="majorHAnsi" w:hAnsiTheme="majorHAnsi" w:cstheme="majorHAnsi"/>
          <w:bCs/>
          <w:sz w:val="24"/>
          <w:szCs w:val="24"/>
          <w:lang w:val="ro-RO"/>
        </w:rPr>
        <w:t>canalizare,</w:t>
      </w:r>
      <w:r w:rsidRPr="00B1061C">
        <w:rPr>
          <w:rFonts w:asciiTheme="majorHAnsi" w:eastAsia="Times New Roman" w:hAnsiTheme="majorHAnsi" w:cstheme="majorHAnsi"/>
          <w:sz w:val="24"/>
          <w:szCs w:val="24"/>
          <w:lang w:val="ro-MD"/>
        </w:rPr>
        <w:t xml:space="preserve"> </w:t>
      </w:r>
      <w:r w:rsidRPr="00B1061C">
        <w:rPr>
          <w:rFonts w:asciiTheme="majorHAnsi" w:hAnsiTheme="majorHAnsi" w:cstheme="majorHAnsi"/>
          <w:bCs/>
          <w:sz w:val="24"/>
          <w:szCs w:val="24"/>
          <w:lang w:val="ro-MD"/>
        </w:rPr>
        <w:t>totodată, cu sum</w:t>
      </w:r>
      <w:r w:rsidR="005733AF" w:rsidRPr="00B1061C">
        <w:rPr>
          <w:rFonts w:asciiTheme="majorHAnsi" w:hAnsiTheme="majorHAnsi" w:cstheme="majorHAnsi"/>
          <w:bCs/>
          <w:sz w:val="24"/>
          <w:szCs w:val="24"/>
          <w:lang w:val="ro-MD"/>
        </w:rPr>
        <w:t>a dată</w:t>
      </w:r>
      <w:r w:rsidRPr="00B1061C">
        <w:rPr>
          <w:rFonts w:asciiTheme="majorHAnsi" w:hAnsiTheme="majorHAnsi" w:cstheme="majorHAnsi"/>
          <w:bCs/>
          <w:sz w:val="24"/>
          <w:szCs w:val="24"/>
          <w:lang w:val="ro-MD"/>
        </w:rPr>
        <w:t xml:space="preserve"> fiind supraevaluată </w:t>
      </w:r>
      <w:r w:rsidR="000436CC" w:rsidRPr="00B1061C">
        <w:rPr>
          <w:rFonts w:asciiTheme="majorHAnsi" w:hAnsiTheme="majorHAnsi" w:cstheme="majorHAnsi"/>
          <w:bCs/>
          <w:sz w:val="24"/>
          <w:szCs w:val="24"/>
          <w:lang w:val="ro-RO"/>
        </w:rPr>
        <w:t>valoarea contului</w:t>
      </w:r>
      <w:r w:rsidRPr="00B1061C">
        <w:rPr>
          <w:rFonts w:asciiTheme="majorHAnsi" w:hAnsiTheme="majorHAnsi" w:cstheme="majorHAnsi"/>
          <w:bCs/>
          <w:sz w:val="24"/>
          <w:szCs w:val="24"/>
          <w:lang w:val="ro-RO"/>
        </w:rPr>
        <w:t xml:space="preserve"> 415 „Acțiuni și alte forme de participare în capital în interiorul țârii”</w:t>
      </w:r>
      <w:r w:rsidRPr="00B1061C">
        <w:rPr>
          <w:rFonts w:asciiTheme="majorHAnsi" w:eastAsia="Times New Roman" w:hAnsiTheme="majorHAnsi" w:cstheme="majorHAnsi"/>
          <w:sz w:val="24"/>
          <w:szCs w:val="24"/>
          <w:lang w:val="ro-RO"/>
        </w:rPr>
        <w:t xml:space="preserve">; </w:t>
      </w:r>
    </w:p>
    <w:p w:rsidR="00343DB4" w:rsidRPr="00F10977" w:rsidRDefault="00343DB4" w:rsidP="00343DB4">
      <w:pPr>
        <w:widowControl w:val="0"/>
        <w:numPr>
          <w:ilvl w:val="1"/>
          <w:numId w:val="20"/>
        </w:numPr>
        <w:shd w:val="clear" w:color="auto" w:fill="FFFFFF"/>
        <w:tabs>
          <w:tab w:val="left" w:pos="0"/>
          <w:tab w:val="left" w:pos="851"/>
          <w:tab w:val="left" w:pos="1134"/>
        </w:tabs>
        <w:spacing w:after="0" w:line="276" w:lineRule="auto"/>
        <w:ind w:left="0" w:firstLine="709"/>
        <w:jc w:val="both"/>
        <w:rPr>
          <w:rFonts w:asciiTheme="majorHAnsi" w:eastAsia="Calibri" w:hAnsiTheme="majorHAnsi" w:cstheme="majorHAnsi"/>
          <w:sz w:val="24"/>
          <w:szCs w:val="24"/>
          <w:lang w:val="ro-MD"/>
        </w:rPr>
      </w:pPr>
      <w:r w:rsidRPr="00B1061C">
        <w:rPr>
          <w:rFonts w:asciiTheme="majorHAnsi" w:eastAsia="Times New Roman" w:hAnsiTheme="majorHAnsi" w:cstheme="majorHAnsi"/>
          <w:sz w:val="24"/>
          <w:szCs w:val="24"/>
          <w:lang w:val="ro-MD"/>
        </w:rPr>
        <w:t xml:space="preserve">Majorarea </w:t>
      </w:r>
      <w:r w:rsidR="005733AF" w:rsidRPr="00B1061C">
        <w:rPr>
          <w:rFonts w:asciiTheme="majorHAnsi" w:eastAsia="Times New Roman" w:hAnsiTheme="majorHAnsi" w:cstheme="majorHAnsi"/>
          <w:sz w:val="24"/>
          <w:szCs w:val="24"/>
          <w:lang w:val="ro-MD"/>
        </w:rPr>
        <w:t xml:space="preserve">valorii </w:t>
      </w:r>
      <w:r w:rsidRPr="00B1061C">
        <w:rPr>
          <w:rFonts w:asciiTheme="majorHAnsi" w:eastAsia="Calibri" w:hAnsiTheme="majorHAnsi" w:cstheme="majorHAnsi"/>
          <w:bCs/>
          <w:sz w:val="24"/>
          <w:szCs w:val="24"/>
          <w:lang w:val="ro-RO"/>
        </w:rPr>
        <w:t xml:space="preserve">contului 415 „Alte forme de participare în capital în interiorul țării” cu suma </w:t>
      </w:r>
      <w:r w:rsidR="005733AF" w:rsidRPr="00B1061C">
        <w:rPr>
          <w:rFonts w:asciiTheme="majorHAnsi" w:eastAsia="Calibri" w:hAnsiTheme="majorHAnsi" w:cstheme="majorHAnsi"/>
          <w:bCs/>
          <w:sz w:val="24"/>
          <w:szCs w:val="24"/>
          <w:lang w:val="ro-RO"/>
        </w:rPr>
        <w:t xml:space="preserve">de </w:t>
      </w:r>
      <w:r w:rsidRPr="00B1061C">
        <w:rPr>
          <w:rFonts w:asciiTheme="majorHAnsi" w:eastAsia="Calibri" w:hAnsiTheme="majorHAnsi" w:cstheme="majorHAnsi"/>
          <w:sz w:val="24"/>
          <w:szCs w:val="24"/>
          <w:lang w:val="ro-MD"/>
        </w:rPr>
        <w:t>41963,7 mii lei și, respectiv</w:t>
      </w:r>
      <w:r w:rsidR="005733AF" w:rsidRPr="00B1061C">
        <w:rPr>
          <w:rFonts w:asciiTheme="majorHAnsi" w:eastAsia="Calibri" w:hAnsiTheme="majorHAnsi" w:cstheme="majorHAnsi"/>
          <w:sz w:val="24"/>
          <w:szCs w:val="24"/>
          <w:lang w:val="ro-MD"/>
        </w:rPr>
        <w:t>,</w:t>
      </w:r>
      <w:r w:rsidRPr="00B1061C">
        <w:rPr>
          <w:rFonts w:asciiTheme="majorHAnsi" w:eastAsia="Calibri" w:hAnsiTheme="majorHAnsi" w:cstheme="majorHAnsi"/>
          <w:sz w:val="24"/>
          <w:szCs w:val="24"/>
          <w:lang w:val="ro-MD"/>
        </w:rPr>
        <w:t xml:space="preserve"> diminuarea </w:t>
      </w:r>
      <w:r w:rsidR="005733AF" w:rsidRPr="00B1061C">
        <w:rPr>
          <w:rFonts w:asciiTheme="majorHAnsi" w:eastAsia="Calibri" w:hAnsiTheme="majorHAnsi" w:cstheme="majorHAnsi"/>
          <w:sz w:val="24"/>
          <w:szCs w:val="24"/>
          <w:lang w:val="ro-MD"/>
        </w:rPr>
        <w:t xml:space="preserve">valorii </w:t>
      </w:r>
      <w:r w:rsidRPr="00B1061C">
        <w:rPr>
          <w:rFonts w:asciiTheme="majorHAnsi" w:eastAsia="Calibri" w:hAnsiTheme="majorHAnsi" w:cstheme="majorHAnsi"/>
          <w:sz w:val="24"/>
          <w:szCs w:val="24"/>
          <w:lang w:val="ro-MD"/>
        </w:rPr>
        <w:t>conturilor</w:t>
      </w:r>
      <w:r w:rsidR="00F10977" w:rsidRPr="00B1061C">
        <w:rPr>
          <w:rFonts w:asciiTheme="majorHAnsi" w:eastAsia="Calibri" w:hAnsiTheme="majorHAnsi" w:cstheme="majorHAnsi"/>
          <w:sz w:val="24"/>
          <w:szCs w:val="24"/>
          <w:lang w:val="ro-MD"/>
        </w:rPr>
        <w:t xml:space="preserve"> 311 „Clădiri</w:t>
      </w:r>
      <w:r w:rsidR="00F10977" w:rsidRPr="00AC0F8B">
        <w:rPr>
          <w:rFonts w:asciiTheme="majorHAnsi" w:eastAsia="Calibri" w:hAnsiTheme="majorHAnsi" w:cstheme="majorHAnsi"/>
          <w:sz w:val="24"/>
          <w:szCs w:val="24"/>
          <w:lang w:val="ro-MD"/>
        </w:rPr>
        <w:t>”</w:t>
      </w:r>
      <w:r w:rsidRPr="00AC0F8B">
        <w:rPr>
          <w:rFonts w:asciiTheme="majorHAnsi" w:eastAsia="Calibri" w:hAnsiTheme="majorHAnsi" w:cstheme="majorHAnsi"/>
          <w:sz w:val="24"/>
          <w:szCs w:val="24"/>
          <w:lang w:val="ro-MD"/>
        </w:rPr>
        <w:t xml:space="preserve"> </w:t>
      </w:r>
      <w:r w:rsidR="005733AF">
        <w:rPr>
          <w:rFonts w:asciiTheme="majorHAnsi" w:eastAsia="Calibri" w:hAnsiTheme="majorHAnsi" w:cstheme="majorHAnsi"/>
          <w:sz w:val="24"/>
          <w:szCs w:val="24"/>
          <w:lang w:val="ro-MD"/>
        </w:rPr>
        <w:t xml:space="preserve">- </w:t>
      </w:r>
      <w:r w:rsidRPr="00AC0F8B">
        <w:rPr>
          <w:rFonts w:asciiTheme="majorHAnsi" w:eastAsia="Calibri" w:hAnsiTheme="majorHAnsi" w:cstheme="majorHAnsi"/>
          <w:sz w:val="24"/>
          <w:szCs w:val="24"/>
          <w:lang w:val="ro-MD"/>
        </w:rPr>
        <w:t>cu 122,3 mii le</w:t>
      </w:r>
      <w:r w:rsidR="00B638AE" w:rsidRPr="00AC0F8B">
        <w:rPr>
          <w:rFonts w:asciiTheme="majorHAnsi" w:eastAsia="Calibri" w:hAnsiTheme="majorHAnsi" w:cstheme="majorHAnsi"/>
          <w:sz w:val="24"/>
          <w:szCs w:val="24"/>
          <w:lang w:val="ro-MD"/>
        </w:rPr>
        <w:t>i (clădirea punctului medical),</w:t>
      </w:r>
      <w:r w:rsidRPr="00AC0F8B">
        <w:rPr>
          <w:rFonts w:asciiTheme="majorHAnsi" w:eastAsia="Calibri" w:hAnsiTheme="majorHAnsi" w:cstheme="majorHAnsi"/>
          <w:sz w:val="24"/>
          <w:szCs w:val="24"/>
          <w:lang w:val="ro-MD"/>
        </w:rPr>
        <w:t xml:space="preserve"> </w:t>
      </w:r>
      <w:r w:rsidR="00B638AE" w:rsidRPr="00AC0F8B">
        <w:rPr>
          <w:rFonts w:asciiTheme="majorHAnsi" w:eastAsia="Calibri" w:hAnsiTheme="majorHAnsi" w:cstheme="majorHAnsi"/>
          <w:sz w:val="24"/>
          <w:szCs w:val="24"/>
          <w:lang w:val="ro-MD"/>
        </w:rPr>
        <w:t>312 „Construcții speciale” – cu</w:t>
      </w:r>
      <w:r w:rsidRPr="00AC0F8B">
        <w:rPr>
          <w:rFonts w:asciiTheme="majorHAnsi" w:eastAsia="Calibri" w:hAnsiTheme="majorHAnsi" w:cstheme="majorHAnsi"/>
          <w:sz w:val="24"/>
          <w:szCs w:val="24"/>
          <w:lang w:val="ro-MD"/>
        </w:rPr>
        <w:t xml:space="preserve"> 40452,2 mii lei (drumuri, căi</w:t>
      </w:r>
      <w:r w:rsidR="005733AF">
        <w:rPr>
          <w:rFonts w:asciiTheme="majorHAnsi" w:eastAsia="Calibri" w:hAnsiTheme="majorHAnsi" w:cstheme="majorHAnsi"/>
          <w:sz w:val="24"/>
          <w:szCs w:val="24"/>
          <w:lang w:val="ro-MD"/>
        </w:rPr>
        <w:t xml:space="preserve"> </w:t>
      </w:r>
      <w:r w:rsidRPr="00AC0F8B">
        <w:rPr>
          <w:rFonts w:asciiTheme="majorHAnsi" w:eastAsia="Calibri" w:hAnsiTheme="majorHAnsi" w:cstheme="majorHAnsi"/>
          <w:sz w:val="24"/>
          <w:szCs w:val="24"/>
          <w:lang w:val="ro-MD"/>
        </w:rPr>
        <w:t xml:space="preserve"> pietonale, stații auto</w:t>
      </w:r>
      <w:r w:rsidRPr="00F10977">
        <w:rPr>
          <w:rFonts w:asciiTheme="majorHAnsi" w:eastAsia="Calibri" w:hAnsiTheme="majorHAnsi" w:cstheme="majorHAnsi"/>
          <w:sz w:val="24"/>
          <w:szCs w:val="24"/>
          <w:lang w:val="ro-MD"/>
        </w:rPr>
        <w:t xml:space="preserve">, canale de scurgere, bazin de apă, cimitir, monument, fântâni, gunoiște etc), 313 „Instalații de transmisie” </w:t>
      </w:r>
      <w:r w:rsidR="005733AF">
        <w:rPr>
          <w:rFonts w:asciiTheme="majorHAnsi" w:eastAsia="Calibri" w:hAnsiTheme="majorHAnsi" w:cstheme="majorHAnsi"/>
          <w:sz w:val="24"/>
          <w:szCs w:val="24"/>
          <w:lang w:val="ro-MD"/>
        </w:rPr>
        <w:t>–</w:t>
      </w:r>
      <w:r w:rsidRPr="00F10977">
        <w:rPr>
          <w:rFonts w:asciiTheme="majorHAnsi" w:eastAsia="Calibri" w:hAnsiTheme="majorHAnsi" w:cstheme="majorHAnsi"/>
          <w:sz w:val="24"/>
          <w:szCs w:val="24"/>
          <w:lang w:val="ro-MD"/>
        </w:rPr>
        <w:t xml:space="preserve"> </w:t>
      </w:r>
      <w:r w:rsidR="005733AF">
        <w:rPr>
          <w:rFonts w:asciiTheme="majorHAnsi" w:eastAsia="Calibri" w:hAnsiTheme="majorHAnsi" w:cstheme="majorHAnsi"/>
          <w:sz w:val="24"/>
          <w:szCs w:val="24"/>
          <w:lang w:val="ro-MD"/>
        </w:rPr>
        <w:t xml:space="preserve">cu </w:t>
      </w:r>
      <w:r w:rsidRPr="00F10977">
        <w:rPr>
          <w:rFonts w:asciiTheme="majorHAnsi" w:eastAsia="Calibri" w:hAnsiTheme="majorHAnsi" w:cstheme="majorHAnsi"/>
          <w:sz w:val="24"/>
          <w:szCs w:val="24"/>
          <w:lang w:val="ro-MD"/>
        </w:rPr>
        <w:t>1228,7 mii</w:t>
      </w:r>
      <w:r w:rsidR="00B638AE">
        <w:rPr>
          <w:rFonts w:asciiTheme="majorHAnsi" w:eastAsia="Calibri" w:hAnsiTheme="majorHAnsi" w:cstheme="majorHAnsi"/>
          <w:sz w:val="24"/>
          <w:szCs w:val="24"/>
          <w:lang w:val="ro-MD"/>
        </w:rPr>
        <w:t xml:space="preserve"> lei (linii electrice stradale)</w:t>
      </w:r>
      <w:r w:rsidRPr="00F10977">
        <w:rPr>
          <w:rFonts w:asciiTheme="majorHAnsi" w:eastAsia="Calibri" w:hAnsiTheme="majorHAnsi" w:cstheme="majorHAnsi"/>
          <w:sz w:val="24"/>
          <w:szCs w:val="24"/>
          <w:lang w:val="ro-MD"/>
        </w:rPr>
        <w:t xml:space="preserve"> și 318 „Alte mijloace fixe” </w:t>
      </w:r>
      <w:r w:rsidR="005733AF">
        <w:rPr>
          <w:rFonts w:asciiTheme="majorHAnsi" w:eastAsia="Calibri" w:hAnsiTheme="majorHAnsi" w:cstheme="majorHAnsi"/>
          <w:sz w:val="24"/>
          <w:szCs w:val="24"/>
          <w:lang w:val="ro-MD"/>
        </w:rPr>
        <w:t>–</w:t>
      </w:r>
      <w:r w:rsidRPr="00F10977">
        <w:rPr>
          <w:rFonts w:asciiTheme="majorHAnsi" w:eastAsia="Calibri" w:hAnsiTheme="majorHAnsi" w:cstheme="majorHAnsi"/>
          <w:sz w:val="24"/>
          <w:szCs w:val="24"/>
          <w:lang w:val="ro-MD"/>
        </w:rPr>
        <w:t xml:space="preserve"> </w:t>
      </w:r>
      <w:r w:rsidR="005733AF">
        <w:rPr>
          <w:rFonts w:asciiTheme="majorHAnsi" w:eastAsia="Calibri" w:hAnsiTheme="majorHAnsi" w:cstheme="majorHAnsi"/>
          <w:sz w:val="24"/>
          <w:szCs w:val="24"/>
          <w:lang w:val="ro-MD"/>
        </w:rPr>
        <w:t xml:space="preserve">cu </w:t>
      </w:r>
      <w:r w:rsidRPr="00F10977">
        <w:rPr>
          <w:rFonts w:asciiTheme="majorHAnsi" w:eastAsia="Calibri" w:hAnsiTheme="majorHAnsi" w:cstheme="majorHAnsi"/>
          <w:sz w:val="24"/>
          <w:szCs w:val="24"/>
          <w:lang w:val="ro-MD"/>
        </w:rPr>
        <w:t>160,5 mii lei (arbuști, copaci, spații verzi);</w:t>
      </w:r>
    </w:p>
    <w:p w:rsidR="00693E7D" w:rsidRPr="00B1061C" w:rsidRDefault="00563072" w:rsidP="00693E7D">
      <w:pPr>
        <w:pStyle w:val="ab"/>
        <w:numPr>
          <w:ilvl w:val="1"/>
          <w:numId w:val="20"/>
        </w:numPr>
        <w:tabs>
          <w:tab w:val="left" w:pos="0"/>
          <w:tab w:val="left" w:pos="1134"/>
          <w:tab w:val="left" w:pos="1276"/>
        </w:tabs>
        <w:spacing w:after="0" w:line="276" w:lineRule="auto"/>
        <w:ind w:left="0" w:firstLine="709"/>
        <w:jc w:val="both"/>
        <w:rPr>
          <w:rFonts w:asciiTheme="majorHAnsi" w:hAnsiTheme="majorHAnsi" w:cstheme="majorHAnsi"/>
          <w:sz w:val="24"/>
          <w:szCs w:val="24"/>
          <w:lang w:val="ro-MD" w:eastAsia="lv-LV"/>
        </w:rPr>
      </w:pPr>
      <w:r w:rsidRPr="00B1061C">
        <w:rPr>
          <w:rFonts w:asciiTheme="majorHAnsi" w:eastAsia="Calibri" w:hAnsiTheme="majorHAnsi" w:cstheme="majorHAnsi"/>
          <w:sz w:val="24"/>
          <w:szCs w:val="24"/>
          <w:lang w:val="ro-RO"/>
        </w:rPr>
        <w:t>Supraevaluare</w:t>
      </w:r>
      <w:r w:rsidR="005733AF" w:rsidRPr="00B1061C">
        <w:rPr>
          <w:rFonts w:asciiTheme="majorHAnsi" w:eastAsia="Calibri" w:hAnsiTheme="majorHAnsi" w:cstheme="majorHAnsi"/>
          <w:sz w:val="24"/>
          <w:szCs w:val="24"/>
          <w:lang w:val="ro-RO"/>
        </w:rPr>
        <w:t>a</w:t>
      </w:r>
      <w:r w:rsidRPr="00B1061C">
        <w:rPr>
          <w:rFonts w:asciiTheme="majorHAnsi" w:eastAsia="Calibri" w:hAnsiTheme="majorHAnsi" w:cstheme="majorHAnsi"/>
          <w:sz w:val="24"/>
          <w:szCs w:val="24"/>
          <w:lang w:val="ro-RO"/>
        </w:rPr>
        <w:t xml:space="preserve"> </w:t>
      </w:r>
      <w:r w:rsidR="00C16CD2" w:rsidRPr="00B1061C">
        <w:rPr>
          <w:rFonts w:asciiTheme="majorHAnsi" w:eastAsia="Calibri" w:hAnsiTheme="majorHAnsi" w:cstheme="majorHAnsi"/>
          <w:sz w:val="24"/>
          <w:szCs w:val="24"/>
          <w:lang w:val="ro-RO"/>
        </w:rPr>
        <w:t xml:space="preserve">valorii </w:t>
      </w:r>
      <w:r w:rsidRPr="00B1061C">
        <w:rPr>
          <w:rFonts w:asciiTheme="majorHAnsi" w:eastAsia="Calibri" w:hAnsiTheme="majorHAnsi" w:cstheme="majorHAnsi"/>
          <w:sz w:val="24"/>
          <w:szCs w:val="24"/>
          <w:lang w:val="ro-RO"/>
        </w:rPr>
        <w:t xml:space="preserve">contului 2225 „Servicii de reparații curente” cu suma de 1180,0 </w:t>
      </w:r>
      <w:r w:rsidRPr="00B1061C">
        <w:rPr>
          <w:rFonts w:asciiTheme="majorHAnsi" w:eastAsia="Calibri" w:hAnsiTheme="majorHAnsi" w:cstheme="majorHAnsi"/>
          <w:sz w:val="24"/>
          <w:szCs w:val="24"/>
          <w:lang w:val="ro-MD"/>
        </w:rPr>
        <w:t>mii lei,</w:t>
      </w:r>
      <w:r w:rsidRPr="00B1061C">
        <w:rPr>
          <w:rFonts w:asciiTheme="majorHAnsi" w:eastAsia="Calibri" w:hAnsiTheme="majorHAnsi" w:cstheme="majorHAnsi"/>
          <w:sz w:val="24"/>
          <w:szCs w:val="24"/>
          <w:lang w:val="ro-RO"/>
        </w:rPr>
        <w:t xml:space="preserve"> </w:t>
      </w:r>
      <w:r w:rsidR="00876CB6" w:rsidRPr="00B1061C">
        <w:rPr>
          <w:rFonts w:asciiTheme="majorHAnsi" w:eastAsia="Calibri" w:hAnsiTheme="majorHAnsi" w:cstheme="majorHAnsi"/>
          <w:sz w:val="24"/>
          <w:szCs w:val="24"/>
          <w:lang w:val="ro-RO"/>
        </w:rPr>
        <w:t>ca urmare a contabilizării unor tranzacții de reparație capitală</w:t>
      </w:r>
      <w:r w:rsidR="00876CB6" w:rsidRPr="00B1061C">
        <w:rPr>
          <w:rStyle w:val="aa"/>
          <w:rFonts w:asciiTheme="majorHAnsi" w:eastAsia="Calibri" w:hAnsiTheme="majorHAnsi" w:cstheme="majorHAnsi"/>
          <w:sz w:val="24"/>
          <w:szCs w:val="24"/>
          <w:lang w:val="ro-RO"/>
        </w:rPr>
        <w:footnoteReference w:id="10"/>
      </w:r>
      <w:r w:rsidR="00876CB6" w:rsidRPr="00B1061C">
        <w:rPr>
          <w:rFonts w:asciiTheme="majorHAnsi" w:eastAsia="Calibri" w:hAnsiTheme="majorHAnsi" w:cstheme="majorHAnsi"/>
          <w:sz w:val="24"/>
          <w:szCs w:val="24"/>
          <w:lang w:val="ro-RO"/>
        </w:rPr>
        <w:t xml:space="preserve"> ca cheltuieli curente, ceea ce a dus la s</w:t>
      </w:r>
      <w:r w:rsidR="005D717C" w:rsidRPr="00B1061C">
        <w:rPr>
          <w:rFonts w:asciiTheme="majorHAnsi" w:eastAsia="Calibri" w:hAnsiTheme="majorHAnsi" w:cstheme="majorHAnsi"/>
          <w:sz w:val="24"/>
          <w:szCs w:val="24"/>
          <w:lang w:val="ro-RO"/>
        </w:rPr>
        <w:t>ubevaluarea valorii mijloacelor fixe</w:t>
      </w:r>
      <w:r w:rsidR="00876CB6" w:rsidRPr="00B1061C">
        <w:rPr>
          <w:rStyle w:val="aa"/>
          <w:rFonts w:asciiTheme="majorHAnsi" w:eastAsia="Calibri" w:hAnsiTheme="majorHAnsi" w:cstheme="majorHAnsi"/>
          <w:sz w:val="24"/>
          <w:szCs w:val="24"/>
          <w:lang w:val="ro-RO"/>
        </w:rPr>
        <w:footnoteReference w:id="11"/>
      </w:r>
      <w:r w:rsidR="00693E7D" w:rsidRPr="00B1061C">
        <w:rPr>
          <w:rFonts w:asciiTheme="majorHAnsi" w:eastAsia="Calibri" w:hAnsiTheme="majorHAnsi" w:cstheme="majorHAnsi"/>
          <w:sz w:val="24"/>
          <w:szCs w:val="24"/>
          <w:lang w:val="ro-RO"/>
        </w:rPr>
        <w:t>;</w:t>
      </w:r>
    </w:p>
    <w:p w:rsidR="004E0346" w:rsidRPr="00876CB6" w:rsidRDefault="00876CB6" w:rsidP="00D33582">
      <w:pPr>
        <w:pStyle w:val="ab"/>
        <w:numPr>
          <w:ilvl w:val="1"/>
          <w:numId w:val="20"/>
        </w:numPr>
        <w:tabs>
          <w:tab w:val="left" w:pos="0"/>
          <w:tab w:val="left" w:pos="1134"/>
          <w:tab w:val="left" w:pos="1276"/>
        </w:tabs>
        <w:spacing w:after="0" w:line="276" w:lineRule="auto"/>
        <w:ind w:left="0" w:firstLine="709"/>
        <w:jc w:val="both"/>
        <w:rPr>
          <w:rFonts w:asciiTheme="majorHAnsi" w:hAnsiTheme="majorHAnsi" w:cstheme="majorHAnsi"/>
          <w:sz w:val="24"/>
          <w:szCs w:val="24"/>
          <w:lang w:val="ro-MD" w:eastAsia="lv-LV"/>
        </w:rPr>
      </w:pPr>
      <w:r w:rsidRPr="00B1061C">
        <w:rPr>
          <w:rFonts w:asciiTheme="majorHAnsi" w:hAnsiTheme="majorHAnsi" w:cstheme="majorHAnsi"/>
          <w:sz w:val="24"/>
          <w:szCs w:val="24"/>
          <w:lang w:val="ro-MD"/>
        </w:rPr>
        <w:t>Clasificarea neconformă a bunurilor în</w:t>
      </w:r>
      <w:r>
        <w:rPr>
          <w:rFonts w:asciiTheme="majorHAnsi" w:hAnsiTheme="majorHAnsi" w:cstheme="majorHAnsi"/>
          <w:sz w:val="24"/>
          <w:szCs w:val="24"/>
          <w:lang w:val="ro-MD"/>
        </w:rPr>
        <w:t xml:space="preserve"> </w:t>
      </w:r>
      <w:r w:rsidRPr="00AC0F8B">
        <w:rPr>
          <w:rFonts w:asciiTheme="majorHAnsi" w:hAnsiTheme="majorHAnsi" w:cstheme="majorHAnsi"/>
          <w:sz w:val="24"/>
          <w:szCs w:val="24"/>
          <w:lang w:val="ro-MD"/>
        </w:rPr>
        <w:t xml:space="preserve">valoare </w:t>
      </w:r>
      <w:r w:rsidRPr="00AC0F8B">
        <w:rPr>
          <w:rFonts w:asciiTheme="majorHAnsi" w:eastAsia="Times New Roman" w:hAnsiTheme="majorHAnsi" w:cstheme="majorHAnsi"/>
          <w:sz w:val="24"/>
          <w:szCs w:val="24"/>
          <w:lang w:val="ro-MD"/>
        </w:rPr>
        <w:t>de 3201,6 mii lei</w:t>
      </w:r>
      <w:r w:rsidRPr="00AC0F8B">
        <w:rPr>
          <w:rFonts w:asciiTheme="majorHAnsi" w:hAnsiTheme="majorHAnsi" w:cstheme="majorHAnsi"/>
          <w:sz w:val="24"/>
          <w:szCs w:val="24"/>
          <w:lang w:val="ro-MD"/>
        </w:rPr>
        <w:t xml:space="preserve"> a dus la denaturarea valorii </w:t>
      </w:r>
      <w:r w:rsidR="00BF1F81" w:rsidRPr="00AC0F8B">
        <w:rPr>
          <w:rFonts w:asciiTheme="majorHAnsi" w:hAnsiTheme="majorHAnsi" w:cstheme="majorHAnsi"/>
          <w:sz w:val="24"/>
          <w:szCs w:val="24"/>
          <w:lang w:val="ro-MD"/>
        </w:rPr>
        <w:t>conturilor „Mijloace fixe”, „Stocuri de materiale circulante”</w:t>
      </w:r>
      <w:r w:rsidR="00BF1F81" w:rsidRPr="00AC0F8B">
        <w:rPr>
          <w:rStyle w:val="aa"/>
          <w:rFonts w:asciiTheme="majorHAnsi" w:eastAsia="Times New Roman" w:hAnsiTheme="majorHAnsi" w:cstheme="majorHAnsi"/>
          <w:sz w:val="24"/>
          <w:szCs w:val="24"/>
          <w:lang w:val="ro-MD"/>
        </w:rPr>
        <w:footnoteReference w:id="12"/>
      </w:r>
      <w:r w:rsidR="00693E7D" w:rsidRPr="00AC0F8B">
        <w:rPr>
          <w:rFonts w:asciiTheme="majorHAnsi" w:eastAsia="Times New Roman" w:hAnsiTheme="majorHAnsi" w:cstheme="majorHAnsi"/>
          <w:sz w:val="24"/>
          <w:szCs w:val="24"/>
          <w:lang w:val="ro-MD"/>
        </w:rPr>
        <w:t>.</w:t>
      </w:r>
      <w:r w:rsidR="00693E7D" w:rsidRPr="00876CB6">
        <w:rPr>
          <w:rFonts w:asciiTheme="majorHAnsi" w:eastAsia="Times New Roman" w:hAnsiTheme="majorHAnsi" w:cstheme="majorHAnsi"/>
          <w:sz w:val="24"/>
          <w:szCs w:val="24"/>
          <w:lang w:val="ro-MD"/>
        </w:rPr>
        <w:t xml:space="preserve"> </w:t>
      </w:r>
    </w:p>
    <w:p w:rsidR="007E5D94" w:rsidRPr="0060078E" w:rsidRDefault="006913DF" w:rsidP="00D33582">
      <w:pPr>
        <w:tabs>
          <w:tab w:val="left" w:pos="0"/>
          <w:tab w:val="left" w:pos="709"/>
        </w:tabs>
        <w:spacing w:after="0" w:line="276" w:lineRule="auto"/>
        <w:ind w:firstLine="709"/>
        <w:jc w:val="both"/>
        <w:rPr>
          <w:rFonts w:asciiTheme="majorHAnsi" w:eastAsia="Times New Roman" w:hAnsiTheme="majorHAnsi" w:cstheme="majorHAnsi"/>
          <w:sz w:val="24"/>
          <w:szCs w:val="24"/>
          <w:lang w:val="ro-RO"/>
        </w:rPr>
      </w:pPr>
      <w:r w:rsidRPr="003A5991">
        <w:rPr>
          <w:rFonts w:asciiTheme="majorHAnsi" w:eastAsia="Times New Roman" w:hAnsiTheme="majorHAnsi" w:cstheme="majorHAnsi"/>
          <w:sz w:val="24"/>
          <w:szCs w:val="24"/>
          <w:lang w:val="ro-RO"/>
        </w:rPr>
        <w:t xml:space="preserve">Am realizat misiunea de audit în conformitate cu Standardele Internaționale </w:t>
      </w:r>
      <w:r w:rsidR="00123E1B">
        <w:rPr>
          <w:rFonts w:asciiTheme="majorHAnsi" w:eastAsia="Times New Roman" w:hAnsiTheme="majorHAnsi" w:cstheme="majorHAnsi"/>
          <w:sz w:val="24"/>
          <w:szCs w:val="24"/>
          <w:lang w:val="ro-RO"/>
        </w:rPr>
        <w:t xml:space="preserve">ale Instituțiilor Supreme </w:t>
      </w:r>
      <w:r w:rsidRPr="003A5991">
        <w:rPr>
          <w:rFonts w:asciiTheme="majorHAnsi" w:eastAsia="Times New Roman" w:hAnsiTheme="majorHAnsi" w:cstheme="majorHAnsi"/>
          <w:sz w:val="24"/>
          <w:szCs w:val="24"/>
          <w:lang w:val="ro-RO"/>
        </w:rPr>
        <w:t>de Audit</w:t>
      </w:r>
      <w:r w:rsidRPr="003A5991">
        <w:rPr>
          <w:rFonts w:asciiTheme="majorHAnsi" w:eastAsia="Times New Roman" w:hAnsiTheme="majorHAnsi" w:cstheme="majorHAnsi"/>
          <w:sz w:val="24"/>
          <w:szCs w:val="24"/>
          <w:vertAlign w:val="superscript"/>
          <w:lang w:val="ro-RO"/>
        </w:rPr>
        <w:footnoteReference w:id="13"/>
      </w:r>
      <w:r w:rsidRPr="003A5991">
        <w:rPr>
          <w:rFonts w:asciiTheme="majorHAnsi" w:eastAsia="Times New Roman" w:hAnsiTheme="majorHAnsi" w:cstheme="majorHAnsi"/>
          <w:sz w:val="24"/>
          <w:szCs w:val="24"/>
          <w:lang w:val="ro-RO"/>
        </w:rPr>
        <w:t xml:space="preserve">. Responsabilitățile noastre, potrivit standardelor respective, sunt expuse în secțiunea </w:t>
      </w:r>
      <w:r w:rsidRPr="003A5991">
        <w:rPr>
          <w:rFonts w:asciiTheme="majorHAnsi" w:eastAsia="Times New Roman" w:hAnsiTheme="majorHAnsi" w:cstheme="majorHAnsi"/>
          <w:i/>
          <w:sz w:val="24"/>
          <w:szCs w:val="24"/>
          <w:lang w:val="ro-RO"/>
        </w:rPr>
        <w:t>Responsabilitatea auditorului într-un audit al</w:t>
      </w:r>
      <w:r w:rsidR="007A03AE">
        <w:rPr>
          <w:rFonts w:asciiTheme="majorHAnsi" w:eastAsia="Times New Roman" w:hAnsiTheme="majorHAnsi" w:cstheme="majorHAnsi"/>
          <w:i/>
          <w:sz w:val="24"/>
          <w:szCs w:val="24"/>
          <w:lang w:val="ro-RO"/>
        </w:rPr>
        <w:t xml:space="preserve"> rapoartelor</w:t>
      </w:r>
      <w:r w:rsidRPr="003A5991">
        <w:rPr>
          <w:rFonts w:asciiTheme="majorHAnsi" w:eastAsia="Times New Roman" w:hAnsiTheme="majorHAnsi" w:cstheme="majorHAnsi"/>
          <w:i/>
          <w:sz w:val="24"/>
          <w:szCs w:val="24"/>
          <w:lang w:val="ro-RO"/>
        </w:rPr>
        <w:t xml:space="preserve"> financiare</w:t>
      </w:r>
      <w:r w:rsidRPr="003A5991">
        <w:rPr>
          <w:rFonts w:asciiTheme="majorHAnsi" w:eastAsia="Times New Roman" w:hAnsiTheme="majorHAnsi" w:cstheme="majorHAnsi"/>
          <w:sz w:val="24"/>
          <w:szCs w:val="24"/>
          <w:lang w:val="ro-RO"/>
        </w:rPr>
        <w:t xml:space="preserve"> din prezentul Raport. </w:t>
      </w:r>
      <w:r w:rsidRPr="003A5991">
        <w:rPr>
          <w:rFonts w:asciiTheme="majorHAnsi" w:eastAsia="Calibri" w:hAnsiTheme="majorHAnsi" w:cstheme="majorHAnsi"/>
          <w:sz w:val="24"/>
          <w:szCs w:val="24"/>
          <w:lang w:val="ro-RO"/>
        </w:rPr>
        <w:t>Suntem independenți față de entitatea auditată și am îndeplinit responsabilitățile de etică conform cerințelor Codului etic al Curții de Conturi. Considerăm că probele de audit obținute sunt suficiente și adecvate pentru a furniza o bază pentru opinia noastră.</w:t>
      </w:r>
    </w:p>
    <w:p w:rsidR="004C3C93" w:rsidRPr="00D13DB5" w:rsidRDefault="00D13DB5" w:rsidP="00D13DB5">
      <w:pPr>
        <w:tabs>
          <w:tab w:val="left" w:pos="0"/>
          <w:tab w:val="left" w:pos="284"/>
        </w:tabs>
        <w:spacing w:before="120" w:after="0" w:line="276" w:lineRule="auto"/>
        <w:jc w:val="center"/>
        <w:outlineLvl w:val="0"/>
        <w:rPr>
          <w:rFonts w:asciiTheme="majorHAnsi" w:eastAsia="Times New Roman" w:hAnsiTheme="majorHAnsi" w:cstheme="majorHAnsi"/>
          <w:b/>
          <w:sz w:val="28"/>
          <w:szCs w:val="28"/>
          <w:lang w:val="ro-RO"/>
        </w:rPr>
      </w:pPr>
      <w:bookmarkStart w:id="3" w:name="_Toc529533667"/>
      <w:r>
        <w:rPr>
          <w:rFonts w:asciiTheme="majorHAnsi" w:eastAsia="Times New Roman" w:hAnsiTheme="majorHAnsi" w:cstheme="majorHAnsi"/>
          <w:b/>
          <w:sz w:val="28"/>
          <w:szCs w:val="28"/>
          <w:lang w:val="ro-RO"/>
        </w:rPr>
        <w:t>III.</w:t>
      </w:r>
      <w:r w:rsidR="00C67CC1" w:rsidRPr="00D13DB5">
        <w:rPr>
          <w:rFonts w:asciiTheme="majorHAnsi" w:eastAsia="Times New Roman" w:hAnsiTheme="majorHAnsi" w:cstheme="majorHAnsi"/>
          <w:b/>
          <w:sz w:val="28"/>
          <w:szCs w:val="28"/>
          <w:lang w:val="ro-RO"/>
        </w:rPr>
        <w:t xml:space="preserve"> </w:t>
      </w:r>
      <w:r w:rsidR="00284145" w:rsidRPr="00D13DB5">
        <w:rPr>
          <w:rFonts w:asciiTheme="majorHAnsi" w:eastAsia="Times New Roman" w:hAnsiTheme="majorHAnsi" w:cstheme="majorHAnsi"/>
          <w:b/>
          <w:sz w:val="28"/>
          <w:szCs w:val="28"/>
          <w:lang w:val="ro-RO"/>
        </w:rPr>
        <w:t>PARAGRAF DE EVIDENȚIERE A UNOR ASPECTE</w:t>
      </w:r>
    </w:p>
    <w:p w:rsidR="00284145" w:rsidRDefault="0052679E" w:rsidP="004F7426">
      <w:pPr>
        <w:tabs>
          <w:tab w:val="left" w:pos="0"/>
          <w:tab w:val="left" w:pos="709"/>
        </w:tabs>
        <w:spacing w:after="0" w:line="276" w:lineRule="auto"/>
        <w:ind w:firstLine="709"/>
        <w:jc w:val="both"/>
        <w:rPr>
          <w:rFonts w:ascii="Calibri Light" w:eastAsia="Calibri" w:hAnsi="Calibri Light" w:cs="Calibri Light"/>
          <w:sz w:val="24"/>
          <w:szCs w:val="24"/>
          <w:lang w:val="ro-MD"/>
        </w:rPr>
      </w:pPr>
      <w:r w:rsidRPr="004C3C93">
        <w:rPr>
          <w:rFonts w:ascii="Calibri Light" w:eastAsia="Calibri" w:hAnsi="Calibri Light" w:cs="Calibri Light"/>
          <w:sz w:val="24"/>
          <w:szCs w:val="24"/>
          <w:lang w:val="ro-MD"/>
        </w:rPr>
        <w:t>În conte</w:t>
      </w:r>
      <w:r w:rsidR="00F37E90" w:rsidRPr="004C3C93">
        <w:rPr>
          <w:rFonts w:ascii="Calibri Light" w:eastAsia="Calibri" w:hAnsi="Calibri Light" w:cs="Calibri Light"/>
          <w:sz w:val="24"/>
          <w:szCs w:val="24"/>
          <w:lang w:val="ro-MD"/>
        </w:rPr>
        <w:t>x</w:t>
      </w:r>
      <w:r w:rsidRPr="004C3C93">
        <w:rPr>
          <w:rFonts w:ascii="Calibri Light" w:eastAsia="Calibri" w:hAnsi="Calibri Light" w:cs="Calibri Light"/>
          <w:sz w:val="24"/>
          <w:szCs w:val="24"/>
          <w:lang w:val="ro-MD"/>
        </w:rPr>
        <w:t xml:space="preserve">tul denaturărilor evidențiate în </w:t>
      </w:r>
      <w:r w:rsidR="00514CA0">
        <w:rPr>
          <w:rFonts w:ascii="Calibri Light" w:eastAsia="Calibri" w:hAnsi="Calibri Light" w:cs="Calibri Light"/>
          <w:sz w:val="24"/>
          <w:szCs w:val="24"/>
          <w:lang w:val="ro-MD"/>
        </w:rPr>
        <w:t xml:space="preserve">secțiunea </w:t>
      </w:r>
      <w:r w:rsidRPr="00514CA0">
        <w:rPr>
          <w:rFonts w:ascii="Calibri Light" w:eastAsia="Calibri" w:hAnsi="Calibri Light" w:cs="Calibri Light"/>
          <w:i/>
          <w:sz w:val="24"/>
          <w:szCs w:val="24"/>
          <w:lang w:val="ro-MD"/>
        </w:rPr>
        <w:t>Baza pentru opini</w:t>
      </w:r>
      <w:r w:rsidR="00123E1B">
        <w:rPr>
          <w:rFonts w:ascii="Calibri Light" w:eastAsia="Calibri" w:hAnsi="Calibri Light" w:cs="Calibri Light"/>
          <w:i/>
          <w:sz w:val="24"/>
          <w:szCs w:val="24"/>
          <w:lang w:val="ro-MD"/>
        </w:rPr>
        <w:t>a</w:t>
      </w:r>
      <w:r w:rsidRPr="00514CA0">
        <w:rPr>
          <w:rFonts w:ascii="Calibri Light" w:eastAsia="Calibri" w:hAnsi="Calibri Light" w:cs="Calibri Light"/>
          <w:i/>
          <w:sz w:val="24"/>
          <w:szCs w:val="24"/>
          <w:lang w:val="ro-MD"/>
        </w:rPr>
        <w:t xml:space="preserve"> </w:t>
      </w:r>
      <w:r w:rsidR="00F37E90" w:rsidRPr="00514CA0">
        <w:rPr>
          <w:rFonts w:ascii="Calibri Light" w:eastAsia="Calibri" w:hAnsi="Calibri Light" w:cs="Calibri Light"/>
          <w:i/>
          <w:sz w:val="24"/>
          <w:szCs w:val="24"/>
          <w:lang w:val="ro-MD"/>
        </w:rPr>
        <w:t>contrară</w:t>
      </w:r>
      <w:r w:rsidR="00F37E90" w:rsidRPr="004C3C93">
        <w:rPr>
          <w:rFonts w:ascii="Calibri Light" w:eastAsia="Calibri" w:hAnsi="Calibri Light" w:cs="Calibri Light"/>
          <w:sz w:val="24"/>
          <w:szCs w:val="24"/>
          <w:lang w:val="ro-MD"/>
        </w:rPr>
        <w:t>, ț</w:t>
      </w:r>
      <w:r w:rsidRPr="004C3C93">
        <w:rPr>
          <w:rFonts w:ascii="Calibri Light" w:eastAsia="Calibri" w:hAnsi="Calibri Light" w:cs="Calibri Light"/>
          <w:sz w:val="24"/>
          <w:szCs w:val="24"/>
          <w:lang w:val="ro-MD"/>
        </w:rPr>
        <w:t xml:space="preserve">inem să </w:t>
      </w:r>
      <w:r w:rsidR="00123E1B">
        <w:rPr>
          <w:rFonts w:ascii="Calibri Light" w:eastAsia="Calibri" w:hAnsi="Calibri Light" w:cs="Calibri Light"/>
          <w:sz w:val="24"/>
          <w:szCs w:val="24"/>
          <w:lang w:val="ro-MD"/>
        </w:rPr>
        <w:t xml:space="preserve">atragem </w:t>
      </w:r>
      <w:r w:rsidRPr="004C3C93">
        <w:rPr>
          <w:rFonts w:ascii="Calibri Light" w:eastAsia="Calibri" w:hAnsi="Calibri Light" w:cs="Calibri Light"/>
          <w:sz w:val="24"/>
          <w:szCs w:val="24"/>
          <w:lang w:val="ro-MD"/>
        </w:rPr>
        <w:t>atenți</w:t>
      </w:r>
      <w:r w:rsidR="00123E1B">
        <w:rPr>
          <w:rFonts w:ascii="Calibri Light" w:eastAsia="Calibri" w:hAnsi="Calibri Light" w:cs="Calibri Light"/>
          <w:sz w:val="24"/>
          <w:szCs w:val="24"/>
          <w:lang w:val="ro-MD"/>
        </w:rPr>
        <w:t>a</w:t>
      </w:r>
      <w:r w:rsidRPr="004C3C93">
        <w:rPr>
          <w:rFonts w:ascii="Calibri Light" w:eastAsia="Calibri" w:hAnsi="Calibri Light" w:cs="Calibri Light"/>
          <w:sz w:val="24"/>
          <w:szCs w:val="24"/>
          <w:lang w:val="ro-MD"/>
        </w:rPr>
        <w:t xml:space="preserve"> asupra</w:t>
      </w:r>
      <w:r w:rsidR="00F37E90" w:rsidRPr="004C3C93">
        <w:rPr>
          <w:rFonts w:ascii="Calibri Light" w:eastAsia="Calibri" w:hAnsi="Calibri Light" w:cs="Calibri Light"/>
          <w:sz w:val="24"/>
          <w:szCs w:val="24"/>
          <w:lang w:val="ro-MD"/>
        </w:rPr>
        <w:t xml:space="preserve"> următoarelor aspecte</w:t>
      </w:r>
      <w:r w:rsidR="0041608A">
        <w:rPr>
          <w:rFonts w:ascii="Calibri Light" w:eastAsia="Calibri" w:hAnsi="Calibri Light" w:cs="Calibri Light"/>
          <w:sz w:val="24"/>
          <w:szCs w:val="24"/>
          <w:lang w:val="ro-MD"/>
        </w:rPr>
        <w:t>,</w:t>
      </w:r>
      <w:r w:rsidR="00F37E90" w:rsidRPr="004C3C93">
        <w:rPr>
          <w:rFonts w:ascii="Calibri Light" w:eastAsia="Calibri" w:hAnsi="Calibri Light" w:cs="Calibri Light"/>
          <w:sz w:val="24"/>
          <w:szCs w:val="24"/>
          <w:lang w:val="ro-MD"/>
        </w:rPr>
        <w:t xml:space="preserve"> </w:t>
      </w:r>
      <w:r w:rsidR="0041608A">
        <w:rPr>
          <w:rFonts w:ascii="Calibri Light" w:eastAsia="Calibri" w:hAnsi="Calibri Light" w:cs="Calibri Light"/>
          <w:sz w:val="24"/>
          <w:szCs w:val="24"/>
          <w:lang w:val="ro-MD"/>
        </w:rPr>
        <w:t xml:space="preserve">care </w:t>
      </w:r>
      <w:r w:rsidR="0041608A" w:rsidRPr="0041608A">
        <w:rPr>
          <w:rFonts w:ascii="Calibri Light" w:eastAsia="Calibri" w:hAnsi="Calibri Light" w:cs="Calibri Light"/>
          <w:sz w:val="24"/>
          <w:szCs w:val="24"/>
          <w:lang w:val="ro-MD"/>
        </w:rPr>
        <w:t xml:space="preserve">au </w:t>
      </w:r>
      <w:r w:rsidR="00F37E90" w:rsidRPr="0041608A">
        <w:rPr>
          <w:rFonts w:ascii="Calibri Light" w:eastAsia="Calibri" w:hAnsi="Calibri Light" w:cs="Calibri Light"/>
          <w:sz w:val="24"/>
          <w:szCs w:val="24"/>
          <w:lang w:val="ro-MD"/>
        </w:rPr>
        <w:t>tangen</w:t>
      </w:r>
      <w:r w:rsidR="0041608A" w:rsidRPr="00C2094D">
        <w:rPr>
          <w:rFonts w:ascii="Calibri Light" w:eastAsia="Calibri" w:hAnsi="Calibri Light" w:cs="Calibri Light"/>
          <w:sz w:val="24"/>
          <w:szCs w:val="24"/>
          <w:lang w:val="ro-MD"/>
        </w:rPr>
        <w:t>ță cu</w:t>
      </w:r>
      <w:r w:rsidR="00F37E90" w:rsidRPr="0041608A">
        <w:rPr>
          <w:rFonts w:ascii="Calibri Light" w:eastAsia="Calibri" w:hAnsi="Calibri Light" w:cs="Calibri Light"/>
          <w:sz w:val="24"/>
          <w:szCs w:val="24"/>
          <w:lang w:val="ro-MD"/>
        </w:rPr>
        <w:t xml:space="preserve"> cel</w:t>
      </w:r>
      <w:r w:rsidR="0041608A" w:rsidRPr="0041608A">
        <w:rPr>
          <w:rFonts w:ascii="Calibri Light" w:eastAsia="Calibri" w:hAnsi="Calibri Light" w:cs="Calibri Light"/>
          <w:sz w:val="24"/>
          <w:szCs w:val="24"/>
          <w:lang w:val="ro-MD"/>
        </w:rPr>
        <w:t>e</w:t>
      </w:r>
      <w:r w:rsidR="00F37E90" w:rsidRPr="0041608A">
        <w:rPr>
          <w:rFonts w:ascii="Calibri Light" w:eastAsia="Calibri" w:hAnsi="Calibri Light" w:cs="Calibri Light"/>
          <w:sz w:val="24"/>
          <w:szCs w:val="24"/>
          <w:lang w:val="ro-MD"/>
        </w:rPr>
        <w:t xml:space="preserve"> constatate</w:t>
      </w:r>
      <w:r w:rsidR="00F37E90" w:rsidRPr="008720DB">
        <w:rPr>
          <w:rFonts w:ascii="Calibri Light" w:eastAsia="Calibri" w:hAnsi="Calibri Light" w:cs="Calibri Light"/>
          <w:sz w:val="24"/>
          <w:szCs w:val="24"/>
          <w:lang w:val="ro-MD"/>
        </w:rPr>
        <w:t>:</w:t>
      </w:r>
    </w:p>
    <w:p w:rsidR="006E4025" w:rsidRPr="006E4025" w:rsidRDefault="006E4025" w:rsidP="006D7FE2">
      <w:pPr>
        <w:tabs>
          <w:tab w:val="left" w:pos="0"/>
        </w:tabs>
        <w:spacing w:after="0" w:line="276" w:lineRule="auto"/>
        <w:ind w:firstLine="709"/>
        <w:contextualSpacing/>
        <w:jc w:val="both"/>
        <w:rPr>
          <w:rFonts w:asciiTheme="majorHAnsi" w:eastAsia="Calibri" w:hAnsiTheme="majorHAnsi" w:cstheme="majorHAnsi"/>
          <w:sz w:val="24"/>
          <w:szCs w:val="24"/>
          <w:lang w:val="ro-MD"/>
        </w:rPr>
      </w:pPr>
      <w:r>
        <w:rPr>
          <w:rFonts w:asciiTheme="majorHAnsi" w:eastAsia="Calibri" w:hAnsiTheme="majorHAnsi" w:cstheme="majorHAnsi"/>
          <w:b/>
          <w:sz w:val="24"/>
          <w:szCs w:val="24"/>
          <w:lang w:val="ro-MD"/>
        </w:rPr>
        <w:t>3.1</w:t>
      </w:r>
      <w:r w:rsidRPr="006E4025">
        <w:rPr>
          <w:rFonts w:asciiTheme="majorHAnsi" w:eastAsia="Calibri" w:hAnsiTheme="majorHAnsi" w:cstheme="majorHAnsi"/>
          <w:b/>
          <w:sz w:val="24"/>
          <w:szCs w:val="24"/>
          <w:lang w:val="ro-MD"/>
        </w:rPr>
        <w:t>.</w:t>
      </w:r>
      <w:r>
        <w:rPr>
          <w:rFonts w:asciiTheme="majorHAnsi" w:eastAsia="Calibri" w:hAnsiTheme="majorHAnsi" w:cstheme="majorHAnsi"/>
          <w:sz w:val="24"/>
          <w:szCs w:val="24"/>
          <w:lang w:val="ro-MD"/>
        </w:rPr>
        <w:t xml:space="preserve"> </w:t>
      </w:r>
      <w:r w:rsidR="00123E1B">
        <w:rPr>
          <w:rFonts w:asciiTheme="majorHAnsi" w:eastAsia="Calibri" w:hAnsiTheme="majorHAnsi" w:cstheme="majorHAnsi"/>
          <w:sz w:val="24"/>
          <w:szCs w:val="24"/>
          <w:lang w:val="ro-MD"/>
        </w:rPr>
        <w:t>Î</w:t>
      </w:r>
      <w:r w:rsidRPr="006E4025">
        <w:rPr>
          <w:rFonts w:asciiTheme="majorHAnsi" w:eastAsia="Calibri" w:hAnsiTheme="majorHAnsi" w:cstheme="majorHAnsi"/>
          <w:sz w:val="24"/>
          <w:szCs w:val="24"/>
          <w:lang w:val="ro-MD"/>
        </w:rPr>
        <w:t>ntocmirea Raportul</w:t>
      </w:r>
      <w:r w:rsidR="00123E1B">
        <w:rPr>
          <w:rFonts w:asciiTheme="majorHAnsi" w:eastAsia="Calibri" w:hAnsiTheme="majorHAnsi" w:cstheme="majorHAnsi"/>
          <w:sz w:val="24"/>
          <w:szCs w:val="24"/>
          <w:lang w:val="ro-MD"/>
        </w:rPr>
        <w:t>ui</w:t>
      </w:r>
      <w:r w:rsidRPr="006E4025">
        <w:rPr>
          <w:rFonts w:asciiTheme="majorHAnsi" w:eastAsia="Calibri" w:hAnsiTheme="majorHAnsi" w:cstheme="majorHAnsi"/>
          <w:sz w:val="24"/>
          <w:szCs w:val="24"/>
          <w:lang w:val="ro-MD"/>
        </w:rPr>
        <w:t xml:space="preserve"> narativ privind executarea bugetului de către serviciul economico-fina</w:t>
      </w:r>
      <w:r w:rsidR="006D7FE2">
        <w:rPr>
          <w:rFonts w:asciiTheme="majorHAnsi" w:eastAsia="Calibri" w:hAnsiTheme="majorHAnsi" w:cstheme="majorHAnsi"/>
          <w:sz w:val="24"/>
          <w:szCs w:val="24"/>
          <w:lang w:val="ro-MD"/>
        </w:rPr>
        <w:t>nciar al primăriei</w:t>
      </w:r>
      <w:r w:rsidR="00E4073A">
        <w:rPr>
          <w:rFonts w:asciiTheme="majorHAnsi" w:eastAsia="Calibri" w:hAnsiTheme="majorHAnsi" w:cstheme="majorHAnsi"/>
          <w:sz w:val="24"/>
          <w:szCs w:val="24"/>
          <w:lang w:val="ro-MD"/>
        </w:rPr>
        <w:t xml:space="preserve"> nu s-a realizat </w:t>
      </w:r>
      <w:r w:rsidR="00082FF3">
        <w:rPr>
          <w:rFonts w:asciiTheme="majorHAnsi" w:eastAsia="Calibri" w:hAnsiTheme="majorHAnsi" w:cstheme="majorHAnsi"/>
          <w:sz w:val="24"/>
          <w:szCs w:val="24"/>
          <w:lang w:val="ro-MD"/>
        </w:rPr>
        <w:t>conform</w:t>
      </w:r>
      <w:r w:rsidR="00E4073A">
        <w:rPr>
          <w:rFonts w:asciiTheme="majorHAnsi" w:eastAsia="Calibri" w:hAnsiTheme="majorHAnsi" w:cstheme="majorHAnsi"/>
          <w:sz w:val="24"/>
          <w:szCs w:val="24"/>
          <w:lang w:val="ro-MD"/>
        </w:rPr>
        <w:t xml:space="preserve"> </w:t>
      </w:r>
      <w:r w:rsidR="00082FF3">
        <w:rPr>
          <w:rFonts w:asciiTheme="majorHAnsi" w:eastAsia="Calibri" w:hAnsiTheme="majorHAnsi" w:cstheme="majorHAnsi"/>
          <w:sz w:val="24"/>
          <w:szCs w:val="24"/>
          <w:lang w:val="ro-MD"/>
        </w:rPr>
        <w:t>prevederil</w:t>
      </w:r>
      <w:r w:rsidR="00E4073A">
        <w:rPr>
          <w:rFonts w:asciiTheme="majorHAnsi" w:eastAsia="Calibri" w:hAnsiTheme="majorHAnsi" w:cstheme="majorHAnsi"/>
          <w:sz w:val="24"/>
          <w:szCs w:val="24"/>
          <w:lang w:val="ro-MD"/>
        </w:rPr>
        <w:t>or</w:t>
      </w:r>
      <w:r w:rsidR="00082FF3">
        <w:rPr>
          <w:rFonts w:asciiTheme="majorHAnsi" w:eastAsia="Calibri" w:hAnsiTheme="majorHAnsi" w:cstheme="majorHAnsi"/>
          <w:sz w:val="24"/>
          <w:szCs w:val="24"/>
          <w:lang w:val="ro-MD"/>
        </w:rPr>
        <w:t xml:space="preserve"> O</w:t>
      </w:r>
      <w:r w:rsidRPr="006E4025">
        <w:rPr>
          <w:rFonts w:asciiTheme="majorHAnsi" w:eastAsia="Calibri" w:hAnsiTheme="majorHAnsi" w:cstheme="majorHAnsi"/>
          <w:sz w:val="24"/>
          <w:szCs w:val="24"/>
          <w:lang w:val="ro-MD"/>
        </w:rPr>
        <w:t xml:space="preserve">rdinului ministrului finanțelor nr.164 din 30.12.2016. Astfel, Raportul a inclus în sine doar unele date statistice la partea de venituri și </w:t>
      </w:r>
      <w:r w:rsidR="00E4073A">
        <w:rPr>
          <w:rFonts w:asciiTheme="majorHAnsi" w:eastAsia="Calibri" w:hAnsiTheme="majorHAnsi" w:cstheme="majorHAnsi"/>
          <w:sz w:val="24"/>
          <w:szCs w:val="24"/>
          <w:lang w:val="ro-MD"/>
        </w:rPr>
        <w:t xml:space="preserve">partea de </w:t>
      </w:r>
      <w:r w:rsidRPr="006E4025">
        <w:rPr>
          <w:rFonts w:asciiTheme="majorHAnsi" w:eastAsia="Calibri" w:hAnsiTheme="majorHAnsi" w:cstheme="majorHAnsi"/>
          <w:sz w:val="24"/>
          <w:szCs w:val="24"/>
          <w:lang w:val="ro-MD"/>
        </w:rPr>
        <w:t>cheltuieli</w:t>
      </w:r>
      <w:r w:rsidR="00E4073A">
        <w:rPr>
          <w:rFonts w:asciiTheme="majorHAnsi" w:eastAsia="Calibri" w:hAnsiTheme="majorHAnsi" w:cstheme="majorHAnsi"/>
          <w:sz w:val="24"/>
          <w:szCs w:val="24"/>
          <w:lang w:val="ro-MD"/>
        </w:rPr>
        <w:t>,</w:t>
      </w:r>
      <w:r w:rsidRPr="006E4025">
        <w:rPr>
          <w:rFonts w:asciiTheme="majorHAnsi" w:eastAsia="Calibri" w:hAnsiTheme="majorHAnsi" w:cstheme="majorHAnsi"/>
          <w:sz w:val="24"/>
          <w:szCs w:val="24"/>
          <w:lang w:val="ro-MD"/>
        </w:rPr>
        <w:t xml:space="preserve"> și nu descrieri, argumentări, motivări și exemplificări privind: neexecutarea indicilor planificați/aprobați; evoluțiile și devierile înregistrate și modificările operate cu referire la indicatorii aprobați -  atât la partea de venituri, cât și la partea de cheltuieli.</w:t>
      </w:r>
    </w:p>
    <w:p w:rsidR="00F531B9" w:rsidRDefault="006E4025" w:rsidP="00F10977">
      <w:pPr>
        <w:tabs>
          <w:tab w:val="left" w:pos="0"/>
        </w:tabs>
        <w:spacing w:after="0" w:line="276" w:lineRule="auto"/>
        <w:ind w:firstLine="709"/>
        <w:contextualSpacing/>
        <w:jc w:val="both"/>
        <w:rPr>
          <w:rFonts w:asciiTheme="majorHAnsi" w:eastAsia="Calibri" w:hAnsiTheme="majorHAnsi" w:cstheme="majorHAnsi"/>
          <w:sz w:val="24"/>
          <w:szCs w:val="24"/>
          <w:lang w:val="ro-MD"/>
        </w:rPr>
      </w:pPr>
      <w:r w:rsidRPr="006E4025">
        <w:rPr>
          <w:rFonts w:asciiTheme="majorHAnsi" w:eastAsia="Calibri" w:hAnsiTheme="majorHAnsi" w:cstheme="majorHAnsi"/>
          <w:sz w:val="24"/>
          <w:szCs w:val="24"/>
          <w:lang w:val="ro-MD"/>
        </w:rPr>
        <w:t>De menționat că informația cu privire la raportarea pozițiilor bilanțiere, descrierea creanțelor și datoriilor, rezultatele inventarierii efectuate și ajutoarele umanitare intrate în posesia primăriei a fost documentată de către serviciul contabil al primăriei, dar nu s-a utilizat la întocmirea și prezentarea Raportului narativ privind executarea bugetelor autorităților/instituțiilor bugetare.</w:t>
      </w:r>
    </w:p>
    <w:p w:rsidR="00F01371" w:rsidRPr="00F479A8" w:rsidRDefault="00F01371" w:rsidP="00F10977">
      <w:pPr>
        <w:tabs>
          <w:tab w:val="left" w:pos="0"/>
        </w:tabs>
        <w:spacing w:after="0" w:line="276" w:lineRule="auto"/>
        <w:ind w:firstLine="709"/>
        <w:contextualSpacing/>
        <w:jc w:val="both"/>
        <w:rPr>
          <w:rFonts w:asciiTheme="majorHAnsi" w:eastAsia="Calibri" w:hAnsiTheme="majorHAnsi" w:cstheme="majorHAnsi"/>
          <w:sz w:val="24"/>
          <w:szCs w:val="24"/>
          <w:lang w:val="ro-MD"/>
        </w:rPr>
      </w:pPr>
      <w:r w:rsidRPr="00C2094D">
        <w:rPr>
          <w:rFonts w:asciiTheme="majorHAnsi" w:eastAsia="Times New Roman" w:hAnsiTheme="majorHAnsi" w:cstheme="majorHAnsi"/>
          <w:b/>
          <w:sz w:val="24"/>
          <w:szCs w:val="24"/>
          <w:lang w:val="ro-MD"/>
        </w:rPr>
        <w:t>3.2.</w:t>
      </w:r>
      <w:r>
        <w:rPr>
          <w:rFonts w:asciiTheme="majorHAnsi" w:eastAsia="Times New Roman" w:hAnsiTheme="majorHAnsi" w:cstheme="majorHAnsi"/>
          <w:sz w:val="24"/>
          <w:szCs w:val="24"/>
          <w:lang w:val="ro-MD"/>
        </w:rPr>
        <w:t xml:space="preserve"> </w:t>
      </w:r>
      <w:r w:rsidRPr="007B2D16">
        <w:rPr>
          <w:rFonts w:asciiTheme="majorHAnsi" w:eastAsia="Times New Roman" w:hAnsiTheme="majorHAnsi" w:cstheme="majorHAnsi"/>
          <w:sz w:val="24"/>
          <w:szCs w:val="24"/>
          <w:lang w:val="ro-MD"/>
        </w:rPr>
        <w:t>Necorespunderea prevederilor Ordinului ministrului finanțelor nr.216 din 28.12.2015 principiul</w:t>
      </w:r>
      <w:r>
        <w:rPr>
          <w:rFonts w:asciiTheme="majorHAnsi" w:eastAsia="Times New Roman" w:hAnsiTheme="majorHAnsi" w:cstheme="majorHAnsi"/>
          <w:sz w:val="24"/>
          <w:szCs w:val="24"/>
          <w:lang w:val="ro-MD"/>
        </w:rPr>
        <w:t>ui</w:t>
      </w:r>
      <w:r w:rsidRPr="007B2D16">
        <w:rPr>
          <w:rFonts w:asciiTheme="majorHAnsi" w:eastAsia="Times New Roman" w:hAnsiTheme="majorHAnsi" w:cstheme="majorHAnsi"/>
          <w:sz w:val="24"/>
          <w:szCs w:val="24"/>
          <w:lang w:val="ro-MD"/>
        </w:rPr>
        <w:t xml:space="preserve"> contabilității de angajamente a cauzat</w:t>
      </w:r>
      <w:r>
        <w:rPr>
          <w:rFonts w:asciiTheme="majorHAnsi" w:eastAsia="Times New Roman" w:hAnsiTheme="majorHAnsi" w:cstheme="majorHAnsi"/>
          <w:sz w:val="24"/>
          <w:szCs w:val="24"/>
          <w:lang w:val="ro-MD"/>
        </w:rPr>
        <w:t>:</w:t>
      </w:r>
      <w:r w:rsidRPr="007B2D16">
        <w:rPr>
          <w:rFonts w:asciiTheme="majorHAnsi" w:eastAsia="Times New Roman" w:hAnsiTheme="majorHAnsi" w:cstheme="majorHAnsi"/>
          <w:sz w:val="24"/>
          <w:szCs w:val="24"/>
          <w:lang w:val="ro-MD"/>
        </w:rPr>
        <w:t xml:space="preserve"> </w:t>
      </w:r>
      <w:r w:rsidRPr="001B17AE">
        <w:rPr>
          <w:rFonts w:asciiTheme="majorHAnsi" w:eastAsia="Times New Roman" w:hAnsiTheme="majorHAnsi" w:cstheme="majorHAnsi"/>
          <w:sz w:val="24"/>
          <w:szCs w:val="24"/>
          <w:lang w:val="ro-MD"/>
        </w:rPr>
        <w:t xml:space="preserve">diminuarea veniturilor efective </w:t>
      </w:r>
      <w:r w:rsidRPr="007E55A4">
        <w:rPr>
          <w:rFonts w:asciiTheme="majorHAnsi" w:eastAsia="Times New Roman" w:hAnsiTheme="majorHAnsi" w:cstheme="majorHAnsi"/>
          <w:sz w:val="24"/>
          <w:szCs w:val="24"/>
          <w:lang w:val="ro-MD"/>
        </w:rPr>
        <w:t xml:space="preserve">cu </w:t>
      </w:r>
      <w:r w:rsidRPr="00B1061C">
        <w:rPr>
          <w:rFonts w:asciiTheme="majorHAnsi" w:eastAsia="Times New Roman" w:hAnsiTheme="majorHAnsi" w:cstheme="majorHAnsi"/>
          <w:sz w:val="24"/>
          <w:szCs w:val="24"/>
          <w:lang w:val="ro-MD"/>
        </w:rPr>
        <w:t>97,4  mii lei</w:t>
      </w:r>
      <w:r w:rsidR="00861DB2" w:rsidRPr="00B1061C">
        <w:rPr>
          <w:rFonts w:asciiTheme="majorHAnsi" w:eastAsia="Times New Roman" w:hAnsiTheme="majorHAnsi" w:cstheme="majorHAnsi"/>
          <w:sz w:val="24"/>
          <w:szCs w:val="24"/>
          <w:lang w:val="ro-MD"/>
        </w:rPr>
        <w:t>,</w:t>
      </w:r>
      <w:r w:rsidRPr="00B1061C">
        <w:rPr>
          <w:rFonts w:asciiTheme="majorHAnsi" w:eastAsia="Times New Roman" w:hAnsiTheme="majorHAnsi" w:cstheme="majorHAnsi"/>
          <w:sz w:val="24"/>
          <w:szCs w:val="24"/>
          <w:lang w:val="ro-MD"/>
        </w:rPr>
        <w:t xml:space="preserve"> a creanțelor</w:t>
      </w:r>
      <w:r w:rsidR="00861DB2" w:rsidRPr="00B1061C">
        <w:rPr>
          <w:rFonts w:asciiTheme="majorHAnsi" w:eastAsia="Times New Roman" w:hAnsiTheme="majorHAnsi" w:cstheme="majorHAnsi"/>
          <w:sz w:val="24"/>
          <w:szCs w:val="24"/>
          <w:lang w:val="ro-MD"/>
        </w:rPr>
        <w:t xml:space="preserve"> -</w:t>
      </w:r>
      <w:r w:rsidRPr="00B1061C">
        <w:rPr>
          <w:rFonts w:asciiTheme="majorHAnsi" w:eastAsia="Times New Roman" w:hAnsiTheme="majorHAnsi" w:cstheme="majorHAnsi"/>
          <w:sz w:val="24"/>
          <w:szCs w:val="24"/>
          <w:lang w:val="ro-MD"/>
        </w:rPr>
        <w:t xml:space="preserve"> cu suma de 428,9 mii lei</w:t>
      </w:r>
      <w:r w:rsidR="00861DB2" w:rsidRPr="00B1061C">
        <w:rPr>
          <w:rFonts w:asciiTheme="majorHAnsi" w:eastAsia="Times New Roman" w:hAnsiTheme="majorHAnsi" w:cstheme="majorHAnsi"/>
          <w:sz w:val="24"/>
          <w:szCs w:val="24"/>
          <w:lang w:val="ro-MD"/>
        </w:rPr>
        <w:t>,</w:t>
      </w:r>
      <w:r w:rsidRPr="00B1061C">
        <w:rPr>
          <w:rFonts w:asciiTheme="majorHAnsi" w:eastAsia="Times New Roman" w:hAnsiTheme="majorHAnsi" w:cstheme="majorHAnsi"/>
          <w:sz w:val="24"/>
          <w:szCs w:val="24"/>
          <w:lang w:val="ro-MD"/>
        </w:rPr>
        <w:t xml:space="preserve"> și </w:t>
      </w:r>
      <w:r w:rsidR="00861DB2" w:rsidRPr="00B1061C">
        <w:rPr>
          <w:rFonts w:asciiTheme="majorHAnsi" w:eastAsia="Times New Roman" w:hAnsiTheme="majorHAnsi" w:cstheme="majorHAnsi"/>
          <w:sz w:val="24"/>
          <w:szCs w:val="24"/>
          <w:lang w:val="ro-MD"/>
        </w:rPr>
        <w:t xml:space="preserve">a </w:t>
      </w:r>
      <w:r w:rsidRPr="00B1061C">
        <w:rPr>
          <w:rFonts w:asciiTheme="majorHAnsi" w:eastAsia="Times New Roman" w:hAnsiTheme="majorHAnsi" w:cstheme="majorHAnsi"/>
          <w:sz w:val="24"/>
          <w:szCs w:val="24"/>
          <w:lang w:val="ro-MD"/>
        </w:rPr>
        <w:t xml:space="preserve">datoriilor </w:t>
      </w:r>
      <w:r w:rsidR="00861DB2" w:rsidRPr="00B1061C">
        <w:rPr>
          <w:rFonts w:asciiTheme="majorHAnsi" w:eastAsia="Times New Roman" w:hAnsiTheme="majorHAnsi" w:cstheme="majorHAnsi"/>
          <w:sz w:val="24"/>
          <w:szCs w:val="24"/>
          <w:lang w:val="ro-MD"/>
        </w:rPr>
        <w:t xml:space="preserve">- </w:t>
      </w:r>
      <w:r w:rsidRPr="00B1061C">
        <w:rPr>
          <w:rFonts w:asciiTheme="majorHAnsi" w:eastAsia="Times New Roman" w:hAnsiTheme="majorHAnsi" w:cstheme="majorHAnsi"/>
          <w:sz w:val="24"/>
          <w:szCs w:val="24"/>
          <w:lang w:val="ro-MD"/>
        </w:rPr>
        <w:t>cu 1426,5 mil. lei</w:t>
      </w:r>
      <w:r w:rsidR="00861DB2" w:rsidRPr="00B1061C">
        <w:rPr>
          <w:rFonts w:asciiTheme="majorHAnsi" w:eastAsia="Times New Roman" w:hAnsiTheme="majorHAnsi" w:cstheme="majorHAnsi"/>
          <w:sz w:val="24"/>
          <w:szCs w:val="24"/>
          <w:lang w:val="ro-MD"/>
        </w:rPr>
        <w:t>,</w:t>
      </w:r>
      <w:r w:rsidRPr="00B1061C">
        <w:rPr>
          <w:rFonts w:asciiTheme="majorHAnsi" w:eastAsia="Times New Roman" w:hAnsiTheme="majorHAnsi" w:cstheme="majorHAnsi"/>
          <w:sz w:val="24"/>
          <w:szCs w:val="24"/>
          <w:lang w:val="ro-MD"/>
        </w:rPr>
        <w:t xml:space="preserve"> în</w:t>
      </w:r>
      <w:r w:rsidRPr="007E55A4">
        <w:rPr>
          <w:rFonts w:asciiTheme="majorHAnsi" w:eastAsia="Times New Roman" w:hAnsiTheme="majorHAnsi" w:cstheme="majorHAnsi"/>
          <w:sz w:val="24"/>
          <w:szCs w:val="24"/>
          <w:lang w:val="ro-MD"/>
        </w:rPr>
        <w:t xml:space="preserve"> materie de restanțe</w:t>
      </w:r>
      <w:r>
        <w:rPr>
          <w:rFonts w:asciiTheme="majorHAnsi" w:eastAsia="Times New Roman" w:hAnsiTheme="majorHAnsi" w:cstheme="majorHAnsi"/>
          <w:sz w:val="24"/>
          <w:szCs w:val="24"/>
          <w:lang w:val="ro-MD"/>
        </w:rPr>
        <w:t>/avansuri</w:t>
      </w:r>
      <w:r w:rsidRPr="007E55A4">
        <w:rPr>
          <w:rFonts w:asciiTheme="majorHAnsi" w:eastAsia="Times New Roman" w:hAnsiTheme="majorHAnsi" w:cstheme="majorHAnsi"/>
          <w:sz w:val="24"/>
          <w:szCs w:val="24"/>
          <w:lang w:val="ro-MD"/>
        </w:rPr>
        <w:t xml:space="preserve"> ale contribuabililor aferente impozitelor, taxelor locale și serviciilor cu plată prestate</w:t>
      </w:r>
      <w:r>
        <w:rPr>
          <w:rFonts w:asciiTheme="majorHAnsi" w:eastAsia="Times New Roman" w:hAnsiTheme="majorHAnsi" w:cstheme="majorHAnsi"/>
          <w:sz w:val="24"/>
          <w:szCs w:val="24"/>
          <w:lang w:val="ro-MD"/>
        </w:rPr>
        <w:t>. Pentru alte 9 tipuri de impozite, taxe și plăți</w:t>
      </w:r>
      <w:r w:rsidR="00861DB2">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 xml:space="preserve"> în SIA a</w:t>
      </w:r>
      <w:r w:rsidR="00861DB2">
        <w:rPr>
          <w:rFonts w:asciiTheme="majorHAnsi" w:eastAsia="Times New Roman" w:hAnsiTheme="majorHAnsi" w:cstheme="majorHAnsi"/>
          <w:sz w:val="24"/>
          <w:szCs w:val="24"/>
          <w:lang w:val="ro-MD"/>
        </w:rPr>
        <w:t>l</w:t>
      </w:r>
      <w:r>
        <w:rPr>
          <w:rFonts w:asciiTheme="majorHAnsi" w:eastAsia="Times New Roman" w:hAnsiTheme="majorHAnsi" w:cstheme="majorHAnsi"/>
          <w:sz w:val="24"/>
          <w:szCs w:val="24"/>
          <w:lang w:val="ro-MD"/>
        </w:rPr>
        <w:t xml:space="preserve"> SFS lipsesc date</w:t>
      </w:r>
      <w:r w:rsidR="00861DB2">
        <w:rPr>
          <w:rFonts w:asciiTheme="majorHAnsi" w:eastAsia="Times New Roman" w:hAnsiTheme="majorHAnsi" w:cstheme="majorHAnsi"/>
          <w:sz w:val="24"/>
          <w:szCs w:val="24"/>
          <w:lang w:val="ro-MD"/>
        </w:rPr>
        <w:t>le</w:t>
      </w:r>
      <w:r>
        <w:rPr>
          <w:rFonts w:asciiTheme="majorHAnsi" w:eastAsia="Times New Roman" w:hAnsiTheme="majorHAnsi" w:cstheme="majorHAnsi"/>
          <w:sz w:val="24"/>
          <w:szCs w:val="24"/>
          <w:lang w:val="ro-MD"/>
        </w:rPr>
        <w:t xml:space="preserve"> privind valoarea calculată spre achitare</w:t>
      </w:r>
      <w:r w:rsidR="00C16CD2">
        <w:rPr>
          <w:rFonts w:asciiTheme="majorHAnsi" w:eastAsia="Times New Roman" w:hAnsiTheme="majorHAnsi" w:cstheme="majorHAnsi"/>
          <w:sz w:val="24"/>
          <w:szCs w:val="24"/>
          <w:lang w:val="ro-MD"/>
        </w:rPr>
        <w:t xml:space="preserve"> și</w:t>
      </w:r>
      <w:r>
        <w:rPr>
          <w:rFonts w:asciiTheme="majorHAnsi" w:eastAsia="Times New Roman" w:hAnsiTheme="majorHAnsi" w:cstheme="majorHAnsi"/>
          <w:sz w:val="24"/>
          <w:szCs w:val="24"/>
          <w:lang w:val="ro-MD"/>
        </w:rPr>
        <w:t>, respectiv</w:t>
      </w:r>
      <w:r w:rsidR="00F11394">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 xml:space="preserve"> nu se poate determina lipsa sau existența restanțelor aferente.</w:t>
      </w:r>
    </w:p>
    <w:p w:rsidR="00ED6394" w:rsidRPr="00D13DB5" w:rsidRDefault="00D13DB5" w:rsidP="00613AA7">
      <w:pPr>
        <w:keepNext/>
        <w:keepLines/>
        <w:tabs>
          <w:tab w:val="left" w:pos="0"/>
          <w:tab w:val="left" w:pos="426"/>
        </w:tabs>
        <w:spacing w:before="120" w:after="0" w:line="276" w:lineRule="auto"/>
        <w:jc w:val="center"/>
        <w:outlineLvl w:val="0"/>
        <w:rPr>
          <w:rFonts w:asciiTheme="majorHAnsi" w:eastAsia="Times New Roman" w:hAnsiTheme="majorHAnsi" w:cstheme="majorHAnsi"/>
          <w:b/>
          <w:sz w:val="28"/>
          <w:szCs w:val="28"/>
          <w:lang w:val="ro-RO"/>
        </w:rPr>
      </w:pPr>
      <w:r>
        <w:rPr>
          <w:rFonts w:asciiTheme="majorHAnsi" w:eastAsia="Times New Roman" w:hAnsiTheme="majorHAnsi" w:cstheme="majorHAnsi"/>
          <w:b/>
          <w:sz w:val="28"/>
          <w:szCs w:val="28"/>
          <w:lang w:val="ro-RO"/>
        </w:rPr>
        <w:t xml:space="preserve">IV. </w:t>
      </w:r>
      <w:r w:rsidR="000A275A" w:rsidRPr="00D13DB5">
        <w:rPr>
          <w:rFonts w:asciiTheme="majorHAnsi" w:eastAsia="Times New Roman" w:hAnsiTheme="majorHAnsi" w:cstheme="majorHAnsi"/>
          <w:b/>
          <w:sz w:val="28"/>
          <w:szCs w:val="28"/>
          <w:lang w:val="ro-RO"/>
        </w:rPr>
        <w:t xml:space="preserve">ASPECTE </w:t>
      </w:r>
      <w:r w:rsidR="00752F16" w:rsidRPr="00D13DB5">
        <w:rPr>
          <w:rFonts w:asciiTheme="majorHAnsi" w:eastAsia="Times New Roman" w:hAnsiTheme="majorHAnsi" w:cstheme="majorHAnsi"/>
          <w:b/>
          <w:sz w:val="28"/>
          <w:szCs w:val="28"/>
          <w:lang w:val="ro-RO"/>
        </w:rPr>
        <w:t xml:space="preserve">- </w:t>
      </w:r>
      <w:r w:rsidR="00ED6394" w:rsidRPr="00D13DB5">
        <w:rPr>
          <w:rFonts w:asciiTheme="majorHAnsi" w:eastAsia="Times New Roman" w:hAnsiTheme="majorHAnsi" w:cstheme="majorHAnsi"/>
          <w:b/>
          <w:sz w:val="28"/>
          <w:szCs w:val="28"/>
          <w:lang w:val="ro-RO"/>
        </w:rPr>
        <w:t>CHEIE DE AUDIT</w:t>
      </w:r>
      <w:bookmarkEnd w:id="3"/>
    </w:p>
    <w:p w:rsidR="00FC7A6B" w:rsidRDefault="00514CA0" w:rsidP="00FC7A6B">
      <w:pPr>
        <w:tabs>
          <w:tab w:val="left" w:pos="0"/>
        </w:tabs>
        <w:spacing w:after="0" w:line="276" w:lineRule="auto"/>
        <w:ind w:firstLine="709"/>
        <w:jc w:val="both"/>
        <w:rPr>
          <w:rFonts w:ascii="Calibri Light" w:eastAsia="Calibri" w:hAnsi="Calibri Light" w:cs="Calibri Light"/>
          <w:bCs/>
          <w:sz w:val="24"/>
          <w:szCs w:val="24"/>
          <w:lang w:val="ro-MD"/>
        </w:rPr>
      </w:pPr>
      <w:r w:rsidRPr="00514CA0">
        <w:rPr>
          <w:rFonts w:ascii="Calibri Light" w:eastAsia="Calibri" w:hAnsi="Calibri Light" w:cs="Calibri Light"/>
          <w:sz w:val="24"/>
          <w:szCs w:val="24"/>
          <w:lang w:val="ro-MD"/>
        </w:rPr>
        <w:t>Aspecte</w:t>
      </w:r>
      <w:r w:rsidR="00273721">
        <w:rPr>
          <w:rFonts w:ascii="Calibri Light" w:eastAsia="Calibri" w:hAnsi="Calibri Light" w:cs="Calibri Light"/>
          <w:sz w:val="24"/>
          <w:szCs w:val="24"/>
          <w:lang w:val="ro-MD"/>
        </w:rPr>
        <w:t>le</w:t>
      </w:r>
      <w:r w:rsidRPr="00514CA0">
        <w:rPr>
          <w:rFonts w:ascii="Calibri Light" w:eastAsia="Calibri" w:hAnsi="Calibri Light" w:cs="Calibri Light"/>
          <w:sz w:val="24"/>
          <w:szCs w:val="24"/>
          <w:lang w:val="ro-MD"/>
        </w:rPr>
        <w:t xml:space="preserve">-cheie de audit sunt acele aspecte care, în baza raționamentului nostru profesional, au avut cea mai mare importanță pentru auditul rapoartelor financiare ale </w:t>
      </w:r>
      <w:r>
        <w:rPr>
          <w:rFonts w:ascii="Calibri Light" w:eastAsia="Calibri" w:hAnsi="Calibri Light" w:cs="Calibri Light"/>
          <w:sz w:val="24"/>
          <w:szCs w:val="24"/>
          <w:lang w:val="ro-MD"/>
        </w:rPr>
        <w:t>autorității publice locale or.</w:t>
      </w:r>
      <w:r w:rsidR="00AE5BD6">
        <w:rPr>
          <w:rFonts w:ascii="Calibri Light" w:eastAsia="Calibri" w:hAnsi="Calibri Light" w:cs="Calibri Light"/>
          <w:sz w:val="24"/>
          <w:szCs w:val="24"/>
          <w:lang w:val="ro-MD"/>
        </w:rPr>
        <w:t xml:space="preserve"> </w:t>
      </w:r>
      <w:r>
        <w:rPr>
          <w:rFonts w:ascii="Calibri Light" w:eastAsia="Calibri" w:hAnsi="Calibri Light" w:cs="Calibri Light"/>
          <w:sz w:val="24"/>
          <w:szCs w:val="24"/>
          <w:lang w:val="ro-MD"/>
        </w:rPr>
        <w:t>Fălești.</w:t>
      </w:r>
      <w:r w:rsidRPr="00514CA0">
        <w:rPr>
          <w:rFonts w:ascii="Calibri Light" w:eastAsia="Calibri" w:hAnsi="Calibri Light" w:cs="Calibri Light"/>
          <w:sz w:val="24"/>
          <w:szCs w:val="24"/>
          <w:lang w:val="ro-MD"/>
        </w:rPr>
        <w:t xml:space="preserve"> Aceste aspecte au fost abordate în contextul auditului rapoartelor financiare în ansamblu și al formării opiniei noastre asupra lor,  și nu oferim o opinie separată cu privire la ele. </w:t>
      </w:r>
      <w:r>
        <w:rPr>
          <w:rFonts w:ascii="Calibri Light" w:eastAsia="Calibri" w:hAnsi="Calibri Light" w:cs="Calibri Light"/>
          <w:bCs/>
          <w:sz w:val="24"/>
          <w:szCs w:val="24"/>
          <w:lang w:val="ro-MD"/>
        </w:rPr>
        <w:t>Cu excepția aspectelor</w:t>
      </w:r>
      <w:r w:rsidRPr="00514CA0">
        <w:rPr>
          <w:rFonts w:ascii="Calibri Light" w:eastAsia="Calibri" w:hAnsi="Calibri Light" w:cs="Calibri Light"/>
          <w:bCs/>
          <w:sz w:val="24"/>
          <w:szCs w:val="24"/>
          <w:lang w:val="ro-MD"/>
        </w:rPr>
        <w:t xml:space="preserve"> descrise în </w:t>
      </w:r>
      <w:r w:rsidRPr="00514CA0">
        <w:rPr>
          <w:rFonts w:ascii="Calibri Light" w:eastAsia="Times New Roman" w:hAnsi="Calibri Light" w:cs="Calibri Light"/>
          <w:color w:val="000000"/>
          <w:sz w:val="24"/>
          <w:szCs w:val="24"/>
          <w:lang w:val="ro-MD"/>
        </w:rPr>
        <w:t>secțiunea</w:t>
      </w:r>
      <w:r w:rsidRPr="00514CA0">
        <w:rPr>
          <w:rFonts w:ascii="Calibri Light" w:eastAsia="Calibri" w:hAnsi="Calibri Light" w:cs="Calibri Light"/>
          <w:bCs/>
          <w:sz w:val="24"/>
          <w:szCs w:val="24"/>
          <w:lang w:val="ro-MD"/>
        </w:rPr>
        <w:t xml:space="preserve"> </w:t>
      </w:r>
      <w:r w:rsidR="0052679E" w:rsidRPr="00514CA0">
        <w:rPr>
          <w:rFonts w:ascii="Calibri Light" w:eastAsia="Calibri" w:hAnsi="Calibri Light" w:cs="Calibri Light"/>
          <w:bCs/>
          <w:i/>
          <w:sz w:val="24"/>
          <w:szCs w:val="24"/>
          <w:lang w:val="ro-MD"/>
        </w:rPr>
        <w:t>Baza pentru opini</w:t>
      </w:r>
      <w:r w:rsidR="00273721">
        <w:rPr>
          <w:rFonts w:ascii="Calibri Light" w:eastAsia="Calibri" w:hAnsi="Calibri Light" w:cs="Calibri Light"/>
          <w:bCs/>
          <w:i/>
          <w:sz w:val="24"/>
          <w:szCs w:val="24"/>
          <w:lang w:val="ro-MD"/>
        </w:rPr>
        <w:t>a</w:t>
      </w:r>
      <w:r w:rsidR="0052679E" w:rsidRPr="00514CA0">
        <w:rPr>
          <w:rFonts w:ascii="Calibri Light" w:eastAsia="Calibri" w:hAnsi="Calibri Light" w:cs="Calibri Light"/>
          <w:bCs/>
          <w:i/>
          <w:sz w:val="24"/>
          <w:szCs w:val="24"/>
          <w:lang w:val="ro-MD"/>
        </w:rPr>
        <w:t xml:space="preserve"> </w:t>
      </w:r>
      <w:r w:rsidR="00F37E90" w:rsidRPr="00514CA0">
        <w:rPr>
          <w:rFonts w:ascii="Calibri Light" w:eastAsia="Calibri" w:hAnsi="Calibri Light" w:cs="Calibri Light"/>
          <w:bCs/>
          <w:i/>
          <w:sz w:val="24"/>
          <w:szCs w:val="24"/>
          <w:lang w:val="ro-MD"/>
        </w:rPr>
        <w:t>contrară</w:t>
      </w:r>
      <w:r w:rsidRPr="00514CA0">
        <w:rPr>
          <w:rFonts w:ascii="Calibri Light" w:eastAsia="Calibri" w:hAnsi="Calibri Light" w:cs="Calibri Light"/>
          <w:bCs/>
          <w:sz w:val="24"/>
          <w:szCs w:val="24"/>
          <w:lang w:val="ro-MD"/>
        </w:rPr>
        <w:t>, am determinat că nu mai există alte aspecte-cheie de audit care trebuie expuse în Raportul de audit.</w:t>
      </w:r>
    </w:p>
    <w:p w:rsidR="000372EE" w:rsidRPr="000372EE" w:rsidRDefault="00E568A5" w:rsidP="000372EE">
      <w:pPr>
        <w:pStyle w:val="ab"/>
        <w:numPr>
          <w:ilvl w:val="0"/>
          <w:numId w:val="21"/>
        </w:numPr>
        <w:tabs>
          <w:tab w:val="left" w:pos="0"/>
          <w:tab w:val="left" w:pos="284"/>
        </w:tabs>
        <w:spacing w:before="120" w:after="0" w:line="276" w:lineRule="auto"/>
        <w:ind w:left="0" w:firstLine="0"/>
        <w:jc w:val="center"/>
        <w:outlineLvl w:val="0"/>
        <w:rPr>
          <w:rFonts w:asciiTheme="majorHAnsi" w:eastAsia="Times New Roman" w:hAnsiTheme="majorHAnsi" w:cstheme="majorHAnsi"/>
          <w:b/>
          <w:sz w:val="28"/>
          <w:szCs w:val="28"/>
          <w:lang w:val="ro-MD"/>
        </w:rPr>
      </w:pPr>
      <w:r>
        <w:rPr>
          <w:rFonts w:asciiTheme="majorHAnsi" w:eastAsia="Times New Roman" w:hAnsiTheme="majorHAnsi" w:cstheme="majorHAnsi"/>
          <w:b/>
          <w:sz w:val="28"/>
          <w:szCs w:val="28"/>
          <w:lang w:val="ro-MD"/>
        </w:rPr>
        <w:t>ALTE INFORMAȚII</w:t>
      </w:r>
    </w:p>
    <w:p w:rsidR="000372EE" w:rsidRPr="00B1061C" w:rsidRDefault="000372EE" w:rsidP="00D415D2">
      <w:pPr>
        <w:pStyle w:val="ab"/>
        <w:numPr>
          <w:ilvl w:val="1"/>
          <w:numId w:val="21"/>
        </w:numPr>
        <w:tabs>
          <w:tab w:val="left" w:pos="0"/>
          <w:tab w:val="left" w:pos="709"/>
          <w:tab w:val="left" w:pos="1134"/>
        </w:tabs>
        <w:spacing w:after="0" w:line="276" w:lineRule="auto"/>
        <w:ind w:left="0" w:firstLine="709"/>
        <w:jc w:val="both"/>
        <w:rPr>
          <w:rFonts w:asciiTheme="majorHAnsi" w:hAnsiTheme="majorHAnsi" w:cstheme="majorHAnsi"/>
          <w:sz w:val="24"/>
          <w:szCs w:val="24"/>
          <w:lang w:val="ro-MD" w:eastAsia="lv-LV"/>
        </w:rPr>
      </w:pPr>
      <w:r>
        <w:rPr>
          <w:rFonts w:asciiTheme="majorHAnsi" w:hAnsiTheme="majorHAnsi" w:cstheme="majorHAnsi"/>
          <w:sz w:val="24"/>
          <w:szCs w:val="24"/>
          <w:lang w:val="ro-MD" w:eastAsia="lv-LV"/>
        </w:rPr>
        <w:t xml:space="preserve">Complexul </w:t>
      </w:r>
      <w:r w:rsidRPr="0070381C">
        <w:rPr>
          <w:rFonts w:asciiTheme="majorHAnsi" w:hAnsiTheme="majorHAnsi" w:cstheme="majorHAnsi"/>
          <w:sz w:val="24"/>
          <w:szCs w:val="24"/>
          <w:lang w:val="ro-MD" w:eastAsia="lv-LV"/>
        </w:rPr>
        <w:t xml:space="preserve">„Sistemul de încălzire pe biomasă și colectoarele solare”, în valoare totală </w:t>
      </w:r>
      <w:r w:rsidRPr="00AC0F8B">
        <w:rPr>
          <w:rFonts w:asciiTheme="majorHAnsi" w:hAnsiTheme="majorHAnsi" w:cstheme="majorHAnsi"/>
          <w:sz w:val="24"/>
          <w:szCs w:val="24"/>
          <w:lang w:val="ro-MD" w:eastAsia="lv-LV"/>
        </w:rPr>
        <w:t>de 1557,1 mii lei, a fost înregistrat eronat la categoria „Clădiri” ca o unitate de evidență unică. Conform documentației</w:t>
      </w:r>
      <w:r w:rsidRPr="0070381C">
        <w:rPr>
          <w:rStyle w:val="aa"/>
          <w:rFonts w:asciiTheme="majorHAnsi" w:hAnsiTheme="majorHAnsi" w:cstheme="majorHAnsi"/>
          <w:sz w:val="24"/>
          <w:szCs w:val="24"/>
          <w:lang w:val="ro-MD" w:eastAsia="lv-LV"/>
        </w:rPr>
        <w:footnoteReference w:id="14"/>
      </w:r>
      <w:r w:rsidRPr="0070381C">
        <w:rPr>
          <w:rFonts w:asciiTheme="majorHAnsi" w:hAnsiTheme="majorHAnsi" w:cstheme="majorHAnsi"/>
          <w:sz w:val="24"/>
          <w:szCs w:val="24"/>
          <w:lang w:val="ro-MD" w:eastAsia="lv-LV"/>
        </w:rPr>
        <w:t xml:space="preserve"> transmise de către investitorul terț (PNUD – „Programul Naț</w:t>
      </w:r>
      <w:r>
        <w:rPr>
          <w:rFonts w:asciiTheme="majorHAnsi" w:hAnsiTheme="majorHAnsi" w:cstheme="majorHAnsi"/>
          <w:sz w:val="24"/>
          <w:szCs w:val="24"/>
          <w:lang w:val="ro-MD" w:eastAsia="lv-LV"/>
        </w:rPr>
        <w:t>iunilor Unite pentru Dezvoltare</w:t>
      </w:r>
      <w:r w:rsidRPr="0070381C">
        <w:rPr>
          <w:rFonts w:asciiTheme="majorHAnsi" w:hAnsiTheme="majorHAnsi" w:cstheme="majorHAnsi"/>
          <w:sz w:val="24"/>
          <w:szCs w:val="24"/>
          <w:lang w:val="ro-MD" w:eastAsia="lv-LV"/>
        </w:rPr>
        <w:t>”), acest complex este format din: gard cu poartă; construcții de amenajare a teritoriului (trotuar, strat de agregate naturale cilindrice, pardoseli din beton, borduri); clădire; centrala/sistemul termodinamic în complex cu colectoarele solare; instalații de transmisie a energiei termice; instalații de transmisie a apei; sistemul antiincendiu. La momentul recepționării obiectului de investiții, documentației tehnice și financiare (costurile), primăria or.</w:t>
      </w:r>
      <w:r>
        <w:rPr>
          <w:rFonts w:asciiTheme="majorHAnsi" w:hAnsiTheme="majorHAnsi" w:cstheme="majorHAnsi"/>
          <w:sz w:val="24"/>
          <w:szCs w:val="24"/>
          <w:lang w:val="ro-MD" w:eastAsia="lv-LV"/>
        </w:rPr>
        <w:t xml:space="preserve"> </w:t>
      </w:r>
      <w:r w:rsidRPr="0070381C">
        <w:rPr>
          <w:rFonts w:asciiTheme="majorHAnsi" w:hAnsiTheme="majorHAnsi" w:cstheme="majorHAnsi"/>
          <w:sz w:val="24"/>
          <w:szCs w:val="24"/>
          <w:lang w:val="ro-MD" w:eastAsia="lv-LV"/>
        </w:rPr>
        <w:t xml:space="preserve">Fălești nu a identificat și </w:t>
      </w:r>
      <w:r w:rsidR="00273721">
        <w:rPr>
          <w:rFonts w:asciiTheme="majorHAnsi" w:hAnsiTheme="majorHAnsi" w:cstheme="majorHAnsi"/>
          <w:sz w:val="24"/>
          <w:szCs w:val="24"/>
          <w:lang w:val="ro-MD" w:eastAsia="lv-LV"/>
        </w:rPr>
        <w:t xml:space="preserve">nu a </w:t>
      </w:r>
      <w:r w:rsidRPr="0070381C">
        <w:rPr>
          <w:rFonts w:asciiTheme="majorHAnsi" w:hAnsiTheme="majorHAnsi" w:cstheme="majorHAnsi"/>
          <w:sz w:val="24"/>
          <w:szCs w:val="24"/>
          <w:lang w:val="ro-MD" w:eastAsia="lv-LV"/>
        </w:rPr>
        <w:t>separat costurile investiției pentru a asigura contabilizarea corectă a mijloacelor fixe din componența complexului pe categorii de bunuri materiale independente</w:t>
      </w:r>
      <w:r w:rsidR="000C1795">
        <w:rPr>
          <w:rFonts w:asciiTheme="majorHAnsi" w:hAnsiTheme="majorHAnsi" w:cstheme="majorHAnsi"/>
          <w:sz w:val="24"/>
          <w:szCs w:val="24"/>
          <w:lang w:val="ro-MD" w:eastAsia="lv-LV"/>
        </w:rPr>
        <w:t>,</w:t>
      </w:r>
      <w:r w:rsidRPr="0070381C">
        <w:rPr>
          <w:rFonts w:asciiTheme="majorHAnsi" w:hAnsiTheme="majorHAnsi" w:cstheme="majorHAnsi"/>
          <w:sz w:val="24"/>
          <w:szCs w:val="24"/>
          <w:lang w:val="ro-MD" w:eastAsia="lv-LV"/>
        </w:rPr>
        <w:t xml:space="preserve"> după natura și funcționalitatea </w:t>
      </w:r>
      <w:r w:rsidR="000C1795">
        <w:rPr>
          <w:rFonts w:asciiTheme="majorHAnsi" w:hAnsiTheme="majorHAnsi" w:cstheme="majorHAnsi"/>
          <w:sz w:val="24"/>
          <w:szCs w:val="24"/>
          <w:lang w:val="ro-MD" w:eastAsia="lv-LV"/>
        </w:rPr>
        <w:t>lor</w:t>
      </w:r>
      <w:r w:rsidRPr="0070381C">
        <w:rPr>
          <w:rFonts w:asciiTheme="majorHAnsi" w:hAnsiTheme="majorHAnsi" w:cstheme="majorHAnsi"/>
          <w:sz w:val="24"/>
          <w:szCs w:val="24"/>
          <w:lang w:val="ro-MD" w:eastAsia="lv-LV"/>
        </w:rPr>
        <w:t>. Efectiv, conform prevederilor p</w:t>
      </w:r>
      <w:r w:rsidR="000C1795">
        <w:rPr>
          <w:rFonts w:asciiTheme="majorHAnsi" w:hAnsiTheme="majorHAnsi" w:cstheme="majorHAnsi"/>
          <w:sz w:val="24"/>
          <w:szCs w:val="24"/>
          <w:lang w:val="ro-MD" w:eastAsia="lv-LV"/>
        </w:rPr>
        <w:t xml:space="preserve">unctelor </w:t>
      </w:r>
      <w:r w:rsidRPr="0070381C">
        <w:rPr>
          <w:rFonts w:asciiTheme="majorHAnsi" w:hAnsiTheme="majorHAnsi" w:cstheme="majorHAnsi"/>
          <w:sz w:val="24"/>
          <w:szCs w:val="24"/>
          <w:lang w:val="ro-MD" w:eastAsia="lv-LV"/>
        </w:rPr>
        <w:t xml:space="preserve">23, 37 și 52 din Catalogul </w:t>
      </w:r>
      <w:r w:rsidRPr="0070381C">
        <w:rPr>
          <w:rFonts w:asciiTheme="majorHAnsi" w:hAnsiTheme="majorHAnsi" w:cstheme="majorHAnsi"/>
          <w:sz w:val="24"/>
          <w:szCs w:val="24"/>
          <w:lang w:val="ro-RO" w:eastAsia="lv-LV"/>
        </w:rPr>
        <w:t>aprobat prin Hotărârea Guvernului nr.338 din 21.03.2003</w:t>
      </w:r>
      <w:r>
        <w:rPr>
          <w:rStyle w:val="aa"/>
          <w:rFonts w:asciiTheme="majorHAnsi" w:hAnsiTheme="majorHAnsi" w:cstheme="majorHAnsi"/>
          <w:sz w:val="24"/>
          <w:szCs w:val="24"/>
          <w:lang w:val="ro-RO" w:eastAsia="lv-LV"/>
        </w:rPr>
        <w:footnoteReference w:id="15"/>
      </w:r>
      <w:r w:rsidRPr="0070381C">
        <w:rPr>
          <w:rFonts w:asciiTheme="majorHAnsi" w:hAnsiTheme="majorHAnsi" w:cstheme="majorHAnsi"/>
          <w:sz w:val="24"/>
          <w:szCs w:val="24"/>
          <w:lang w:val="ro-RO" w:eastAsia="lv-LV"/>
        </w:rPr>
        <w:t xml:space="preserve">, </w:t>
      </w:r>
      <w:r w:rsidRPr="0070381C">
        <w:rPr>
          <w:rFonts w:asciiTheme="majorHAnsi" w:hAnsiTheme="majorHAnsi" w:cstheme="majorHAnsi"/>
          <w:sz w:val="24"/>
          <w:szCs w:val="24"/>
          <w:lang w:val="ro-MD" w:eastAsia="lv-LV"/>
        </w:rPr>
        <w:t xml:space="preserve">bunurile materiale din cadrul acestui </w:t>
      </w:r>
      <w:r w:rsidRPr="00B1061C">
        <w:rPr>
          <w:rFonts w:asciiTheme="majorHAnsi" w:hAnsiTheme="majorHAnsi" w:cstheme="majorHAnsi"/>
          <w:sz w:val="24"/>
          <w:szCs w:val="24"/>
          <w:lang w:val="ro-MD" w:eastAsia="lv-LV"/>
        </w:rPr>
        <w:t xml:space="preserve">complex urmau a fi identificate și înregistrate la diferite grupe de conturi de evidență a mijloacelor fixe: </w:t>
      </w:r>
      <w:r w:rsidR="000C1795" w:rsidRPr="00B1061C">
        <w:rPr>
          <w:rFonts w:asciiTheme="majorHAnsi" w:hAnsiTheme="majorHAnsi" w:cstheme="majorHAnsi"/>
          <w:sz w:val="24"/>
          <w:szCs w:val="24"/>
          <w:lang w:val="ro-MD" w:eastAsia="lv-LV"/>
        </w:rPr>
        <w:t>„C</w:t>
      </w:r>
      <w:r w:rsidRPr="00B1061C">
        <w:rPr>
          <w:rFonts w:asciiTheme="majorHAnsi" w:hAnsiTheme="majorHAnsi" w:cstheme="majorHAnsi"/>
          <w:sz w:val="24"/>
          <w:szCs w:val="24"/>
          <w:lang w:val="ro-MD" w:eastAsia="lv-LV"/>
        </w:rPr>
        <w:t>lădiri</w:t>
      </w:r>
      <w:r w:rsidR="000C1795" w:rsidRPr="00B1061C">
        <w:rPr>
          <w:rFonts w:asciiTheme="majorHAnsi" w:hAnsiTheme="majorHAnsi" w:cstheme="majorHAnsi"/>
          <w:sz w:val="24"/>
          <w:szCs w:val="24"/>
          <w:lang w:val="ro-MD" w:eastAsia="lv-LV"/>
        </w:rPr>
        <w:t>”</w:t>
      </w:r>
      <w:r w:rsidRPr="00B1061C">
        <w:rPr>
          <w:rFonts w:asciiTheme="majorHAnsi" w:hAnsiTheme="majorHAnsi" w:cstheme="majorHAnsi"/>
          <w:sz w:val="24"/>
          <w:szCs w:val="24"/>
          <w:lang w:val="ro-MD" w:eastAsia="lv-LV"/>
        </w:rPr>
        <w:t xml:space="preserve"> (grupa de conturi 311); </w:t>
      </w:r>
      <w:r w:rsidR="000C1795" w:rsidRPr="00B1061C">
        <w:rPr>
          <w:rFonts w:asciiTheme="majorHAnsi" w:hAnsiTheme="majorHAnsi" w:cstheme="majorHAnsi"/>
          <w:sz w:val="24"/>
          <w:szCs w:val="24"/>
          <w:lang w:val="ro-MD" w:eastAsia="lv-LV"/>
        </w:rPr>
        <w:t>„I</w:t>
      </w:r>
      <w:r w:rsidRPr="00B1061C">
        <w:rPr>
          <w:rFonts w:asciiTheme="majorHAnsi" w:hAnsiTheme="majorHAnsi" w:cstheme="majorHAnsi"/>
          <w:sz w:val="24"/>
          <w:szCs w:val="24"/>
          <w:lang w:val="ro-MD" w:eastAsia="lv-LV"/>
        </w:rPr>
        <w:t>nstalații de transmisie</w:t>
      </w:r>
      <w:r w:rsidR="000C1795" w:rsidRPr="00B1061C">
        <w:rPr>
          <w:rFonts w:asciiTheme="majorHAnsi" w:hAnsiTheme="majorHAnsi" w:cstheme="majorHAnsi"/>
          <w:sz w:val="24"/>
          <w:szCs w:val="24"/>
          <w:lang w:val="ro-MD" w:eastAsia="lv-LV"/>
        </w:rPr>
        <w:t>”</w:t>
      </w:r>
      <w:r w:rsidRPr="00B1061C">
        <w:rPr>
          <w:rFonts w:asciiTheme="majorHAnsi" w:hAnsiTheme="majorHAnsi" w:cstheme="majorHAnsi"/>
          <w:sz w:val="24"/>
          <w:szCs w:val="24"/>
          <w:lang w:val="ro-MD" w:eastAsia="lv-LV"/>
        </w:rPr>
        <w:t xml:space="preserve"> (</w:t>
      </w:r>
      <w:r w:rsidR="000C1795" w:rsidRPr="00B1061C">
        <w:rPr>
          <w:rFonts w:asciiTheme="majorHAnsi" w:hAnsiTheme="majorHAnsi" w:cstheme="majorHAnsi"/>
          <w:sz w:val="24"/>
          <w:szCs w:val="24"/>
          <w:lang w:val="ro-MD" w:eastAsia="lv-LV"/>
        </w:rPr>
        <w:t xml:space="preserve">grupa de conturi </w:t>
      </w:r>
      <w:r w:rsidRPr="00B1061C">
        <w:rPr>
          <w:rFonts w:asciiTheme="majorHAnsi" w:hAnsiTheme="majorHAnsi" w:cstheme="majorHAnsi"/>
          <w:sz w:val="24"/>
          <w:szCs w:val="24"/>
          <w:lang w:val="ro-MD" w:eastAsia="lv-LV"/>
        </w:rPr>
        <w:t xml:space="preserve">313); </w:t>
      </w:r>
      <w:r w:rsidR="000C1795" w:rsidRPr="00B1061C">
        <w:rPr>
          <w:rFonts w:asciiTheme="majorHAnsi" w:hAnsiTheme="majorHAnsi" w:cstheme="majorHAnsi"/>
          <w:sz w:val="24"/>
          <w:szCs w:val="24"/>
          <w:lang w:val="ro-MD" w:eastAsia="lv-LV"/>
        </w:rPr>
        <w:t>„M</w:t>
      </w:r>
      <w:r w:rsidRPr="00B1061C">
        <w:rPr>
          <w:rFonts w:asciiTheme="majorHAnsi" w:hAnsiTheme="majorHAnsi" w:cstheme="majorHAnsi"/>
          <w:sz w:val="24"/>
          <w:szCs w:val="24"/>
          <w:lang w:val="ro-MD" w:eastAsia="lv-LV"/>
        </w:rPr>
        <w:t>așini și utilaje</w:t>
      </w:r>
      <w:r w:rsidR="000C1795" w:rsidRPr="00B1061C">
        <w:rPr>
          <w:rFonts w:asciiTheme="majorHAnsi" w:hAnsiTheme="majorHAnsi" w:cstheme="majorHAnsi"/>
          <w:sz w:val="24"/>
          <w:szCs w:val="24"/>
          <w:lang w:val="ro-MD" w:eastAsia="lv-LV"/>
        </w:rPr>
        <w:t>”</w:t>
      </w:r>
      <w:r w:rsidRPr="00B1061C">
        <w:rPr>
          <w:rFonts w:asciiTheme="majorHAnsi" w:hAnsiTheme="majorHAnsi" w:cstheme="majorHAnsi"/>
          <w:sz w:val="24"/>
          <w:szCs w:val="24"/>
          <w:lang w:val="ro-MD" w:eastAsia="lv-LV"/>
        </w:rPr>
        <w:t xml:space="preserve"> (</w:t>
      </w:r>
      <w:r w:rsidR="000C1795" w:rsidRPr="00B1061C">
        <w:rPr>
          <w:rFonts w:asciiTheme="majorHAnsi" w:hAnsiTheme="majorHAnsi" w:cstheme="majorHAnsi"/>
          <w:sz w:val="24"/>
          <w:szCs w:val="24"/>
          <w:lang w:val="ro-MD" w:eastAsia="lv-LV"/>
        </w:rPr>
        <w:t xml:space="preserve">grupa de conturi </w:t>
      </w:r>
      <w:r w:rsidRPr="00B1061C">
        <w:rPr>
          <w:rFonts w:asciiTheme="majorHAnsi" w:hAnsiTheme="majorHAnsi" w:cstheme="majorHAnsi"/>
          <w:sz w:val="24"/>
          <w:szCs w:val="24"/>
          <w:lang w:val="ro-MD" w:eastAsia="lv-LV"/>
        </w:rPr>
        <w:t>314).</w:t>
      </w:r>
    </w:p>
    <w:p w:rsidR="00D415D2" w:rsidRPr="000436CC" w:rsidRDefault="00D415D2" w:rsidP="00D415D2">
      <w:pPr>
        <w:pStyle w:val="ab"/>
        <w:numPr>
          <w:ilvl w:val="1"/>
          <w:numId w:val="21"/>
        </w:numPr>
        <w:tabs>
          <w:tab w:val="left" w:pos="0"/>
          <w:tab w:val="left" w:pos="709"/>
          <w:tab w:val="left" w:pos="1134"/>
        </w:tabs>
        <w:spacing w:after="0" w:line="276" w:lineRule="auto"/>
        <w:ind w:left="0" w:firstLine="709"/>
        <w:jc w:val="both"/>
        <w:rPr>
          <w:rFonts w:asciiTheme="majorHAnsi" w:hAnsiTheme="majorHAnsi" w:cstheme="majorHAnsi"/>
          <w:sz w:val="24"/>
          <w:szCs w:val="24"/>
          <w:lang w:val="ro-MD" w:eastAsia="lv-LV"/>
        </w:rPr>
      </w:pPr>
      <w:r w:rsidRPr="00B1061C">
        <w:rPr>
          <w:rFonts w:asciiTheme="majorHAnsi" w:hAnsiTheme="majorHAnsi" w:cstheme="majorHAnsi"/>
          <w:sz w:val="24"/>
          <w:szCs w:val="24"/>
          <w:lang w:val="ro-RO"/>
        </w:rPr>
        <w:t xml:space="preserve">Supraevaluarea valorii </w:t>
      </w:r>
      <w:r w:rsidRPr="00B1061C">
        <w:rPr>
          <w:rFonts w:asciiTheme="majorHAnsi" w:hAnsiTheme="majorHAnsi" w:cstheme="majorHAnsi"/>
          <w:bCs/>
          <w:sz w:val="24"/>
          <w:szCs w:val="24"/>
          <w:lang w:val="ro-MD"/>
        </w:rPr>
        <w:t>contului 319</w:t>
      </w:r>
      <w:r w:rsidRPr="000436CC">
        <w:rPr>
          <w:rFonts w:asciiTheme="majorHAnsi" w:hAnsiTheme="majorHAnsi" w:cstheme="majorHAnsi"/>
          <w:bCs/>
          <w:sz w:val="24"/>
          <w:szCs w:val="24"/>
          <w:lang w:val="ro-MD"/>
        </w:rPr>
        <w:t xml:space="preserve"> „Investiții capitale în active în curs de execuție” cu suma de </w:t>
      </w:r>
      <w:r w:rsidRPr="001F4EA1">
        <w:rPr>
          <w:rFonts w:asciiTheme="majorHAnsi" w:hAnsiTheme="majorHAnsi" w:cstheme="majorHAnsi"/>
          <w:bCs/>
          <w:sz w:val="24"/>
          <w:szCs w:val="24"/>
          <w:lang w:val="ro-MD"/>
        </w:rPr>
        <w:t>246,3 mii lei</w:t>
      </w:r>
      <w:r w:rsidRPr="000436CC">
        <w:rPr>
          <w:rFonts w:asciiTheme="majorHAnsi" w:hAnsiTheme="majorHAnsi" w:cstheme="majorHAnsi"/>
          <w:sz w:val="24"/>
          <w:szCs w:val="24"/>
          <w:lang w:val="ro-RO"/>
        </w:rPr>
        <w:t>, ca efect al includerii și raportării eronate</w:t>
      </w:r>
      <w:r w:rsidRPr="000436CC">
        <w:rPr>
          <w:rStyle w:val="aa"/>
          <w:rFonts w:asciiTheme="majorHAnsi" w:hAnsiTheme="majorHAnsi" w:cstheme="majorHAnsi"/>
          <w:sz w:val="24"/>
          <w:szCs w:val="24"/>
          <w:lang w:val="ro-RO"/>
        </w:rPr>
        <w:footnoteReference w:id="16"/>
      </w:r>
      <w:r w:rsidRPr="000436CC">
        <w:rPr>
          <w:rFonts w:asciiTheme="majorHAnsi" w:hAnsiTheme="majorHAnsi" w:cstheme="majorHAnsi"/>
          <w:sz w:val="24"/>
          <w:szCs w:val="24"/>
          <w:lang w:val="ro-RO"/>
        </w:rPr>
        <w:t xml:space="preserve"> a cheltuielilor </w:t>
      </w:r>
      <w:r w:rsidRPr="000436CC">
        <w:rPr>
          <w:rFonts w:asciiTheme="majorHAnsi" w:hAnsiTheme="majorHAnsi" w:cstheme="majorHAnsi"/>
          <w:bCs/>
          <w:sz w:val="24"/>
          <w:szCs w:val="24"/>
          <w:lang w:val="ro-RO"/>
        </w:rPr>
        <w:t>privind salarizarea manag</w:t>
      </w:r>
      <w:r>
        <w:rPr>
          <w:rFonts w:asciiTheme="majorHAnsi" w:hAnsiTheme="majorHAnsi" w:cstheme="majorHAnsi"/>
          <w:bCs/>
          <w:sz w:val="24"/>
          <w:szCs w:val="24"/>
          <w:lang w:val="ro-RO"/>
        </w:rPr>
        <w:t>erului de proiect în anii 2018-</w:t>
      </w:r>
      <w:r w:rsidRPr="000436CC">
        <w:rPr>
          <w:rFonts w:asciiTheme="majorHAnsi" w:hAnsiTheme="majorHAnsi" w:cstheme="majorHAnsi"/>
          <w:bCs/>
          <w:sz w:val="24"/>
          <w:szCs w:val="24"/>
          <w:lang w:val="ro-RO"/>
        </w:rPr>
        <w:t>2019</w:t>
      </w:r>
      <w:r w:rsidRPr="000436CC">
        <w:rPr>
          <w:rStyle w:val="aa"/>
          <w:rFonts w:asciiTheme="majorHAnsi" w:hAnsiTheme="majorHAnsi" w:cstheme="majorHAnsi"/>
          <w:bCs/>
          <w:sz w:val="24"/>
          <w:szCs w:val="24"/>
          <w:lang w:val="ro-RO"/>
        </w:rPr>
        <w:footnoteReference w:id="17"/>
      </w:r>
      <w:r w:rsidRPr="000436CC">
        <w:rPr>
          <w:rFonts w:asciiTheme="majorHAnsi" w:hAnsiTheme="majorHAnsi" w:cstheme="majorHAnsi"/>
          <w:bCs/>
          <w:sz w:val="24"/>
          <w:szCs w:val="24"/>
          <w:lang w:val="ro-RO"/>
        </w:rPr>
        <w:t>, cheltuielile în cauză, conform prevederilor normative</w:t>
      </w:r>
      <w:r w:rsidRPr="000436CC">
        <w:rPr>
          <w:rStyle w:val="aa"/>
          <w:rFonts w:asciiTheme="majorHAnsi" w:hAnsiTheme="majorHAnsi" w:cstheme="majorHAnsi"/>
          <w:bCs/>
          <w:sz w:val="24"/>
          <w:szCs w:val="24"/>
          <w:lang w:val="ro-RO"/>
        </w:rPr>
        <w:footnoteReference w:id="18"/>
      </w:r>
      <w:r>
        <w:rPr>
          <w:rFonts w:asciiTheme="majorHAnsi" w:hAnsiTheme="majorHAnsi" w:cstheme="majorHAnsi"/>
          <w:bCs/>
          <w:sz w:val="24"/>
          <w:szCs w:val="24"/>
          <w:lang w:val="ro-RO"/>
        </w:rPr>
        <w:t>, urmau a fi raportate la contul</w:t>
      </w:r>
      <w:r w:rsidRPr="000436CC">
        <w:rPr>
          <w:rFonts w:asciiTheme="majorHAnsi" w:hAnsiTheme="majorHAnsi" w:cstheme="majorHAnsi"/>
          <w:bCs/>
          <w:sz w:val="24"/>
          <w:szCs w:val="24"/>
          <w:lang w:val="ro-RO"/>
        </w:rPr>
        <w:t xml:space="preserve"> 281 „Alte cheltuieli curente”; </w:t>
      </w:r>
    </w:p>
    <w:p w:rsidR="00E568A5" w:rsidRPr="00702A60" w:rsidRDefault="00D415D2" w:rsidP="001F4EA1">
      <w:pPr>
        <w:pStyle w:val="ab"/>
        <w:numPr>
          <w:ilvl w:val="1"/>
          <w:numId w:val="21"/>
        </w:numPr>
        <w:tabs>
          <w:tab w:val="left" w:pos="0"/>
          <w:tab w:val="left" w:pos="709"/>
          <w:tab w:val="left" w:pos="851"/>
          <w:tab w:val="left" w:pos="1134"/>
        </w:tabs>
        <w:spacing w:after="0" w:line="276" w:lineRule="auto"/>
        <w:ind w:left="0" w:firstLine="709"/>
        <w:jc w:val="both"/>
        <w:rPr>
          <w:rFonts w:asciiTheme="majorHAnsi" w:hAnsiTheme="majorHAnsi" w:cstheme="majorHAnsi"/>
          <w:sz w:val="24"/>
          <w:szCs w:val="24"/>
          <w:lang w:val="ro-MD" w:eastAsia="lv-LV"/>
        </w:rPr>
      </w:pPr>
      <w:r w:rsidRPr="00B1061C">
        <w:rPr>
          <w:rFonts w:asciiTheme="majorHAnsi" w:hAnsiTheme="majorHAnsi" w:cstheme="majorHAnsi"/>
          <w:sz w:val="24"/>
          <w:szCs w:val="24"/>
          <w:lang w:val="ro-RO"/>
        </w:rPr>
        <w:t>Supraevaluarea</w:t>
      </w:r>
      <w:r w:rsidRPr="00B1061C">
        <w:rPr>
          <w:rFonts w:asciiTheme="majorHAnsi" w:hAnsiTheme="majorHAnsi" w:cstheme="majorHAnsi"/>
          <w:sz w:val="24"/>
          <w:szCs w:val="24"/>
          <w:lang w:val="ro-MD"/>
        </w:rPr>
        <w:t xml:space="preserve"> </w:t>
      </w:r>
      <w:r w:rsidR="00C16CD2" w:rsidRPr="00B1061C">
        <w:rPr>
          <w:rFonts w:asciiTheme="majorHAnsi" w:hAnsiTheme="majorHAnsi" w:cstheme="majorHAnsi"/>
          <w:sz w:val="24"/>
          <w:szCs w:val="24"/>
          <w:lang w:val="ro-MD"/>
        </w:rPr>
        <w:t xml:space="preserve">valorii </w:t>
      </w:r>
      <w:r w:rsidRPr="00B1061C">
        <w:rPr>
          <w:rFonts w:asciiTheme="majorHAnsi" w:hAnsiTheme="majorHAnsi" w:cstheme="majorHAnsi"/>
          <w:sz w:val="24"/>
          <w:szCs w:val="24"/>
          <w:lang w:val="ro-MD"/>
        </w:rPr>
        <w:t>contului 391 „Uzura mijloacelor fixe” cu suma de 24,7 mii lei, determinată de reflectarea eronată a amortizării activelor nemateriale</w:t>
      </w:r>
      <w:r w:rsidRPr="00B1061C">
        <w:rPr>
          <w:rStyle w:val="aa"/>
          <w:rFonts w:asciiTheme="majorHAnsi" w:hAnsiTheme="majorHAnsi" w:cstheme="majorHAnsi"/>
          <w:sz w:val="24"/>
          <w:szCs w:val="24"/>
          <w:lang w:val="ro-MD"/>
        </w:rPr>
        <w:footnoteReference w:id="19"/>
      </w:r>
      <w:r w:rsidRPr="00B1061C">
        <w:rPr>
          <w:rFonts w:asciiTheme="majorHAnsi" w:hAnsiTheme="majorHAnsi" w:cstheme="majorHAnsi"/>
          <w:sz w:val="24"/>
          <w:szCs w:val="24"/>
          <w:lang w:val="ro-MD"/>
        </w:rPr>
        <w:t>, care, conform prevederilor normative</w:t>
      </w:r>
      <w:r w:rsidRPr="00B1061C">
        <w:rPr>
          <w:rStyle w:val="aa"/>
          <w:rFonts w:asciiTheme="majorHAnsi" w:hAnsiTheme="majorHAnsi" w:cstheme="majorHAnsi"/>
          <w:sz w:val="24"/>
          <w:szCs w:val="24"/>
          <w:lang w:val="ro-MD"/>
        </w:rPr>
        <w:footnoteReference w:id="20"/>
      </w:r>
      <w:r w:rsidRPr="00B1061C">
        <w:rPr>
          <w:rFonts w:asciiTheme="majorHAnsi" w:hAnsiTheme="majorHAnsi" w:cstheme="majorHAnsi"/>
          <w:sz w:val="24"/>
          <w:szCs w:val="24"/>
          <w:lang w:val="ro-MD"/>
        </w:rPr>
        <w:t>, urma a fi raportată la altă grupă de conturi de evidență contabilă -</w:t>
      </w:r>
      <w:r w:rsidRPr="00B1061C">
        <w:rPr>
          <w:rFonts w:asciiTheme="majorHAnsi" w:hAnsiTheme="majorHAnsi" w:cstheme="majorHAnsi"/>
          <w:bCs/>
          <w:sz w:val="24"/>
          <w:szCs w:val="24"/>
          <w:lang w:val="ro-MD" w:eastAsia="lv-LV"/>
        </w:rPr>
        <w:t xml:space="preserve"> 392 „Amort</w:t>
      </w:r>
      <w:r w:rsidR="001F4EA1" w:rsidRPr="00B1061C">
        <w:rPr>
          <w:rFonts w:asciiTheme="majorHAnsi" w:hAnsiTheme="majorHAnsi" w:cstheme="majorHAnsi"/>
          <w:bCs/>
          <w:sz w:val="24"/>
          <w:szCs w:val="24"/>
          <w:lang w:val="ro-MD" w:eastAsia="lv-LV"/>
        </w:rPr>
        <w:t>izarea activelor nemateriale”.</w:t>
      </w:r>
    </w:p>
    <w:p w:rsidR="00702A60" w:rsidRDefault="00702A60" w:rsidP="00702A60">
      <w:pPr>
        <w:pStyle w:val="ab"/>
        <w:tabs>
          <w:tab w:val="left" w:pos="0"/>
          <w:tab w:val="left" w:pos="709"/>
          <w:tab w:val="left" w:pos="851"/>
          <w:tab w:val="left" w:pos="1134"/>
        </w:tabs>
        <w:spacing w:after="0" w:line="276" w:lineRule="auto"/>
        <w:ind w:left="709"/>
        <w:jc w:val="both"/>
        <w:rPr>
          <w:rFonts w:asciiTheme="majorHAnsi" w:hAnsiTheme="majorHAnsi" w:cstheme="majorHAnsi"/>
          <w:bCs/>
          <w:sz w:val="24"/>
          <w:szCs w:val="24"/>
          <w:lang w:val="ro-MD" w:eastAsia="lv-LV"/>
        </w:rPr>
      </w:pPr>
    </w:p>
    <w:p w:rsidR="00702A60" w:rsidRPr="00B1061C" w:rsidRDefault="00702A60" w:rsidP="00702A60">
      <w:pPr>
        <w:pStyle w:val="ab"/>
        <w:tabs>
          <w:tab w:val="left" w:pos="0"/>
          <w:tab w:val="left" w:pos="709"/>
          <w:tab w:val="left" w:pos="851"/>
          <w:tab w:val="left" w:pos="1134"/>
        </w:tabs>
        <w:spacing w:after="0" w:line="276" w:lineRule="auto"/>
        <w:ind w:left="709"/>
        <w:jc w:val="both"/>
        <w:rPr>
          <w:rFonts w:asciiTheme="majorHAnsi" w:hAnsiTheme="majorHAnsi" w:cstheme="majorHAnsi"/>
          <w:sz w:val="24"/>
          <w:szCs w:val="24"/>
          <w:lang w:val="ro-MD" w:eastAsia="lv-LV"/>
        </w:rPr>
      </w:pPr>
    </w:p>
    <w:p w:rsidR="0016122F" w:rsidRPr="00B1061C" w:rsidRDefault="0016122F" w:rsidP="00613AA7">
      <w:pPr>
        <w:pStyle w:val="ab"/>
        <w:numPr>
          <w:ilvl w:val="0"/>
          <w:numId w:val="21"/>
        </w:numPr>
        <w:tabs>
          <w:tab w:val="left" w:pos="0"/>
          <w:tab w:val="left" w:pos="426"/>
        </w:tabs>
        <w:spacing w:before="120" w:after="0" w:line="276" w:lineRule="auto"/>
        <w:ind w:left="0" w:firstLine="0"/>
        <w:jc w:val="center"/>
        <w:outlineLvl w:val="0"/>
        <w:rPr>
          <w:rFonts w:asciiTheme="majorHAnsi" w:eastAsia="Times New Roman" w:hAnsiTheme="majorHAnsi" w:cstheme="majorHAnsi"/>
          <w:b/>
          <w:sz w:val="28"/>
          <w:szCs w:val="28"/>
          <w:lang w:val="ro-MD"/>
        </w:rPr>
      </w:pPr>
      <w:r w:rsidRPr="00B1061C">
        <w:rPr>
          <w:rFonts w:asciiTheme="majorHAnsi" w:eastAsia="Times New Roman" w:hAnsiTheme="majorHAnsi" w:cstheme="majorHAnsi"/>
          <w:b/>
          <w:sz w:val="28"/>
          <w:szCs w:val="28"/>
          <w:lang w:val="ro-MD"/>
        </w:rPr>
        <w:t>BUNA GUVERNANȚĂ</w:t>
      </w:r>
    </w:p>
    <w:p w:rsidR="00E61CC4" w:rsidRPr="00B1061C" w:rsidRDefault="00F42BFD" w:rsidP="00E61CC4">
      <w:pPr>
        <w:pStyle w:val="ab"/>
        <w:numPr>
          <w:ilvl w:val="1"/>
          <w:numId w:val="21"/>
        </w:numPr>
        <w:tabs>
          <w:tab w:val="left" w:pos="709"/>
          <w:tab w:val="left" w:pos="1134"/>
        </w:tabs>
        <w:spacing w:after="0" w:line="276" w:lineRule="auto"/>
        <w:ind w:left="0" w:firstLine="709"/>
        <w:jc w:val="both"/>
        <w:rPr>
          <w:rFonts w:asciiTheme="majorHAnsi" w:eastAsia="Times New Roman" w:hAnsiTheme="majorHAnsi" w:cstheme="majorHAnsi"/>
          <w:sz w:val="24"/>
          <w:szCs w:val="24"/>
          <w:lang w:val="ro-RO"/>
        </w:rPr>
      </w:pPr>
      <w:r w:rsidRPr="00B1061C">
        <w:rPr>
          <w:rFonts w:asciiTheme="majorHAnsi" w:eastAsia="Times New Roman" w:hAnsiTheme="majorHAnsi" w:cstheme="majorHAnsi"/>
          <w:sz w:val="24"/>
          <w:szCs w:val="24"/>
          <w:lang w:val="ro-RO"/>
        </w:rPr>
        <w:t>C</w:t>
      </w:r>
      <w:r w:rsidR="00FC3420" w:rsidRPr="00B1061C">
        <w:rPr>
          <w:rFonts w:asciiTheme="majorHAnsi" w:eastAsia="Times New Roman" w:hAnsiTheme="majorHAnsi" w:cstheme="majorHAnsi"/>
          <w:sz w:val="24"/>
          <w:szCs w:val="24"/>
          <w:lang w:val="ro-RO"/>
        </w:rPr>
        <w:t>ontrolul intern managerial, reglementat prin Legea nr.229 din 23.09.2010</w:t>
      </w:r>
      <w:r w:rsidR="005A203A" w:rsidRPr="00B1061C">
        <w:rPr>
          <w:rFonts w:asciiTheme="majorHAnsi" w:eastAsia="Times New Roman" w:hAnsiTheme="majorHAnsi" w:cstheme="majorHAnsi"/>
          <w:sz w:val="24"/>
          <w:szCs w:val="24"/>
          <w:lang w:val="ro-RO"/>
        </w:rPr>
        <w:t xml:space="preserve"> p</w:t>
      </w:r>
      <w:r w:rsidR="00FC3420" w:rsidRPr="00B1061C">
        <w:rPr>
          <w:rFonts w:asciiTheme="majorHAnsi" w:eastAsia="Times New Roman" w:hAnsiTheme="majorHAnsi" w:cstheme="majorHAnsi"/>
          <w:sz w:val="24"/>
          <w:szCs w:val="24"/>
          <w:lang w:val="ro-RO"/>
        </w:rPr>
        <w:t>rivind controlul financiar public intern, nu a fost instituit în cadrul autorității publice local</w:t>
      </w:r>
      <w:r w:rsidR="005A203A" w:rsidRPr="00B1061C">
        <w:rPr>
          <w:rFonts w:asciiTheme="majorHAnsi" w:eastAsia="Times New Roman" w:hAnsiTheme="majorHAnsi" w:cstheme="majorHAnsi"/>
          <w:sz w:val="24"/>
          <w:szCs w:val="24"/>
          <w:lang w:val="ro-RO"/>
        </w:rPr>
        <w:t>e</w:t>
      </w:r>
      <w:r w:rsidR="00FC3420" w:rsidRPr="00B1061C">
        <w:rPr>
          <w:rFonts w:asciiTheme="majorHAnsi" w:eastAsia="Times New Roman" w:hAnsiTheme="majorHAnsi" w:cstheme="majorHAnsi"/>
          <w:sz w:val="24"/>
          <w:szCs w:val="24"/>
          <w:lang w:val="ro-RO"/>
        </w:rPr>
        <w:t xml:space="preserve"> executive a or.</w:t>
      </w:r>
      <w:r w:rsidR="00AE5BD6" w:rsidRPr="00B1061C">
        <w:rPr>
          <w:rFonts w:asciiTheme="majorHAnsi" w:eastAsia="Times New Roman" w:hAnsiTheme="majorHAnsi" w:cstheme="majorHAnsi"/>
          <w:sz w:val="24"/>
          <w:szCs w:val="24"/>
          <w:lang w:val="ro-RO"/>
        </w:rPr>
        <w:t xml:space="preserve"> </w:t>
      </w:r>
      <w:r w:rsidR="00B961EE" w:rsidRPr="00B1061C">
        <w:rPr>
          <w:rFonts w:asciiTheme="majorHAnsi" w:eastAsia="Times New Roman" w:hAnsiTheme="majorHAnsi" w:cstheme="majorHAnsi"/>
          <w:sz w:val="24"/>
          <w:szCs w:val="24"/>
          <w:lang w:val="ro-RO"/>
        </w:rPr>
        <w:t xml:space="preserve">Fălești și reprezentantul autorității </w:t>
      </w:r>
      <w:r w:rsidR="00E773B0" w:rsidRPr="00B1061C">
        <w:rPr>
          <w:rFonts w:asciiTheme="majorHAnsi" w:eastAsia="Times New Roman" w:hAnsiTheme="majorHAnsi" w:cstheme="majorHAnsi"/>
          <w:sz w:val="24"/>
          <w:szCs w:val="24"/>
          <w:lang w:val="ro-RO"/>
        </w:rPr>
        <w:t>executive nu a manifestat voință managerială</w:t>
      </w:r>
      <w:r w:rsidR="00B961EE" w:rsidRPr="00B1061C">
        <w:rPr>
          <w:rFonts w:asciiTheme="majorHAnsi" w:eastAsia="Times New Roman" w:hAnsiTheme="majorHAnsi" w:cstheme="majorHAnsi"/>
          <w:sz w:val="24"/>
          <w:szCs w:val="24"/>
          <w:lang w:val="ro-RO"/>
        </w:rPr>
        <w:t xml:space="preserve"> în acest sens, </w:t>
      </w:r>
      <w:r w:rsidR="00FC3420" w:rsidRPr="00B1061C">
        <w:rPr>
          <w:rFonts w:asciiTheme="majorHAnsi" w:eastAsia="Times New Roman" w:hAnsiTheme="majorHAnsi" w:cstheme="majorHAnsi"/>
          <w:sz w:val="24"/>
          <w:szCs w:val="24"/>
          <w:lang w:val="ro-RO"/>
        </w:rPr>
        <w:t>fapt confirmat de: neconstituirea grupurilor de lucru și nedesemnarea persoanelor responsabile</w:t>
      </w:r>
      <w:r w:rsidR="006B79A4" w:rsidRPr="00B1061C">
        <w:rPr>
          <w:rFonts w:asciiTheme="majorHAnsi" w:eastAsia="Times New Roman" w:hAnsiTheme="majorHAnsi" w:cstheme="majorHAnsi"/>
          <w:sz w:val="24"/>
          <w:szCs w:val="24"/>
          <w:lang w:val="ro-RO"/>
        </w:rPr>
        <w:t xml:space="preserve"> de aceasta</w:t>
      </w:r>
      <w:r w:rsidR="00FC3420" w:rsidRPr="00B1061C">
        <w:rPr>
          <w:rFonts w:asciiTheme="majorHAnsi" w:eastAsia="Times New Roman" w:hAnsiTheme="majorHAnsi" w:cstheme="majorHAnsi"/>
          <w:sz w:val="24"/>
          <w:szCs w:val="24"/>
          <w:lang w:val="ro-RO"/>
        </w:rPr>
        <w:t>; neidentificarea și neinițierea descrierii proceselor operaționale; nedefinirea și nedescrierea unor proceduri și acțiuni de control; nedesfășurarea activităților privind evaluarea ș</w:t>
      </w:r>
      <w:r w:rsidR="00BD66F3" w:rsidRPr="00B1061C">
        <w:rPr>
          <w:rFonts w:asciiTheme="majorHAnsi" w:eastAsia="Times New Roman" w:hAnsiTheme="majorHAnsi" w:cstheme="majorHAnsi"/>
          <w:sz w:val="24"/>
          <w:szCs w:val="24"/>
          <w:lang w:val="ro-RO"/>
        </w:rPr>
        <w:t xml:space="preserve">i monitorizarea riscurilor etc. </w:t>
      </w:r>
      <w:r w:rsidR="00FC3420" w:rsidRPr="00B1061C">
        <w:rPr>
          <w:rFonts w:asciiTheme="majorHAnsi" w:eastAsia="Calibri" w:hAnsiTheme="majorHAnsi" w:cstheme="majorHAnsi"/>
          <w:sz w:val="24"/>
          <w:szCs w:val="24"/>
          <w:lang w:val="ro-RO"/>
        </w:rPr>
        <w:t>Probele de audit colectate denotă că activitățile de management și control nu au aspect de sistem și depind exclusiv de persoanele angajate la moment, ceea ce a determinat neregularitățile constatate de audit.</w:t>
      </w:r>
      <w:bookmarkStart w:id="4" w:name="_Toc529533670"/>
    </w:p>
    <w:p w:rsidR="00CE3281" w:rsidRPr="003572F5" w:rsidRDefault="00BD66F3" w:rsidP="003572F5">
      <w:pPr>
        <w:pStyle w:val="ab"/>
        <w:numPr>
          <w:ilvl w:val="1"/>
          <w:numId w:val="21"/>
        </w:numPr>
        <w:tabs>
          <w:tab w:val="left" w:pos="0"/>
          <w:tab w:val="left" w:pos="709"/>
          <w:tab w:val="left" w:pos="1134"/>
        </w:tabs>
        <w:spacing w:after="0" w:line="276" w:lineRule="auto"/>
        <w:ind w:left="0" w:firstLine="709"/>
        <w:jc w:val="both"/>
        <w:rPr>
          <w:rFonts w:asciiTheme="majorHAnsi" w:eastAsia="Calibri" w:hAnsiTheme="majorHAnsi" w:cstheme="majorHAnsi"/>
          <w:sz w:val="24"/>
          <w:szCs w:val="24"/>
          <w:lang w:val="ro-MD"/>
        </w:rPr>
      </w:pPr>
      <w:r w:rsidRPr="00B1061C">
        <w:rPr>
          <w:rFonts w:ascii="Calibri Light" w:eastAsia="Calibri" w:hAnsi="Calibri Light" w:cs="Calibri Light"/>
          <w:sz w:val="24"/>
          <w:szCs w:val="24"/>
          <w:lang w:val="ro-MD"/>
        </w:rPr>
        <w:t>Prin Ho</w:t>
      </w:r>
      <w:r w:rsidR="005538EF" w:rsidRPr="00B1061C">
        <w:rPr>
          <w:rFonts w:ascii="Calibri Light" w:eastAsia="Calibri" w:hAnsi="Calibri Light" w:cs="Calibri Light"/>
          <w:sz w:val="24"/>
          <w:szCs w:val="24"/>
          <w:lang w:val="ro-MD"/>
        </w:rPr>
        <w:t>tărârea</w:t>
      </w:r>
      <w:r w:rsidR="00DC5E71" w:rsidRPr="00B1061C">
        <w:rPr>
          <w:rFonts w:asciiTheme="majorHAnsi" w:eastAsia="Calibri" w:hAnsiTheme="majorHAnsi" w:cstheme="majorHAnsi"/>
          <w:sz w:val="24"/>
          <w:szCs w:val="24"/>
          <w:lang w:val="ro-MD"/>
        </w:rPr>
        <w:t xml:space="preserve"> Curții de Conturi nr.16 din 29.04.2020</w:t>
      </w:r>
      <w:r w:rsidR="00DC5E71" w:rsidRPr="00B1061C">
        <w:rPr>
          <w:rFonts w:asciiTheme="majorHAnsi" w:hAnsiTheme="majorHAnsi" w:cstheme="majorHAnsi"/>
          <w:vertAlign w:val="superscript"/>
          <w:lang w:val="ro-MD"/>
        </w:rPr>
        <w:footnoteReference w:id="21"/>
      </w:r>
      <w:r w:rsidR="00D94F15" w:rsidRPr="00B1061C">
        <w:rPr>
          <w:rFonts w:ascii="Calibri Light" w:eastAsia="Calibri" w:hAnsi="Calibri Light" w:cs="Calibri Light"/>
          <w:sz w:val="24"/>
          <w:szCs w:val="24"/>
          <w:lang w:val="ro-MD"/>
        </w:rPr>
        <w:t xml:space="preserve">, </w:t>
      </w:r>
      <w:r w:rsidR="00163258" w:rsidRPr="00B1061C">
        <w:rPr>
          <w:rFonts w:ascii="Calibri Light" w:eastAsia="Calibri" w:hAnsi="Calibri Light" w:cs="Calibri Light"/>
          <w:sz w:val="24"/>
          <w:szCs w:val="24"/>
          <w:lang w:val="ro-MD"/>
        </w:rPr>
        <w:t>autorității publice locale</w:t>
      </w:r>
      <w:r w:rsidR="00D94F15" w:rsidRPr="00B1061C">
        <w:rPr>
          <w:rFonts w:ascii="Calibri Light" w:eastAsia="Calibri" w:hAnsi="Calibri Light" w:cs="Calibri Light"/>
          <w:sz w:val="24"/>
          <w:szCs w:val="24"/>
          <w:lang w:val="ro-MD"/>
        </w:rPr>
        <w:t xml:space="preserve"> a or</w:t>
      </w:r>
      <w:r w:rsidR="00703141" w:rsidRPr="00B1061C">
        <w:rPr>
          <w:rFonts w:ascii="Calibri Light" w:eastAsia="Calibri" w:hAnsi="Calibri Light" w:cs="Calibri Light"/>
          <w:sz w:val="24"/>
          <w:szCs w:val="24"/>
          <w:lang w:val="ro-MD"/>
        </w:rPr>
        <w:t>. Fălești i-au fost înaintate 10</w:t>
      </w:r>
      <w:r w:rsidR="00E5383D" w:rsidRPr="00B1061C">
        <w:rPr>
          <w:rFonts w:ascii="Calibri Light" w:eastAsia="Calibri" w:hAnsi="Calibri Light" w:cs="Calibri Light"/>
          <w:sz w:val="24"/>
          <w:szCs w:val="24"/>
          <w:lang w:val="ro-MD"/>
        </w:rPr>
        <w:t xml:space="preserve"> </w:t>
      </w:r>
      <w:r w:rsidRPr="00B1061C">
        <w:rPr>
          <w:rFonts w:ascii="Calibri Light" w:eastAsia="Calibri" w:hAnsi="Calibri Light" w:cs="Calibri Light"/>
          <w:sz w:val="24"/>
          <w:szCs w:val="24"/>
          <w:lang w:val="ro-MD"/>
        </w:rPr>
        <w:t>recomandări, dintre</w:t>
      </w:r>
      <w:r w:rsidR="00E5383D" w:rsidRPr="00B1061C">
        <w:rPr>
          <w:rFonts w:ascii="Calibri Light" w:eastAsia="Calibri" w:hAnsi="Calibri Light" w:cs="Calibri Light"/>
          <w:sz w:val="24"/>
          <w:szCs w:val="24"/>
          <w:lang w:val="ro-MD"/>
        </w:rPr>
        <w:t xml:space="preserve"> care, 4</w:t>
      </w:r>
      <w:r w:rsidRPr="00B1061C">
        <w:rPr>
          <w:rFonts w:ascii="Calibri Light" w:eastAsia="Calibri" w:hAnsi="Calibri Light" w:cs="Calibri Light"/>
          <w:sz w:val="24"/>
          <w:szCs w:val="24"/>
          <w:lang w:val="ro-MD"/>
        </w:rPr>
        <w:t xml:space="preserve"> au fost implementate, </w:t>
      </w:r>
      <w:r w:rsidR="00703141" w:rsidRPr="00B1061C">
        <w:rPr>
          <w:rFonts w:ascii="Calibri Light" w:eastAsia="Calibri" w:hAnsi="Calibri Light" w:cs="Calibri Light"/>
          <w:sz w:val="24"/>
          <w:szCs w:val="24"/>
          <w:lang w:val="ro-MD"/>
        </w:rPr>
        <w:t>nivelul de executare fiind de 40,0</w:t>
      </w:r>
      <w:r w:rsidRPr="00B1061C">
        <w:rPr>
          <w:rFonts w:ascii="Calibri Light" w:eastAsia="Calibri" w:hAnsi="Calibri Light" w:cs="Calibri Light"/>
          <w:sz w:val="24"/>
          <w:szCs w:val="24"/>
          <w:lang w:val="ro-MD"/>
        </w:rPr>
        <w:t xml:space="preserve">%. Recomandările neimplementate se referă la: </w:t>
      </w:r>
      <w:r w:rsidR="00637CED" w:rsidRPr="00B1061C">
        <w:rPr>
          <w:rFonts w:ascii="Calibri Light" w:eastAsia="Calibri" w:hAnsi="Calibri Light" w:cs="Calibri Light"/>
          <w:sz w:val="24"/>
          <w:szCs w:val="24"/>
          <w:lang w:val="ro-MD"/>
        </w:rPr>
        <w:t>întreprinderea măsurilor de</w:t>
      </w:r>
      <w:r w:rsidR="00637CED" w:rsidRPr="003572F5">
        <w:rPr>
          <w:rFonts w:ascii="Calibri Light" w:eastAsia="Calibri" w:hAnsi="Calibri Light" w:cs="Calibri Light"/>
          <w:sz w:val="24"/>
          <w:szCs w:val="24"/>
          <w:lang w:val="ro-MD"/>
        </w:rPr>
        <w:t xml:space="preserve"> rigoare pentru înregistrarea dreptului asupra bunurilor imobile </w:t>
      </w:r>
      <w:r w:rsidR="00637CED" w:rsidRPr="006B79A4">
        <w:rPr>
          <w:rFonts w:ascii="Calibri Light" w:eastAsia="Calibri" w:hAnsi="Calibri Light" w:cs="Calibri Light"/>
          <w:sz w:val="24"/>
          <w:szCs w:val="24"/>
          <w:lang w:val="ro-MD"/>
        </w:rPr>
        <w:t>(inclusiv terenuri</w:t>
      </w:r>
      <w:r w:rsidR="006B79A4" w:rsidRPr="00C2094D">
        <w:rPr>
          <w:rFonts w:ascii="Calibri Light" w:eastAsia="Calibri" w:hAnsi="Calibri Light" w:cs="Calibri Light"/>
          <w:sz w:val="24"/>
          <w:szCs w:val="24"/>
          <w:lang w:val="ro-MD"/>
        </w:rPr>
        <w:t>)</w:t>
      </w:r>
      <w:r w:rsidR="00637CED" w:rsidRPr="006B79A4">
        <w:rPr>
          <w:rFonts w:ascii="Calibri Light" w:eastAsia="Calibri" w:hAnsi="Calibri Light" w:cs="Calibri Light"/>
          <w:sz w:val="24"/>
          <w:szCs w:val="24"/>
          <w:lang w:val="ro-MD"/>
        </w:rPr>
        <w:t xml:space="preserve"> transmise în gestiune</w:t>
      </w:r>
      <w:r w:rsidR="00637CED" w:rsidRPr="003572F5">
        <w:rPr>
          <w:rFonts w:ascii="Calibri Light" w:eastAsia="Calibri" w:hAnsi="Calibri Light" w:cs="Calibri Light"/>
          <w:sz w:val="24"/>
          <w:szCs w:val="24"/>
          <w:lang w:val="ro-MD"/>
        </w:rPr>
        <w:t xml:space="preserve"> întreprinderii municipale; </w:t>
      </w:r>
      <w:r w:rsidR="00163258" w:rsidRPr="003572F5">
        <w:rPr>
          <w:rFonts w:ascii="Calibri Light" w:eastAsia="Calibri" w:hAnsi="Calibri Light" w:cs="Calibri Light"/>
          <w:sz w:val="24"/>
          <w:szCs w:val="24"/>
          <w:lang w:val="ro-MD"/>
        </w:rPr>
        <w:t xml:space="preserve">revizuirea contractului individual de muncă cu directorul </w:t>
      </w:r>
      <w:r w:rsidR="00637CED" w:rsidRPr="003572F5">
        <w:rPr>
          <w:rFonts w:ascii="Calibri Light" w:eastAsia="Calibri" w:hAnsi="Calibri Light" w:cs="Calibri Light"/>
          <w:sz w:val="24"/>
          <w:szCs w:val="24"/>
          <w:lang w:val="ro-MD"/>
        </w:rPr>
        <w:t>întreprinderii municipale</w:t>
      </w:r>
      <w:r w:rsidR="00163258" w:rsidRPr="003572F5">
        <w:rPr>
          <w:rFonts w:ascii="Calibri Light" w:eastAsia="Calibri" w:hAnsi="Calibri Light" w:cs="Calibri Light"/>
          <w:sz w:val="24"/>
          <w:szCs w:val="24"/>
          <w:lang w:val="ro-MD"/>
        </w:rPr>
        <w:t xml:space="preserve">; </w:t>
      </w:r>
      <w:r w:rsidR="00E5383D" w:rsidRPr="003572F5">
        <w:rPr>
          <w:rFonts w:ascii="Calibri Light" w:eastAsia="Calibri" w:hAnsi="Calibri Light" w:cs="Calibri Light"/>
          <w:sz w:val="24"/>
          <w:szCs w:val="24"/>
          <w:lang w:val="ro-MD"/>
        </w:rPr>
        <w:t xml:space="preserve">neacceptarea acordării autorizațiilor de folosință specială a apei agenților economici care au acces la rețelele publice de aprovizionare cu apă; </w:t>
      </w:r>
      <w:r w:rsidR="00163258" w:rsidRPr="003572F5">
        <w:rPr>
          <w:rFonts w:ascii="Calibri Light" w:eastAsia="Calibri" w:hAnsi="Calibri Light" w:cs="Calibri Light"/>
          <w:sz w:val="24"/>
          <w:szCs w:val="24"/>
          <w:lang w:val="ro-MD"/>
        </w:rPr>
        <w:t xml:space="preserve">uniformizarea tarifelor la serviciile prestate consumatorilor casnici și noncasnici; </w:t>
      </w:r>
      <w:r w:rsidR="00E5383D" w:rsidRPr="003572F5">
        <w:rPr>
          <w:rFonts w:ascii="Calibri Light" w:eastAsia="Calibri" w:hAnsi="Calibri Light" w:cs="Calibri Light"/>
          <w:sz w:val="24"/>
          <w:szCs w:val="24"/>
          <w:lang w:val="ro-MD"/>
        </w:rPr>
        <w:t xml:space="preserve">instituirea unui control asupra deversărilor de ape uzate în mediul înconjurător și rețelele de canalizare efectuate de agenții economici; </w:t>
      </w:r>
      <w:r w:rsidR="00163258" w:rsidRPr="003572F5">
        <w:rPr>
          <w:rFonts w:ascii="Calibri Light" w:eastAsia="Calibri" w:hAnsi="Calibri Light" w:cs="Calibri Light"/>
          <w:sz w:val="24"/>
          <w:szCs w:val="24"/>
          <w:lang w:val="ro-MD"/>
        </w:rPr>
        <w:t>aprobarea tarifelor la serviciile auxiliare prestate</w:t>
      </w:r>
      <w:r w:rsidR="00E5383D" w:rsidRPr="003572F5">
        <w:rPr>
          <w:rFonts w:ascii="Calibri Light" w:eastAsia="Calibri" w:hAnsi="Calibri Light" w:cs="Calibri Light"/>
          <w:sz w:val="24"/>
          <w:szCs w:val="24"/>
          <w:lang w:val="ro-MD"/>
        </w:rPr>
        <w:t xml:space="preserve"> (parțial, </w:t>
      </w:r>
      <w:r w:rsidR="009D1039">
        <w:rPr>
          <w:rFonts w:ascii="Calibri Light" w:eastAsia="Calibri" w:hAnsi="Calibri Light" w:cs="Calibri Light"/>
          <w:sz w:val="24"/>
          <w:szCs w:val="24"/>
          <w:lang w:val="ro-MD"/>
        </w:rPr>
        <w:t>se află</w:t>
      </w:r>
      <w:r w:rsidR="00E5383D" w:rsidRPr="003572F5">
        <w:rPr>
          <w:rFonts w:ascii="Calibri Light" w:eastAsia="Calibri" w:hAnsi="Calibri Light" w:cs="Calibri Light"/>
          <w:sz w:val="24"/>
          <w:szCs w:val="24"/>
          <w:lang w:val="ro-MD"/>
        </w:rPr>
        <w:t xml:space="preserve"> în procedură de examinare la A</w:t>
      </w:r>
      <w:r w:rsidR="00F26A44" w:rsidRPr="003572F5">
        <w:rPr>
          <w:rFonts w:ascii="Calibri Light" w:eastAsia="Calibri" w:hAnsi="Calibri Light" w:cs="Calibri Light"/>
          <w:sz w:val="24"/>
          <w:szCs w:val="24"/>
          <w:lang w:val="ro-MD"/>
        </w:rPr>
        <w:t>genția Națională pentru Reglementare în Energetică)</w:t>
      </w:r>
      <w:r w:rsidR="00163258" w:rsidRPr="003572F5">
        <w:rPr>
          <w:rFonts w:ascii="Calibri Light" w:eastAsia="Calibri" w:hAnsi="Calibri Light" w:cs="Calibri Light"/>
          <w:sz w:val="24"/>
          <w:szCs w:val="24"/>
          <w:lang w:val="ro-MD"/>
        </w:rPr>
        <w:t>. Î</w:t>
      </w:r>
      <w:r w:rsidR="003E68F4" w:rsidRPr="003572F5">
        <w:rPr>
          <w:rFonts w:ascii="Calibri Light" w:eastAsia="Calibri" w:hAnsi="Calibri Light" w:cs="Calibri Light"/>
          <w:sz w:val="24"/>
          <w:szCs w:val="24"/>
          <w:lang w:val="ro-MD"/>
        </w:rPr>
        <w:t>.</w:t>
      </w:r>
      <w:r w:rsidR="00163258" w:rsidRPr="003572F5">
        <w:rPr>
          <w:rFonts w:ascii="Calibri Light" w:eastAsia="Calibri" w:hAnsi="Calibri Light" w:cs="Calibri Light"/>
          <w:sz w:val="24"/>
          <w:szCs w:val="24"/>
          <w:lang w:val="ro-MD"/>
        </w:rPr>
        <w:t>M</w:t>
      </w:r>
      <w:r w:rsidR="003E68F4" w:rsidRPr="003572F5">
        <w:rPr>
          <w:rFonts w:ascii="Calibri Light" w:eastAsia="Calibri" w:hAnsi="Calibri Light" w:cs="Calibri Light"/>
          <w:sz w:val="24"/>
          <w:szCs w:val="24"/>
          <w:lang w:val="ro-MD"/>
        </w:rPr>
        <w:t>.</w:t>
      </w:r>
      <w:r w:rsidR="00163258" w:rsidRPr="003572F5">
        <w:rPr>
          <w:rFonts w:ascii="Calibri Light" w:eastAsia="Calibri" w:hAnsi="Calibri Light" w:cs="Calibri Light"/>
          <w:sz w:val="24"/>
          <w:szCs w:val="24"/>
          <w:lang w:val="ro-MD"/>
        </w:rPr>
        <w:t xml:space="preserve"> „</w:t>
      </w:r>
      <w:r w:rsidR="003E68F4" w:rsidRPr="003572F5">
        <w:rPr>
          <w:rFonts w:ascii="Calibri Light" w:eastAsia="Calibri" w:hAnsi="Calibri Light" w:cs="Calibri Light"/>
          <w:sz w:val="24"/>
          <w:szCs w:val="24"/>
          <w:lang w:val="ro-MD"/>
        </w:rPr>
        <w:t>Direcția</w:t>
      </w:r>
      <w:r w:rsidR="00163258" w:rsidRPr="003572F5">
        <w:rPr>
          <w:rFonts w:ascii="Calibri Light" w:eastAsia="Calibri" w:hAnsi="Calibri Light" w:cs="Calibri Light"/>
          <w:sz w:val="24"/>
          <w:szCs w:val="24"/>
          <w:lang w:val="ro-MD"/>
        </w:rPr>
        <w:t xml:space="preserve"> de </w:t>
      </w:r>
      <w:r w:rsidR="003E68F4" w:rsidRPr="003572F5">
        <w:rPr>
          <w:rFonts w:ascii="Calibri Light" w:eastAsia="Calibri" w:hAnsi="Calibri Light" w:cs="Calibri Light"/>
          <w:sz w:val="24"/>
          <w:szCs w:val="24"/>
          <w:lang w:val="ro-MD"/>
        </w:rPr>
        <w:t>Producție</w:t>
      </w:r>
      <w:r w:rsidR="00163258" w:rsidRPr="003572F5">
        <w:rPr>
          <w:rFonts w:ascii="Calibri Light" w:eastAsia="Calibri" w:hAnsi="Calibri Light" w:cs="Calibri Light"/>
          <w:sz w:val="24"/>
          <w:szCs w:val="24"/>
          <w:lang w:val="ro-MD"/>
        </w:rPr>
        <w:t xml:space="preserve"> Gospodăria Comunal-Locativă” </w:t>
      </w:r>
      <w:r w:rsidR="003E68F4" w:rsidRPr="003572F5">
        <w:rPr>
          <w:rFonts w:ascii="Calibri Light" w:eastAsia="Calibri" w:hAnsi="Calibri Light" w:cs="Calibri Light"/>
          <w:sz w:val="24"/>
          <w:szCs w:val="24"/>
          <w:lang w:val="ro-MD"/>
        </w:rPr>
        <w:t>or. Fălești</w:t>
      </w:r>
      <w:r w:rsidR="00163258" w:rsidRPr="003572F5">
        <w:rPr>
          <w:rFonts w:ascii="Calibri Light" w:eastAsia="Calibri" w:hAnsi="Calibri Light" w:cs="Calibri Light"/>
          <w:sz w:val="24"/>
          <w:szCs w:val="24"/>
          <w:lang w:val="ro-MD"/>
        </w:rPr>
        <w:t xml:space="preserve"> </w:t>
      </w:r>
      <w:r w:rsidR="003E68F4" w:rsidRPr="003572F5">
        <w:rPr>
          <w:rFonts w:ascii="Calibri Light" w:eastAsia="Calibri" w:hAnsi="Calibri Light" w:cs="Calibri Light"/>
          <w:sz w:val="24"/>
          <w:szCs w:val="24"/>
          <w:lang w:val="ro-MD"/>
        </w:rPr>
        <w:t>i-au fost înaintate 18 recomandări, dintre care, 16 au fost implementate, nivelul de executare fiind de 88,8%. Recomandările neimplementate se referă la: evidența separată a veniturilor și cheltuielilor în funcție de etapele tehnologice existente; prelevarea sistematică a probelor de ape uzate deversate de agenții economici în sistemul de canalizare și/sau aduse pentru epurare.</w:t>
      </w:r>
      <w:r w:rsidR="00CE3281" w:rsidRPr="003572F5">
        <w:rPr>
          <w:rFonts w:asciiTheme="majorHAnsi" w:eastAsia="Calibri" w:hAnsiTheme="majorHAnsi" w:cstheme="majorHAnsi"/>
          <w:sz w:val="24"/>
          <w:szCs w:val="24"/>
          <w:lang w:val="ro-MD"/>
        </w:rPr>
        <w:t xml:space="preserve"> </w:t>
      </w:r>
    </w:p>
    <w:p w:rsidR="008C0D9C" w:rsidRPr="00B955E7" w:rsidRDefault="00F9566B" w:rsidP="008C0D9C">
      <w:pPr>
        <w:pStyle w:val="ab"/>
        <w:numPr>
          <w:ilvl w:val="1"/>
          <w:numId w:val="21"/>
        </w:numPr>
        <w:tabs>
          <w:tab w:val="left" w:pos="709"/>
          <w:tab w:val="left" w:pos="1134"/>
        </w:tabs>
        <w:spacing w:after="0" w:line="276" w:lineRule="auto"/>
        <w:ind w:left="0" w:firstLine="709"/>
        <w:jc w:val="both"/>
        <w:rPr>
          <w:rFonts w:asciiTheme="majorHAnsi" w:eastAsia="Calibri" w:hAnsiTheme="majorHAnsi" w:cstheme="majorHAnsi"/>
          <w:sz w:val="24"/>
          <w:szCs w:val="24"/>
          <w:lang w:val="ro-RO"/>
        </w:rPr>
      </w:pPr>
      <w:r w:rsidRPr="00B955E7">
        <w:rPr>
          <w:rFonts w:asciiTheme="majorHAnsi" w:eastAsia="Calibri" w:hAnsiTheme="majorHAnsi" w:cstheme="majorHAnsi"/>
          <w:sz w:val="24"/>
          <w:szCs w:val="24"/>
          <w:lang w:val="ro-MD"/>
        </w:rPr>
        <w:t xml:space="preserve">Conform datelor deținute de către serviciul funciar al primăriei, pe teritoriul administrat sunt </w:t>
      </w:r>
      <w:r w:rsidRPr="006B79A4">
        <w:rPr>
          <w:rFonts w:asciiTheme="majorHAnsi" w:eastAsia="Calibri" w:hAnsiTheme="majorHAnsi" w:cstheme="majorHAnsi"/>
          <w:sz w:val="24"/>
          <w:szCs w:val="24"/>
          <w:lang w:val="ro-MD"/>
        </w:rPr>
        <w:t>situate 1</w:t>
      </w:r>
      <w:r w:rsidRPr="00B955E7">
        <w:rPr>
          <w:rFonts w:asciiTheme="majorHAnsi" w:eastAsia="Calibri" w:hAnsiTheme="majorHAnsi" w:cstheme="majorHAnsi"/>
          <w:sz w:val="24"/>
          <w:szCs w:val="24"/>
          <w:lang w:val="ro-MD"/>
        </w:rPr>
        <w:t xml:space="preserve">49 drumuri locale. </w:t>
      </w:r>
      <w:r w:rsidR="000E1F27" w:rsidRPr="00B955E7">
        <w:rPr>
          <w:rFonts w:asciiTheme="majorHAnsi" w:eastAsia="Calibri" w:hAnsiTheme="majorHAnsi" w:cstheme="majorHAnsi"/>
          <w:sz w:val="24"/>
          <w:szCs w:val="24"/>
          <w:lang w:val="ro-MD"/>
        </w:rPr>
        <w:t xml:space="preserve">Auditul nu poate </w:t>
      </w:r>
      <w:r w:rsidR="008764F1" w:rsidRPr="00B955E7">
        <w:rPr>
          <w:rFonts w:asciiTheme="majorHAnsi" w:eastAsia="Calibri" w:hAnsiTheme="majorHAnsi" w:cstheme="majorHAnsi"/>
          <w:sz w:val="24"/>
          <w:szCs w:val="24"/>
          <w:lang w:val="ro-MD"/>
        </w:rPr>
        <w:t>determina existența sau lipsa unei denaturări semnificative</w:t>
      </w:r>
      <w:r w:rsidR="000E1F27" w:rsidRPr="00B955E7">
        <w:rPr>
          <w:rFonts w:asciiTheme="majorHAnsi" w:eastAsia="Calibri" w:hAnsiTheme="majorHAnsi" w:cstheme="majorHAnsi"/>
          <w:sz w:val="24"/>
          <w:szCs w:val="24"/>
          <w:lang w:val="ro-MD"/>
        </w:rPr>
        <w:t xml:space="preserve"> </w:t>
      </w:r>
      <w:r w:rsidR="001217A0" w:rsidRPr="00B955E7">
        <w:rPr>
          <w:rFonts w:asciiTheme="majorHAnsi" w:eastAsia="Calibri" w:hAnsiTheme="majorHAnsi" w:cstheme="majorHAnsi"/>
          <w:sz w:val="24"/>
          <w:szCs w:val="24"/>
          <w:lang w:val="ro-MD"/>
        </w:rPr>
        <w:t xml:space="preserve">cu referire la </w:t>
      </w:r>
      <w:r w:rsidR="008B5C4E" w:rsidRPr="00B955E7">
        <w:rPr>
          <w:rFonts w:asciiTheme="majorHAnsi" w:eastAsia="Calibri" w:hAnsiTheme="majorHAnsi" w:cstheme="majorHAnsi"/>
          <w:sz w:val="24"/>
          <w:szCs w:val="24"/>
          <w:lang w:val="ro-MD"/>
        </w:rPr>
        <w:t>corectitudinea raportării</w:t>
      </w:r>
      <w:r w:rsidR="001217A0" w:rsidRPr="00B955E7">
        <w:rPr>
          <w:rFonts w:asciiTheme="majorHAnsi" w:eastAsia="Calibri" w:hAnsiTheme="majorHAnsi" w:cstheme="majorHAnsi"/>
          <w:sz w:val="24"/>
          <w:szCs w:val="24"/>
          <w:lang w:val="ro-MD"/>
        </w:rPr>
        <w:t xml:space="preserve"> u</w:t>
      </w:r>
      <w:r w:rsidR="000E1F27" w:rsidRPr="00B955E7">
        <w:rPr>
          <w:rFonts w:asciiTheme="majorHAnsi" w:eastAsia="Calibri" w:hAnsiTheme="majorHAnsi" w:cstheme="majorHAnsi"/>
          <w:sz w:val="24"/>
          <w:szCs w:val="24"/>
          <w:lang w:val="ro-MD"/>
        </w:rPr>
        <w:t xml:space="preserve">nor </w:t>
      </w:r>
      <w:r w:rsidR="00045D72" w:rsidRPr="00B955E7">
        <w:rPr>
          <w:rFonts w:asciiTheme="majorHAnsi" w:eastAsia="Calibri" w:hAnsiTheme="majorHAnsi" w:cstheme="majorHAnsi"/>
          <w:sz w:val="24"/>
          <w:szCs w:val="24"/>
          <w:lang w:val="ro-MD"/>
        </w:rPr>
        <w:t>obiecte</w:t>
      </w:r>
      <w:r w:rsidR="000E1F27" w:rsidRPr="00B955E7">
        <w:rPr>
          <w:rFonts w:asciiTheme="majorHAnsi" w:eastAsia="Calibri" w:hAnsiTheme="majorHAnsi" w:cstheme="majorHAnsi"/>
          <w:sz w:val="24"/>
          <w:szCs w:val="24"/>
          <w:lang w:val="ro-MD"/>
        </w:rPr>
        <w:t xml:space="preserve"> la grupa de conturi 312 „Construcții speciale”</w:t>
      </w:r>
      <w:r w:rsidR="0094161F">
        <w:rPr>
          <w:rFonts w:asciiTheme="majorHAnsi" w:eastAsia="Calibri" w:hAnsiTheme="majorHAnsi" w:cstheme="majorHAnsi"/>
          <w:sz w:val="24"/>
          <w:szCs w:val="24"/>
          <w:lang w:val="ro-MD"/>
        </w:rPr>
        <w:t>,</w:t>
      </w:r>
      <w:r w:rsidR="00045D72" w:rsidRPr="00B955E7">
        <w:rPr>
          <w:rFonts w:asciiTheme="majorHAnsi" w:eastAsia="Calibri" w:hAnsiTheme="majorHAnsi" w:cstheme="majorHAnsi"/>
          <w:sz w:val="24"/>
          <w:szCs w:val="24"/>
          <w:lang w:val="ro-MD"/>
        </w:rPr>
        <w:t xml:space="preserve"> în sumă totală de</w:t>
      </w:r>
      <w:r w:rsidR="000E1F27" w:rsidRPr="00B955E7">
        <w:rPr>
          <w:rFonts w:asciiTheme="majorHAnsi" w:eastAsia="Calibri" w:hAnsiTheme="majorHAnsi" w:cstheme="majorHAnsi"/>
          <w:sz w:val="24"/>
          <w:szCs w:val="24"/>
          <w:lang w:val="ro-MD"/>
        </w:rPr>
        <w:t xml:space="preserve"> </w:t>
      </w:r>
      <w:r w:rsidR="00045D72" w:rsidRPr="00B955E7">
        <w:rPr>
          <w:rFonts w:asciiTheme="majorHAnsi" w:eastAsia="Calibri" w:hAnsiTheme="majorHAnsi" w:cstheme="majorHAnsi"/>
          <w:sz w:val="24"/>
          <w:szCs w:val="24"/>
          <w:lang w:val="ro-MD"/>
        </w:rPr>
        <w:t>22882,2 mii lei – 15 drumuri</w:t>
      </w:r>
      <w:r w:rsidR="004F7426" w:rsidRPr="00B955E7">
        <w:rPr>
          <w:rFonts w:asciiTheme="majorHAnsi" w:eastAsia="Calibri" w:hAnsiTheme="majorHAnsi" w:cstheme="majorHAnsi"/>
          <w:sz w:val="24"/>
          <w:szCs w:val="24"/>
          <w:lang w:val="ro-MD"/>
        </w:rPr>
        <w:t>/străzi</w:t>
      </w:r>
      <w:r w:rsidR="00045D72" w:rsidRPr="00B955E7">
        <w:rPr>
          <w:rFonts w:asciiTheme="majorHAnsi" w:eastAsia="Calibri" w:hAnsiTheme="majorHAnsi" w:cstheme="majorHAnsi"/>
          <w:sz w:val="24"/>
          <w:szCs w:val="24"/>
          <w:lang w:val="ro-MD"/>
        </w:rPr>
        <w:t xml:space="preserve"> </w:t>
      </w:r>
      <w:r w:rsidR="004F7426" w:rsidRPr="00B955E7">
        <w:rPr>
          <w:rFonts w:asciiTheme="majorHAnsi" w:eastAsia="Calibri" w:hAnsiTheme="majorHAnsi" w:cstheme="majorHAnsi"/>
          <w:sz w:val="24"/>
          <w:szCs w:val="24"/>
          <w:lang w:val="ro-MD"/>
        </w:rPr>
        <w:t>locale</w:t>
      </w:r>
      <w:r w:rsidR="008764F1" w:rsidRPr="00B955E7">
        <w:rPr>
          <w:rFonts w:asciiTheme="majorHAnsi" w:eastAsia="Calibri" w:hAnsiTheme="majorHAnsi" w:cstheme="majorHAnsi"/>
          <w:sz w:val="24"/>
          <w:szCs w:val="24"/>
          <w:lang w:val="ro-MD"/>
        </w:rPr>
        <w:t>,</w:t>
      </w:r>
      <w:r w:rsidR="004F7426" w:rsidRPr="00B955E7">
        <w:rPr>
          <w:rFonts w:asciiTheme="majorHAnsi" w:eastAsia="Calibri" w:hAnsiTheme="majorHAnsi" w:cstheme="majorHAnsi"/>
          <w:sz w:val="24"/>
          <w:szCs w:val="24"/>
          <w:lang w:val="ro-MD"/>
        </w:rPr>
        <w:t xml:space="preserve"> </w:t>
      </w:r>
      <w:r w:rsidR="0094161F">
        <w:rPr>
          <w:rFonts w:asciiTheme="majorHAnsi" w:eastAsia="Calibri" w:hAnsiTheme="majorHAnsi" w:cstheme="majorHAnsi"/>
          <w:sz w:val="24"/>
          <w:szCs w:val="24"/>
          <w:lang w:val="ro-MD"/>
        </w:rPr>
        <w:t xml:space="preserve">a căror </w:t>
      </w:r>
      <w:r w:rsidR="00045D72" w:rsidRPr="00B955E7">
        <w:rPr>
          <w:rFonts w:asciiTheme="majorHAnsi" w:eastAsia="Calibri" w:hAnsiTheme="majorHAnsi" w:cstheme="majorHAnsi"/>
          <w:sz w:val="24"/>
          <w:szCs w:val="24"/>
          <w:lang w:val="ro-MD"/>
        </w:rPr>
        <w:t>val</w:t>
      </w:r>
      <w:r w:rsidR="004F7426" w:rsidRPr="00B955E7">
        <w:rPr>
          <w:rFonts w:asciiTheme="majorHAnsi" w:eastAsia="Calibri" w:hAnsiTheme="majorHAnsi" w:cstheme="majorHAnsi"/>
          <w:sz w:val="24"/>
          <w:szCs w:val="24"/>
          <w:lang w:val="ro-MD"/>
        </w:rPr>
        <w:t>o</w:t>
      </w:r>
      <w:r w:rsidR="00045D72" w:rsidRPr="00B955E7">
        <w:rPr>
          <w:rFonts w:asciiTheme="majorHAnsi" w:eastAsia="Calibri" w:hAnsiTheme="majorHAnsi" w:cstheme="majorHAnsi"/>
          <w:sz w:val="24"/>
          <w:szCs w:val="24"/>
          <w:lang w:val="ro-MD"/>
        </w:rPr>
        <w:t xml:space="preserve">are </w:t>
      </w:r>
      <w:r w:rsidR="008C0D9C" w:rsidRPr="00B955E7">
        <w:rPr>
          <w:rFonts w:asciiTheme="majorHAnsi" w:eastAsia="Calibri" w:hAnsiTheme="majorHAnsi" w:cstheme="majorHAnsi"/>
          <w:sz w:val="24"/>
          <w:szCs w:val="24"/>
          <w:lang w:val="ro-MD"/>
        </w:rPr>
        <w:t>a fost</w:t>
      </w:r>
      <w:r w:rsidR="00045D72" w:rsidRPr="00B955E7">
        <w:rPr>
          <w:rFonts w:asciiTheme="majorHAnsi" w:eastAsia="Calibri" w:hAnsiTheme="majorHAnsi" w:cstheme="majorHAnsi"/>
          <w:sz w:val="24"/>
          <w:szCs w:val="24"/>
          <w:lang w:val="ro-MD"/>
        </w:rPr>
        <w:t xml:space="preserve"> </w:t>
      </w:r>
      <w:r w:rsidR="004F7426" w:rsidRPr="00B955E7">
        <w:rPr>
          <w:rFonts w:asciiTheme="majorHAnsi" w:eastAsia="Calibri" w:hAnsiTheme="majorHAnsi" w:cstheme="majorHAnsi"/>
          <w:sz w:val="24"/>
          <w:szCs w:val="24"/>
          <w:lang w:val="ro-MD"/>
        </w:rPr>
        <w:t>formată</w:t>
      </w:r>
      <w:r w:rsidR="0094161F">
        <w:rPr>
          <w:rFonts w:asciiTheme="majorHAnsi" w:eastAsia="Calibri" w:hAnsiTheme="majorHAnsi" w:cstheme="majorHAnsi"/>
          <w:sz w:val="24"/>
          <w:szCs w:val="24"/>
          <w:lang w:val="ro-MD"/>
        </w:rPr>
        <w:t>,</w:t>
      </w:r>
      <w:r w:rsidR="004F7426" w:rsidRPr="00B955E7">
        <w:rPr>
          <w:rFonts w:asciiTheme="majorHAnsi" w:eastAsia="Calibri" w:hAnsiTheme="majorHAnsi" w:cstheme="majorHAnsi"/>
          <w:sz w:val="24"/>
          <w:szCs w:val="24"/>
          <w:lang w:val="ro-MD"/>
        </w:rPr>
        <w:t xml:space="preserve"> în special</w:t>
      </w:r>
      <w:r w:rsidR="0094161F">
        <w:rPr>
          <w:rFonts w:asciiTheme="majorHAnsi" w:eastAsia="Calibri" w:hAnsiTheme="majorHAnsi" w:cstheme="majorHAnsi"/>
          <w:sz w:val="24"/>
          <w:szCs w:val="24"/>
          <w:lang w:val="ro-MD"/>
        </w:rPr>
        <w:t>,</w:t>
      </w:r>
      <w:r w:rsidR="004F7426" w:rsidRPr="00B955E7">
        <w:rPr>
          <w:rFonts w:asciiTheme="majorHAnsi" w:eastAsia="Calibri" w:hAnsiTheme="majorHAnsi" w:cstheme="majorHAnsi"/>
          <w:sz w:val="24"/>
          <w:szCs w:val="24"/>
          <w:lang w:val="ro-MD"/>
        </w:rPr>
        <w:t xml:space="preserve"> </w:t>
      </w:r>
      <w:r w:rsidR="008C0D9C" w:rsidRPr="00B955E7">
        <w:rPr>
          <w:rFonts w:asciiTheme="majorHAnsi" w:eastAsia="Calibri" w:hAnsiTheme="majorHAnsi" w:cstheme="majorHAnsi"/>
          <w:sz w:val="24"/>
          <w:szCs w:val="24"/>
          <w:lang w:val="ro-MD"/>
        </w:rPr>
        <w:t>din</w:t>
      </w:r>
      <w:r w:rsidR="004F7426" w:rsidRPr="00B955E7">
        <w:rPr>
          <w:rFonts w:asciiTheme="majorHAnsi" w:eastAsia="Calibri" w:hAnsiTheme="majorHAnsi" w:cstheme="majorHAnsi"/>
          <w:sz w:val="24"/>
          <w:szCs w:val="24"/>
          <w:lang w:val="ro-MD"/>
        </w:rPr>
        <w:t xml:space="preserve"> costul lucrărilor </w:t>
      </w:r>
      <w:r w:rsidR="008B5C4E" w:rsidRPr="00B955E7">
        <w:rPr>
          <w:rFonts w:asciiTheme="majorHAnsi" w:eastAsia="Calibri" w:hAnsiTheme="majorHAnsi" w:cstheme="majorHAnsi"/>
          <w:sz w:val="24"/>
          <w:szCs w:val="24"/>
          <w:lang w:val="ro-MD"/>
        </w:rPr>
        <w:t xml:space="preserve">de reparație capitală recunoscute </w:t>
      </w:r>
      <w:r w:rsidR="008C0D9C" w:rsidRPr="00B955E7">
        <w:rPr>
          <w:rFonts w:asciiTheme="majorHAnsi" w:eastAsia="Calibri" w:hAnsiTheme="majorHAnsi" w:cstheme="majorHAnsi"/>
          <w:sz w:val="24"/>
          <w:szCs w:val="24"/>
          <w:lang w:val="ro-MD"/>
        </w:rPr>
        <w:t>din</w:t>
      </w:r>
      <w:r w:rsidR="008B5C4E" w:rsidRPr="00B955E7">
        <w:rPr>
          <w:rFonts w:asciiTheme="majorHAnsi" w:eastAsia="Calibri" w:hAnsiTheme="majorHAnsi" w:cstheme="majorHAnsi"/>
          <w:sz w:val="24"/>
          <w:szCs w:val="24"/>
          <w:lang w:val="ro-MD"/>
        </w:rPr>
        <w:t xml:space="preserve"> </w:t>
      </w:r>
      <w:r w:rsidR="008C0D9C" w:rsidRPr="00B955E7">
        <w:rPr>
          <w:rFonts w:asciiTheme="majorHAnsi" w:eastAsia="Calibri" w:hAnsiTheme="majorHAnsi" w:cstheme="majorHAnsi"/>
          <w:sz w:val="24"/>
          <w:szCs w:val="24"/>
          <w:lang w:val="ro-MD"/>
        </w:rPr>
        <w:t xml:space="preserve">perioada </w:t>
      </w:r>
      <w:r w:rsidR="008B5C4E" w:rsidRPr="00B955E7">
        <w:rPr>
          <w:rFonts w:asciiTheme="majorHAnsi" w:eastAsia="Calibri" w:hAnsiTheme="majorHAnsi" w:cstheme="majorHAnsi"/>
          <w:sz w:val="24"/>
          <w:szCs w:val="24"/>
          <w:lang w:val="ro-MD"/>
        </w:rPr>
        <w:t>reflectării lor în evidența contabilă în anii precedenți.</w:t>
      </w:r>
      <w:r w:rsidR="008C0D9C" w:rsidRPr="00B955E7">
        <w:rPr>
          <w:rFonts w:asciiTheme="majorHAnsi" w:eastAsia="Calibri" w:hAnsiTheme="majorHAnsi" w:cstheme="majorHAnsi"/>
          <w:sz w:val="24"/>
          <w:szCs w:val="24"/>
          <w:lang w:val="ro-MD"/>
        </w:rPr>
        <w:t xml:space="preserve"> </w:t>
      </w:r>
      <w:r w:rsidR="0094161F">
        <w:rPr>
          <w:rFonts w:asciiTheme="majorHAnsi" w:eastAsia="Calibri" w:hAnsiTheme="majorHAnsi" w:cstheme="majorHAnsi"/>
          <w:sz w:val="24"/>
          <w:szCs w:val="24"/>
          <w:lang w:val="ro-MD"/>
        </w:rPr>
        <w:t>De</w:t>
      </w:r>
      <w:r w:rsidR="008764F1" w:rsidRPr="00B955E7">
        <w:rPr>
          <w:rFonts w:asciiTheme="majorHAnsi" w:eastAsia="Calibri" w:hAnsiTheme="majorHAnsi" w:cstheme="majorHAnsi"/>
          <w:sz w:val="24"/>
          <w:szCs w:val="24"/>
          <w:lang w:val="ro-MD"/>
        </w:rPr>
        <w:t xml:space="preserve"> exemplu, </w:t>
      </w:r>
      <w:r w:rsidR="008B5C4E" w:rsidRPr="00B955E7">
        <w:rPr>
          <w:rFonts w:asciiTheme="majorHAnsi" w:eastAsia="Calibri" w:hAnsiTheme="majorHAnsi" w:cstheme="majorHAnsi"/>
          <w:sz w:val="24"/>
          <w:szCs w:val="24"/>
          <w:lang w:val="ro-MD"/>
        </w:rPr>
        <w:t>valoarea a 10</w:t>
      </w:r>
      <w:r w:rsidR="008764F1" w:rsidRPr="00B955E7">
        <w:rPr>
          <w:rFonts w:asciiTheme="majorHAnsi" w:eastAsia="Calibri" w:hAnsiTheme="majorHAnsi" w:cstheme="majorHAnsi"/>
          <w:sz w:val="24"/>
          <w:szCs w:val="24"/>
          <w:lang w:val="ro-MD"/>
        </w:rPr>
        <w:t xml:space="preserve"> drumuri în sumă totală de </w:t>
      </w:r>
      <w:r w:rsidR="008C0D9C" w:rsidRPr="00B955E7">
        <w:rPr>
          <w:rFonts w:asciiTheme="majorHAnsi" w:eastAsia="Calibri" w:hAnsiTheme="majorHAnsi" w:cstheme="majorHAnsi"/>
          <w:sz w:val="24"/>
          <w:szCs w:val="24"/>
          <w:lang w:val="ro-MD"/>
        </w:rPr>
        <w:t xml:space="preserve">12589,4 mii lei s-a format din costul lucrărilor de reparație capitală </w:t>
      </w:r>
      <w:r w:rsidR="00364630" w:rsidRPr="00B955E7">
        <w:rPr>
          <w:rFonts w:asciiTheme="majorHAnsi" w:eastAsia="Calibri" w:hAnsiTheme="majorHAnsi" w:cstheme="majorHAnsi"/>
          <w:sz w:val="24"/>
          <w:szCs w:val="24"/>
          <w:lang w:val="ro-MD"/>
        </w:rPr>
        <w:t xml:space="preserve">transmise de către Î.S. „Administrația de Stat a Drumurilor” </w:t>
      </w:r>
      <w:r>
        <w:rPr>
          <w:rFonts w:asciiTheme="majorHAnsi" w:eastAsia="Calibri" w:hAnsiTheme="majorHAnsi" w:cstheme="majorHAnsi"/>
          <w:sz w:val="24"/>
          <w:szCs w:val="24"/>
          <w:lang w:val="ro-MD"/>
        </w:rPr>
        <w:t>în anul 2019</w:t>
      </w:r>
      <w:r w:rsidR="008C0D9C" w:rsidRPr="00B955E7">
        <w:rPr>
          <w:rFonts w:asciiTheme="majorHAnsi" w:eastAsia="Calibri" w:hAnsiTheme="majorHAnsi" w:cstheme="majorHAnsi"/>
          <w:sz w:val="24"/>
          <w:szCs w:val="24"/>
          <w:lang w:val="ro-MD"/>
        </w:rPr>
        <w:t xml:space="preserve">. </w:t>
      </w:r>
    </w:p>
    <w:p w:rsidR="00FC7A6B" w:rsidRPr="00702A60" w:rsidRDefault="00B955E7" w:rsidP="00FC7A6B">
      <w:pPr>
        <w:pStyle w:val="ab"/>
        <w:tabs>
          <w:tab w:val="left" w:pos="0"/>
          <w:tab w:val="left" w:pos="1134"/>
        </w:tabs>
        <w:spacing w:after="0" w:line="276" w:lineRule="auto"/>
        <w:ind w:left="0" w:firstLine="709"/>
        <w:jc w:val="both"/>
        <w:rPr>
          <w:rFonts w:asciiTheme="majorHAnsi" w:eastAsia="Calibri" w:hAnsiTheme="majorHAnsi" w:cstheme="majorHAnsi"/>
          <w:sz w:val="24"/>
          <w:szCs w:val="24"/>
          <w:lang w:val="ro-MD"/>
        </w:rPr>
      </w:pPr>
      <w:r w:rsidRPr="00B955E7">
        <w:rPr>
          <w:rFonts w:asciiTheme="majorHAnsi" w:eastAsia="Calibri" w:hAnsiTheme="majorHAnsi" w:cstheme="majorHAnsi"/>
          <w:sz w:val="24"/>
          <w:szCs w:val="24"/>
          <w:lang w:val="ro-MD"/>
        </w:rPr>
        <w:t>La moment</w:t>
      </w:r>
      <w:r w:rsidR="0094161F">
        <w:rPr>
          <w:rFonts w:asciiTheme="majorHAnsi" w:eastAsia="Calibri" w:hAnsiTheme="majorHAnsi" w:cstheme="majorHAnsi"/>
          <w:sz w:val="24"/>
          <w:szCs w:val="24"/>
          <w:lang w:val="ro-MD"/>
        </w:rPr>
        <w:t>ul actual</w:t>
      </w:r>
      <w:r w:rsidRPr="00B955E7">
        <w:rPr>
          <w:rFonts w:asciiTheme="majorHAnsi" w:eastAsia="Calibri" w:hAnsiTheme="majorHAnsi" w:cstheme="majorHAnsi"/>
          <w:sz w:val="24"/>
          <w:szCs w:val="24"/>
          <w:lang w:val="ro-MD"/>
        </w:rPr>
        <w:t xml:space="preserve">, autoritatea publică locală este în proces de creare a dosarelor tehnice pentru fiecare drum, </w:t>
      </w:r>
      <w:r w:rsidR="00621B72">
        <w:rPr>
          <w:rFonts w:asciiTheme="majorHAnsi" w:eastAsia="Calibri" w:hAnsiTheme="majorHAnsi" w:cstheme="majorHAnsi"/>
          <w:sz w:val="24"/>
          <w:szCs w:val="24"/>
          <w:lang w:val="ro-MD"/>
        </w:rPr>
        <w:t>în scopul de</w:t>
      </w:r>
      <w:r w:rsidRPr="00B955E7">
        <w:rPr>
          <w:rFonts w:asciiTheme="majorHAnsi" w:eastAsia="Calibri" w:hAnsiTheme="majorHAnsi" w:cstheme="majorHAnsi"/>
          <w:sz w:val="24"/>
          <w:szCs w:val="24"/>
          <w:lang w:val="ro-MD"/>
        </w:rPr>
        <w:t xml:space="preserve"> a asigura crearea unităților de inventar independente, evaluarea costului și înregistrarea dreptului de proprietate asupra construcțiilor speciale în Registrul bunurilor imobile. Recent, pentru 34 </w:t>
      </w:r>
      <w:r w:rsidR="0094161F">
        <w:rPr>
          <w:rFonts w:asciiTheme="majorHAnsi" w:eastAsia="Calibri" w:hAnsiTheme="majorHAnsi" w:cstheme="majorHAnsi"/>
          <w:sz w:val="24"/>
          <w:szCs w:val="24"/>
          <w:lang w:val="ro-MD"/>
        </w:rPr>
        <w:t xml:space="preserve">de </w:t>
      </w:r>
      <w:r w:rsidRPr="00B955E7">
        <w:rPr>
          <w:rFonts w:asciiTheme="majorHAnsi" w:eastAsia="Calibri" w:hAnsiTheme="majorHAnsi" w:cstheme="majorHAnsi"/>
          <w:sz w:val="24"/>
          <w:szCs w:val="24"/>
          <w:lang w:val="ro-MD"/>
        </w:rPr>
        <w:t xml:space="preserve">drumuri locale, </w:t>
      </w:r>
      <w:r w:rsidR="00F9566B">
        <w:rPr>
          <w:rFonts w:asciiTheme="majorHAnsi" w:eastAsia="Calibri" w:hAnsiTheme="majorHAnsi" w:cstheme="majorHAnsi"/>
          <w:sz w:val="24"/>
          <w:szCs w:val="24"/>
          <w:lang w:val="ro-MD"/>
        </w:rPr>
        <w:t>s-a reușit delimitarea</w:t>
      </w:r>
      <w:r w:rsidRPr="00B955E7">
        <w:rPr>
          <w:rFonts w:asciiTheme="majorHAnsi" w:eastAsia="Calibri" w:hAnsiTheme="majorHAnsi" w:cstheme="majorHAnsi"/>
          <w:sz w:val="24"/>
          <w:szCs w:val="24"/>
          <w:lang w:val="ro-MD"/>
        </w:rPr>
        <w:t xml:space="preserve"> hotar</w:t>
      </w:r>
      <w:r w:rsidR="00F9566B">
        <w:rPr>
          <w:rFonts w:asciiTheme="majorHAnsi" w:eastAsia="Calibri" w:hAnsiTheme="majorHAnsi" w:cstheme="majorHAnsi"/>
          <w:sz w:val="24"/>
          <w:szCs w:val="24"/>
          <w:lang w:val="ro-MD"/>
        </w:rPr>
        <w:t xml:space="preserve">elor, </w:t>
      </w:r>
      <w:r w:rsidR="00F9566B" w:rsidRPr="00702A60">
        <w:rPr>
          <w:rFonts w:asciiTheme="majorHAnsi" w:eastAsia="Calibri" w:hAnsiTheme="majorHAnsi" w:cstheme="majorHAnsi"/>
          <w:sz w:val="24"/>
          <w:szCs w:val="24"/>
          <w:lang w:val="ro-MD"/>
        </w:rPr>
        <w:t>perfectarea dosarelor</w:t>
      </w:r>
      <w:r w:rsidRPr="00702A60">
        <w:rPr>
          <w:rFonts w:asciiTheme="majorHAnsi" w:eastAsia="Calibri" w:hAnsiTheme="majorHAnsi" w:cstheme="majorHAnsi"/>
          <w:sz w:val="24"/>
          <w:szCs w:val="24"/>
          <w:lang w:val="ro-MD"/>
        </w:rPr>
        <w:t xml:space="preserve"> tehnice</w:t>
      </w:r>
      <w:r w:rsidR="008C0D9C" w:rsidRPr="00702A60">
        <w:rPr>
          <w:rFonts w:asciiTheme="majorHAnsi" w:eastAsia="Calibri" w:hAnsiTheme="majorHAnsi" w:cstheme="majorHAnsi"/>
          <w:sz w:val="24"/>
          <w:szCs w:val="24"/>
          <w:lang w:val="ro-MD"/>
        </w:rPr>
        <w:t xml:space="preserve"> </w:t>
      </w:r>
      <w:r w:rsidRPr="00702A60">
        <w:rPr>
          <w:rFonts w:asciiTheme="majorHAnsi" w:eastAsia="Calibri" w:hAnsiTheme="majorHAnsi" w:cstheme="majorHAnsi"/>
          <w:sz w:val="24"/>
          <w:szCs w:val="24"/>
          <w:lang w:val="ro-MD"/>
        </w:rPr>
        <w:t xml:space="preserve">și </w:t>
      </w:r>
      <w:r w:rsidR="00F9566B" w:rsidRPr="00702A60">
        <w:rPr>
          <w:rFonts w:asciiTheme="majorHAnsi" w:eastAsia="Calibri" w:hAnsiTheme="majorHAnsi" w:cstheme="majorHAnsi"/>
          <w:sz w:val="24"/>
          <w:szCs w:val="24"/>
          <w:lang w:val="ro-MD"/>
        </w:rPr>
        <w:t>depunerea cererii</w:t>
      </w:r>
      <w:r w:rsidRPr="00702A60">
        <w:rPr>
          <w:rFonts w:asciiTheme="majorHAnsi" w:eastAsia="Calibri" w:hAnsiTheme="majorHAnsi" w:cstheme="majorHAnsi"/>
          <w:sz w:val="24"/>
          <w:szCs w:val="24"/>
          <w:lang w:val="ro-MD"/>
        </w:rPr>
        <w:t xml:space="preserve"> de înregistrare la Agenția Servicii Publice. </w:t>
      </w:r>
    </w:p>
    <w:p w:rsidR="00433E6E" w:rsidRPr="00702A60" w:rsidRDefault="00433E6E" w:rsidP="00A37141">
      <w:pPr>
        <w:numPr>
          <w:ilvl w:val="1"/>
          <w:numId w:val="21"/>
        </w:numPr>
        <w:tabs>
          <w:tab w:val="left" w:pos="0"/>
          <w:tab w:val="left" w:pos="1134"/>
        </w:tabs>
        <w:spacing w:after="0" w:line="276" w:lineRule="auto"/>
        <w:ind w:left="0" w:firstLine="709"/>
        <w:contextualSpacing/>
        <w:jc w:val="both"/>
        <w:rPr>
          <w:rFonts w:asciiTheme="majorHAnsi" w:eastAsia="Calibri" w:hAnsiTheme="majorHAnsi" w:cstheme="majorHAnsi"/>
          <w:sz w:val="24"/>
          <w:szCs w:val="24"/>
          <w:lang w:val="ro-MD"/>
        </w:rPr>
      </w:pPr>
      <w:r w:rsidRPr="00702A60">
        <w:rPr>
          <w:rFonts w:ascii="Calibri Light" w:eastAsia="Calibri" w:hAnsi="Calibri Light" w:cs="Calibri Light"/>
          <w:noProof/>
          <w:sz w:val="24"/>
          <w:szCs w:val="24"/>
          <w:lang w:val="ro-RO" w:eastAsia="ru-RU"/>
        </w:rPr>
        <w:t xml:space="preserve">Pe parcursul misiunii de audit, unele deficiențe au fost remediate, </w:t>
      </w:r>
      <w:r w:rsidRPr="00702A60">
        <w:rPr>
          <w:rFonts w:ascii="Calibri Light" w:eastAsia="Calibri" w:hAnsi="Calibri Light" w:cs="Calibri Light"/>
          <w:noProof/>
          <w:sz w:val="24"/>
          <w:szCs w:val="24"/>
          <w:lang w:val="ro-MD" w:eastAsia="ru-RU"/>
        </w:rPr>
        <w:t xml:space="preserve">și anume: </w:t>
      </w:r>
      <w:r w:rsidRPr="00702A60">
        <w:rPr>
          <w:rFonts w:ascii="Calibri Light" w:eastAsia="Calibri" w:hAnsi="Calibri Light" w:cs="Calibri Light"/>
          <w:noProof/>
          <w:sz w:val="24"/>
          <w:szCs w:val="24"/>
          <w:lang w:val="ro-RO" w:eastAsia="ru-RU"/>
        </w:rPr>
        <w:t xml:space="preserve">bunurile aflate în gestiunea întreprinderii municipale în sumă de </w:t>
      </w:r>
      <w:r w:rsidRPr="00702A60">
        <w:rPr>
          <w:rFonts w:ascii="Calibri Light" w:eastAsia="Calibri" w:hAnsi="Calibri Light" w:cs="Calibri Light"/>
          <w:sz w:val="24"/>
          <w:szCs w:val="24"/>
          <w:lang w:val="ro-RO"/>
        </w:rPr>
        <w:t>41963,7 mii lei</w:t>
      </w:r>
      <w:r w:rsidRPr="00702A60">
        <w:rPr>
          <w:rFonts w:ascii="Calibri Light" w:eastAsia="Calibri" w:hAnsi="Calibri Light" w:cs="Calibri Light"/>
          <w:noProof/>
          <w:sz w:val="24"/>
          <w:szCs w:val="24"/>
          <w:lang w:val="ro-RO" w:eastAsia="ru-RU"/>
        </w:rPr>
        <w:t xml:space="preserve"> au fost înregistrate la conturile corespunzătoare de evidență a mijloacelor fixe; s-au efectuat modificări aferente clasificării și raportării în conturile corespunzătoare a bunurilor materiale</w:t>
      </w:r>
      <w:r w:rsidRPr="00702A60">
        <w:rPr>
          <w:rFonts w:ascii="Calibri Light" w:eastAsia="Calibri" w:hAnsi="Calibri Light" w:cs="Calibri Light"/>
          <w:noProof/>
          <w:sz w:val="24"/>
          <w:szCs w:val="24"/>
          <w:lang w:val="ro-RO"/>
        </w:rPr>
        <w:t xml:space="preserve"> în valoare de 3201,6 mii lei; raportarea corectă a cheltuielilor privind remunerarea </w:t>
      </w:r>
      <w:r w:rsidRPr="00702A60">
        <w:rPr>
          <w:rFonts w:ascii="Calibri Light" w:eastAsia="Calibri" w:hAnsi="Calibri Light" w:cs="Calibri Light"/>
          <w:bCs/>
          <w:noProof/>
          <w:sz w:val="24"/>
          <w:szCs w:val="24"/>
          <w:lang w:val="ro-RO"/>
        </w:rPr>
        <w:t>managerului de proiect în sumă de 246,3 mii lei;  raportarea corectă a amortizării activelor nemateriale în sumă de 24,7 mii lei.</w:t>
      </w:r>
    </w:p>
    <w:p w:rsidR="00B64CDA" w:rsidRPr="00702A60" w:rsidRDefault="00B64CDA" w:rsidP="00BD66F3">
      <w:pPr>
        <w:keepNext/>
        <w:keepLines/>
        <w:spacing w:before="120" w:after="0" w:line="276" w:lineRule="auto"/>
        <w:jc w:val="center"/>
        <w:outlineLvl w:val="0"/>
        <w:rPr>
          <w:rFonts w:asciiTheme="majorHAnsi" w:eastAsia="Times New Roman" w:hAnsiTheme="majorHAnsi" w:cstheme="majorHAnsi"/>
          <w:b/>
          <w:sz w:val="28"/>
          <w:szCs w:val="28"/>
          <w:lang w:val="ro-RO"/>
        </w:rPr>
      </w:pPr>
      <w:r w:rsidRPr="00702A60">
        <w:rPr>
          <w:rFonts w:asciiTheme="majorHAnsi" w:eastAsia="Times New Roman" w:hAnsiTheme="majorHAnsi" w:cstheme="majorHAnsi"/>
          <w:b/>
          <w:sz w:val="28"/>
          <w:szCs w:val="28"/>
          <w:lang w:val="ro-RO"/>
        </w:rPr>
        <w:t xml:space="preserve">VI. RESPONSABILITĂȚILE CONDUCERII PENTRU </w:t>
      </w:r>
      <w:r w:rsidR="00F42BFD" w:rsidRPr="00702A60">
        <w:rPr>
          <w:rFonts w:asciiTheme="majorHAnsi" w:eastAsia="Times New Roman" w:hAnsiTheme="majorHAnsi" w:cstheme="majorHAnsi"/>
          <w:b/>
          <w:sz w:val="28"/>
          <w:szCs w:val="28"/>
          <w:lang w:val="ro-RO"/>
        </w:rPr>
        <w:t>RAPOARTELE</w:t>
      </w:r>
      <w:r w:rsidRPr="00702A60">
        <w:rPr>
          <w:rFonts w:asciiTheme="majorHAnsi" w:eastAsia="Times New Roman" w:hAnsiTheme="majorHAnsi" w:cstheme="majorHAnsi"/>
          <w:b/>
          <w:sz w:val="28"/>
          <w:szCs w:val="28"/>
          <w:lang w:val="ro-RO"/>
        </w:rPr>
        <w:t xml:space="preserve"> FINANCIARE</w:t>
      </w:r>
      <w:bookmarkEnd w:id="4"/>
    </w:p>
    <w:p w:rsidR="00C614CE" w:rsidRPr="003A5991" w:rsidRDefault="00B64CDA" w:rsidP="00F847A9">
      <w:pPr>
        <w:tabs>
          <w:tab w:val="left" w:pos="709"/>
        </w:tabs>
        <w:spacing w:after="0" w:line="276" w:lineRule="auto"/>
        <w:ind w:firstLine="709"/>
        <w:jc w:val="both"/>
        <w:rPr>
          <w:rFonts w:asciiTheme="majorHAnsi" w:eastAsia="Calibri" w:hAnsiTheme="majorHAnsi" w:cstheme="majorHAnsi"/>
          <w:sz w:val="24"/>
          <w:szCs w:val="24"/>
          <w:lang w:val="ro-RO" w:eastAsia="en-GB"/>
        </w:rPr>
      </w:pPr>
      <w:r w:rsidRPr="00702A60">
        <w:rPr>
          <w:rFonts w:asciiTheme="majorHAnsi" w:eastAsia="Calibri" w:hAnsiTheme="majorHAnsi" w:cstheme="majorHAnsi"/>
          <w:sz w:val="24"/>
          <w:szCs w:val="24"/>
          <w:lang w:val="ro-RO"/>
        </w:rPr>
        <w:t xml:space="preserve">Primarul </w:t>
      </w:r>
      <w:r w:rsidR="00FC3420" w:rsidRPr="00702A60">
        <w:rPr>
          <w:rFonts w:asciiTheme="majorHAnsi" w:eastAsia="Calibri" w:hAnsiTheme="majorHAnsi" w:cstheme="majorHAnsi"/>
          <w:sz w:val="24"/>
          <w:szCs w:val="24"/>
          <w:lang w:val="ro-RO"/>
        </w:rPr>
        <w:t>or.</w:t>
      </w:r>
      <w:r w:rsidR="00AE5BD6" w:rsidRPr="00702A60">
        <w:rPr>
          <w:rFonts w:asciiTheme="majorHAnsi" w:eastAsia="Calibri" w:hAnsiTheme="majorHAnsi" w:cstheme="majorHAnsi"/>
          <w:sz w:val="24"/>
          <w:szCs w:val="24"/>
          <w:lang w:val="ro-RO"/>
        </w:rPr>
        <w:t xml:space="preserve"> </w:t>
      </w:r>
      <w:r w:rsidR="00FC3420" w:rsidRPr="00702A60">
        <w:rPr>
          <w:rFonts w:asciiTheme="majorHAnsi" w:eastAsia="Calibri" w:hAnsiTheme="majorHAnsi" w:cstheme="majorHAnsi"/>
          <w:sz w:val="24"/>
          <w:szCs w:val="24"/>
          <w:lang w:val="ro-RO"/>
        </w:rPr>
        <w:t>Fălești</w:t>
      </w:r>
      <w:r w:rsidRPr="00702A60">
        <w:rPr>
          <w:rFonts w:asciiTheme="majorHAnsi" w:eastAsia="Calibri" w:hAnsiTheme="majorHAnsi" w:cstheme="majorHAnsi"/>
          <w:sz w:val="24"/>
          <w:szCs w:val="24"/>
          <w:lang w:val="ro-RO"/>
        </w:rPr>
        <w:t xml:space="preserve"> </w:t>
      </w:r>
      <w:r w:rsidRPr="00702A60">
        <w:rPr>
          <w:rFonts w:asciiTheme="majorHAnsi" w:eastAsia="Calibri" w:hAnsiTheme="majorHAnsi" w:cstheme="majorHAnsi"/>
          <w:color w:val="000000"/>
          <w:sz w:val="24"/>
          <w:szCs w:val="24"/>
          <w:lang w:val="ro-RO"/>
        </w:rPr>
        <w:t>asigură elaborarea proiectului de buget local, întocmirea rapoartelor periodice și anuale privind executarea bugetului și le prezintă spre aprobare consiliului local</w:t>
      </w:r>
      <w:r w:rsidRPr="00702A60">
        <w:rPr>
          <w:rFonts w:asciiTheme="majorHAnsi" w:eastAsia="Calibri" w:hAnsiTheme="majorHAnsi" w:cstheme="majorHAnsi"/>
          <w:color w:val="000000"/>
          <w:sz w:val="24"/>
          <w:szCs w:val="24"/>
          <w:vertAlign w:val="superscript"/>
          <w:lang w:val="ro-RO"/>
        </w:rPr>
        <w:footnoteReference w:id="22"/>
      </w:r>
      <w:r w:rsidRPr="00702A60">
        <w:rPr>
          <w:rFonts w:asciiTheme="majorHAnsi" w:eastAsia="Calibri" w:hAnsiTheme="majorHAnsi" w:cstheme="majorHAnsi"/>
          <w:color w:val="000000"/>
          <w:sz w:val="24"/>
          <w:szCs w:val="24"/>
          <w:lang w:val="ro-RO"/>
        </w:rPr>
        <w:t xml:space="preserve">, </w:t>
      </w:r>
      <w:r w:rsidRPr="00702A60">
        <w:rPr>
          <w:rFonts w:asciiTheme="majorHAnsi" w:eastAsia="Calibri" w:hAnsiTheme="majorHAnsi" w:cstheme="majorHAnsi"/>
          <w:sz w:val="24"/>
          <w:szCs w:val="24"/>
          <w:lang w:val="ro-RO" w:eastAsia="en-GB"/>
        </w:rPr>
        <w:t>este responsabil de pregătirea și prezentarea fidelă a rapoartelor financiare în conformitate cu cadrul</w:t>
      </w:r>
      <w:r w:rsidRPr="003A5991">
        <w:rPr>
          <w:rFonts w:asciiTheme="majorHAnsi" w:eastAsia="Calibri" w:hAnsiTheme="majorHAnsi" w:cstheme="majorHAnsi"/>
          <w:sz w:val="24"/>
          <w:szCs w:val="24"/>
          <w:lang w:val="ro-RO" w:eastAsia="en-GB"/>
        </w:rPr>
        <w:t xml:space="preserve"> de raportare financiară</w:t>
      </w:r>
      <w:r w:rsidRPr="003A5991">
        <w:rPr>
          <w:rFonts w:asciiTheme="majorHAnsi" w:eastAsia="Calibri" w:hAnsiTheme="majorHAnsi" w:cstheme="majorHAnsi"/>
          <w:sz w:val="24"/>
          <w:szCs w:val="24"/>
          <w:vertAlign w:val="superscript"/>
          <w:lang w:val="ro-RO" w:eastAsia="en-GB"/>
        </w:rPr>
        <w:footnoteReference w:id="23"/>
      </w:r>
      <w:r w:rsidRPr="003A5991">
        <w:rPr>
          <w:rFonts w:asciiTheme="majorHAnsi" w:eastAsia="Calibri" w:hAnsiTheme="majorHAnsi" w:cstheme="majorHAnsi"/>
          <w:sz w:val="24"/>
          <w:szCs w:val="24"/>
          <w:lang w:val="ro-RO" w:eastAsia="en-GB"/>
        </w:rPr>
        <w:t xml:space="preserve"> și de implementarea sistemului de </w:t>
      </w:r>
      <w:r w:rsidR="00FC3420">
        <w:rPr>
          <w:rFonts w:asciiTheme="majorHAnsi" w:eastAsia="Calibri" w:hAnsiTheme="majorHAnsi" w:cstheme="majorHAnsi"/>
          <w:sz w:val="24"/>
          <w:szCs w:val="24"/>
          <w:lang w:val="ro-RO" w:eastAsia="en-GB"/>
        </w:rPr>
        <w:t>control intern managerial</w:t>
      </w:r>
      <w:r w:rsidRPr="003A5991">
        <w:rPr>
          <w:rFonts w:asciiTheme="majorHAnsi" w:eastAsia="Calibri" w:hAnsiTheme="majorHAnsi" w:cstheme="majorHAnsi"/>
          <w:sz w:val="24"/>
          <w:szCs w:val="24"/>
          <w:lang w:val="ro-RO" w:eastAsia="en-GB"/>
        </w:rPr>
        <w:t>, car</w:t>
      </w:r>
      <w:r w:rsidR="00F42BFD">
        <w:rPr>
          <w:rFonts w:asciiTheme="majorHAnsi" w:eastAsia="Calibri" w:hAnsiTheme="majorHAnsi" w:cstheme="majorHAnsi"/>
          <w:sz w:val="24"/>
          <w:szCs w:val="24"/>
          <w:lang w:val="ro-RO" w:eastAsia="en-GB"/>
        </w:rPr>
        <w:t>e asigură întocmirea rapoartelor</w:t>
      </w:r>
      <w:r w:rsidRPr="003A5991">
        <w:rPr>
          <w:rFonts w:asciiTheme="majorHAnsi" w:eastAsia="Calibri" w:hAnsiTheme="majorHAnsi" w:cstheme="majorHAnsi"/>
          <w:sz w:val="24"/>
          <w:szCs w:val="24"/>
          <w:lang w:val="ro-RO" w:eastAsia="en-GB"/>
        </w:rPr>
        <w:t xml:space="preserve"> financiare ce nu conțin denaturări semnificative, c</w:t>
      </w:r>
      <w:r w:rsidR="004319DB" w:rsidRPr="003A5991">
        <w:rPr>
          <w:rFonts w:asciiTheme="majorHAnsi" w:eastAsia="Calibri" w:hAnsiTheme="majorHAnsi" w:cstheme="majorHAnsi"/>
          <w:sz w:val="24"/>
          <w:szCs w:val="24"/>
          <w:lang w:val="ro-RO" w:eastAsia="en-GB"/>
        </w:rPr>
        <w:t>auzate de fraudă sau de eroare.</w:t>
      </w:r>
    </w:p>
    <w:p w:rsidR="00B64CDA" w:rsidRPr="003A5991" w:rsidRDefault="00B64CDA" w:rsidP="00D13DB5">
      <w:pPr>
        <w:keepNext/>
        <w:keepLines/>
        <w:spacing w:before="120" w:after="0" w:line="276" w:lineRule="auto"/>
        <w:jc w:val="center"/>
        <w:outlineLvl w:val="0"/>
        <w:rPr>
          <w:rFonts w:asciiTheme="majorHAnsi" w:eastAsia="Times New Roman" w:hAnsiTheme="majorHAnsi" w:cstheme="majorHAnsi"/>
          <w:b/>
          <w:sz w:val="28"/>
          <w:szCs w:val="28"/>
          <w:lang w:val="ro-RO"/>
        </w:rPr>
      </w:pPr>
      <w:bookmarkStart w:id="5" w:name="_Toc506212738"/>
      <w:bookmarkStart w:id="6" w:name="_Toc517946648"/>
      <w:bookmarkStart w:id="7" w:name="_Toc519878943"/>
      <w:bookmarkStart w:id="8" w:name="_Toc527989154"/>
      <w:bookmarkStart w:id="9" w:name="_Toc528164111"/>
      <w:bookmarkStart w:id="10" w:name="_Toc529533671"/>
      <w:r w:rsidRPr="003A5991">
        <w:rPr>
          <w:rFonts w:asciiTheme="majorHAnsi" w:eastAsia="Times New Roman" w:hAnsiTheme="majorHAnsi" w:cstheme="majorHAnsi"/>
          <w:b/>
          <w:sz w:val="28"/>
          <w:szCs w:val="28"/>
          <w:lang w:val="ro-RO"/>
        </w:rPr>
        <w:t>VII. RESPONSABILITĂȚILE AUDITORULUI</w:t>
      </w:r>
      <w:bookmarkEnd w:id="5"/>
      <w:bookmarkEnd w:id="6"/>
      <w:r w:rsidR="00A27FE6" w:rsidRPr="003A5991">
        <w:rPr>
          <w:rFonts w:asciiTheme="majorHAnsi" w:eastAsia="Times New Roman" w:hAnsiTheme="majorHAnsi" w:cstheme="majorHAnsi"/>
          <w:b/>
          <w:sz w:val="28"/>
          <w:szCs w:val="28"/>
          <w:lang w:val="ro-RO"/>
        </w:rPr>
        <w:t xml:space="preserve"> ÎNTR-UN AUDIT AL </w:t>
      </w:r>
      <w:r w:rsidR="008D3135">
        <w:rPr>
          <w:rFonts w:asciiTheme="majorHAnsi" w:eastAsia="Times New Roman" w:hAnsiTheme="majorHAnsi" w:cstheme="majorHAnsi"/>
          <w:b/>
          <w:sz w:val="28"/>
          <w:szCs w:val="28"/>
          <w:lang w:val="ro-RO"/>
        </w:rPr>
        <w:t xml:space="preserve">RAPOARTELOR </w:t>
      </w:r>
      <w:r w:rsidRPr="003A5991">
        <w:rPr>
          <w:rFonts w:asciiTheme="majorHAnsi" w:eastAsia="Times New Roman" w:hAnsiTheme="majorHAnsi" w:cstheme="majorHAnsi"/>
          <w:b/>
          <w:sz w:val="28"/>
          <w:szCs w:val="28"/>
          <w:lang w:val="ro-RO"/>
        </w:rPr>
        <w:t>FINANCIARE</w:t>
      </w:r>
      <w:bookmarkEnd w:id="7"/>
      <w:bookmarkEnd w:id="8"/>
      <w:bookmarkEnd w:id="9"/>
      <w:bookmarkEnd w:id="10"/>
    </w:p>
    <w:p w:rsidR="00B64CDA" w:rsidRPr="003A5991" w:rsidRDefault="00B64CDA" w:rsidP="00F847A9">
      <w:pPr>
        <w:tabs>
          <w:tab w:val="left" w:pos="709"/>
        </w:tabs>
        <w:spacing w:after="0" w:line="276" w:lineRule="auto"/>
        <w:ind w:firstLine="709"/>
        <w:jc w:val="both"/>
        <w:rPr>
          <w:rFonts w:asciiTheme="majorHAnsi" w:eastAsia="Calibri" w:hAnsiTheme="majorHAnsi" w:cstheme="majorHAnsi"/>
          <w:spacing w:val="-2"/>
          <w:sz w:val="24"/>
          <w:szCs w:val="24"/>
          <w:lang w:val="ro-RO"/>
        </w:rPr>
      </w:pPr>
      <w:r w:rsidRPr="003A5991">
        <w:rPr>
          <w:rFonts w:asciiTheme="majorHAnsi" w:eastAsia="Calibri" w:hAnsiTheme="majorHAnsi" w:cstheme="majorHAnsi"/>
          <w:bCs/>
          <w:iCs/>
          <w:spacing w:val="-2"/>
          <w:sz w:val="24"/>
          <w:szCs w:val="24"/>
          <w:lang w:val="ro-RO"/>
        </w:rPr>
        <w:t>Responsabilitatea noastră</w:t>
      </w:r>
      <w:r w:rsidRPr="003A5991">
        <w:rPr>
          <w:rFonts w:asciiTheme="majorHAnsi" w:eastAsia="Calibri" w:hAnsiTheme="majorHAnsi" w:cstheme="majorHAnsi"/>
          <w:b/>
          <w:bCs/>
          <w:i/>
          <w:iCs/>
          <w:spacing w:val="-2"/>
          <w:sz w:val="24"/>
          <w:szCs w:val="24"/>
          <w:lang w:val="ro-RO"/>
        </w:rPr>
        <w:t xml:space="preserve"> </w:t>
      </w:r>
      <w:r w:rsidRPr="003A5991">
        <w:rPr>
          <w:rFonts w:asciiTheme="majorHAnsi" w:eastAsia="Calibri" w:hAnsiTheme="majorHAnsi" w:cstheme="majorHAnsi"/>
          <w:spacing w:val="-2"/>
          <w:sz w:val="24"/>
          <w:szCs w:val="24"/>
          <w:lang w:val="ro-RO"/>
        </w:rPr>
        <w:t>este de a planifica și a realiza misiunea de audit, cu obținerea probelor suficiente și adecvate în vederea susțineri</w:t>
      </w:r>
      <w:r w:rsidR="00CE1CF9" w:rsidRPr="003A5991">
        <w:rPr>
          <w:rFonts w:asciiTheme="majorHAnsi" w:eastAsia="Calibri" w:hAnsiTheme="majorHAnsi" w:cstheme="majorHAnsi"/>
          <w:spacing w:val="-2"/>
          <w:sz w:val="24"/>
          <w:szCs w:val="24"/>
          <w:lang w:val="ro-RO"/>
        </w:rPr>
        <w:t xml:space="preserve">i bazei pentru opinia de audit. </w:t>
      </w:r>
      <w:r w:rsidRPr="003A5991">
        <w:rPr>
          <w:rFonts w:asciiTheme="majorHAnsi" w:eastAsia="Calibri" w:hAnsiTheme="majorHAnsi" w:cstheme="majorHAnsi"/>
          <w:sz w:val="24"/>
          <w:szCs w:val="24"/>
          <w:lang w:val="ro-RO"/>
        </w:rPr>
        <w:t xml:space="preserve">Obiectivele noastre sunt: obținerea unei asigurări rezonabile referitor la faptul că </w:t>
      </w:r>
      <w:r w:rsidR="00107F86" w:rsidRPr="003A5991">
        <w:rPr>
          <w:rFonts w:asciiTheme="majorHAnsi" w:eastAsia="Calibri" w:hAnsiTheme="majorHAnsi" w:cstheme="majorHAnsi"/>
          <w:sz w:val="24"/>
          <w:szCs w:val="24"/>
          <w:lang w:val="ro-RO"/>
        </w:rPr>
        <w:t xml:space="preserve">rapoartele </w:t>
      </w:r>
      <w:r w:rsidRPr="003A5991">
        <w:rPr>
          <w:rFonts w:asciiTheme="majorHAnsi" w:eastAsia="Calibri" w:hAnsiTheme="majorHAnsi" w:cstheme="majorHAnsi"/>
          <w:sz w:val="24"/>
          <w:szCs w:val="24"/>
          <w:lang w:val="ro-RO"/>
        </w:rPr>
        <w:t>financiare nu sunt afectate de denaturări semnificative, cauzate de fraude sau erori, precum și emiterea unei opinii.</w:t>
      </w:r>
    </w:p>
    <w:p w:rsidR="00B64CDA" w:rsidRPr="003A5991" w:rsidRDefault="00B64CDA" w:rsidP="00F847A9">
      <w:pPr>
        <w:spacing w:after="0" w:line="276" w:lineRule="auto"/>
        <w:ind w:firstLine="709"/>
        <w:jc w:val="both"/>
        <w:rPr>
          <w:rFonts w:asciiTheme="majorHAnsi" w:eastAsia="Calibri" w:hAnsiTheme="majorHAnsi" w:cstheme="majorHAnsi"/>
          <w:sz w:val="24"/>
          <w:szCs w:val="24"/>
          <w:lang w:val="ro-RO"/>
        </w:rPr>
      </w:pPr>
      <w:r w:rsidRPr="003A5991">
        <w:rPr>
          <w:rFonts w:asciiTheme="majorHAnsi" w:eastAsia="Calibri" w:hAnsiTheme="majorHAnsi" w:cstheme="majorHAnsi"/>
          <w:sz w:val="24"/>
          <w:szCs w:val="24"/>
          <w:lang w:val="ro-RO"/>
        </w:rPr>
        <w:t xml:space="preserve">Asigurarea rezonabilă este un nivel ridicat de asigurare, dar nu este o garanție că un audit efectuat în conformitate cu ISSAI va detecta întotdeauna o denaturare semnificativă atunci când ea există. Denaturările pot fi urmarea fraudelor sau erorilor. Totodată, denaturările pot fi considerate semnificative dacă, în mod individual sau în ansamblu, pot influența deciziile economice ale utilizatorilor acestor </w:t>
      </w:r>
      <w:r w:rsidR="008D3135">
        <w:rPr>
          <w:rFonts w:asciiTheme="majorHAnsi" w:eastAsia="Calibri" w:hAnsiTheme="majorHAnsi" w:cstheme="majorHAnsi"/>
          <w:sz w:val="24"/>
          <w:szCs w:val="24"/>
          <w:lang w:val="ro-RO"/>
        </w:rPr>
        <w:t>rapoarte</w:t>
      </w:r>
      <w:r w:rsidRPr="003A5991">
        <w:rPr>
          <w:rFonts w:asciiTheme="majorHAnsi" w:eastAsia="Calibri" w:hAnsiTheme="majorHAnsi" w:cstheme="majorHAnsi"/>
          <w:sz w:val="24"/>
          <w:szCs w:val="24"/>
          <w:lang w:val="ro-RO"/>
        </w:rPr>
        <w:t xml:space="preserve"> financiare. </w:t>
      </w:r>
    </w:p>
    <w:p w:rsidR="00D930A5" w:rsidRPr="00D930A5" w:rsidRDefault="00D930A5" w:rsidP="00F847A9">
      <w:pPr>
        <w:spacing w:after="0" w:line="276" w:lineRule="auto"/>
        <w:ind w:firstLine="709"/>
        <w:jc w:val="both"/>
        <w:rPr>
          <w:rFonts w:asciiTheme="majorHAnsi" w:eastAsia="Times New Roman" w:hAnsiTheme="majorHAnsi" w:cstheme="majorHAnsi"/>
          <w:sz w:val="24"/>
          <w:szCs w:val="24"/>
          <w:lang w:val="ro-MD"/>
        </w:rPr>
      </w:pPr>
      <w:r w:rsidRPr="00D930A5">
        <w:rPr>
          <w:rFonts w:asciiTheme="majorHAnsi" w:eastAsia="Times New Roman" w:hAnsiTheme="majorHAnsi" w:cstheme="majorHAnsi"/>
          <w:sz w:val="24"/>
          <w:szCs w:val="24"/>
          <w:lang w:val="ro-MD"/>
        </w:rPr>
        <w:t>O descriere suplimentară a responsabilităților auditorului într-un audit al rapoartelor financiare este plasată pe site-ul Curții de Conturi, la adresa</w:t>
      </w:r>
      <w:r w:rsidRPr="00D930A5">
        <w:rPr>
          <w:rFonts w:asciiTheme="majorHAnsi" w:eastAsia="Times New Roman" w:hAnsiTheme="majorHAnsi" w:cstheme="majorHAnsi"/>
          <w:i/>
          <w:sz w:val="24"/>
          <w:szCs w:val="24"/>
          <w:lang w:val="ro-MD"/>
        </w:rPr>
        <w:t xml:space="preserve">: </w:t>
      </w:r>
      <w:hyperlink r:id="rId12" w:history="1">
        <w:r w:rsidRPr="00D930A5">
          <w:rPr>
            <w:rStyle w:val="ae"/>
            <w:rFonts w:asciiTheme="majorHAnsi" w:eastAsia="Times New Roman" w:hAnsiTheme="majorHAnsi" w:cstheme="majorHAnsi"/>
            <w:i/>
            <w:sz w:val="24"/>
            <w:szCs w:val="24"/>
            <w:lang w:val="ro-MD"/>
          </w:rPr>
          <w:t>http://www.ccrm.md/activitatea-curtii-de-conturi-1-25</w:t>
        </w:r>
      </w:hyperlink>
      <w:r w:rsidRPr="00D930A5">
        <w:rPr>
          <w:rFonts w:asciiTheme="majorHAnsi" w:eastAsia="Times New Roman" w:hAnsiTheme="majorHAnsi" w:cstheme="majorHAnsi"/>
          <w:i/>
          <w:sz w:val="24"/>
          <w:szCs w:val="24"/>
          <w:lang w:val="ro-MD"/>
        </w:rPr>
        <w:t>.</w:t>
      </w:r>
      <w:r w:rsidRPr="00D930A5">
        <w:rPr>
          <w:rFonts w:asciiTheme="majorHAnsi" w:eastAsia="Times New Roman" w:hAnsiTheme="majorHAnsi" w:cstheme="majorHAnsi"/>
          <w:sz w:val="24"/>
          <w:szCs w:val="24"/>
          <w:lang w:val="ro-MD"/>
        </w:rPr>
        <w:t xml:space="preserve"> Această descriere face parte din Raportul nostru de audit.</w:t>
      </w:r>
    </w:p>
    <w:p w:rsidR="00120A3B" w:rsidRPr="003A5991" w:rsidRDefault="00120A3B" w:rsidP="003E68F4">
      <w:pPr>
        <w:spacing w:after="0" w:line="276" w:lineRule="auto"/>
        <w:rPr>
          <w:rFonts w:asciiTheme="majorHAnsi" w:hAnsiTheme="majorHAnsi" w:cstheme="majorHAnsi"/>
          <w:sz w:val="24"/>
          <w:szCs w:val="24"/>
          <w:lang w:val="ro-RO"/>
        </w:rPr>
      </w:pPr>
    </w:p>
    <w:p w:rsidR="009376C8" w:rsidRPr="003A5991" w:rsidRDefault="00A5754C" w:rsidP="00A33599">
      <w:pPr>
        <w:tabs>
          <w:tab w:val="left" w:pos="1080"/>
          <w:tab w:val="left" w:pos="7513"/>
        </w:tabs>
        <w:spacing w:after="0" w:line="276" w:lineRule="auto"/>
        <w:rPr>
          <w:rFonts w:asciiTheme="majorHAnsi" w:eastAsia="Times New Roman" w:hAnsiTheme="majorHAnsi" w:cstheme="majorHAnsi"/>
          <w:i/>
          <w:noProof/>
          <w:sz w:val="24"/>
          <w:szCs w:val="24"/>
          <w:lang w:val="ro-RO"/>
        </w:rPr>
      </w:pPr>
      <w:r w:rsidRPr="003A5991">
        <w:rPr>
          <w:rFonts w:asciiTheme="majorHAnsi" w:eastAsia="Times New Roman" w:hAnsiTheme="majorHAnsi" w:cstheme="majorHAnsi"/>
          <w:i/>
          <w:noProof/>
          <w:sz w:val="24"/>
          <w:szCs w:val="24"/>
          <w:lang w:val="ro-RO"/>
        </w:rPr>
        <w:t>Echipa de audit</w:t>
      </w:r>
      <w:r w:rsidR="009376C8" w:rsidRPr="003A5991">
        <w:rPr>
          <w:rFonts w:asciiTheme="majorHAnsi" w:eastAsia="Times New Roman" w:hAnsiTheme="majorHAnsi" w:cstheme="majorHAnsi"/>
          <w:i/>
          <w:noProof/>
          <w:sz w:val="24"/>
          <w:szCs w:val="24"/>
          <w:lang w:val="ro-RO"/>
        </w:rPr>
        <w:t>:</w:t>
      </w:r>
    </w:p>
    <w:p w:rsidR="009376C8" w:rsidRDefault="00D930A5" w:rsidP="00A33599">
      <w:pPr>
        <w:tabs>
          <w:tab w:val="left" w:pos="7513"/>
        </w:tabs>
        <w:spacing w:after="0" w:line="276" w:lineRule="auto"/>
        <w:rPr>
          <w:rFonts w:asciiTheme="majorHAnsi" w:eastAsia="Times New Roman" w:hAnsiTheme="majorHAnsi" w:cstheme="majorHAnsi"/>
          <w:bCs/>
          <w:iCs/>
          <w:noProof/>
          <w:sz w:val="24"/>
          <w:szCs w:val="24"/>
          <w:lang w:val="ro-RO"/>
        </w:rPr>
      </w:pPr>
      <w:r>
        <w:rPr>
          <w:rFonts w:asciiTheme="majorHAnsi" w:eastAsia="Times New Roman" w:hAnsiTheme="majorHAnsi" w:cstheme="majorHAnsi"/>
          <w:bCs/>
          <w:iCs/>
          <w:noProof/>
          <w:sz w:val="24"/>
          <w:szCs w:val="24"/>
          <w:lang w:val="ro-RO"/>
        </w:rPr>
        <w:t xml:space="preserve">Auditor public principal     </w:t>
      </w:r>
      <w:r w:rsidR="00A5754C" w:rsidRPr="003A5991">
        <w:rPr>
          <w:rFonts w:asciiTheme="majorHAnsi" w:eastAsia="Times New Roman" w:hAnsiTheme="majorHAnsi" w:cstheme="majorHAnsi"/>
          <w:bCs/>
          <w:iCs/>
          <w:noProof/>
          <w:sz w:val="24"/>
          <w:szCs w:val="24"/>
          <w:lang w:val="ro-RO"/>
        </w:rPr>
        <w:t xml:space="preserve">                                                                         </w:t>
      </w:r>
      <w:r w:rsidR="0044373C">
        <w:rPr>
          <w:rFonts w:asciiTheme="majorHAnsi" w:eastAsia="Times New Roman" w:hAnsiTheme="majorHAnsi" w:cstheme="majorHAnsi"/>
          <w:bCs/>
          <w:iCs/>
          <w:noProof/>
          <w:sz w:val="24"/>
          <w:szCs w:val="24"/>
          <w:lang w:val="ro-RO"/>
        </w:rPr>
        <w:t xml:space="preserve">                            </w:t>
      </w:r>
      <w:r w:rsidR="00A5754C" w:rsidRPr="003A5991">
        <w:rPr>
          <w:rFonts w:asciiTheme="majorHAnsi" w:eastAsia="Times New Roman" w:hAnsiTheme="majorHAnsi" w:cstheme="majorHAnsi"/>
          <w:bCs/>
          <w:iCs/>
          <w:noProof/>
          <w:sz w:val="24"/>
          <w:szCs w:val="24"/>
          <w:lang w:val="ro-RO"/>
        </w:rPr>
        <w:t xml:space="preserve">  </w:t>
      </w:r>
      <w:r w:rsidR="00A5754C" w:rsidRPr="003A5991">
        <w:rPr>
          <w:rFonts w:asciiTheme="majorHAnsi" w:eastAsia="Times New Roman" w:hAnsiTheme="majorHAnsi" w:cstheme="majorHAnsi"/>
          <w:b/>
          <w:bCs/>
          <w:i/>
          <w:iCs/>
          <w:noProof/>
          <w:sz w:val="24"/>
          <w:szCs w:val="24"/>
          <w:lang w:val="ro-RO"/>
        </w:rPr>
        <w:t>Lungu Igor</w:t>
      </w:r>
      <w:r w:rsidR="00A5754C" w:rsidRPr="003A5991">
        <w:rPr>
          <w:rFonts w:asciiTheme="majorHAnsi" w:eastAsia="Times New Roman" w:hAnsiTheme="majorHAnsi" w:cstheme="majorHAnsi"/>
          <w:bCs/>
          <w:iCs/>
          <w:noProof/>
          <w:sz w:val="24"/>
          <w:szCs w:val="24"/>
          <w:lang w:val="ro-RO"/>
        </w:rPr>
        <w:tab/>
      </w:r>
    </w:p>
    <w:p w:rsidR="00FC3F08" w:rsidRPr="00244062" w:rsidRDefault="00FC3F08" w:rsidP="00A33599">
      <w:pPr>
        <w:tabs>
          <w:tab w:val="left" w:pos="7513"/>
        </w:tabs>
        <w:spacing w:after="0" w:line="276" w:lineRule="auto"/>
        <w:rPr>
          <w:rFonts w:asciiTheme="majorHAnsi" w:eastAsia="Times New Roman" w:hAnsiTheme="majorHAnsi" w:cstheme="majorHAnsi"/>
          <w:b/>
          <w:bCs/>
          <w:i/>
          <w:iCs/>
          <w:noProof/>
          <w:sz w:val="24"/>
          <w:szCs w:val="24"/>
          <w:lang w:val="ro-RO"/>
        </w:rPr>
      </w:pPr>
    </w:p>
    <w:p w:rsidR="0044373C" w:rsidRDefault="0044373C" w:rsidP="00A33599">
      <w:pPr>
        <w:tabs>
          <w:tab w:val="left" w:pos="7513"/>
        </w:tabs>
        <w:spacing w:after="0" w:line="276" w:lineRule="auto"/>
        <w:rPr>
          <w:rFonts w:asciiTheme="majorHAnsi" w:eastAsia="Times New Roman" w:hAnsiTheme="majorHAnsi" w:cstheme="majorHAnsi"/>
          <w:i/>
          <w:iCs/>
          <w:noProof/>
          <w:sz w:val="24"/>
          <w:szCs w:val="24"/>
          <w:lang w:val="ro-RO"/>
        </w:rPr>
      </w:pPr>
    </w:p>
    <w:p w:rsidR="0044373C" w:rsidRDefault="0044373C" w:rsidP="00A33599">
      <w:pPr>
        <w:tabs>
          <w:tab w:val="left" w:pos="7513"/>
        </w:tabs>
        <w:spacing w:after="0" w:line="276" w:lineRule="auto"/>
        <w:rPr>
          <w:rFonts w:asciiTheme="majorHAnsi" w:eastAsia="Times New Roman" w:hAnsiTheme="majorHAnsi" w:cstheme="majorHAnsi"/>
          <w:i/>
          <w:iCs/>
          <w:noProof/>
          <w:sz w:val="24"/>
          <w:szCs w:val="24"/>
          <w:lang w:val="ro-RO"/>
        </w:rPr>
      </w:pPr>
    </w:p>
    <w:p w:rsidR="009376C8" w:rsidRPr="003A5991" w:rsidRDefault="009376C8" w:rsidP="00A33599">
      <w:pPr>
        <w:tabs>
          <w:tab w:val="left" w:pos="7513"/>
        </w:tabs>
        <w:spacing w:after="0" w:line="276" w:lineRule="auto"/>
        <w:rPr>
          <w:rFonts w:asciiTheme="majorHAnsi" w:eastAsia="Times New Roman" w:hAnsiTheme="majorHAnsi" w:cstheme="majorHAnsi"/>
          <w:i/>
          <w:iCs/>
          <w:noProof/>
          <w:sz w:val="24"/>
          <w:szCs w:val="24"/>
          <w:lang w:val="ro-RO"/>
        </w:rPr>
      </w:pPr>
      <w:r w:rsidRPr="003A5991">
        <w:rPr>
          <w:rFonts w:asciiTheme="majorHAnsi" w:eastAsia="Times New Roman" w:hAnsiTheme="majorHAnsi" w:cstheme="majorHAnsi"/>
          <w:i/>
          <w:iCs/>
          <w:noProof/>
          <w:sz w:val="24"/>
          <w:szCs w:val="24"/>
          <w:lang w:val="ro-RO"/>
        </w:rPr>
        <w:t>Responsabil de audit:</w:t>
      </w:r>
    </w:p>
    <w:p w:rsidR="00790C72" w:rsidRDefault="00D930A5" w:rsidP="004F3C51">
      <w:pPr>
        <w:tabs>
          <w:tab w:val="left" w:pos="7513"/>
        </w:tabs>
        <w:spacing w:after="0" w:line="276" w:lineRule="auto"/>
        <w:rPr>
          <w:rFonts w:asciiTheme="majorHAnsi" w:eastAsia="Times New Roman" w:hAnsiTheme="majorHAnsi" w:cstheme="majorHAnsi"/>
          <w:b/>
          <w:bCs/>
          <w:i/>
          <w:iCs/>
          <w:noProof/>
          <w:sz w:val="24"/>
          <w:szCs w:val="24"/>
          <w:lang w:val="ro-RO"/>
        </w:rPr>
      </w:pPr>
      <w:r w:rsidRPr="00D930A5">
        <w:rPr>
          <w:rFonts w:asciiTheme="majorHAnsi" w:eastAsia="Times New Roman" w:hAnsiTheme="majorHAnsi" w:cstheme="majorHAnsi"/>
          <w:bCs/>
          <w:noProof/>
          <w:sz w:val="24"/>
          <w:szCs w:val="24"/>
          <w:lang w:val="ro-MD"/>
        </w:rPr>
        <w:t>șeful Direcției gener</w:t>
      </w:r>
      <w:r>
        <w:rPr>
          <w:rFonts w:asciiTheme="majorHAnsi" w:eastAsia="Times New Roman" w:hAnsiTheme="majorHAnsi" w:cstheme="majorHAnsi"/>
          <w:bCs/>
          <w:noProof/>
          <w:sz w:val="24"/>
          <w:szCs w:val="24"/>
          <w:lang w:val="ro-MD"/>
        </w:rPr>
        <w:t>ale de audit V</w:t>
      </w:r>
      <w:r>
        <w:rPr>
          <w:rFonts w:asciiTheme="majorHAnsi" w:eastAsia="Times New Roman" w:hAnsiTheme="majorHAnsi" w:cstheme="majorHAnsi"/>
          <w:bCs/>
          <w:noProof/>
          <w:sz w:val="24"/>
          <w:szCs w:val="24"/>
          <w:lang w:val="ro-RO"/>
        </w:rPr>
        <w:t xml:space="preserve"> </w:t>
      </w:r>
      <w:r w:rsidR="00A5754C" w:rsidRPr="003A5991">
        <w:rPr>
          <w:rFonts w:asciiTheme="majorHAnsi" w:eastAsia="Times New Roman" w:hAnsiTheme="majorHAnsi" w:cstheme="majorHAnsi"/>
          <w:bCs/>
          <w:iCs/>
          <w:noProof/>
          <w:sz w:val="24"/>
          <w:szCs w:val="24"/>
          <w:lang w:val="ro-RO"/>
        </w:rPr>
        <w:t xml:space="preserve">                               </w:t>
      </w:r>
      <w:r>
        <w:rPr>
          <w:rFonts w:asciiTheme="majorHAnsi" w:eastAsia="Times New Roman" w:hAnsiTheme="majorHAnsi" w:cstheme="majorHAnsi"/>
          <w:bCs/>
          <w:iCs/>
          <w:noProof/>
          <w:sz w:val="24"/>
          <w:szCs w:val="24"/>
          <w:lang w:val="ro-RO"/>
        </w:rPr>
        <w:t xml:space="preserve">                          </w:t>
      </w:r>
      <w:r w:rsidR="0044373C">
        <w:rPr>
          <w:rFonts w:asciiTheme="majorHAnsi" w:eastAsia="Times New Roman" w:hAnsiTheme="majorHAnsi" w:cstheme="majorHAnsi"/>
          <w:bCs/>
          <w:iCs/>
          <w:noProof/>
          <w:sz w:val="24"/>
          <w:szCs w:val="24"/>
          <w:lang w:val="ro-RO"/>
        </w:rPr>
        <w:t xml:space="preserve">                          </w:t>
      </w:r>
      <w:r>
        <w:rPr>
          <w:rFonts w:asciiTheme="majorHAnsi" w:eastAsia="Times New Roman" w:hAnsiTheme="majorHAnsi" w:cstheme="majorHAnsi"/>
          <w:bCs/>
          <w:iCs/>
          <w:noProof/>
          <w:sz w:val="24"/>
          <w:szCs w:val="24"/>
          <w:lang w:val="ro-RO"/>
        </w:rPr>
        <w:t xml:space="preserve">   </w:t>
      </w:r>
      <w:r w:rsidR="00A5754C" w:rsidRPr="003A5991">
        <w:rPr>
          <w:rFonts w:asciiTheme="majorHAnsi" w:eastAsia="Times New Roman" w:hAnsiTheme="majorHAnsi" w:cstheme="majorHAnsi"/>
          <w:b/>
          <w:bCs/>
          <w:i/>
          <w:iCs/>
          <w:noProof/>
          <w:sz w:val="24"/>
          <w:szCs w:val="24"/>
          <w:lang w:val="ro-RO"/>
        </w:rPr>
        <w:t>Știrbu Sergiu</w:t>
      </w:r>
    </w:p>
    <w:p w:rsidR="00FC3F08" w:rsidRDefault="00FC3F08" w:rsidP="004F3C51">
      <w:pPr>
        <w:tabs>
          <w:tab w:val="left" w:pos="7513"/>
        </w:tabs>
        <w:spacing w:after="0" w:line="276" w:lineRule="auto"/>
        <w:rPr>
          <w:rFonts w:asciiTheme="majorHAnsi" w:eastAsia="Times New Roman" w:hAnsiTheme="majorHAnsi" w:cstheme="majorHAnsi"/>
          <w:b/>
          <w:bCs/>
          <w:i/>
          <w:iCs/>
          <w:noProof/>
          <w:sz w:val="24"/>
          <w:szCs w:val="24"/>
          <w:lang w:val="ro-RO"/>
        </w:rPr>
      </w:pPr>
    </w:p>
    <w:p w:rsidR="002A5B2F" w:rsidRDefault="002A5B2F" w:rsidP="004F3C51">
      <w:pPr>
        <w:tabs>
          <w:tab w:val="left" w:pos="7513"/>
        </w:tabs>
        <w:spacing w:after="0" w:line="276" w:lineRule="auto"/>
        <w:rPr>
          <w:rFonts w:asciiTheme="majorHAnsi" w:eastAsia="Times New Roman" w:hAnsiTheme="majorHAnsi" w:cstheme="majorHAnsi"/>
          <w:iCs/>
          <w:noProof/>
          <w:sz w:val="24"/>
          <w:szCs w:val="24"/>
          <w:lang w:val="ro-RO"/>
        </w:rPr>
      </w:pPr>
    </w:p>
    <w:sectPr w:rsidR="002A5B2F" w:rsidSect="006511AA">
      <w:pgSz w:w="11906" w:h="16838" w:code="9"/>
      <w:pgMar w:top="851" w:right="851"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F81" w:rsidRDefault="00377F81" w:rsidP="00F06EDD">
      <w:pPr>
        <w:spacing w:after="0" w:line="240" w:lineRule="auto"/>
      </w:pPr>
      <w:r>
        <w:separator/>
      </w:r>
    </w:p>
  </w:endnote>
  <w:endnote w:type="continuationSeparator" w:id="0">
    <w:p w:rsidR="00377F81" w:rsidRDefault="00377F81" w:rsidP="00F0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173415"/>
      <w:docPartObj>
        <w:docPartGallery w:val="Page Numbers (Bottom of Page)"/>
        <w:docPartUnique/>
      </w:docPartObj>
    </w:sdtPr>
    <w:sdtEndPr>
      <w:rPr>
        <w:noProof/>
      </w:rPr>
    </w:sdtEndPr>
    <w:sdtContent>
      <w:p w:rsidR="00F10FFB" w:rsidRDefault="00F10FFB">
        <w:pPr>
          <w:pStyle w:val="a4"/>
          <w:jc w:val="right"/>
        </w:pPr>
        <w:r>
          <w:fldChar w:fldCharType="begin"/>
        </w:r>
        <w:r>
          <w:instrText xml:space="preserve"> PAGE   \* MERGEFORMAT </w:instrText>
        </w:r>
        <w:r>
          <w:fldChar w:fldCharType="separate"/>
        </w:r>
        <w:r w:rsidR="00377F81">
          <w:rPr>
            <w:noProof/>
          </w:rPr>
          <w:t>1</w:t>
        </w:r>
        <w:r>
          <w:rPr>
            <w:noProof/>
          </w:rPr>
          <w:fldChar w:fldCharType="end"/>
        </w:r>
      </w:p>
    </w:sdtContent>
  </w:sdt>
  <w:p w:rsidR="00F10FFB" w:rsidRDefault="00F10F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F81" w:rsidRDefault="00377F81" w:rsidP="00F06EDD">
      <w:pPr>
        <w:spacing w:after="0" w:line="240" w:lineRule="auto"/>
      </w:pPr>
      <w:r>
        <w:separator/>
      </w:r>
    </w:p>
  </w:footnote>
  <w:footnote w:type="continuationSeparator" w:id="0">
    <w:p w:rsidR="00377F81" w:rsidRDefault="00377F81" w:rsidP="00F06EDD">
      <w:pPr>
        <w:spacing w:after="0" w:line="240" w:lineRule="auto"/>
      </w:pPr>
      <w:r>
        <w:continuationSeparator/>
      </w:r>
    </w:p>
  </w:footnote>
  <w:footnote w:id="1">
    <w:p w:rsidR="00F10FFB" w:rsidRPr="00702A60" w:rsidRDefault="00F10FFB" w:rsidP="00046C5F">
      <w:pPr>
        <w:pStyle w:val="a8"/>
        <w:jc w:val="both"/>
        <w:rPr>
          <w:rFonts w:asciiTheme="majorHAnsi" w:eastAsia="Calibri" w:hAnsiTheme="majorHAnsi" w:cstheme="majorHAnsi"/>
          <w:sz w:val="16"/>
          <w:szCs w:val="16"/>
          <w:lang w:val="ro-RO"/>
        </w:rPr>
      </w:pPr>
      <w:r w:rsidRPr="00702A60">
        <w:rPr>
          <w:rStyle w:val="aa"/>
          <w:rFonts w:asciiTheme="majorHAnsi" w:hAnsiTheme="majorHAnsi" w:cstheme="majorHAnsi"/>
          <w:sz w:val="16"/>
          <w:szCs w:val="16"/>
          <w:lang w:val="ro-RO"/>
        </w:rPr>
        <w:footnoteRef/>
      </w:r>
      <w:r w:rsidRPr="00702A60">
        <w:rPr>
          <w:rFonts w:asciiTheme="majorHAnsi" w:eastAsia="Times New Roman" w:hAnsiTheme="majorHAnsi" w:cstheme="majorHAnsi"/>
          <w:sz w:val="16"/>
          <w:szCs w:val="16"/>
          <w:lang w:val="ro-RO"/>
        </w:rPr>
        <w:t xml:space="preserve"> Bilanțul contabil (</w:t>
      </w:r>
      <w:r w:rsidRPr="00702A60">
        <w:rPr>
          <w:rFonts w:asciiTheme="majorHAnsi" w:eastAsia="Calibri" w:hAnsiTheme="majorHAnsi" w:cstheme="majorHAnsi"/>
          <w:sz w:val="16"/>
          <w:szCs w:val="16"/>
          <w:lang w:val="ro-RO"/>
        </w:rPr>
        <w:t>forma FD-041</w:t>
      </w:r>
      <w:r w:rsidRPr="00702A60">
        <w:rPr>
          <w:rFonts w:asciiTheme="majorHAnsi" w:eastAsia="Times New Roman" w:hAnsiTheme="majorHAnsi" w:cstheme="majorHAnsi"/>
          <w:sz w:val="16"/>
          <w:szCs w:val="16"/>
          <w:lang w:val="ro-RO"/>
        </w:rPr>
        <w:t xml:space="preserve">), </w:t>
      </w:r>
      <w:r w:rsidRPr="00702A60">
        <w:rPr>
          <w:rFonts w:asciiTheme="majorHAnsi" w:eastAsia="Calibri" w:hAnsiTheme="majorHAnsi" w:cstheme="majorHAnsi"/>
          <w:sz w:val="16"/>
          <w:szCs w:val="16"/>
          <w:lang w:val="ro-RO"/>
        </w:rPr>
        <w:t>Raportul privind veniturile și cheltuielile (forma FD-042), Raportul privind fluxul mijloacelor bănești (forma FD-043), Raportul privind executarea bugetului (forma FD-044).</w:t>
      </w:r>
      <w:r w:rsidRPr="00702A60">
        <w:rPr>
          <w:rFonts w:asciiTheme="majorHAnsi" w:hAnsiTheme="majorHAnsi" w:cstheme="majorHAnsi"/>
          <w:sz w:val="16"/>
          <w:szCs w:val="16"/>
          <w:lang w:val="ro-RO"/>
        </w:rPr>
        <w:t xml:space="preserve"> </w:t>
      </w:r>
    </w:p>
  </w:footnote>
  <w:footnote w:id="2">
    <w:p w:rsidR="00F10FFB" w:rsidRPr="00702A60" w:rsidRDefault="00F10FFB" w:rsidP="00046C5F">
      <w:pPr>
        <w:pStyle w:val="a8"/>
        <w:jc w:val="both"/>
        <w:rPr>
          <w:rFonts w:asciiTheme="majorHAnsi" w:hAnsiTheme="majorHAnsi" w:cstheme="majorHAnsi"/>
          <w:sz w:val="16"/>
          <w:szCs w:val="16"/>
          <w:lang w:val="ro-RO"/>
        </w:rPr>
      </w:pPr>
      <w:r w:rsidRPr="00702A60">
        <w:rPr>
          <w:rStyle w:val="aa"/>
          <w:rFonts w:asciiTheme="majorHAnsi" w:hAnsiTheme="majorHAnsi" w:cstheme="majorHAnsi"/>
          <w:sz w:val="16"/>
          <w:szCs w:val="16"/>
          <w:lang w:val="ro-RO"/>
        </w:rPr>
        <w:footnoteRef/>
      </w:r>
      <w:r w:rsidRPr="00702A60">
        <w:rPr>
          <w:rFonts w:asciiTheme="majorHAnsi" w:hAnsiTheme="majorHAnsi" w:cstheme="majorHAnsi"/>
          <w:sz w:val="16"/>
          <w:szCs w:val="16"/>
          <w:lang w:val="ro-RO"/>
        </w:rPr>
        <w:t xml:space="preserve"> Legea contabilității nr.</w:t>
      </w:r>
      <w:r w:rsidRPr="00702A60">
        <w:rPr>
          <w:rFonts w:asciiTheme="majorHAnsi" w:eastAsia="Times New Roman" w:hAnsiTheme="majorHAnsi" w:cstheme="majorHAnsi"/>
          <w:sz w:val="16"/>
          <w:szCs w:val="16"/>
          <w:lang w:val="ro-RO"/>
        </w:rPr>
        <w:t>113-XVI din 27.04.2007;</w:t>
      </w:r>
      <w:r w:rsidRPr="00702A60">
        <w:rPr>
          <w:rFonts w:asciiTheme="majorHAnsi" w:hAnsiTheme="majorHAnsi" w:cstheme="majorHAnsi"/>
          <w:sz w:val="16"/>
          <w:szCs w:val="16"/>
          <w:lang w:val="ro-RO"/>
        </w:rPr>
        <w:t xml:space="preserve"> </w:t>
      </w:r>
      <w:r w:rsidRPr="00702A60">
        <w:rPr>
          <w:rFonts w:asciiTheme="majorHAnsi" w:eastAsia="Times New Roman" w:hAnsiTheme="majorHAnsi" w:cstheme="majorHAnsi"/>
          <w:sz w:val="16"/>
          <w:szCs w:val="16"/>
          <w:lang w:val="ro-RO"/>
        </w:rPr>
        <w:t>Planul de conturi contabile în sistemul bugetar și Normele metodologice privind evidența contabilă și raportarea financiară în sistemul bugetar, aprobate prin Ordinul ministrului finanțelor nr.216 din 28.12.2015; Ordinul ministrului finanțelor nr.164 din 09.12.2019 „Cu privire la aprobarea termenelor de prezentare a rapoartelor financiare pe anul 2019”; Ordinul ministrului finanțelor nr.164 din 30.12.2016 „Cu privire la aprobarea Cerințelor la întocmirea Raportului narativ privind executarea bugetelor autorităților/instituțiilor bugetare”.</w:t>
      </w:r>
    </w:p>
  </w:footnote>
  <w:footnote w:id="3">
    <w:p w:rsidR="00F10FFB" w:rsidRPr="00702A60" w:rsidRDefault="00F10FFB" w:rsidP="00002061">
      <w:pPr>
        <w:pStyle w:val="a8"/>
        <w:jc w:val="both"/>
        <w:rPr>
          <w:rFonts w:cs="Times New Roman"/>
          <w:sz w:val="16"/>
          <w:szCs w:val="16"/>
          <w:lang w:val="ro-RO"/>
        </w:rPr>
      </w:pPr>
      <w:r w:rsidRPr="00702A60">
        <w:rPr>
          <w:rStyle w:val="aa"/>
          <w:rFonts w:asciiTheme="majorHAnsi" w:hAnsiTheme="majorHAnsi" w:cstheme="majorHAnsi"/>
          <w:sz w:val="16"/>
          <w:szCs w:val="16"/>
          <w:lang w:val="ro-RO"/>
        </w:rPr>
        <w:footnoteRef/>
      </w:r>
      <w:r w:rsidRPr="00702A60">
        <w:rPr>
          <w:rFonts w:asciiTheme="majorHAnsi" w:hAnsiTheme="majorHAnsi" w:cstheme="majorHAnsi"/>
          <w:sz w:val="16"/>
          <w:szCs w:val="16"/>
          <w:lang w:val="ro-RO"/>
        </w:rPr>
        <w:t xml:space="preserve"> Pct.</w:t>
      </w:r>
      <w:r w:rsidRPr="00702A60">
        <w:rPr>
          <w:rFonts w:asciiTheme="majorHAnsi" w:hAnsiTheme="majorHAnsi" w:cstheme="majorHAnsi"/>
          <w:bCs/>
          <w:sz w:val="16"/>
          <w:szCs w:val="16"/>
          <w:lang w:val="ro-RO"/>
        </w:rPr>
        <w:t>1.4.5.1. din Normele metodologice aprobate prin Ordinul ministrului finanțelor nr.216 din 28.12.2015.</w:t>
      </w:r>
    </w:p>
  </w:footnote>
  <w:footnote w:id="4">
    <w:p w:rsidR="00F10FFB" w:rsidRPr="00702A60" w:rsidRDefault="00F10FFB" w:rsidP="0063098A">
      <w:pPr>
        <w:pStyle w:val="a8"/>
        <w:jc w:val="both"/>
        <w:rPr>
          <w:rFonts w:asciiTheme="majorHAnsi" w:hAnsiTheme="majorHAnsi" w:cstheme="majorHAnsi"/>
          <w:sz w:val="16"/>
          <w:szCs w:val="16"/>
          <w:lang w:val="ro-RO"/>
        </w:rPr>
      </w:pPr>
      <w:r w:rsidRPr="00702A60">
        <w:rPr>
          <w:rStyle w:val="aa"/>
          <w:rFonts w:asciiTheme="majorHAnsi" w:hAnsiTheme="majorHAnsi" w:cstheme="majorHAnsi"/>
          <w:sz w:val="16"/>
          <w:szCs w:val="16"/>
          <w:lang w:val="ro-RO"/>
        </w:rPr>
        <w:footnoteRef/>
      </w:r>
      <w:r w:rsidRPr="00702A60">
        <w:rPr>
          <w:rFonts w:asciiTheme="majorHAnsi" w:hAnsiTheme="majorHAnsi" w:cstheme="majorHAnsi"/>
          <w:sz w:val="16"/>
          <w:szCs w:val="16"/>
          <w:lang w:val="ro-RO"/>
        </w:rPr>
        <w:t xml:space="preserve"> Terenuri necontabilizate: 1) terenuri agricole (întovărășiri pomicole) – 96,76 ha; 2) terenurile străzilor/piețelor – 108,02 ha; 3) terenurile destinate construcțiilor, aferente obiectelor social-culturale și de uz public – 126,58 ha (137,85 ha – 11,27 ha deja contabilizate); 4) terenurile destinate industriei, aferente obiectelor de infrastructură privată – 22,91 ha; 5) alte terenuri destinate industriei – 0,86 ha; 6) terenurile destinate protecției naturii, ocrotirii sănătății, activității recreative</w:t>
      </w:r>
      <w:r w:rsidR="00F11394" w:rsidRPr="00702A60">
        <w:rPr>
          <w:rFonts w:asciiTheme="majorHAnsi" w:hAnsiTheme="majorHAnsi" w:cstheme="majorHAnsi"/>
          <w:sz w:val="16"/>
          <w:szCs w:val="16"/>
          <w:lang w:val="ro-RO"/>
        </w:rPr>
        <w:t>,</w:t>
      </w:r>
      <w:r w:rsidRPr="00702A60">
        <w:rPr>
          <w:rFonts w:asciiTheme="majorHAnsi" w:hAnsiTheme="majorHAnsi" w:cstheme="majorHAnsi"/>
          <w:sz w:val="16"/>
          <w:szCs w:val="16"/>
          <w:lang w:val="ro-RO"/>
        </w:rPr>
        <w:t xml:space="preserve"> terenurile de valoare istorico-culturală, terenurile zonelor suburbane și ale zonelor verzi – 1,32 ha; 7) terenurile fondului silvic – 14,39 ha; 8) terenurile fondului apelor – 30,79 ha;  9) terenurile fondului de rezervă – 216,09 ha.</w:t>
      </w:r>
    </w:p>
  </w:footnote>
  <w:footnote w:id="5">
    <w:p w:rsidR="00F10FFB" w:rsidRPr="00702A60" w:rsidRDefault="00F10FFB" w:rsidP="0063098A">
      <w:pPr>
        <w:pStyle w:val="a8"/>
        <w:jc w:val="both"/>
        <w:rPr>
          <w:rFonts w:asciiTheme="majorHAnsi" w:hAnsiTheme="majorHAnsi" w:cstheme="majorHAnsi"/>
          <w:sz w:val="16"/>
          <w:szCs w:val="16"/>
          <w:lang w:val="ro-RO"/>
        </w:rPr>
      </w:pPr>
      <w:r w:rsidRPr="00702A60">
        <w:rPr>
          <w:rStyle w:val="aa"/>
          <w:rFonts w:asciiTheme="majorHAnsi" w:hAnsiTheme="majorHAnsi" w:cstheme="majorHAnsi"/>
          <w:sz w:val="16"/>
          <w:szCs w:val="16"/>
          <w:lang w:val="ro-RO"/>
        </w:rPr>
        <w:footnoteRef/>
      </w:r>
      <w:r w:rsidRPr="00702A60">
        <w:rPr>
          <w:rFonts w:asciiTheme="majorHAnsi" w:hAnsiTheme="majorHAnsi" w:cstheme="majorHAnsi"/>
          <w:sz w:val="16"/>
          <w:szCs w:val="16"/>
          <w:lang w:val="ro-RO"/>
        </w:rPr>
        <w:t xml:space="preserve"> Costul reevaluat </w:t>
      </w:r>
      <w:r w:rsidR="00F11394" w:rsidRPr="00702A60">
        <w:rPr>
          <w:rFonts w:asciiTheme="majorHAnsi" w:hAnsiTheme="majorHAnsi" w:cstheme="majorHAnsi"/>
          <w:sz w:val="16"/>
          <w:szCs w:val="16"/>
          <w:lang w:val="ro-RO"/>
        </w:rPr>
        <w:t xml:space="preserve">- </w:t>
      </w:r>
      <w:r w:rsidRPr="00702A60">
        <w:rPr>
          <w:rFonts w:asciiTheme="majorHAnsi" w:hAnsiTheme="majorHAnsi" w:cstheme="majorHAnsi"/>
          <w:sz w:val="16"/>
          <w:szCs w:val="16"/>
          <w:lang w:val="ro-RO"/>
        </w:rPr>
        <w:t xml:space="preserve">10564,8 mii lei minus costul înregistrat </w:t>
      </w:r>
      <w:r w:rsidR="00F11394" w:rsidRPr="00702A60">
        <w:rPr>
          <w:rFonts w:asciiTheme="majorHAnsi" w:hAnsiTheme="majorHAnsi" w:cstheme="majorHAnsi"/>
          <w:sz w:val="16"/>
          <w:szCs w:val="16"/>
          <w:lang w:val="ro-RO"/>
        </w:rPr>
        <w:t xml:space="preserve">- </w:t>
      </w:r>
      <w:r w:rsidRPr="00702A60">
        <w:rPr>
          <w:rFonts w:asciiTheme="majorHAnsi" w:hAnsiTheme="majorHAnsi" w:cstheme="majorHAnsi"/>
          <w:sz w:val="16"/>
          <w:szCs w:val="16"/>
          <w:lang w:val="ro-RO"/>
        </w:rPr>
        <w:t xml:space="preserve">4953,7 mii lei plus costul terenurilor procurate prin contract </w:t>
      </w:r>
      <w:r w:rsidR="00F11394" w:rsidRPr="00702A60">
        <w:rPr>
          <w:rFonts w:asciiTheme="majorHAnsi" w:hAnsiTheme="majorHAnsi" w:cstheme="majorHAnsi"/>
          <w:sz w:val="16"/>
          <w:szCs w:val="16"/>
          <w:lang w:val="ro-RO"/>
        </w:rPr>
        <w:t xml:space="preserve">- </w:t>
      </w:r>
      <w:r w:rsidRPr="00702A60">
        <w:rPr>
          <w:rFonts w:asciiTheme="majorHAnsi" w:hAnsiTheme="majorHAnsi" w:cstheme="majorHAnsi"/>
          <w:sz w:val="16"/>
          <w:szCs w:val="16"/>
          <w:lang w:val="ro-RO"/>
        </w:rPr>
        <w:t>27,2 mii lei.</w:t>
      </w:r>
    </w:p>
  </w:footnote>
  <w:footnote w:id="6">
    <w:p w:rsidR="00F10FFB" w:rsidRPr="00702A60" w:rsidRDefault="00F10FFB" w:rsidP="005E67EF">
      <w:pPr>
        <w:pStyle w:val="a8"/>
        <w:jc w:val="both"/>
        <w:rPr>
          <w:rFonts w:asciiTheme="majorHAnsi" w:hAnsiTheme="majorHAnsi" w:cstheme="majorHAnsi"/>
          <w:sz w:val="16"/>
          <w:szCs w:val="16"/>
          <w:lang w:val="ro-RO"/>
        </w:rPr>
      </w:pPr>
      <w:r w:rsidRPr="00702A60">
        <w:rPr>
          <w:rStyle w:val="aa"/>
          <w:rFonts w:asciiTheme="majorHAnsi" w:hAnsiTheme="majorHAnsi" w:cstheme="majorHAnsi"/>
          <w:sz w:val="16"/>
          <w:szCs w:val="16"/>
          <w:lang w:val="ro-RO"/>
        </w:rPr>
        <w:footnoteRef/>
      </w:r>
      <w:r w:rsidRPr="00702A60">
        <w:rPr>
          <w:rFonts w:asciiTheme="majorHAnsi" w:hAnsiTheme="majorHAnsi" w:cstheme="majorHAnsi"/>
          <w:sz w:val="16"/>
          <w:szCs w:val="16"/>
          <w:lang w:val="ro-RO"/>
        </w:rPr>
        <w:t xml:space="preserve"> Pct.1.4.5.1. și </w:t>
      </w:r>
      <w:r w:rsidR="00F11394" w:rsidRPr="00702A60">
        <w:rPr>
          <w:rFonts w:asciiTheme="majorHAnsi" w:hAnsiTheme="majorHAnsi" w:cstheme="majorHAnsi"/>
          <w:sz w:val="16"/>
          <w:szCs w:val="16"/>
          <w:lang w:val="ro-RO"/>
        </w:rPr>
        <w:t>pct.</w:t>
      </w:r>
      <w:r w:rsidRPr="00702A60">
        <w:rPr>
          <w:rFonts w:asciiTheme="majorHAnsi" w:hAnsiTheme="majorHAnsi" w:cstheme="majorHAnsi"/>
          <w:sz w:val="16"/>
          <w:szCs w:val="16"/>
          <w:lang w:val="ro-RO"/>
        </w:rPr>
        <w:t>1.4.5.2. din Normele metodologice aprobate prin Ordinul ministrului finanțelor nr.216 din 28.12.2015; Art.10 și Anexa cu modificările ulterioare din Legea privind prețul normativ și modul de vânzare-cumpărare a pământului nr.1308-XIII din 25 iulie 1997.</w:t>
      </w:r>
    </w:p>
  </w:footnote>
  <w:footnote w:id="7">
    <w:p w:rsidR="00F10FFB" w:rsidRPr="00702A60" w:rsidRDefault="00F10FFB" w:rsidP="00CD4A42">
      <w:pPr>
        <w:pStyle w:val="a8"/>
        <w:jc w:val="both"/>
        <w:rPr>
          <w:rFonts w:asciiTheme="majorHAnsi" w:hAnsiTheme="majorHAnsi" w:cstheme="majorHAnsi"/>
          <w:sz w:val="16"/>
          <w:szCs w:val="16"/>
          <w:lang w:val="ro-RO"/>
        </w:rPr>
      </w:pPr>
      <w:r w:rsidRPr="00702A60">
        <w:rPr>
          <w:rStyle w:val="aa"/>
          <w:rFonts w:asciiTheme="majorHAnsi" w:hAnsiTheme="majorHAnsi" w:cstheme="majorHAnsi"/>
          <w:sz w:val="16"/>
          <w:szCs w:val="16"/>
          <w:lang w:val="ro-RO"/>
        </w:rPr>
        <w:footnoteRef/>
      </w:r>
      <w:r w:rsidRPr="00702A60">
        <w:rPr>
          <w:rFonts w:asciiTheme="majorHAnsi" w:hAnsiTheme="majorHAnsi" w:cstheme="majorHAnsi"/>
          <w:sz w:val="16"/>
          <w:szCs w:val="16"/>
          <w:lang w:val="ro-RO"/>
        </w:rPr>
        <w:t xml:space="preserve"> Pct.3.3.6. și pct.3.3.7. din Normele metodologice aprobate prin Ordinul ministrului finanțelor nr.216 din 28.12.2015 – „clădiri destinate în întregime sau preponderent pentru locuințe”.</w:t>
      </w:r>
    </w:p>
  </w:footnote>
  <w:footnote w:id="8">
    <w:p w:rsidR="00F10FFB" w:rsidRPr="00702A60" w:rsidRDefault="00F10FFB" w:rsidP="00CD4A42">
      <w:pPr>
        <w:pStyle w:val="a8"/>
        <w:jc w:val="both"/>
        <w:rPr>
          <w:sz w:val="16"/>
          <w:szCs w:val="16"/>
          <w:lang w:val="ro-RO"/>
        </w:rPr>
      </w:pPr>
      <w:r w:rsidRPr="00702A60">
        <w:rPr>
          <w:rStyle w:val="aa"/>
          <w:rFonts w:asciiTheme="majorHAnsi" w:hAnsiTheme="majorHAnsi" w:cstheme="majorHAnsi"/>
          <w:sz w:val="16"/>
          <w:szCs w:val="16"/>
          <w:lang w:val="ro-RO"/>
        </w:rPr>
        <w:footnoteRef/>
      </w:r>
      <w:r w:rsidRPr="00702A60">
        <w:rPr>
          <w:rFonts w:asciiTheme="majorHAnsi" w:hAnsiTheme="majorHAnsi" w:cstheme="majorHAnsi"/>
          <w:sz w:val="16"/>
          <w:szCs w:val="16"/>
          <w:lang w:val="ro-RO"/>
        </w:rPr>
        <w:t xml:space="preserve"> Valoarea încăperilor izolate proprietate publică, rămase după excluderea valorii locuințelor privatizate.</w:t>
      </w:r>
    </w:p>
  </w:footnote>
  <w:footnote w:id="9">
    <w:p w:rsidR="00F10FFB" w:rsidRPr="00332042" w:rsidRDefault="00F10FFB" w:rsidP="00046C5F">
      <w:pPr>
        <w:pStyle w:val="a8"/>
        <w:jc w:val="both"/>
        <w:rPr>
          <w:rFonts w:asciiTheme="majorHAnsi" w:hAnsiTheme="majorHAnsi" w:cstheme="majorHAnsi"/>
          <w:bCs/>
          <w:sz w:val="16"/>
          <w:szCs w:val="16"/>
          <w:lang w:val="ro-RO"/>
        </w:rPr>
      </w:pPr>
      <w:r w:rsidRPr="00702A60">
        <w:rPr>
          <w:rStyle w:val="aa"/>
          <w:rFonts w:asciiTheme="majorHAnsi" w:hAnsiTheme="majorHAnsi" w:cstheme="majorHAnsi"/>
          <w:sz w:val="16"/>
          <w:szCs w:val="16"/>
          <w:lang w:val="ro-RO"/>
        </w:rPr>
        <w:footnoteRef/>
      </w:r>
      <w:r w:rsidRPr="00702A60">
        <w:rPr>
          <w:rFonts w:asciiTheme="majorHAnsi" w:hAnsiTheme="majorHAnsi" w:cstheme="majorHAnsi"/>
          <w:sz w:val="16"/>
          <w:szCs w:val="16"/>
          <w:lang w:val="ro-RO"/>
        </w:rPr>
        <w:t xml:space="preserve"> </w:t>
      </w:r>
      <w:r w:rsidRPr="00702A60">
        <w:rPr>
          <w:rFonts w:asciiTheme="majorHAnsi" w:hAnsiTheme="majorHAnsi" w:cstheme="majorHAnsi"/>
          <w:bCs/>
          <w:sz w:val="16"/>
          <w:szCs w:val="16"/>
          <w:lang w:val="ro-RO"/>
        </w:rPr>
        <w:t xml:space="preserve">Pct.3.3.15. din Normele metodologice aprobate prin Ordinul ministrului finanțelor nr.216 din 28.12.2015; Legea </w:t>
      </w:r>
      <w:r w:rsidR="00F11394" w:rsidRPr="00702A60">
        <w:rPr>
          <w:rFonts w:asciiTheme="majorHAnsi" w:hAnsiTheme="majorHAnsi" w:cstheme="majorHAnsi"/>
          <w:bCs/>
          <w:sz w:val="16"/>
          <w:szCs w:val="16"/>
          <w:lang w:val="ro-RO"/>
        </w:rPr>
        <w:t>p</w:t>
      </w:r>
      <w:r w:rsidRPr="00702A60">
        <w:rPr>
          <w:rFonts w:asciiTheme="majorHAnsi" w:hAnsiTheme="majorHAnsi" w:cstheme="majorHAnsi"/>
          <w:bCs/>
          <w:sz w:val="16"/>
          <w:szCs w:val="16"/>
          <w:lang w:val="ro-RO"/>
        </w:rPr>
        <w:t xml:space="preserve">rivind serviciul public de alimentare cu apă și de canalizare </w:t>
      </w:r>
      <w:r w:rsidR="00F11394" w:rsidRPr="00702A60">
        <w:rPr>
          <w:rFonts w:asciiTheme="majorHAnsi" w:hAnsiTheme="majorHAnsi" w:cstheme="majorHAnsi"/>
          <w:bCs/>
          <w:sz w:val="16"/>
          <w:szCs w:val="16"/>
          <w:lang w:val="ro-RO"/>
        </w:rPr>
        <w:t>nr.303 din 13.12.2013, a</w:t>
      </w:r>
      <w:r w:rsidRPr="00702A60">
        <w:rPr>
          <w:rFonts w:asciiTheme="majorHAnsi" w:hAnsiTheme="majorHAnsi" w:cstheme="majorHAnsi"/>
          <w:bCs/>
          <w:sz w:val="16"/>
          <w:szCs w:val="16"/>
          <w:lang w:val="ro-RO"/>
        </w:rPr>
        <w:t>rt. 13</w:t>
      </w:r>
      <w:r w:rsidRPr="00702A60">
        <w:rPr>
          <w:rFonts w:asciiTheme="majorHAnsi" w:hAnsiTheme="majorHAnsi" w:cstheme="majorHAnsi"/>
          <w:bCs/>
          <w:sz w:val="16"/>
          <w:szCs w:val="16"/>
          <w:vertAlign w:val="superscript"/>
          <w:lang w:val="ro-RO"/>
        </w:rPr>
        <w:t>1</w:t>
      </w:r>
      <w:r w:rsidRPr="00702A60">
        <w:rPr>
          <w:rFonts w:asciiTheme="majorHAnsi" w:hAnsiTheme="majorHAnsi" w:cstheme="majorHAnsi"/>
          <w:bCs/>
          <w:sz w:val="16"/>
          <w:szCs w:val="16"/>
          <w:lang w:val="ro-RO"/>
        </w:rPr>
        <w:t xml:space="preserve"> – „Sistemele publice de alimentare cu apă și de canalizare sunt parte componentă a infrastructurii tehnico-edilitare a unităților administrativ-teritoriale, sunt bunuri de interes și folosință publică și aparțin, prin natura lor sau potrivit legii, domeniului public al unităților administrativ-teritoriale, fiind supuse regimului juridic al proprietății publice în conformitate cu Legea nr.29/2018 privind delimitarea proprietății publice; Pct.5-7 din Standardul Național de Contabilitate „Imobilizări necorporale și corporale”, aprobat prin Ordinul ministrului finanțelor nr.118 din 06.08.2013 (recunoașterea imobilizărilor corporale).</w:t>
      </w:r>
    </w:p>
  </w:footnote>
  <w:footnote w:id="10">
    <w:p w:rsidR="00F10FFB" w:rsidRPr="00702A60" w:rsidRDefault="00F10FFB" w:rsidP="00876CB6">
      <w:pPr>
        <w:pStyle w:val="a8"/>
        <w:jc w:val="both"/>
        <w:rPr>
          <w:rFonts w:asciiTheme="majorHAnsi" w:hAnsiTheme="majorHAnsi" w:cstheme="majorHAnsi"/>
          <w:sz w:val="16"/>
          <w:szCs w:val="16"/>
          <w:lang w:val="ro-RO"/>
        </w:rPr>
      </w:pPr>
      <w:r w:rsidRPr="00702A60">
        <w:rPr>
          <w:rStyle w:val="aa"/>
          <w:rFonts w:asciiTheme="majorHAnsi" w:hAnsiTheme="majorHAnsi" w:cstheme="majorHAnsi"/>
          <w:sz w:val="16"/>
          <w:szCs w:val="16"/>
          <w:lang w:val="ro-RO"/>
        </w:rPr>
        <w:footnoteRef/>
      </w:r>
      <w:r w:rsidRPr="00702A60">
        <w:rPr>
          <w:rFonts w:asciiTheme="majorHAnsi" w:hAnsiTheme="majorHAnsi" w:cstheme="majorHAnsi"/>
          <w:sz w:val="16"/>
          <w:szCs w:val="16"/>
          <w:lang w:val="ro-RO"/>
        </w:rPr>
        <w:t xml:space="preserve"> Conform prevederilor pct.3.3.1. din Normele metodologice aprobate prin Ordinul ministrului finanțelor nr.216 din 28.12.2015 -</w:t>
      </w:r>
      <w:r w:rsidRPr="00702A60">
        <w:rPr>
          <w:rFonts w:eastAsia="Times New Roman" w:cs="Times New Roman"/>
          <w:bCs/>
          <w:sz w:val="16"/>
          <w:szCs w:val="16"/>
          <w:lang w:val="ro-RO" w:eastAsia="ru-RU"/>
        </w:rPr>
        <w:t xml:space="preserve"> </w:t>
      </w:r>
      <w:r w:rsidRPr="00702A60">
        <w:rPr>
          <w:rFonts w:asciiTheme="majorHAnsi" w:hAnsiTheme="majorHAnsi" w:cstheme="majorHAnsi"/>
          <w:bCs/>
          <w:sz w:val="16"/>
          <w:szCs w:val="16"/>
          <w:lang w:val="ro-RO"/>
        </w:rPr>
        <w:t>Reparație capitală</w:t>
      </w:r>
      <w:r w:rsidRPr="00702A60">
        <w:rPr>
          <w:rFonts w:asciiTheme="majorHAnsi" w:hAnsiTheme="majorHAnsi" w:cstheme="majorHAnsi"/>
          <w:sz w:val="16"/>
          <w:szCs w:val="16"/>
          <w:lang w:val="ro-RO"/>
        </w:rPr>
        <w:t xml:space="preserve"> a activelor nefinanciare nu duce la formarea activelor nefinanciare noi, ci reprezintă investiții în active deja existente. Costul reparației capitale se include în costul obiectului existent</w:t>
      </w:r>
      <w:r w:rsidR="00F11394" w:rsidRPr="00702A60">
        <w:rPr>
          <w:rFonts w:asciiTheme="majorHAnsi" w:hAnsiTheme="majorHAnsi" w:cstheme="majorHAnsi"/>
          <w:sz w:val="16"/>
          <w:szCs w:val="16"/>
          <w:lang w:val="ro-RO"/>
        </w:rPr>
        <w:t>,</w:t>
      </w:r>
      <w:r w:rsidRPr="00702A60">
        <w:rPr>
          <w:rFonts w:asciiTheme="majorHAnsi" w:hAnsiTheme="majorHAnsi" w:cstheme="majorHAnsi"/>
          <w:sz w:val="16"/>
          <w:szCs w:val="16"/>
          <w:lang w:val="ro-RO"/>
        </w:rPr>
        <w:t xml:space="preserve"> majorând valoarea de bilanț a acestuia, deoarece duce la majorarea capacității de producție sau la prelungirea termenului de utilizare a activelor nefinanciare.</w:t>
      </w:r>
      <w:r w:rsidRPr="00702A60">
        <w:rPr>
          <w:rFonts w:eastAsia="Times New Roman" w:cs="Times New Roman"/>
          <w:sz w:val="16"/>
          <w:szCs w:val="16"/>
          <w:lang w:val="ro-RO" w:eastAsia="ru-RU"/>
        </w:rPr>
        <w:t xml:space="preserve"> </w:t>
      </w:r>
      <w:r w:rsidRPr="00702A60">
        <w:rPr>
          <w:rFonts w:asciiTheme="majorHAnsi" w:hAnsiTheme="majorHAnsi" w:cstheme="majorHAnsi"/>
          <w:sz w:val="16"/>
          <w:szCs w:val="16"/>
          <w:lang w:val="ro-RO"/>
        </w:rPr>
        <w:t>Reparați</w:t>
      </w:r>
      <w:r w:rsidR="00F11394" w:rsidRPr="00702A60">
        <w:rPr>
          <w:rFonts w:asciiTheme="majorHAnsi" w:hAnsiTheme="majorHAnsi" w:cstheme="majorHAnsi"/>
          <w:sz w:val="16"/>
          <w:szCs w:val="16"/>
          <w:lang w:val="ro-RO"/>
        </w:rPr>
        <w:t>a</w:t>
      </w:r>
      <w:r w:rsidRPr="00702A60">
        <w:rPr>
          <w:rFonts w:asciiTheme="majorHAnsi" w:hAnsiTheme="majorHAnsi" w:cstheme="majorHAnsi"/>
          <w:sz w:val="16"/>
          <w:szCs w:val="16"/>
          <w:lang w:val="ro-RO"/>
        </w:rPr>
        <w:t xml:space="preserve"> capitală reprezintă înlocuirea sau refacerea completă  a unor elemente principale ale utilajelor, agregatelor, clădirilor.</w:t>
      </w:r>
    </w:p>
  </w:footnote>
  <w:footnote w:id="11">
    <w:p w:rsidR="00F10FFB" w:rsidRPr="00702A60" w:rsidRDefault="00F10FFB" w:rsidP="00876CB6">
      <w:pPr>
        <w:pStyle w:val="a8"/>
        <w:jc w:val="both"/>
        <w:rPr>
          <w:rFonts w:asciiTheme="majorHAnsi" w:hAnsiTheme="majorHAnsi" w:cstheme="majorHAnsi"/>
          <w:sz w:val="16"/>
          <w:szCs w:val="16"/>
          <w:lang w:val="ro-RO"/>
        </w:rPr>
      </w:pPr>
      <w:r w:rsidRPr="00702A60">
        <w:rPr>
          <w:rStyle w:val="aa"/>
          <w:rFonts w:asciiTheme="majorHAnsi" w:hAnsiTheme="majorHAnsi" w:cstheme="majorHAnsi"/>
          <w:sz w:val="16"/>
          <w:szCs w:val="16"/>
          <w:lang w:val="ro-RO"/>
        </w:rPr>
        <w:footnoteRef/>
      </w:r>
      <w:r w:rsidRPr="00702A60">
        <w:rPr>
          <w:rFonts w:asciiTheme="majorHAnsi" w:hAnsiTheme="majorHAnsi" w:cstheme="majorHAnsi"/>
          <w:sz w:val="16"/>
          <w:szCs w:val="16"/>
          <w:lang w:val="ro-RO"/>
        </w:rPr>
        <w:t xml:space="preserve"> La grupa de conturi 311 „Clădiri” – 988,9 mii lei (9 contracte); la grupa de conturi 312 „Construcții speciale” – 72,9 mii lei (2 contracte); la grupa de conturi </w:t>
      </w:r>
      <w:r w:rsidR="00863774" w:rsidRPr="00702A60">
        <w:rPr>
          <w:rFonts w:asciiTheme="majorHAnsi" w:hAnsiTheme="majorHAnsi" w:cstheme="majorHAnsi"/>
          <w:sz w:val="16"/>
          <w:szCs w:val="16"/>
          <w:lang w:val="ro-RO"/>
        </w:rPr>
        <w:t xml:space="preserve">313 „Instalații de transmisie” </w:t>
      </w:r>
      <w:r w:rsidRPr="00702A60">
        <w:rPr>
          <w:rFonts w:asciiTheme="majorHAnsi" w:hAnsiTheme="majorHAnsi" w:cstheme="majorHAnsi"/>
          <w:sz w:val="16"/>
          <w:szCs w:val="16"/>
          <w:lang w:val="ro-RO"/>
        </w:rPr>
        <w:t xml:space="preserve"> – 118,2 mii lei (1 contract).</w:t>
      </w:r>
    </w:p>
  </w:footnote>
  <w:footnote w:id="12">
    <w:p w:rsidR="00F10FFB" w:rsidRPr="00702A60" w:rsidRDefault="00F10FFB" w:rsidP="00BF1F81">
      <w:pPr>
        <w:spacing w:after="0" w:line="240" w:lineRule="auto"/>
        <w:jc w:val="both"/>
        <w:rPr>
          <w:rFonts w:asciiTheme="majorHAnsi" w:eastAsia="Times New Roman" w:hAnsiTheme="majorHAnsi" w:cstheme="majorHAnsi"/>
          <w:bCs/>
          <w:color w:val="00B050"/>
          <w:sz w:val="16"/>
          <w:szCs w:val="16"/>
          <w:lang w:val="ro-MD" w:eastAsia="ru-RU"/>
        </w:rPr>
      </w:pPr>
      <w:r w:rsidRPr="00702A60">
        <w:rPr>
          <w:rStyle w:val="aa"/>
          <w:rFonts w:asciiTheme="majorHAnsi" w:hAnsiTheme="majorHAnsi" w:cstheme="majorHAnsi"/>
          <w:sz w:val="16"/>
          <w:szCs w:val="16"/>
        </w:rPr>
        <w:footnoteRef/>
      </w:r>
      <w:r w:rsidRPr="00702A60">
        <w:rPr>
          <w:rFonts w:asciiTheme="majorHAnsi" w:hAnsiTheme="majorHAnsi" w:cstheme="majorHAnsi"/>
          <w:sz w:val="16"/>
          <w:szCs w:val="16"/>
          <w:lang w:val="ro-MD"/>
        </w:rPr>
        <w:t xml:space="preserve"> </w:t>
      </w:r>
      <w:r w:rsidRPr="00702A60">
        <w:rPr>
          <w:rFonts w:asciiTheme="majorHAnsi" w:eastAsia="Times New Roman" w:hAnsiTheme="majorHAnsi" w:cstheme="majorHAnsi"/>
          <w:bCs/>
          <w:sz w:val="16"/>
          <w:szCs w:val="16"/>
          <w:lang w:val="ro-MD" w:eastAsia="ru-RU"/>
        </w:rPr>
        <w:t xml:space="preserve">Soldul grupei de conturi 311 ,,Clădiri” a fost supraevaluat cu 3,0 mii lei și subevaluat cu 153,0 mii lei; soldul grupei de conturi </w:t>
      </w:r>
      <w:r w:rsidRPr="00702A60">
        <w:rPr>
          <w:rFonts w:asciiTheme="majorHAnsi" w:hAnsiTheme="majorHAnsi" w:cstheme="majorHAnsi"/>
          <w:sz w:val="16"/>
          <w:szCs w:val="16"/>
          <w:lang w:val="ro-MD"/>
        </w:rPr>
        <w:t>312 ,,Construcții speciale” a fost supraevaluat cu 331,1 mii lei și subevaluat cu 9,3 mii lei; soldul grupei de conturi 313 ,,Instalații de transmisie” a fost subevaluat cu 172,5 mii lei; soldul grupei de conturi 314 ,,Mașini și utilaje” a fost supraevaluat cu 55,1 mii lei și subevaluat cu 830,3 mii lei;</w:t>
      </w:r>
      <w:r w:rsidRPr="00702A60">
        <w:rPr>
          <w:sz w:val="16"/>
          <w:szCs w:val="16"/>
          <w:lang w:val="it-IT"/>
        </w:rPr>
        <w:t xml:space="preserve"> </w:t>
      </w:r>
      <w:r w:rsidRPr="00702A60">
        <w:rPr>
          <w:rFonts w:asciiTheme="majorHAnsi" w:hAnsiTheme="majorHAnsi" w:cstheme="majorHAnsi"/>
          <w:sz w:val="16"/>
          <w:szCs w:val="16"/>
          <w:lang w:val="ro-MD"/>
        </w:rPr>
        <w:t xml:space="preserve">soldul grupei de conturi 316 ,,Unelte și scule, inventar de producere și gospodăresc” a fost supraevaluat cu 794,6 mii lei și subevaluat cu 83,5 mii lei; soldul </w:t>
      </w:r>
      <w:r w:rsidRPr="00702A60">
        <w:rPr>
          <w:rFonts w:asciiTheme="majorHAnsi" w:hAnsiTheme="majorHAnsi" w:cstheme="majorHAnsi"/>
          <w:bCs/>
          <w:sz w:val="16"/>
          <w:szCs w:val="16"/>
          <w:lang w:val="ro-MD"/>
        </w:rPr>
        <w:t>grupei de conturi</w:t>
      </w:r>
      <w:r w:rsidRPr="00702A60">
        <w:rPr>
          <w:rFonts w:asciiTheme="majorHAnsi" w:hAnsiTheme="majorHAnsi" w:cstheme="majorHAnsi"/>
          <w:sz w:val="16"/>
          <w:szCs w:val="16"/>
          <w:lang w:val="ro-MD"/>
        </w:rPr>
        <w:t xml:space="preserve"> 317 „Active nemateriale” a fost supraevaluat cu 135,5 mii lei; soldul grupei de conturi 318 ,,Alte mijloace fixe” a fost </w:t>
      </w:r>
      <w:r w:rsidRPr="00702A60">
        <w:rPr>
          <w:rFonts w:asciiTheme="majorHAnsi" w:eastAsia="Times New Roman" w:hAnsiTheme="majorHAnsi" w:cstheme="majorHAnsi"/>
          <w:bCs/>
          <w:sz w:val="16"/>
          <w:szCs w:val="16"/>
          <w:lang w:val="ro-MD" w:eastAsia="ru-RU"/>
        </w:rPr>
        <w:t>subevaluat</w:t>
      </w:r>
      <w:r w:rsidRPr="00702A60">
        <w:rPr>
          <w:rFonts w:asciiTheme="majorHAnsi" w:hAnsiTheme="majorHAnsi" w:cstheme="majorHAnsi"/>
          <w:sz w:val="16"/>
          <w:szCs w:val="16"/>
          <w:lang w:val="ro-MD"/>
        </w:rPr>
        <w:t xml:space="preserve"> cu 5,6 mii lei; </w:t>
      </w:r>
      <w:r w:rsidRPr="00702A60">
        <w:rPr>
          <w:rFonts w:asciiTheme="majorHAnsi" w:eastAsia="Times New Roman" w:hAnsiTheme="majorHAnsi" w:cstheme="majorHAnsi"/>
          <w:bCs/>
          <w:sz w:val="16"/>
          <w:szCs w:val="16"/>
          <w:lang w:val="ro-MD" w:eastAsia="ru-RU"/>
        </w:rPr>
        <w:t xml:space="preserve">soldul grupei de conturi </w:t>
      </w:r>
      <w:r w:rsidRPr="00702A60">
        <w:rPr>
          <w:rFonts w:asciiTheme="majorHAnsi" w:hAnsiTheme="majorHAnsi" w:cstheme="majorHAnsi"/>
          <w:sz w:val="16"/>
          <w:szCs w:val="16"/>
          <w:lang w:val="ro-MD"/>
        </w:rPr>
        <w:t>319 ,,Investiții capitale în curs de execuție” a fost subevaluat cu 381,8 mii lei; soldul grupei de conturi 332 „Piese de schimb” a fost supraevaluat cu 2,7 mii lei; soldul grupei de conturi 335 „Materiale pentru scopuri didactice, științifice și alte scopuri” a fost subevaluat cu 92,6 mii lei; soldul grupei de conturi 336 „Materiale de uz gospodăresc și rechizite de birou” a fost supraevaluat cu 27,7 mii lei și subevaluat cu 139,0 mii lei; soldul grupei de conturi 339 „Alte materiale” fost supraevaluat cu 294,8 mii lei și subevaluat cu 23,2 mii lei.</w:t>
      </w:r>
    </w:p>
  </w:footnote>
  <w:footnote w:id="13">
    <w:p w:rsidR="00F10FFB" w:rsidRPr="00702A60" w:rsidRDefault="00F10FFB" w:rsidP="006D7FE2">
      <w:pPr>
        <w:pStyle w:val="a8"/>
        <w:jc w:val="both"/>
        <w:rPr>
          <w:rFonts w:asciiTheme="majorHAnsi" w:hAnsiTheme="majorHAnsi" w:cstheme="majorHAnsi"/>
          <w:sz w:val="16"/>
          <w:szCs w:val="16"/>
          <w:lang w:val="ro-RO"/>
        </w:rPr>
      </w:pPr>
      <w:r w:rsidRPr="00702A60">
        <w:rPr>
          <w:rStyle w:val="aa"/>
          <w:rFonts w:asciiTheme="majorHAnsi" w:hAnsiTheme="majorHAnsi" w:cstheme="majorHAnsi"/>
          <w:sz w:val="16"/>
          <w:szCs w:val="16"/>
          <w:lang w:val="ro-RO"/>
        </w:rPr>
        <w:footnoteRef/>
      </w:r>
      <w:r w:rsidRPr="00702A60">
        <w:rPr>
          <w:rFonts w:asciiTheme="majorHAnsi" w:hAnsiTheme="majorHAnsi" w:cstheme="majorHAnsi"/>
          <w:sz w:val="16"/>
          <w:szCs w:val="16"/>
          <w:lang w:val="ro-RO"/>
        </w:rPr>
        <w:t xml:space="preserve"> </w:t>
      </w:r>
      <w:r w:rsidR="00332042" w:rsidRPr="00702A60">
        <w:rPr>
          <w:rFonts w:asciiTheme="majorHAnsi" w:hAnsiTheme="majorHAnsi" w:cstheme="majorHAnsi"/>
          <w:sz w:val="16"/>
          <w:szCs w:val="16"/>
          <w:lang w:val="ro-RO"/>
        </w:rPr>
        <w:t>Hotărârea Curții de Conturi nr.2 din 24.01.2020 „Cu privire la Cadrul Declarațiilor Profesionale ale INTOSAI”</w:t>
      </w:r>
      <w:r w:rsidRPr="00702A60">
        <w:rPr>
          <w:rFonts w:asciiTheme="majorHAnsi" w:hAnsiTheme="majorHAnsi" w:cstheme="majorHAnsi"/>
          <w:sz w:val="16"/>
          <w:szCs w:val="16"/>
          <w:lang w:val="ro-RO"/>
        </w:rPr>
        <w:t xml:space="preserve">. </w:t>
      </w:r>
    </w:p>
  </w:footnote>
  <w:footnote w:id="14">
    <w:p w:rsidR="000372EE" w:rsidRPr="00702A60" w:rsidRDefault="000372EE" w:rsidP="000372EE">
      <w:pPr>
        <w:pStyle w:val="a8"/>
        <w:jc w:val="both"/>
        <w:rPr>
          <w:rFonts w:asciiTheme="majorHAnsi" w:hAnsiTheme="majorHAnsi" w:cstheme="majorHAnsi"/>
          <w:sz w:val="16"/>
          <w:szCs w:val="16"/>
          <w:lang w:val="ro-RO"/>
        </w:rPr>
      </w:pPr>
      <w:r w:rsidRPr="00702A60">
        <w:rPr>
          <w:rStyle w:val="aa"/>
          <w:rFonts w:asciiTheme="majorHAnsi" w:hAnsiTheme="majorHAnsi" w:cstheme="majorHAnsi"/>
          <w:sz w:val="16"/>
          <w:szCs w:val="16"/>
          <w:lang w:val="ro-RO"/>
        </w:rPr>
        <w:footnoteRef/>
      </w:r>
      <w:r w:rsidRPr="00702A60">
        <w:rPr>
          <w:rFonts w:asciiTheme="majorHAnsi" w:hAnsiTheme="majorHAnsi" w:cstheme="majorHAnsi"/>
          <w:sz w:val="16"/>
          <w:szCs w:val="16"/>
          <w:lang w:val="ro-RO"/>
        </w:rPr>
        <w:t xml:space="preserve"> Lista consolidată de costuri. </w:t>
      </w:r>
    </w:p>
  </w:footnote>
  <w:footnote w:id="15">
    <w:p w:rsidR="000372EE" w:rsidRPr="00702A60" w:rsidRDefault="000372EE" w:rsidP="000372EE">
      <w:pPr>
        <w:pStyle w:val="a8"/>
        <w:jc w:val="both"/>
        <w:rPr>
          <w:rFonts w:asciiTheme="majorHAnsi" w:hAnsiTheme="majorHAnsi" w:cstheme="majorHAnsi"/>
          <w:sz w:val="16"/>
          <w:szCs w:val="16"/>
          <w:lang w:val="ro-RO"/>
        </w:rPr>
      </w:pPr>
      <w:r w:rsidRPr="00702A60">
        <w:rPr>
          <w:rStyle w:val="aa"/>
          <w:rFonts w:asciiTheme="majorHAnsi" w:hAnsiTheme="majorHAnsi" w:cstheme="majorHAnsi"/>
          <w:sz w:val="16"/>
          <w:szCs w:val="16"/>
          <w:lang w:val="ro-RO"/>
        </w:rPr>
        <w:footnoteRef/>
      </w:r>
      <w:r w:rsidRPr="00702A60">
        <w:rPr>
          <w:rFonts w:asciiTheme="majorHAnsi" w:hAnsiTheme="majorHAnsi" w:cstheme="majorHAnsi"/>
          <w:sz w:val="16"/>
          <w:szCs w:val="16"/>
          <w:lang w:val="ro-RO"/>
        </w:rPr>
        <w:t xml:space="preserve"> Hotărârea Guvernului nr.338 din 21.03.2003 „Cu privire la aprobarea Catalogului mijloacelor fixe și activelor nemateriale”. </w:t>
      </w:r>
    </w:p>
  </w:footnote>
  <w:footnote w:id="16">
    <w:p w:rsidR="00D415D2" w:rsidRPr="00702A60" w:rsidRDefault="00D415D2" w:rsidP="00D415D2">
      <w:pPr>
        <w:pStyle w:val="a8"/>
        <w:jc w:val="both"/>
        <w:rPr>
          <w:rFonts w:asciiTheme="majorHAnsi" w:hAnsiTheme="majorHAnsi" w:cstheme="majorHAnsi"/>
          <w:sz w:val="16"/>
          <w:szCs w:val="16"/>
          <w:lang w:val="ro-RO"/>
        </w:rPr>
      </w:pPr>
      <w:r w:rsidRPr="00702A60">
        <w:rPr>
          <w:rStyle w:val="aa"/>
          <w:rFonts w:asciiTheme="majorHAnsi" w:hAnsiTheme="majorHAnsi" w:cstheme="majorHAnsi"/>
          <w:sz w:val="16"/>
          <w:szCs w:val="16"/>
          <w:lang w:val="ro-RO"/>
        </w:rPr>
        <w:footnoteRef/>
      </w:r>
      <w:r w:rsidRPr="00702A60">
        <w:rPr>
          <w:rFonts w:asciiTheme="majorHAnsi" w:hAnsiTheme="majorHAnsi" w:cstheme="majorHAnsi"/>
          <w:sz w:val="16"/>
          <w:szCs w:val="16"/>
          <w:lang w:val="ro-RO"/>
        </w:rPr>
        <w:t xml:space="preserve"> Pct.3.3.41. din </w:t>
      </w:r>
      <w:r w:rsidRPr="00702A60">
        <w:rPr>
          <w:rFonts w:asciiTheme="majorHAnsi" w:hAnsiTheme="majorHAnsi" w:cstheme="majorHAnsi"/>
          <w:bCs/>
          <w:sz w:val="16"/>
          <w:szCs w:val="16"/>
          <w:lang w:val="ro-RO"/>
        </w:rPr>
        <w:t>Normele metodologice aprobate prin Ordinul ministrului finanțelor nr.216 din 28.12.2015 – „</w:t>
      </w:r>
      <w:r w:rsidRPr="00702A60">
        <w:rPr>
          <w:rFonts w:asciiTheme="majorHAnsi" w:hAnsiTheme="majorHAnsi" w:cstheme="majorHAnsi"/>
          <w:sz w:val="16"/>
          <w:szCs w:val="16"/>
          <w:lang w:val="ro-RO"/>
        </w:rPr>
        <w:t xml:space="preserve">La subcontul de nivelul II 319230 </w:t>
      </w:r>
      <w:r w:rsidRPr="00702A60">
        <w:rPr>
          <w:rFonts w:asciiTheme="majorHAnsi" w:hAnsiTheme="majorHAnsi" w:cstheme="majorHAnsi"/>
          <w:i/>
          <w:iCs/>
          <w:sz w:val="16"/>
          <w:szCs w:val="16"/>
          <w:lang w:val="ro-RO"/>
        </w:rPr>
        <w:t>„Instalații de transmisie în curs de execuție”</w:t>
      </w:r>
      <w:r w:rsidRPr="00702A60">
        <w:rPr>
          <w:rFonts w:asciiTheme="majorHAnsi" w:hAnsiTheme="majorHAnsi" w:cstheme="majorHAnsi"/>
          <w:sz w:val="16"/>
          <w:szCs w:val="16"/>
          <w:lang w:val="ro-RO"/>
        </w:rPr>
        <w:t xml:space="preserve"> se ține evidența cheltuielilor privind crearea de către instituția bugetară a instalațiilor de transmisie noi, precum și </w:t>
      </w:r>
      <w:r w:rsidR="000C1795" w:rsidRPr="00702A60">
        <w:rPr>
          <w:rFonts w:asciiTheme="majorHAnsi" w:hAnsiTheme="majorHAnsi" w:cstheme="majorHAnsi"/>
          <w:sz w:val="16"/>
          <w:szCs w:val="16"/>
          <w:lang w:val="ro-RO"/>
        </w:rPr>
        <w:t xml:space="preserve">a </w:t>
      </w:r>
      <w:r w:rsidRPr="00702A60">
        <w:rPr>
          <w:rFonts w:asciiTheme="majorHAnsi" w:hAnsiTheme="majorHAnsi" w:cstheme="majorHAnsi"/>
          <w:sz w:val="16"/>
          <w:szCs w:val="16"/>
          <w:lang w:val="ro-RO"/>
        </w:rPr>
        <w:t>cheltuielil</w:t>
      </w:r>
      <w:r w:rsidR="000C1795" w:rsidRPr="00702A60">
        <w:rPr>
          <w:rFonts w:asciiTheme="majorHAnsi" w:hAnsiTheme="majorHAnsi" w:cstheme="majorHAnsi"/>
          <w:sz w:val="16"/>
          <w:szCs w:val="16"/>
          <w:lang w:val="ro-RO"/>
        </w:rPr>
        <w:t>or</w:t>
      </w:r>
      <w:r w:rsidRPr="00702A60">
        <w:rPr>
          <w:rFonts w:asciiTheme="majorHAnsi" w:hAnsiTheme="majorHAnsi" w:cstheme="majorHAnsi"/>
          <w:sz w:val="16"/>
          <w:szCs w:val="16"/>
          <w:lang w:val="ro-RO"/>
        </w:rPr>
        <w:t xml:space="preserve"> de supraveghere tehnică și de autor”.</w:t>
      </w:r>
    </w:p>
  </w:footnote>
  <w:footnote w:id="17">
    <w:p w:rsidR="00D415D2" w:rsidRPr="00702A60" w:rsidRDefault="00D415D2" w:rsidP="00D415D2">
      <w:pPr>
        <w:pStyle w:val="a8"/>
        <w:jc w:val="both"/>
        <w:rPr>
          <w:sz w:val="16"/>
          <w:szCs w:val="16"/>
          <w:lang w:val="ro-RO"/>
        </w:rPr>
      </w:pPr>
      <w:r w:rsidRPr="00702A60">
        <w:rPr>
          <w:rStyle w:val="aa"/>
          <w:rFonts w:asciiTheme="majorHAnsi" w:hAnsiTheme="majorHAnsi" w:cstheme="majorHAnsi"/>
          <w:sz w:val="16"/>
          <w:szCs w:val="16"/>
          <w:lang w:val="ro-RO"/>
        </w:rPr>
        <w:footnoteRef/>
      </w:r>
      <w:r w:rsidRPr="00702A60">
        <w:rPr>
          <w:rFonts w:asciiTheme="majorHAnsi" w:hAnsiTheme="majorHAnsi" w:cstheme="majorHAnsi"/>
          <w:sz w:val="16"/>
          <w:szCs w:val="16"/>
          <w:lang w:val="ro-RO"/>
        </w:rPr>
        <w:t xml:space="preserve"> </w:t>
      </w:r>
      <w:r w:rsidRPr="00702A60">
        <w:rPr>
          <w:rFonts w:asciiTheme="majorHAnsi" w:hAnsiTheme="majorHAnsi" w:cstheme="majorHAnsi"/>
          <w:bCs/>
          <w:sz w:val="16"/>
          <w:szCs w:val="16"/>
          <w:lang w:val="ro-RO"/>
        </w:rPr>
        <w:t>Angajat în baza contractului de prestări servicii</w:t>
      </w:r>
      <w:r w:rsidR="00F839CE" w:rsidRPr="00702A60">
        <w:rPr>
          <w:rFonts w:asciiTheme="majorHAnsi" w:hAnsiTheme="majorHAnsi" w:cstheme="majorHAnsi"/>
          <w:bCs/>
          <w:sz w:val="16"/>
          <w:szCs w:val="16"/>
          <w:lang w:val="ro-RO"/>
        </w:rPr>
        <w:t>,</w:t>
      </w:r>
      <w:r w:rsidRPr="00702A60">
        <w:rPr>
          <w:rFonts w:asciiTheme="majorHAnsi" w:hAnsiTheme="majorHAnsi" w:cstheme="majorHAnsi"/>
          <w:bCs/>
          <w:sz w:val="16"/>
          <w:szCs w:val="16"/>
          <w:lang w:val="ro-RO"/>
        </w:rPr>
        <w:t xml:space="preserve"> pentru a asigura activitățile aferente realizării proiectului de investiții semnat cu Agenția de Dezvoltare Regională Nord.</w:t>
      </w:r>
    </w:p>
  </w:footnote>
  <w:footnote w:id="18">
    <w:p w:rsidR="00D415D2" w:rsidRPr="00702A60" w:rsidRDefault="00D415D2" w:rsidP="00D415D2">
      <w:pPr>
        <w:pStyle w:val="a8"/>
        <w:jc w:val="both"/>
        <w:rPr>
          <w:rFonts w:asciiTheme="majorHAnsi" w:hAnsiTheme="majorHAnsi" w:cstheme="majorHAnsi"/>
          <w:bCs/>
          <w:sz w:val="16"/>
          <w:szCs w:val="16"/>
          <w:lang w:val="ro-RO"/>
        </w:rPr>
      </w:pPr>
      <w:r w:rsidRPr="00702A60">
        <w:rPr>
          <w:rStyle w:val="aa"/>
          <w:rFonts w:asciiTheme="majorHAnsi" w:hAnsiTheme="majorHAnsi" w:cstheme="majorHAnsi"/>
          <w:sz w:val="16"/>
          <w:szCs w:val="16"/>
          <w:lang w:val="ro-RO"/>
        </w:rPr>
        <w:footnoteRef/>
      </w:r>
      <w:r w:rsidRPr="00702A60">
        <w:rPr>
          <w:rFonts w:asciiTheme="majorHAnsi" w:hAnsiTheme="majorHAnsi" w:cstheme="majorHAnsi"/>
          <w:sz w:val="16"/>
          <w:szCs w:val="16"/>
          <w:lang w:val="ro-RO"/>
        </w:rPr>
        <w:t xml:space="preserve"> Pct.3.2.50. din </w:t>
      </w:r>
      <w:r w:rsidRPr="00702A60">
        <w:rPr>
          <w:rFonts w:asciiTheme="majorHAnsi" w:hAnsiTheme="majorHAnsi" w:cstheme="majorHAnsi"/>
          <w:bCs/>
          <w:sz w:val="16"/>
          <w:szCs w:val="16"/>
          <w:lang w:val="ro-RO"/>
        </w:rPr>
        <w:t xml:space="preserve">Normele metodologice aprobate prin Ordinul ministrului finanțelor nr.216 din 28.12.2015 – „La subcontul de nivelul II 281600 </w:t>
      </w:r>
      <w:r w:rsidRPr="00702A60">
        <w:rPr>
          <w:rFonts w:asciiTheme="majorHAnsi" w:hAnsiTheme="majorHAnsi" w:cstheme="majorHAnsi"/>
          <w:bCs/>
          <w:iCs/>
          <w:sz w:val="16"/>
          <w:szCs w:val="16"/>
          <w:lang w:val="ro-RO"/>
        </w:rPr>
        <w:t xml:space="preserve">„Alte cheltuieli în bază de contracte cu persoane fizice” </w:t>
      </w:r>
      <w:r w:rsidRPr="00702A60">
        <w:rPr>
          <w:rFonts w:asciiTheme="majorHAnsi" w:hAnsiTheme="majorHAnsi" w:cstheme="majorHAnsi"/>
          <w:bCs/>
          <w:sz w:val="16"/>
          <w:szCs w:val="16"/>
          <w:lang w:val="ro-RO"/>
        </w:rPr>
        <w:t>se reflectă cheltuielile aferente contractelor individuale de muncă și de prestare a serviciilor cu persoanele fizice din cadrul proiectelor finanțate din surse externe, precum și contractelor individuale de muncă cu persoanele fizice care nu ocupă funcții instituite în structura autorităților/instituțiilor bugetare, pentru efectuarea unor lucrări/munci sau activități specifice pe un termen determinat în cadrul autorităților/instituțiilor”.</w:t>
      </w:r>
    </w:p>
  </w:footnote>
  <w:footnote w:id="19">
    <w:p w:rsidR="00D415D2" w:rsidRPr="00702A60" w:rsidRDefault="00D415D2" w:rsidP="00D415D2">
      <w:pPr>
        <w:pStyle w:val="a8"/>
        <w:jc w:val="both"/>
        <w:rPr>
          <w:rFonts w:asciiTheme="majorHAnsi" w:hAnsiTheme="majorHAnsi" w:cstheme="majorHAnsi"/>
          <w:bCs/>
          <w:sz w:val="16"/>
          <w:szCs w:val="16"/>
          <w:lang w:val="ro-RO"/>
        </w:rPr>
      </w:pPr>
      <w:r w:rsidRPr="00702A60">
        <w:rPr>
          <w:rStyle w:val="aa"/>
          <w:rFonts w:asciiTheme="majorHAnsi" w:hAnsiTheme="majorHAnsi" w:cstheme="majorHAnsi"/>
          <w:sz w:val="16"/>
          <w:szCs w:val="16"/>
          <w:lang w:val="ro-RO"/>
        </w:rPr>
        <w:footnoteRef/>
      </w:r>
      <w:r w:rsidRPr="00702A60">
        <w:rPr>
          <w:rFonts w:asciiTheme="majorHAnsi" w:hAnsiTheme="majorHAnsi" w:cstheme="majorHAnsi"/>
          <w:sz w:val="16"/>
          <w:szCs w:val="16"/>
          <w:lang w:val="ro-RO"/>
        </w:rPr>
        <w:t xml:space="preserve"> </w:t>
      </w:r>
      <w:r w:rsidRPr="00702A60">
        <w:rPr>
          <w:rFonts w:asciiTheme="majorHAnsi" w:hAnsiTheme="majorHAnsi" w:cstheme="majorHAnsi"/>
          <w:bCs/>
          <w:sz w:val="16"/>
          <w:szCs w:val="16"/>
          <w:lang w:val="ro-RO"/>
        </w:rPr>
        <w:t>Programul electronic de evidență contabilă și programul electronic Super Lex, care au acumulat amortizarea totală.</w:t>
      </w:r>
    </w:p>
  </w:footnote>
  <w:footnote w:id="20">
    <w:p w:rsidR="00D415D2" w:rsidRPr="00702A60" w:rsidRDefault="00D415D2" w:rsidP="00D415D2">
      <w:pPr>
        <w:pStyle w:val="a8"/>
        <w:jc w:val="both"/>
        <w:rPr>
          <w:sz w:val="16"/>
          <w:szCs w:val="16"/>
          <w:lang w:val="ro-RO"/>
        </w:rPr>
      </w:pPr>
      <w:r w:rsidRPr="00702A60">
        <w:rPr>
          <w:rStyle w:val="aa"/>
          <w:rFonts w:asciiTheme="majorHAnsi" w:hAnsiTheme="majorHAnsi" w:cstheme="majorHAnsi"/>
          <w:sz w:val="16"/>
          <w:szCs w:val="16"/>
          <w:lang w:val="ro-RO"/>
        </w:rPr>
        <w:footnoteRef/>
      </w:r>
      <w:r w:rsidRPr="00702A60">
        <w:rPr>
          <w:rFonts w:asciiTheme="majorHAnsi" w:hAnsiTheme="majorHAnsi" w:cstheme="majorHAnsi"/>
          <w:sz w:val="16"/>
          <w:szCs w:val="16"/>
          <w:lang w:val="ro-RO"/>
        </w:rPr>
        <w:t xml:space="preserve"> </w:t>
      </w:r>
      <w:r w:rsidRPr="00702A60">
        <w:rPr>
          <w:rFonts w:asciiTheme="majorHAnsi" w:hAnsiTheme="majorHAnsi" w:cstheme="majorHAnsi"/>
          <w:bCs/>
          <w:sz w:val="16"/>
          <w:szCs w:val="16"/>
          <w:lang w:val="ro-RO"/>
        </w:rPr>
        <w:t>Pct.3.3.175. din Normele metodologice aprobate prin Ordinul ministrului finanțelor nr.216 din 28.12.2015.</w:t>
      </w:r>
    </w:p>
  </w:footnote>
  <w:footnote w:id="21">
    <w:p w:rsidR="00F10FFB" w:rsidRPr="00332042" w:rsidRDefault="00F10FFB" w:rsidP="00DC5E71">
      <w:pPr>
        <w:pStyle w:val="a8"/>
        <w:jc w:val="both"/>
        <w:rPr>
          <w:rFonts w:asciiTheme="majorHAnsi" w:hAnsiTheme="majorHAnsi" w:cstheme="majorHAnsi"/>
          <w:bCs/>
          <w:sz w:val="16"/>
          <w:szCs w:val="16"/>
          <w:lang w:val="ro-RO"/>
        </w:rPr>
      </w:pPr>
      <w:r w:rsidRPr="00702A60">
        <w:rPr>
          <w:rStyle w:val="aa"/>
          <w:rFonts w:asciiTheme="majorHAnsi" w:hAnsiTheme="majorHAnsi" w:cstheme="majorHAnsi"/>
          <w:sz w:val="16"/>
          <w:szCs w:val="16"/>
          <w:lang w:val="ro-RO"/>
        </w:rPr>
        <w:footnoteRef/>
      </w:r>
      <w:r w:rsidRPr="00702A60">
        <w:rPr>
          <w:rFonts w:asciiTheme="majorHAnsi" w:hAnsiTheme="majorHAnsi" w:cstheme="majorHAnsi"/>
          <w:sz w:val="16"/>
          <w:szCs w:val="16"/>
          <w:lang w:val="ro-RO"/>
        </w:rPr>
        <w:t xml:space="preserve"> Hotărârea Curții de Conturi nr.16 din 29.04.2020 „</w:t>
      </w:r>
      <w:r w:rsidRPr="00702A60">
        <w:rPr>
          <w:rFonts w:asciiTheme="majorHAnsi" w:hAnsiTheme="majorHAnsi" w:cstheme="majorHAnsi"/>
          <w:bCs/>
          <w:sz w:val="16"/>
          <w:szCs w:val="16"/>
          <w:lang w:val="ro-RO"/>
        </w:rPr>
        <w:t>Privind aprobarea Raportului misiunii de follow-up asupra implementării cerințelor și recomandărilor aprobate prin Hotărârea Curții de Conturi nr.43 din 22 septembrie 2017 cu privire la Raportul auditului performanței „Eficiența gestiunii economico-financiare și  administrării patrimoniului de către întreprinderile care prestează servicii de aprovizionare cu apă a populației”.</w:t>
      </w:r>
    </w:p>
  </w:footnote>
  <w:footnote w:id="22">
    <w:p w:rsidR="00F10FFB" w:rsidRPr="00702A60" w:rsidRDefault="00F10FFB" w:rsidP="00B87CC5">
      <w:pPr>
        <w:pStyle w:val="a8"/>
        <w:jc w:val="both"/>
        <w:rPr>
          <w:rFonts w:asciiTheme="majorHAnsi" w:hAnsiTheme="majorHAnsi" w:cstheme="majorHAnsi"/>
          <w:sz w:val="16"/>
          <w:szCs w:val="16"/>
          <w:lang w:val="ro-RO"/>
        </w:rPr>
      </w:pPr>
      <w:r w:rsidRPr="00702A60">
        <w:rPr>
          <w:rStyle w:val="aa"/>
          <w:rFonts w:asciiTheme="majorHAnsi" w:hAnsiTheme="majorHAnsi" w:cstheme="majorHAnsi"/>
          <w:sz w:val="16"/>
          <w:szCs w:val="16"/>
          <w:lang w:val="ro-RO"/>
        </w:rPr>
        <w:footnoteRef/>
      </w:r>
      <w:r w:rsidRPr="00702A60">
        <w:rPr>
          <w:rFonts w:asciiTheme="majorHAnsi" w:hAnsiTheme="majorHAnsi" w:cstheme="majorHAnsi"/>
          <w:sz w:val="16"/>
          <w:szCs w:val="16"/>
          <w:lang w:val="ro-RO"/>
        </w:rPr>
        <w:t xml:space="preserve"> Legea privind administrația publică locală nr.436-XVI din 28.12.2006.</w:t>
      </w:r>
    </w:p>
  </w:footnote>
  <w:footnote w:id="23">
    <w:p w:rsidR="00F10FFB" w:rsidRPr="00702A60" w:rsidRDefault="00F10FFB" w:rsidP="00B87CC5">
      <w:pPr>
        <w:pStyle w:val="a8"/>
        <w:jc w:val="both"/>
        <w:rPr>
          <w:rFonts w:cs="Times New Roman"/>
          <w:sz w:val="16"/>
          <w:szCs w:val="16"/>
          <w:lang w:val="ro-RO"/>
        </w:rPr>
      </w:pPr>
      <w:r w:rsidRPr="00702A60">
        <w:rPr>
          <w:rStyle w:val="aa"/>
          <w:rFonts w:asciiTheme="majorHAnsi" w:hAnsiTheme="majorHAnsi" w:cstheme="majorHAnsi"/>
          <w:sz w:val="16"/>
          <w:szCs w:val="16"/>
          <w:lang w:val="ro-RO"/>
        </w:rPr>
        <w:footnoteRef/>
      </w:r>
      <w:r w:rsidRPr="00702A60">
        <w:rPr>
          <w:rFonts w:asciiTheme="majorHAnsi" w:hAnsiTheme="majorHAnsi" w:cstheme="majorHAnsi"/>
          <w:sz w:val="16"/>
          <w:szCs w:val="16"/>
          <w:lang w:val="ro-RO"/>
        </w:rPr>
        <w:t xml:space="preserve"> </w:t>
      </w:r>
      <w:r w:rsidRPr="00702A60">
        <w:rPr>
          <w:rFonts w:asciiTheme="majorHAnsi" w:hAnsiTheme="majorHAnsi" w:cstheme="majorHAnsi"/>
          <w:sz w:val="16"/>
          <w:szCs w:val="16"/>
          <w:lang w:val="ro-RO" w:eastAsia="en-GB"/>
        </w:rPr>
        <w:t>Normele metodologice aprobate prin Ordinul ministrului finanțelor nr.216 din 28.12.2015.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4BB4"/>
    <w:multiLevelType w:val="hybridMultilevel"/>
    <w:tmpl w:val="EEBC4B4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384031F"/>
    <w:multiLevelType w:val="multilevel"/>
    <w:tmpl w:val="5AB07B56"/>
    <w:lvl w:ilvl="0">
      <w:start w:val="1"/>
      <w:numFmt w:val="upperRoman"/>
      <w:lvlText w:val="%1."/>
      <w:lvlJc w:val="left"/>
      <w:pPr>
        <w:ind w:left="3414" w:hanging="720"/>
      </w:pPr>
      <w:rPr>
        <w:rFonts w:hint="default"/>
      </w:rPr>
    </w:lvl>
    <w:lvl w:ilvl="1">
      <w:start w:val="5"/>
      <w:numFmt w:val="decimal"/>
      <w:isLgl/>
      <w:lvlText w:val="%1.%2."/>
      <w:lvlJc w:val="left"/>
      <w:pPr>
        <w:ind w:left="3954" w:hanging="720"/>
      </w:pPr>
      <w:rPr>
        <w:rFonts w:hint="default"/>
      </w:rPr>
    </w:lvl>
    <w:lvl w:ilvl="2">
      <w:start w:val="2"/>
      <w:numFmt w:val="decimal"/>
      <w:isLgl/>
      <w:lvlText w:val="%1.%2.%3."/>
      <w:lvlJc w:val="left"/>
      <w:pPr>
        <w:ind w:left="4134" w:hanging="720"/>
      </w:pPr>
      <w:rPr>
        <w:rFonts w:hint="default"/>
      </w:rPr>
    </w:lvl>
    <w:lvl w:ilvl="3">
      <w:start w:val="1"/>
      <w:numFmt w:val="decimal"/>
      <w:isLgl/>
      <w:lvlText w:val="%1.%2.%3.%4."/>
      <w:lvlJc w:val="left"/>
      <w:pPr>
        <w:ind w:left="4674" w:hanging="1080"/>
      </w:pPr>
      <w:rPr>
        <w:rFonts w:hint="default"/>
      </w:rPr>
    </w:lvl>
    <w:lvl w:ilvl="4">
      <w:start w:val="1"/>
      <w:numFmt w:val="decimal"/>
      <w:isLgl/>
      <w:lvlText w:val="%1.%2.%3.%4.%5."/>
      <w:lvlJc w:val="left"/>
      <w:pPr>
        <w:ind w:left="4854" w:hanging="1080"/>
      </w:pPr>
      <w:rPr>
        <w:rFonts w:hint="default"/>
      </w:rPr>
    </w:lvl>
    <w:lvl w:ilvl="5">
      <w:start w:val="1"/>
      <w:numFmt w:val="decimal"/>
      <w:isLgl/>
      <w:lvlText w:val="%1.%2.%3.%4.%5.%6."/>
      <w:lvlJc w:val="left"/>
      <w:pPr>
        <w:ind w:left="5394" w:hanging="1440"/>
      </w:pPr>
      <w:rPr>
        <w:rFonts w:hint="default"/>
      </w:rPr>
    </w:lvl>
    <w:lvl w:ilvl="6">
      <w:start w:val="1"/>
      <w:numFmt w:val="decimal"/>
      <w:isLgl/>
      <w:lvlText w:val="%1.%2.%3.%4.%5.%6.%7."/>
      <w:lvlJc w:val="left"/>
      <w:pPr>
        <w:ind w:left="5934" w:hanging="1800"/>
      </w:pPr>
      <w:rPr>
        <w:rFonts w:hint="default"/>
      </w:rPr>
    </w:lvl>
    <w:lvl w:ilvl="7">
      <w:start w:val="1"/>
      <w:numFmt w:val="decimal"/>
      <w:isLgl/>
      <w:lvlText w:val="%1.%2.%3.%4.%5.%6.%7.%8."/>
      <w:lvlJc w:val="left"/>
      <w:pPr>
        <w:ind w:left="6114" w:hanging="1800"/>
      </w:pPr>
      <w:rPr>
        <w:rFonts w:hint="default"/>
      </w:rPr>
    </w:lvl>
    <w:lvl w:ilvl="8">
      <w:start w:val="1"/>
      <w:numFmt w:val="decimal"/>
      <w:isLgl/>
      <w:lvlText w:val="%1.%2.%3.%4.%5.%6.%7.%8.%9."/>
      <w:lvlJc w:val="left"/>
      <w:pPr>
        <w:ind w:left="6654" w:hanging="2160"/>
      </w:pPr>
      <w:rPr>
        <w:rFonts w:hint="default"/>
      </w:rPr>
    </w:lvl>
  </w:abstractNum>
  <w:abstractNum w:abstractNumId="2" w15:restartNumberingAfterBreak="0">
    <w:nsid w:val="06E7730D"/>
    <w:multiLevelType w:val="multilevel"/>
    <w:tmpl w:val="CE74F56E"/>
    <w:lvl w:ilvl="0">
      <w:start w:val="3"/>
      <w:numFmt w:val="decimal"/>
      <w:lvlText w:val="%1"/>
      <w:lvlJc w:val="left"/>
      <w:pPr>
        <w:ind w:left="360" w:hanging="360"/>
      </w:pPr>
      <w:rPr>
        <w:rFonts w:hint="default"/>
        <w:b/>
        <w:i/>
      </w:rPr>
    </w:lvl>
    <w:lvl w:ilvl="1">
      <w:start w:val="2"/>
      <w:numFmt w:val="decimal"/>
      <w:lvlText w:val="%1.%2"/>
      <w:lvlJc w:val="left"/>
      <w:pPr>
        <w:ind w:left="1152" w:hanging="360"/>
      </w:pPr>
      <w:rPr>
        <w:rFonts w:hint="default"/>
        <w:b/>
        <w:i/>
      </w:rPr>
    </w:lvl>
    <w:lvl w:ilvl="2">
      <w:start w:val="1"/>
      <w:numFmt w:val="decimal"/>
      <w:lvlText w:val="%1.%2.%3"/>
      <w:lvlJc w:val="left"/>
      <w:pPr>
        <w:ind w:left="2304" w:hanging="720"/>
      </w:pPr>
      <w:rPr>
        <w:rFonts w:hint="default"/>
        <w:b/>
        <w:i/>
      </w:rPr>
    </w:lvl>
    <w:lvl w:ilvl="3">
      <w:start w:val="1"/>
      <w:numFmt w:val="decimal"/>
      <w:lvlText w:val="%1.%2.%3.%4"/>
      <w:lvlJc w:val="left"/>
      <w:pPr>
        <w:ind w:left="3096" w:hanging="720"/>
      </w:pPr>
      <w:rPr>
        <w:rFonts w:hint="default"/>
        <w:b/>
        <w:i/>
      </w:rPr>
    </w:lvl>
    <w:lvl w:ilvl="4">
      <w:start w:val="1"/>
      <w:numFmt w:val="decimal"/>
      <w:lvlText w:val="%1.%2.%3.%4.%5"/>
      <w:lvlJc w:val="left"/>
      <w:pPr>
        <w:ind w:left="4248" w:hanging="1080"/>
      </w:pPr>
      <w:rPr>
        <w:rFonts w:hint="default"/>
        <w:b/>
        <w:i/>
      </w:rPr>
    </w:lvl>
    <w:lvl w:ilvl="5">
      <w:start w:val="1"/>
      <w:numFmt w:val="decimal"/>
      <w:lvlText w:val="%1.%2.%3.%4.%5.%6"/>
      <w:lvlJc w:val="left"/>
      <w:pPr>
        <w:ind w:left="5040" w:hanging="1080"/>
      </w:pPr>
      <w:rPr>
        <w:rFonts w:hint="default"/>
        <w:b/>
        <w:i/>
      </w:rPr>
    </w:lvl>
    <w:lvl w:ilvl="6">
      <w:start w:val="1"/>
      <w:numFmt w:val="decimal"/>
      <w:lvlText w:val="%1.%2.%3.%4.%5.%6.%7"/>
      <w:lvlJc w:val="left"/>
      <w:pPr>
        <w:ind w:left="6192" w:hanging="1440"/>
      </w:pPr>
      <w:rPr>
        <w:rFonts w:hint="default"/>
        <w:b/>
        <w:i/>
      </w:rPr>
    </w:lvl>
    <w:lvl w:ilvl="7">
      <w:start w:val="1"/>
      <w:numFmt w:val="decimal"/>
      <w:lvlText w:val="%1.%2.%3.%4.%5.%6.%7.%8"/>
      <w:lvlJc w:val="left"/>
      <w:pPr>
        <w:ind w:left="6984" w:hanging="1440"/>
      </w:pPr>
      <w:rPr>
        <w:rFonts w:hint="default"/>
        <w:b/>
        <w:i/>
      </w:rPr>
    </w:lvl>
    <w:lvl w:ilvl="8">
      <w:start w:val="1"/>
      <w:numFmt w:val="decimal"/>
      <w:lvlText w:val="%1.%2.%3.%4.%5.%6.%7.%8.%9"/>
      <w:lvlJc w:val="left"/>
      <w:pPr>
        <w:ind w:left="8136" w:hanging="1800"/>
      </w:pPr>
      <w:rPr>
        <w:rFonts w:hint="default"/>
        <w:b/>
        <w:i/>
      </w:rPr>
    </w:lvl>
  </w:abstractNum>
  <w:abstractNum w:abstractNumId="3" w15:restartNumberingAfterBreak="0">
    <w:nsid w:val="094141BA"/>
    <w:multiLevelType w:val="multilevel"/>
    <w:tmpl w:val="DBACF1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13335"/>
    <w:multiLevelType w:val="multilevel"/>
    <w:tmpl w:val="EBE8A6A6"/>
    <w:lvl w:ilvl="0">
      <w:start w:val="2"/>
      <w:numFmt w:val="upperRoman"/>
      <w:lvlText w:val="%1."/>
      <w:lvlJc w:val="left"/>
      <w:pPr>
        <w:ind w:left="1080" w:hanging="720"/>
      </w:pPr>
      <w:rPr>
        <w:rFonts w:hint="default"/>
      </w:rPr>
    </w:lvl>
    <w:lvl w:ilvl="1">
      <w:start w:val="5"/>
      <w:numFmt w:val="decimal"/>
      <w:isLgl/>
      <w:lvlText w:val="%1.%2."/>
      <w:lvlJc w:val="left"/>
      <w:pPr>
        <w:ind w:left="1069" w:hanging="360"/>
      </w:pPr>
      <w:rPr>
        <w:rFonts w:eastAsiaTheme="minorHAnsi" w:hint="default"/>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abstractNum w:abstractNumId="5" w15:restartNumberingAfterBreak="0">
    <w:nsid w:val="2EC8674F"/>
    <w:multiLevelType w:val="hybridMultilevel"/>
    <w:tmpl w:val="4334956C"/>
    <w:lvl w:ilvl="0" w:tplc="B8BE0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61B58"/>
    <w:multiLevelType w:val="multilevel"/>
    <w:tmpl w:val="DBACF1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467909"/>
    <w:multiLevelType w:val="multilevel"/>
    <w:tmpl w:val="6212C162"/>
    <w:lvl w:ilvl="0">
      <w:start w:val="5"/>
      <w:numFmt w:val="decimal"/>
      <w:lvlText w:val="%1."/>
      <w:lvlJc w:val="left"/>
      <w:pPr>
        <w:ind w:left="360" w:hanging="360"/>
      </w:pPr>
      <w:rPr>
        <w:rFonts w:eastAsia="Calibri" w:hint="default"/>
      </w:rPr>
    </w:lvl>
    <w:lvl w:ilvl="1">
      <w:start w:val="1"/>
      <w:numFmt w:val="decimal"/>
      <w:lvlText w:val="%1.%2."/>
      <w:lvlJc w:val="left"/>
      <w:pPr>
        <w:ind w:left="1152" w:hanging="360"/>
      </w:pPr>
      <w:rPr>
        <w:rFonts w:eastAsia="Calibri" w:hint="default"/>
        <w:b/>
        <w:i/>
      </w:rPr>
    </w:lvl>
    <w:lvl w:ilvl="2">
      <w:start w:val="1"/>
      <w:numFmt w:val="decimal"/>
      <w:lvlText w:val="%1.%2.%3."/>
      <w:lvlJc w:val="left"/>
      <w:pPr>
        <w:ind w:left="2304" w:hanging="720"/>
      </w:pPr>
      <w:rPr>
        <w:rFonts w:eastAsia="Calibri" w:hint="default"/>
      </w:rPr>
    </w:lvl>
    <w:lvl w:ilvl="3">
      <w:start w:val="1"/>
      <w:numFmt w:val="decimal"/>
      <w:lvlText w:val="%1.%2.%3.%4."/>
      <w:lvlJc w:val="left"/>
      <w:pPr>
        <w:ind w:left="3096" w:hanging="720"/>
      </w:pPr>
      <w:rPr>
        <w:rFonts w:eastAsia="Calibri" w:hint="default"/>
      </w:rPr>
    </w:lvl>
    <w:lvl w:ilvl="4">
      <w:start w:val="1"/>
      <w:numFmt w:val="decimal"/>
      <w:lvlText w:val="%1.%2.%3.%4.%5."/>
      <w:lvlJc w:val="left"/>
      <w:pPr>
        <w:ind w:left="4248" w:hanging="1080"/>
      </w:pPr>
      <w:rPr>
        <w:rFonts w:eastAsia="Calibri" w:hint="default"/>
      </w:rPr>
    </w:lvl>
    <w:lvl w:ilvl="5">
      <w:start w:val="1"/>
      <w:numFmt w:val="decimal"/>
      <w:lvlText w:val="%1.%2.%3.%4.%5.%6."/>
      <w:lvlJc w:val="left"/>
      <w:pPr>
        <w:ind w:left="5040" w:hanging="1080"/>
      </w:pPr>
      <w:rPr>
        <w:rFonts w:eastAsia="Calibri" w:hint="default"/>
      </w:rPr>
    </w:lvl>
    <w:lvl w:ilvl="6">
      <w:start w:val="1"/>
      <w:numFmt w:val="decimal"/>
      <w:lvlText w:val="%1.%2.%3.%4.%5.%6.%7."/>
      <w:lvlJc w:val="left"/>
      <w:pPr>
        <w:ind w:left="6192" w:hanging="1440"/>
      </w:pPr>
      <w:rPr>
        <w:rFonts w:eastAsia="Calibri" w:hint="default"/>
      </w:rPr>
    </w:lvl>
    <w:lvl w:ilvl="7">
      <w:start w:val="1"/>
      <w:numFmt w:val="decimal"/>
      <w:lvlText w:val="%1.%2.%3.%4.%5.%6.%7.%8."/>
      <w:lvlJc w:val="left"/>
      <w:pPr>
        <w:ind w:left="6984" w:hanging="1440"/>
      </w:pPr>
      <w:rPr>
        <w:rFonts w:eastAsia="Calibri" w:hint="default"/>
      </w:rPr>
    </w:lvl>
    <w:lvl w:ilvl="8">
      <w:start w:val="1"/>
      <w:numFmt w:val="decimal"/>
      <w:lvlText w:val="%1.%2.%3.%4.%5.%6.%7.%8.%9."/>
      <w:lvlJc w:val="left"/>
      <w:pPr>
        <w:ind w:left="8136" w:hanging="1800"/>
      </w:pPr>
      <w:rPr>
        <w:rFonts w:eastAsia="Calibri" w:hint="default"/>
      </w:rPr>
    </w:lvl>
  </w:abstractNum>
  <w:abstractNum w:abstractNumId="8" w15:restartNumberingAfterBreak="0">
    <w:nsid w:val="3A342C25"/>
    <w:multiLevelType w:val="multilevel"/>
    <w:tmpl w:val="6212C162"/>
    <w:lvl w:ilvl="0">
      <w:start w:val="5"/>
      <w:numFmt w:val="decimal"/>
      <w:lvlText w:val="%1."/>
      <w:lvlJc w:val="left"/>
      <w:pPr>
        <w:ind w:left="360" w:hanging="360"/>
      </w:pPr>
      <w:rPr>
        <w:rFonts w:eastAsia="Calibri" w:hint="default"/>
      </w:rPr>
    </w:lvl>
    <w:lvl w:ilvl="1">
      <w:start w:val="1"/>
      <w:numFmt w:val="decimal"/>
      <w:lvlText w:val="%1.%2."/>
      <w:lvlJc w:val="left"/>
      <w:pPr>
        <w:ind w:left="1152" w:hanging="360"/>
      </w:pPr>
      <w:rPr>
        <w:rFonts w:eastAsia="Calibri" w:hint="default"/>
        <w:b/>
        <w:i/>
      </w:rPr>
    </w:lvl>
    <w:lvl w:ilvl="2">
      <w:start w:val="1"/>
      <w:numFmt w:val="decimal"/>
      <w:lvlText w:val="%1.%2.%3."/>
      <w:lvlJc w:val="left"/>
      <w:pPr>
        <w:ind w:left="2304" w:hanging="720"/>
      </w:pPr>
      <w:rPr>
        <w:rFonts w:eastAsia="Calibri" w:hint="default"/>
      </w:rPr>
    </w:lvl>
    <w:lvl w:ilvl="3">
      <w:start w:val="1"/>
      <w:numFmt w:val="decimal"/>
      <w:lvlText w:val="%1.%2.%3.%4."/>
      <w:lvlJc w:val="left"/>
      <w:pPr>
        <w:ind w:left="3096" w:hanging="720"/>
      </w:pPr>
      <w:rPr>
        <w:rFonts w:eastAsia="Calibri" w:hint="default"/>
      </w:rPr>
    </w:lvl>
    <w:lvl w:ilvl="4">
      <w:start w:val="1"/>
      <w:numFmt w:val="decimal"/>
      <w:lvlText w:val="%1.%2.%3.%4.%5."/>
      <w:lvlJc w:val="left"/>
      <w:pPr>
        <w:ind w:left="4248" w:hanging="1080"/>
      </w:pPr>
      <w:rPr>
        <w:rFonts w:eastAsia="Calibri" w:hint="default"/>
      </w:rPr>
    </w:lvl>
    <w:lvl w:ilvl="5">
      <w:start w:val="1"/>
      <w:numFmt w:val="decimal"/>
      <w:lvlText w:val="%1.%2.%3.%4.%5.%6."/>
      <w:lvlJc w:val="left"/>
      <w:pPr>
        <w:ind w:left="5040" w:hanging="1080"/>
      </w:pPr>
      <w:rPr>
        <w:rFonts w:eastAsia="Calibri" w:hint="default"/>
      </w:rPr>
    </w:lvl>
    <w:lvl w:ilvl="6">
      <w:start w:val="1"/>
      <w:numFmt w:val="decimal"/>
      <w:lvlText w:val="%1.%2.%3.%4.%5.%6.%7."/>
      <w:lvlJc w:val="left"/>
      <w:pPr>
        <w:ind w:left="6192" w:hanging="1440"/>
      </w:pPr>
      <w:rPr>
        <w:rFonts w:eastAsia="Calibri" w:hint="default"/>
      </w:rPr>
    </w:lvl>
    <w:lvl w:ilvl="7">
      <w:start w:val="1"/>
      <w:numFmt w:val="decimal"/>
      <w:lvlText w:val="%1.%2.%3.%4.%5.%6.%7.%8."/>
      <w:lvlJc w:val="left"/>
      <w:pPr>
        <w:ind w:left="6984" w:hanging="1440"/>
      </w:pPr>
      <w:rPr>
        <w:rFonts w:eastAsia="Calibri" w:hint="default"/>
      </w:rPr>
    </w:lvl>
    <w:lvl w:ilvl="8">
      <w:start w:val="1"/>
      <w:numFmt w:val="decimal"/>
      <w:lvlText w:val="%1.%2.%3.%4.%5.%6.%7.%8.%9."/>
      <w:lvlJc w:val="left"/>
      <w:pPr>
        <w:ind w:left="8136" w:hanging="1800"/>
      </w:pPr>
      <w:rPr>
        <w:rFonts w:eastAsia="Calibri" w:hint="default"/>
      </w:rPr>
    </w:lvl>
  </w:abstractNum>
  <w:abstractNum w:abstractNumId="9" w15:restartNumberingAfterBreak="0">
    <w:nsid w:val="3C0726E9"/>
    <w:multiLevelType w:val="multilevel"/>
    <w:tmpl w:val="6212C162"/>
    <w:lvl w:ilvl="0">
      <w:start w:val="5"/>
      <w:numFmt w:val="decimal"/>
      <w:lvlText w:val="%1."/>
      <w:lvlJc w:val="left"/>
      <w:pPr>
        <w:ind w:left="360" w:hanging="360"/>
      </w:pPr>
      <w:rPr>
        <w:rFonts w:eastAsia="Calibri" w:hint="default"/>
      </w:rPr>
    </w:lvl>
    <w:lvl w:ilvl="1">
      <w:start w:val="1"/>
      <w:numFmt w:val="decimal"/>
      <w:lvlText w:val="%1.%2."/>
      <w:lvlJc w:val="left"/>
      <w:pPr>
        <w:ind w:left="1152" w:hanging="360"/>
      </w:pPr>
      <w:rPr>
        <w:rFonts w:eastAsia="Calibri" w:hint="default"/>
        <w:b/>
        <w:i/>
      </w:rPr>
    </w:lvl>
    <w:lvl w:ilvl="2">
      <w:start w:val="1"/>
      <w:numFmt w:val="decimal"/>
      <w:lvlText w:val="%1.%2.%3."/>
      <w:lvlJc w:val="left"/>
      <w:pPr>
        <w:ind w:left="2304" w:hanging="720"/>
      </w:pPr>
      <w:rPr>
        <w:rFonts w:eastAsia="Calibri" w:hint="default"/>
      </w:rPr>
    </w:lvl>
    <w:lvl w:ilvl="3">
      <w:start w:val="1"/>
      <w:numFmt w:val="decimal"/>
      <w:lvlText w:val="%1.%2.%3.%4."/>
      <w:lvlJc w:val="left"/>
      <w:pPr>
        <w:ind w:left="3096" w:hanging="720"/>
      </w:pPr>
      <w:rPr>
        <w:rFonts w:eastAsia="Calibri" w:hint="default"/>
      </w:rPr>
    </w:lvl>
    <w:lvl w:ilvl="4">
      <w:start w:val="1"/>
      <w:numFmt w:val="decimal"/>
      <w:lvlText w:val="%1.%2.%3.%4.%5."/>
      <w:lvlJc w:val="left"/>
      <w:pPr>
        <w:ind w:left="4248" w:hanging="1080"/>
      </w:pPr>
      <w:rPr>
        <w:rFonts w:eastAsia="Calibri" w:hint="default"/>
      </w:rPr>
    </w:lvl>
    <w:lvl w:ilvl="5">
      <w:start w:val="1"/>
      <w:numFmt w:val="decimal"/>
      <w:lvlText w:val="%1.%2.%3.%4.%5.%6."/>
      <w:lvlJc w:val="left"/>
      <w:pPr>
        <w:ind w:left="5040" w:hanging="1080"/>
      </w:pPr>
      <w:rPr>
        <w:rFonts w:eastAsia="Calibri" w:hint="default"/>
      </w:rPr>
    </w:lvl>
    <w:lvl w:ilvl="6">
      <w:start w:val="1"/>
      <w:numFmt w:val="decimal"/>
      <w:lvlText w:val="%1.%2.%3.%4.%5.%6.%7."/>
      <w:lvlJc w:val="left"/>
      <w:pPr>
        <w:ind w:left="6192" w:hanging="1440"/>
      </w:pPr>
      <w:rPr>
        <w:rFonts w:eastAsia="Calibri" w:hint="default"/>
      </w:rPr>
    </w:lvl>
    <w:lvl w:ilvl="7">
      <w:start w:val="1"/>
      <w:numFmt w:val="decimal"/>
      <w:lvlText w:val="%1.%2.%3.%4.%5.%6.%7.%8."/>
      <w:lvlJc w:val="left"/>
      <w:pPr>
        <w:ind w:left="6984" w:hanging="1440"/>
      </w:pPr>
      <w:rPr>
        <w:rFonts w:eastAsia="Calibri" w:hint="default"/>
      </w:rPr>
    </w:lvl>
    <w:lvl w:ilvl="8">
      <w:start w:val="1"/>
      <w:numFmt w:val="decimal"/>
      <w:lvlText w:val="%1.%2.%3.%4.%5.%6.%7.%8.%9."/>
      <w:lvlJc w:val="left"/>
      <w:pPr>
        <w:ind w:left="8136" w:hanging="1800"/>
      </w:pPr>
      <w:rPr>
        <w:rFonts w:eastAsia="Calibri" w:hint="default"/>
      </w:rPr>
    </w:lvl>
  </w:abstractNum>
  <w:abstractNum w:abstractNumId="10" w15:restartNumberingAfterBreak="0">
    <w:nsid w:val="4C9F439B"/>
    <w:multiLevelType w:val="multilevel"/>
    <w:tmpl w:val="3B6C2A36"/>
    <w:lvl w:ilvl="0">
      <w:start w:val="5"/>
      <w:numFmt w:val="upperRoman"/>
      <w:lvlText w:val="%1."/>
      <w:lvlJc w:val="left"/>
      <w:pPr>
        <w:ind w:left="1080" w:hanging="720"/>
      </w:pPr>
      <w:rPr>
        <w:rFonts w:hint="default"/>
      </w:rPr>
    </w:lvl>
    <w:lvl w:ilvl="1">
      <w:start w:val="1"/>
      <w:numFmt w:val="decimal"/>
      <w:isLgl/>
      <w:lvlText w:val="%1.%2."/>
      <w:lvlJc w:val="left"/>
      <w:pPr>
        <w:ind w:left="3763"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4D770370"/>
    <w:multiLevelType w:val="multilevel"/>
    <w:tmpl w:val="DBACF1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2D0A7E"/>
    <w:multiLevelType w:val="multilevel"/>
    <w:tmpl w:val="4CA85766"/>
    <w:lvl w:ilvl="0">
      <w:start w:val="3"/>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3" w15:restartNumberingAfterBreak="0">
    <w:nsid w:val="510F79BC"/>
    <w:multiLevelType w:val="hybridMultilevel"/>
    <w:tmpl w:val="0040C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2C3DB5"/>
    <w:multiLevelType w:val="hybridMultilevel"/>
    <w:tmpl w:val="5E2C2F98"/>
    <w:lvl w:ilvl="0" w:tplc="61A8DF72">
      <w:start w:val="1"/>
      <w:numFmt w:val="upperRoman"/>
      <w:lvlText w:val="%1."/>
      <w:lvlJc w:val="left"/>
      <w:pPr>
        <w:ind w:left="1080" w:hanging="720"/>
      </w:pPr>
      <w:rPr>
        <w:rFonts w:cs="Times New Roman" w:hint="default"/>
        <w:b/>
        <w:sz w:val="28"/>
        <w:szCs w:val="28"/>
      </w:rPr>
    </w:lvl>
    <w:lvl w:ilvl="1" w:tplc="3F0041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702DD"/>
    <w:multiLevelType w:val="multilevel"/>
    <w:tmpl w:val="10165A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D93715"/>
    <w:multiLevelType w:val="hybridMultilevel"/>
    <w:tmpl w:val="475295EA"/>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63DB2736"/>
    <w:multiLevelType w:val="multilevel"/>
    <w:tmpl w:val="2F787B6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i/>
        <w:sz w:val="24"/>
        <w:szCs w:val="24"/>
        <w:u w:val="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77F48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E75F58"/>
    <w:multiLevelType w:val="hybridMultilevel"/>
    <w:tmpl w:val="F96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34F6FE4"/>
    <w:multiLevelType w:val="hybridMultilevel"/>
    <w:tmpl w:val="F02ECA40"/>
    <w:lvl w:ilvl="0" w:tplc="775C820C">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C935B8E"/>
    <w:multiLevelType w:val="multilevel"/>
    <w:tmpl w:val="4CA85766"/>
    <w:lvl w:ilvl="0">
      <w:start w:val="3"/>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num w:numId="1">
    <w:abstractNumId w:val="1"/>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0"/>
  </w:num>
  <w:num w:numId="5">
    <w:abstractNumId w:val="18"/>
  </w:num>
  <w:num w:numId="6">
    <w:abstractNumId w:val="13"/>
  </w:num>
  <w:num w:numId="7">
    <w:abstractNumId w:val="5"/>
  </w:num>
  <w:num w:numId="8">
    <w:abstractNumId w:val="3"/>
  </w:num>
  <w:num w:numId="9">
    <w:abstractNumId w:val="7"/>
  </w:num>
  <w:num w:numId="10">
    <w:abstractNumId w:val="11"/>
  </w:num>
  <w:num w:numId="11">
    <w:abstractNumId w:val="9"/>
  </w:num>
  <w:num w:numId="12">
    <w:abstractNumId w:val="8"/>
  </w:num>
  <w:num w:numId="13">
    <w:abstractNumId w:val="14"/>
  </w:num>
  <w:num w:numId="14">
    <w:abstractNumId w:val="2"/>
  </w:num>
  <w:num w:numId="15">
    <w:abstractNumId w:val="21"/>
  </w:num>
  <w:num w:numId="16">
    <w:abstractNumId w:val="12"/>
  </w:num>
  <w:num w:numId="17">
    <w:abstractNumId w:val="15"/>
  </w:num>
  <w:num w:numId="18">
    <w:abstractNumId w:val="6"/>
  </w:num>
  <w:num w:numId="19">
    <w:abstractNumId w:val="20"/>
  </w:num>
  <w:num w:numId="20">
    <w:abstractNumId w:val="17"/>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5C"/>
    <w:rsid w:val="00001EDA"/>
    <w:rsid w:val="00002061"/>
    <w:rsid w:val="00005C1C"/>
    <w:rsid w:val="00006710"/>
    <w:rsid w:val="00006BE4"/>
    <w:rsid w:val="00014660"/>
    <w:rsid w:val="000156C1"/>
    <w:rsid w:val="00020442"/>
    <w:rsid w:val="00020BF1"/>
    <w:rsid w:val="00026AA4"/>
    <w:rsid w:val="00027BB4"/>
    <w:rsid w:val="000301E1"/>
    <w:rsid w:val="00031A56"/>
    <w:rsid w:val="00035288"/>
    <w:rsid w:val="000355A2"/>
    <w:rsid w:val="00036052"/>
    <w:rsid w:val="000363C0"/>
    <w:rsid w:val="000372EE"/>
    <w:rsid w:val="0004175D"/>
    <w:rsid w:val="000436CC"/>
    <w:rsid w:val="00045020"/>
    <w:rsid w:val="00045D72"/>
    <w:rsid w:val="00046C5F"/>
    <w:rsid w:val="00050014"/>
    <w:rsid w:val="00050C64"/>
    <w:rsid w:val="00052ACA"/>
    <w:rsid w:val="000549C5"/>
    <w:rsid w:val="00056677"/>
    <w:rsid w:val="00060D76"/>
    <w:rsid w:val="00060DE1"/>
    <w:rsid w:val="0006194C"/>
    <w:rsid w:val="00063036"/>
    <w:rsid w:val="0006338E"/>
    <w:rsid w:val="0006354E"/>
    <w:rsid w:val="00064C30"/>
    <w:rsid w:val="00066E2A"/>
    <w:rsid w:val="00077808"/>
    <w:rsid w:val="00080E12"/>
    <w:rsid w:val="00081026"/>
    <w:rsid w:val="000821DE"/>
    <w:rsid w:val="00082FF3"/>
    <w:rsid w:val="00094405"/>
    <w:rsid w:val="000956B9"/>
    <w:rsid w:val="000976BE"/>
    <w:rsid w:val="000A275A"/>
    <w:rsid w:val="000A5A75"/>
    <w:rsid w:val="000A7B7E"/>
    <w:rsid w:val="000A7C16"/>
    <w:rsid w:val="000B05B4"/>
    <w:rsid w:val="000B4661"/>
    <w:rsid w:val="000C0037"/>
    <w:rsid w:val="000C174E"/>
    <w:rsid w:val="000C1795"/>
    <w:rsid w:val="000C4D69"/>
    <w:rsid w:val="000C742C"/>
    <w:rsid w:val="000D0529"/>
    <w:rsid w:val="000D107A"/>
    <w:rsid w:val="000D5F3A"/>
    <w:rsid w:val="000D7482"/>
    <w:rsid w:val="000E1F27"/>
    <w:rsid w:val="000E4C55"/>
    <w:rsid w:val="000F0E12"/>
    <w:rsid w:val="000F1A6E"/>
    <w:rsid w:val="000F1C05"/>
    <w:rsid w:val="000F32AB"/>
    <w:rsid w:val="000F4B37"/>
    <w:rsid w:val="000F4B52"/>
    <w:rsid w:val="000F5A43"/>
    <w:rsid w:val="00103672"/>
    <w:rsid w:val="00105B39"/>
    <w:rsid w:val="00106533"/>
    <w:rsid w:val="00107F86"/>
    <w:rsid w:val="00111441"/>
    <w:rsid w:val="0011334F"/>
    <w:rsid w:val="00114989"/>
    <w:rsid w:val="00115B1D"/>
    <w:rsid w:val="00117138"/>
    <w:rsid w:val="001171D7"/>
    <w:rsid w:val="001206E4"/>
    <w:rsid w:val="00120A3B"/>
    <w:rsid w:val="001217A0"/>
    <w:rsid w:val="00122032"/>
    <w:rsid w:val="00123E1B"/>
    <w:rsid w:val="001253B1"/>
    <w:rsid w:val="00127C63"/>
    <w:rsid w:val="00127DF8"/>
    <w:rsid w:val="001300D6"/>
    <w:rsid w:val="00132106"/>
    <w:rsid w:val="00132374"/>
    <w:rsid w:val="00132A49"/>
    <w:rsid w:val="00132A88"/>
    <w:rsid w:val="0013613C"/>
    <w:rsid w:val="00136A48"/>
    <w:rsid w:val="001415B1"/>
    <w:rsid w:val="00141A06"/>
    <w:rsid w:val="001437FA"/>
    <w:rsid w:val="00144EF3"/>
    <w:rsid w:val="00147D40"/>
    <w:rsid w:val="001558FB"/>
    <w:rsid w:val="00155C7A"/>
    <w:rsid w:val="00156A15"/>
    <w:rsid w:val="001578BF"/>
    <w:rsid w:val="00160C1B"/>
    <w:rsid w:val="0016122F"/>
    <w:rsid w:val="0016262C"/>
    <w:rsid w:val="00163258"/>
    <w:rsid w:val="00163E31"/>
    <w:rsid w:val="00165A13"/>
    <w:rsid w:val="00166005"/>
    <w:rsid w:val="0016778D"/>
    <w:rsid w:val="001702F4"/>
    <w:rsid w:val="00170804"/>
    <w:rsid w:val="0017150A"/>
    <w:rsid w:val="00173843"/>
    <w:rsid w:val="00180008"/>
    <w:rsid w:val="00180CB1"/>
    <w:rsid w:val="001819FF"/>
    <w:rsid w:val="001839D8"/>
    <w:rsid w:val="00191441"/>
    <w:rsid w:val="00191A29"/>
    <w:rsid w:val="001922F4"/>
    <w:rsid w:val="001A13D8"/>
    <w:rsid w:val="001A21D2"/>
    <w:rsid w:val="001A334C"/>
    <w:rsid w:val="001B221A"/>
    <w:rsid w:val="001B2CA7"/>
    <w:rsid w:val="001B6EB9"/>
    <w:rsid w:val="001C0E5C"/>
    <w:rsid w:val="001C1CC4"/>
    <w:rsid w:val="001C2006"/>
    <w:rsid w:val="001C38D5"/>
    <w:rsid w:val="001C6E27"/>
    <w:rsid w:val="001C6E3A"/>
    <w:rsid w:val="001C71F5"/>
    <w:rsid w:val="001D270C"/>
    <w:rsid w:val="001D5120"/>
    <w:rsid w:val="001E3229"/>
    <w:rsid w:val="001E3F18"/>
    <w:rsid w:val="001E4D9D"/>
    <w:rsid w:val="001F1610"/>
    <w:rsid w:val="001F30E0"/>
    <w:rsid w:val="001F3A11"/>
    <w:rsid w:val="001F3E60"/>
    <w:rsid w:val="001F4338"/>
    <w:rsid w:val="001F4EA1"/>
    <w:rsid w:val="002002C8"/>
    <w:rsid w:val="0020442E"/>
    <w:rsid w:val="00205D45"/>
    <w:rsid w:val="00207503"/>
    <w:rsid w:val="00207B53"/>
    <w:rsid w:val="00211C72"/>
    <w:rsid w:val="00213D2C"/>
    <w:rsid w:val="00213D74"/>
    <w:rsid w:val="002238D8"/>
    <w:rsid w:val="00224162"/>
    <w:rsid w:val="00224639"/>
    <w:rsid w:val="0022530E"/>
    <w:rsid w:val="002258A7"/>
    <w:rsid w:val="00226051"/>
    <w:rsid w:val="0022676A"/>
    <w:rsid w:val="00226A75"/>
    <w:rsid w:val="00231303"/>
    <w:rsid w:val="00232EF7"/>
    <w:rsid w:val="00234140"/>
    <w:rsid w:val="00244062"/>
    <w:rsid w:val="00246B55"/>
    <w:rsid w:val="0024789B"/>
    <w:rsid w:val="00250201"/>
    <w:rsid w:val="0025375F"/>
    <w:rsid w:val="00254A3E"/>
    <w:rsid w:val="00255E68"/>
    <w:rsid w:val="002675AC"/>
    <w:rsid w:val="002676C3"/>
    <w:rsid w:val="002701CA"/>
    <w:rsid w:val="00272CB2"/>
    <w:rsid w:val="00273721"/>
    <w:rsid w:val="00274915"/>
    <w:rsid w:val="00280D63"/>
    <w:rsid w:val="0028186D"/>
    <w:rsid w:val="0028257D"/>
    <w:rsid w:val="0028262B"/>
    <w:rsid w:val="00282B0E"/>
    <w:rsid w:val="00284145"/>
    <w:rsid w:val="00284F8C"/>
    <w:rsid w:val="00293E50"/>
    <w:rsid w:val="002954B2"/>
    <w:rsid w:val="002955D5"/>
    <w:rsid w:val="00295608"/>
    <w:rsid w:val="002A056B"/>
    <w:rsid w:val="002A06C3"/>
    <w:rsid w:val="002A2F9E"/>
    <w:rsid w:val="002A4244"/>
    <w:rsid w:val="002A4C79"/>
    <w:rsid w:val="002A5B2F"/>
    <w:rsid w:val="002B02CC"/>
    <w:rsid w:val="002B0E1B"/>
    <w:rsid w:val="002B2220"/>
    <w:rsid w:val="002B276A"/>
    <w:rsid w:val="002B423B"/>
    <w:rsid w:val="002B47A9"/>
    <w:rsid w:val="002C38F5"/>
    <w:rsid w:val="002C4B3C"/>
    <w:rsid w:val="002C5BFF"/>
    <w:rsid w:val="002D03ED"/>
    <w:rsid w:val="002D2216"/>
    <w:rsid w:val="002D5B82"/>
    <w:rsid w:val="002E07B6"/>
    <w:rsid w:val="002E220E"/>
    <w:rsid w:val="002E4D58"/>
    <w:rsid w:val="002E55F5"/>
    <w:rsid w:val="002E6FA3"/>
    <w:rsid w:val="002F0071"/>
    <w:rsid w:val="002F02E4"/>
    <w:rsid w:val="002F03B1"/>
    <w:rsid w:val="002F145B"/>
    <w:rsid w:val="002F4640"/>
    <w:rsid w:val="002F4FDC"/>
    <w:rsid w:val="002F5EF2"/>
    <w:rsid w:val="0030003A"/>
    <w:rsid w:val="0030049B"/>
    <w:rsid w:val="00301564"/>
    <w:rsid w:val="00302DD6"/>
    <w:rsid w:val="00303083"/>
    <w:rsid w:val="00307F71"/>
    <w:rsid w:val="00310D83"/>
    <w:rsid w:val="003201D0"/>
    <w:rsid w:val="00325240"/>
    <w:rsid w:val="0033085F"/>
    <w:rsid w:val="00331DA6"/>
    <w:rsid w:val="00332042"/>
    <w:rsid w:val="00332F9F"/>
    <w:rsid w:val="0033485C"/>
    <w:rsid w:val="00334D17"/>
    <w:rsid w:val="003351D9"/>
    <w:rsid w:val="003356FA"/>
    <w:rsid w:val="00337845"/>
    <w:rsid w:val="00340BD9"/>
    <w:rsid w:val="003413CF"/>
    <w:rsid w:val="00343DB4"/>
    <w:rsid w:val="00344FB2"/>
    <w:rsid w:val="00345238"/>
    <w:rsid w:val="00352785"/>
    <w:rsid w:val="00353DC2"/>
    <w:rsid w:val="00354817"/>
    <w:rsid w:val="00354EB4"/>
    <w:rsid w:val="0035501C"/>
    <w:rsid w:val="00355263"/>
    <w:rsid w:val="0035644A"/>
    <w:rsid w:val="00356587"/>
    <w:rsid w:val="00356605"/>
    <w:rsid w:val="003572F5"/>
    <w:rsid w:val="00360E3F"/>
    <w:rsid w:val="003617AA"/>
    <w:rsid w:val="00362FB7"/>
    <w:rsid w:val="00364630"/>
    <w:rsid w:val="00367E09"/>
    <w:rsid w:val="00370328"/>
    <w:rsid w:val="003722F2"/>
    <w:rsid w:val="003735DD"/>
    <w:rsid w:val="00377F81"/>
    <w:rsid w:val="003805D3"/>
    <w:rsid w:val="003810A6"/>
    <w:rsid w:val="00382AAD"/>
    <w:rsid w:val="00383EAE"/>
    <w:rsid w:val="003904C4"/>
    <w:rsid w:val="00392D1F"/>
    <w:rsid w:val="00394473"/>
    <w:rsid w:val="00395D83"/>
    <w:rsid w:val="00396380"/>
    <w:rsid w:val="003973D5"/>
    <w:rsid w:val="003A1EDE"/>
    <w:rsid w:val="003A3278"/>
    <w:rsid w:val="003A41BE"/>
    <w:rsid w:val="003A5991"/>
    <w:rsid w:val="003A6D0B"/>
    <w:rsid w:val="003A6D51"/>
    <w:rsid w:val="003B0F98"/>
    <w:rsid w:val="003B1AEC"/>
    <w:rsid w:val="003B3196"/>
    <w:rsid w:val="003B64FE"/>
    <w:rsid w:val="003B6AD8"/>
    <w:rsid w:val="003B7A4B"/>
    <w:rsid w:val="003D0ACD"/>
    <w:rsid w:val="003D1D9F"/>
    <w:rsid w:val="003E59BA"/>
    <w:rsid w:val="003E68F4"/>
    <w:rsid w:val="003E7B97"/>
    <w:rsid w:val="003F2671"/>
    <w:rsid w:val="003F3CB6"/>
    <w:rsid w:val="003F4098"/>
    <w:rsid w:val="003F6C42"/>
    <w:rsid w:val="00402362"/>
    <w:rsid w:val="00403AF9"/>
    <w:rsid w:val="00405A8B"/>
    <w:rsid w:val="00406829"/>
    <w:rsid w:val="00407CF4"/>
    <w:rsid w:val="00413B36"/>
    <w:rsid w:val="0041608A"/>
    <w:rsid w:val="00416CE2"/>
    <w:rsid w:val="004179C4"/>
    <w:rsid w:val="004209F4"/>
    <w:rsid w:val="004269DA"/>
    <w:rsid w:val="00426CDC"/>
    <w:rsid w:val="004277DE"/>
    <w:rsid w:val="00430250"/>
    <w:rsid w:val="0043071A"/>
    <w:rsid w:val="004318CA"/>
    <w:rsid w:val="0043191F"/>
    <w:rsid w:val="004319DB"/>
    <w:rsid w:val="00431EB3"/>
    <w:rsid w:val="00432BEC"/>
    <w:rsid w:val="00433E6E"/>
    <w:rsid w:val="00437210"/>
    <w:rsid w:val="0043778E"/>
    <w:rsid w:val="00437D78"/>
    <w:rsid w:val="00442CED"/>
    <w:rsid w:val="00443244"/>
    <w:rsid w:val="0044373C"/>
    <w:rsid w:val="00443FBA"/>
    <w:rsid w:val="004479E5"/>
    <w:rsid w:val="00453484"/>
    <w:rsid w:val="00453751"/>
    <w:rsid w:val="00453E66"/>
    <w:rsid w:val="0046415A"/>
    <w:rsid w:val="00464915"/>
    <w:rsid w:val="00465031"/>
    <w:rsid w:val="004656D4"/>
    <w:rsid w:val="004718BB"/>
    <w:rsid w:val="004727C0"/>
    <w:rsid w:val="00473F41"/>
    <w:rsid w:val="00474BDD"/>
    <w:rsid w:val="00475287"/>
    <w:rsid w:val="004752CF"/>
    <w:rsid w:val="0047610F"/>
    <w:rsid w:val="00477737"/>
    <w:rsid w:val="00477ACF"/>
    <w:rsid w:val="00477DF9"/>
    <w:rsid w:val="00481BDB"/>
    <w:rsid w:val="00486152"/>
    <w:rsid w:val="00491E52"/>
    <w:rsid w:val="004934CF"/>
    <w:rsid w:val="00496FE1"/>
    <w:rsid w:val="00497A5A"/>
    <w:rsid w:val="004A1350"/>
    <w:rsid w:val="004A14CA"/>
    <w:rsid w:val="004A3075"/>
    <w:rsid w:val="004A4019"/>
    <w:rsid w:val="004A4A84"/>
    <w:rsid w:val="004B3AB2"/>
    <w:rsid w:val="004B5A01"/>
    <w:rsid w:val="004C33A4"/>
    <w:rsid w:val="004C3C93"/>
    <w:rsid w:val="004D0156"/>
    <w:rsid w:val="004D19F3"/>
    <w:rsid w:val="004D27FD"/>
    <w:rsid w:val="004D2FB5"/>
    <w:rsid w:val="004D333D"/>
    <w:rsid w:val="004D4E11"/>
    <w:rsid w:val="004D60F5"/>
    <w:rsid w:val="004D67A1"/>
    <w:rsid w:val="004D76D8"/>
    <w:rsid w:val="004E0159"/>
    <w:rsid w:val="004E0346"/>
    <w:rsid w:val="004E0401"/>
    <w:rsid w:val="004E2A61"/>
    <w:rsid w:val="004E413B"/>
    <w:rsid w:val="004E7B55"/>
    <w:rsid w:val="004E7B87"/>
    <w:rsid w:val="004E7F4D"/>
    <w:rsid w:val="004F3C51"/>
    <w:rsid w:val="004F704E"/>
    <w:rsid w:val="004F7426"/>
    <w:rsid w:val="004F7A1A"/>
    <w:rsid w:val="00503481"/>
    <w:rsid w:val="00506221"/>
    <w:rsid w:val="00511567"/>
    <w:rsid w:val="00511743"/>
    <w:rsid w:val="00514CA0"/>
    <w:rsid w:val="00522F4B"/>
    <w:rsid w:val="00523366"/>
    <w:rsid w:val="0052435A"/>
    <w:rsid w:val="0052679E"/>
    <w:rsid w:val="00527611"/>
    <w:rsid w:val="005305CF"/>
    <w:rsid w:val="005323D9"/>
    <w:rsid w:val="0053465F"/>
    <w:rsid w:val="005377C3"/>
    <w:rsid w:val="005379E5"/>
    <w:rsid w:val="00542185"/>
    <w:rsid w:val="00542B2E"/>
    <w:rsid w:val="00543106"/>
    <w:rsid w:val="00550211"/>
    <w:rsid w:val="0055213C"/>
    <w:rsid w:val="00553664"/>
    <w:rsid w:val="005538EF"/>
    <w:rsid w:val="00553CE9"/>
    <w:rsid w:val="00555E0B"/>
    <w:rsid w:val="005562DA"/>
    <w:rsid w:val="00556AD7"/>
    <w:rsid w:val="005605BF"/>
    <w:rsid w:val="00561560"/>
    <w:rsid w:val="00562EC5"/>
    <w:rsid w:val="00563072"/>
    <w:rsid w:val="00565EE3"/>
    <w:rsid w:val="00571A0B"/>
    <w:rsid w:val="005733AF"/>
    <w:rsid w:val="00573C34"/>
    <w:rsid w:val="005741A8"/>
    <w:rsid w:val="00574C15"/>
    <w:rsid w:val="005751AD"/>
    <w:rsid w:val="00575C66"/>
    <w:rsid w:val="005814CB"/>
    <w:rsid w:val="00581F6B"/>
    <w:rsid w:val="00584064"/>
    <w:rsid w:val="005918E1"/>
    <w:rsid w:val="00594311"/>
    <w:rsid w:val="005A1E8D"/>
    <w:rsid w:val="005A203A"/>
    <w:rsid w:val="005A2512"/>
    <w:rsid w:val="005A4E4C"/>
    <w:rsid w:val="005B07DE"/>
    <w:rsid w:val="005B1413"/>
    <w:rsid w:val="005B5288"/>
    <w:rsid w:val="005B5C98"/>
    <w:rsid w:val="005C059C"/>
    <w:rsid w:val="005C174B"/>
    <w:rsid w:val="005C1804"/>
    <w:rsid w:val="005C1BA2"/>
    <w:rsid w:val="005D09DF"/>
    <w:rsid w:val="005D4CE9"/>
    <w:rsid w:val="005D717C"/>
    <w:rsid w:val="005E0C3B"/>
    <w:rsid w:val="005E2C0F"/>
    <w:rsid w:val="005E5283"/>
    <w:rsid w:val="005E67EF"/>
    <w:rsid w:val="005F05D8"/>
    <w:rsid w:val="005F104D"/>
    <w:rsid w:val="005F4C05"/>
    <w:rsid w:val="005F4D39"/>
    <w:rsid w:val="005F5792"/>
    <w:rsid w:val="005F639A"/>
    <w:rsid w:val="0060078E"/>
    <w:rsid w:val="00603651"/>
    <w:rsid w:val="0060390B"/>
    <w:rsid w:val="00606343"/>
    <w:rsid w:val="00606D5E"/>
    <w:rsid w:val="00613AA7"/>
    <w:rsid w:val="0061587D"/>
    <w:rsid w:val="00616292"/>
    <w:rsid w:val="00620EC1"/>
    <w:rsid w:val="00621B72"/>
    <w:rsid w:val="00624164"/>
    <w:rsid w:val="00625DC8"/>
    <w:rsid w:val="0063098A"/>
    <w:rsid w:val="00634E17"/>
    <w:rsid w:val="00636098"/>
    <w:rsid w:val="0063622F"/>
    <w:rsid w:val="00637B7A"/>
    <w:rsid w:val="00637CED"/>
    <w:rsid w:val="006511AA"/>
    <w:rsid w:val="00651A9D"/>
    <w:rsid w:val="00653B38"/>
    <w:rsid w:val="00656856"/>
    <w:rsid w:val="00656A07"/>
    <w:rsid w:val="00656D3A"/>
    <w:rsid w:val="00657C4E"/>
    <w:rsid w:val="00664D00"/>
    <w:rsid w:val="00667798"/>
    <w:rsid w:val="0067054A"/>
    <w:rsid w:val="00671BBA"/>
    <w:rsid w:val="00672305"/>
    <w:rsid w:val="00673198"/>
    <w:rsid w:val="0067323F"/>
    <w:rsid w:val="00677620"/>
    <w:rsid w:val="00682715"/>
    <w:rsid w:val="00682839"/>
    <w:rsid w:val="0068611C"/>
    <w:rsid w:val="006913DF"/>
    <w:rsid w:val="006916F9"/>
    <w:rsid w:val="00692CB6"/>
    <w:rsid w:val="00693E7D"/>
    <w:rsid w:val="00694127"/>
    <w:rsid w:val="00694C2E"/>
    <w:rsid w:val="006A16DC"/>
    <w:rsid w:val="006A234A"/>
    <w:rsid w:val="006A2C35"/>
    <w:rsid w:val="006A4320"/>
    <w:rsid w:val="006B2ACF"/>
    <w:rsid w:val="006B36E2"/>
    <w:rsid w:val="006B3FDD"/>
    <w:rsid w:val="006B79A4"/>
    <w:rsid w:val="006D0FE9"/>
    <w:rsid w:val="006D27CD"/>
    <w:rsid w:val="006D422C"/>
    <w:rsid w:val="006D5B96"/>
    <w:rsid w:val="006D61D9"/>
    <w:rsid w:val="006D7303"/>
    <w:rsid w:val="006D7FE2"/>
    <w:rsid w:val="006D7FFC"/>
    <w:rsid w:val="006E2616"/>
    <w:rsid w:val="006E3E2E"/>
    <w:rsid w:val="006E3E8B"/>
    <w:rsid w:val="006E4025"/>
    <w:rsid w:val="006E5C82"/>
    <w:rsid w:val="006F10B2"/>
    <w:rsid w:val="006F3081"/>
    <w:rsid w:val="006F52FE"/>
    <w:rsid w:val="00702A60"/>
    <w:rsid w:val="00703141"/>
    <w:rsid w:val="0070381C"/>
    <w:rsid w:val="00703C4F"/>
    <w:rsid w:val="00704317"/>
    <w:rsid w:val="00705445"/>
    <w:rsid w:val="007077A0"/>
    <w:rsid w:val="007112C7"/>
    <w:rsid w:val="00711789"/>
    <w:rsid w:val="00716086"/>
    <w:rsid w:val="00717A21"/>
    <w:rsid w:val="00723FC0"/>
    <w:rsid w:val="0072576A"/>
    <w:rsid w:val="0072653B"/>
    <w:rsid w:val="00733AB6"/>
    <w:rsid w:val="007372B6"/>
    <w:rsid w:val="00737D39"/>
    <w:rsid w:val="00741653"/>
    <w:rsid w:val="00741E61"/>
    <w:rsid w:val="0074609C"/>
    <w:rsid w:val="007467FB"/>
    <w:rsid w:val="00746FC8"/>
    <w:rsid w:val="0074725B"/>
    <w:rsid w:val="00747E16"/>
    <w:rsid w:val="00747F3E"/>
    <w:rsid w:val="00752F16"/>
    <w:rsid w:val="007556E6"/>
    <w:rsid w:val="00756A2F"/>
    <w:rsid w:val="007601C6"/>
    <w:rsid w:val="0076081D"/>
    <w:rsid w:val="0076081F"/>
    <w:rsid w:val="00762FBA"/>
    <w:rsid w:val="00765223"/>
    <w:rsid w:val="007677B2"/>
    <w:rsid w:val="00767DF8"/>
    <w:rsid w:val="00770F61"/>
    <w:rsid w:val="00771B7F"/>
    <w:rsid w:val="007739C0"/>
    <w:rsid w:val="00773ABA"/>
    <w:rsid w:val="007773A3"/>
    <w:rsid w:val="00777E35"/>
    <w:rsid w:val="00781DCF"/>
    <w:rsid w:val="007829E2"/>
    <w:rsid w:val="00784E13"/>
    <w:rsid w:val="00787405"/>
    <w:rsid w:val="00790C72"/>
    <w:rsid w:val="0079309B"/>
    <w:rsid w:val="00793596"/>
    <w:rsid w:val="00795130"/>
    <w:rsid w:val="00795832"/>
    <w:rsid w:val="00796CD2"/>
    <w:rsid w:val="00797780"/>
    <w:rsid w:val="007A03AE"/>
    <w:rsid w:val="007A24D6"/>
    <w:rsid w:val="007A32BA"/>
    <w:rsid w:val="007A40AD"/>
    <w:rsid w:val="007A58F5"/>
    <w:rsid w:val="007A6D9C"/>
    <w:rsid w:val="007B3EE7"/>
    <w:rsid w:val="007B521F"/>
    <w:rsid w:val="007B5CAD"/>
    <w:rsid w:val="007B7BFF"/>
    <w:rsid w:val="007C64EF"/>
    <w:rsid w:val="007C7B62"/>
    <w:rsid w:val="007D1ABA"/>
    <w:rsid w:val="007D46BE"/>
    <w:rsid w:val="007D4C76"/>
    <w:rsid w:val="007D5933"/>
    <w:rsid w:val="007D68F2"/>
    <w:rsid w:val="007D71EF"/>
    <w:rsid w:val="007D7363"/>
    <w:rsid w:val="007D77FE"/>
    <w:rsid w:val="007D7FF1"/>
    <w:rsid w:val="007E21A5"/>
    <w:rsid w:val="007E4FD1"/>
    <w:rsid w:val="007E59EA"/>
    <w:rsid w:val="007E5D11"/>
    <w:rsid w:val="007E5D94"/>
    <w:rsid w:val="007E6091"/>
    <w:rsid w:val="007E637E"/>
    <w:rsid w:val="007F030C"/>
    <w:rsid w:val="007F04E5"/>
    <w:rsid w:val="007F0E20"/>
    <w:rsid w:val="007F405D"/>
    <w:rsid w:val="007F5444"/>
    <w:rsid w:val="007F6E98"/>
    <w:rsid w:val="00803411"/>
    <w:rsid w:val="00803AEA"/>
    <w:rsid w:val="00804319"/>
    <w:rsid w:val="00805384"/>
    <w:rsid w:val="00805B14"/>
    <w:rsid w:val="00806442"/>
    <w:rsid w:val="00810E42"/>
    <w:rsid w:val="00811E05"/>
    <w:rsid w:val="00813415"/>
    <w:rsid w:val="0081415B"/>
    <w:rsid w:val="0082111C"/>
    <w:rsid w:val="00821836"/>
    <w:rsid w:val="00821A18"/>
    <w:rsid w:val="008231F9"/>
    <w:rsid w:val="00825A26"/>
    <w:rsid w:val="00826AC0"/>
    <w:rsid w:val="008276C9"/>
    <w:rsid w:val="00827E12"/>
    <w:rsid w:val="00830F7B"/>
    <w:rsid w:val="0083190B"/>
    <w:rsid w:val="00833191"/>
    <w:rsid w:val="00835A83"/>
    <w:rsid w:val="008410CC"/>
    <w:rsid w:val="00842F05"/>
    <w:rsid w:val="0084438C"/>
    <w:rsid w:val="00845126"/>
    <w:rsid w:val="00845127"/>
    <w:rsid w:val="0084600F"/>
    <w:rsid w:val="008469E1"/>
    <w:rsid w:val="00846F0D"/>
    <w:rsid w:val="00855830"/>
    <w:rsid w:val="00861DB2"/>
    <w:rsid w:val="008634BB"/>
    <w:rsid w:val="00863774"/>
    <w:rsid w:val="0086480D"/>
    <w:rsid w:val="00867C1A"/>
    <w:rsid w:val="008720DB"/>
    <w:rsid w:val="008722DC"/>
    <w:rsid w:val="00872D43"/>
    <w:rsid w:val="00873C6D"/>
    <w:rsid w:val="008764F1"/>
    <w:rsid w:val="00876CB6"/>
    <w:rsid w:val="008835B2"/>
    <w:rsid w:val="00883DB7"/>
    <w:rsid w:val="00884311"/>
    <w:rsid w:val="008872A0"/>
    <w:rsid w:val="008917D2"/>
    <w:rsid w:val="008938C8"/>
    <w:rsid w:val="00894214"/>
    <w:rsid w:val="00894D6C"/>
    <w:rsid w:val="008952E0"/>
    <w:rsid w:val="008967AC"/>
    <w:rsid w:val="008968B4"/>
    <w:rsid w:val="00897AE5"/>
    <w:rsid w:val="008A119D"/>
    <w:rsid w:val="008A213F"/>
    <w:rsid w:val="008A236A"/>
    <w:rsid w:val="008A3EFB"/>
    <w:rsid w:val="008A4055"/>
    <w:rsid w:val="008A4342"/>
    <w:rsid w:val="008A4AB6"/>
    <w:rsid w:val="008A5B0C"/>
    <w:rsid w:val="008A696B"/>
    <w:rsid w:val="008B0A53"/>
    <w:rsid w:val="008B5C4E"/>
    <w:rsid w:val="008C0D9C"/>
    <w:rsid w:val="008C5E1B"/>
    <w:rsid w:val="008C6153"/>
    <w:rsid w:val="008C70D8"/>
    <w:rsid w:val="008D1430"/>
    <w:rsid w:val="008D20EF"/>
    <w:rsid w:val="008D232F"/>
    <w:rsid w:val="008D3135"/>
    <w:rsid w:val="008D41C9"/>
    <w:rsid w:val="008D5E11"/>
    <w:rsid w:val="008D7A03"/>
    <w:rsid w:val="008E3140"/>
    <w:rsid w:val="008E4933"/>
    <w:rsid w:val="008E4C43"/>
    <w:rsid w:val="008F52DC"/>
    <w:rsid w:val="008F6B4A"/>
    <w:rsid w:val="008F74A5"/>
    <w:rsid w:val="009031B5"/>
    <w:rsid w:val="00903EF1"/>
    <w:rsid w:val="009052BA"/>
    <w:rsid w:val="00905337"/>
    <w:rsid w:val="009072FE"/>
    <w:rsid w:val="009100B7"/>
    <w:rsid w:val="00910988"/>
    <w:rsid w:val="009218D5"/>
    <w:rsid w:val="0092295B"/>
    <w:rsid w:val="00925527"/>
    <w:rsid w:val="0093186A"/>
    <w:rsid w:val="009327C0"/>
    <w:rsid w:val="009376C8"/>
    <w:rsid w:val="0094139B"/>
    <w:rsid w:val="0094161F"/>
    <w:rsid w:val="0094166F"/>
    <w:rsid w:val="00942EBA"/>
    <w:rsid w:val="00946058"/>
    <w:rsid w:val="009460A9"/>
    <w:rsid w:val="009463AB"/>
    <w:rsid w:val="00946C75"/>
    <w:rsid w:val="0095152C"/>
    <w:rsid w:val="00954449"/>
    <w:rsid w:val="00956923"/>
    <w:rsid w:val="00956953"/>
    <w:rsid w:val="0096116F"/>
    <w:rsid w:val="009642BE"/>
    <w:rsid w:val="009649AD"/>
    <w:rsid w:val="00964F2E"/>
    <w:rsid w:val="009657F8"/>
    <w:rsid w:val="00965BFD"/>
    <w:rsid w:val="009664CE"/>
    <w:rsid w:val="00967D59"/>
    <w:rsid w:val="009701EE"/>
    <w:rsid w:val="00971063"/>
    <w:rsid w:val="00971BF6"/>
    <w:rsid w:val="00974AE4"/>
    <w:rsid w:val="00982B69"/>
    <w:rsid w:val="00992174"/>
    <w:rsid w:val="00992538"/>
    <w:rsid w:val="00992A75"/>
    <w:rsid w:val="009939DD"/>
    <w:rsid w:val="00994374"/>
    <w:rsid w:val="00996B43"/>
    <w:rsid w:val="00997A6D"/>
    <w:rsid w:val="009A0406"/>
    <w:rsid w:val="009A177B"/>
    <w:rsid w:val="009B2055"/>
    <w:rsid w:val="009B3CDE"/>
    <w:rsid w:val="009B4FAC"/>
    <w:rsid w:val="009B5B0F"/>
    <w:rsid w:val="009B6100"/>
    <w:rsid w:val="009C18CE"/>
    <w:rsid w:val="009C30D1"/>
    <w:rsid w:val="009C517A"/>
    <w:rsid w:val="009C7198"/>
    <w:rsid w:val="009D1039"/>
    <w:rsid w:val="009D386C"/>
    <w:rsid w:val="009D3E02"/>
    <w:rsid w:val="009D6A22"/>
    <w:rsid w:val="009D73E0"/>
    <w:rsid w:val="009D75F4"/>
    <w:rsid w:val="009E12A1"/>
    <w:rsid w:val="009E2F92"/>
    <w:rsid w:val="009E3A1B"/>
    <w:rsid w:val="009E5BAB"/>
    <w:rsid w:val="009E6E89"/>
    <w:rsid w:val="009E7006"/>
    <w:rsid w:val="009E74C0"/>
    <w:rsid w:val="009F03BF"/>
    <w:rsid w:val="009F3F21"/>
    <w:rsid w:val="00A033B7"/>
    <w:rsid w:val="00A06BEC"/>
    <w:rsid w:val="00A11908"/>
    <w:rsid w:val="00A14B28"/>
    <w:rsid w:val="00A170D2"/>
    <w:rsid w:val="00A212B9"/>
    <w:rsid w:val="00A21461"/>
    <w:rsid w:val="00A21FAB"/>
    <w:rsid w:val="00A22EBA"/>
    <w:rsid w:val="00A23155"/>
    <w:rsid w:val="00A248A2"/>
    <w:rsid w:val="00A26425"/>
    <w:rsid w:val="00A27FE6"/>
    <w:rsid w:val="00A32191"/>
    <w:rsid w:val="00A32868"/>
    <w:rsid w:val="00A32A60"/>
    <w:rsid w:val="00A32F59"/>
    <w:rsid w:val="00A33599"/>
    <w:rsid w:val="00A35B28"/>
    <w:rsid w:val="00A37141"/>
    <w:rsid w:val="00A378A6"/>
    <w:rsid w:val="00A4282F"/>
    <w:rsid w:val="00A4369E"/>
    <w:rsid w:val="00A43B9F"/>
    <w:rsid w:val="00A44AAE"/>
    <w:rsid w:val="00A465BE"/>
    <w:rsid w:val="00A46872"/>
    <w:rsid w:val="00A50168"/>
    <w:rsid w:val="00A52B03"/>
    <w:rsid w:val="00A52B4C"/>
    <w:rsid w:val="00A52C73"/>
    <w:rsid w:val="00A56806"/>
    <w:rsid w:val="00A568D0"/>
    <w:rsid w:val="00A5754C"/>
    <w:rsid w:val="00A65664"/>
    <w:rsid w:val="00A66E93"/>
    <w:rsid w:val="00A71796"/>
    <w:rsid w:val="00A72A22"/>
    <w:rsid w:val="00A7552A"/>
    <w:rsid w:val="00A767CD"/>
    <w:rsid w:val="00A768A0"/>
    <w:rsid w:val="00A76B1D"/>
    <w:rsid w:val="00A802B9"/>
    <w:rsid w:val="00A80F52"/>
    <w:rsid w:val="00A81454"/>
    <w:rsid w:val="00A8310C"/>
    <w:rsid w:val="00A84732"/>
    <w:rsid w:val="00A858C8"/>
    <w:rsid w:val="00A8603D"/>
    <w:rsid w:val="00A90AB2"/>
    <w:rsid w:val="00A9334F"/>
    <w:rsid w:val="00A94108"/>
    <w:rsid w:val="00A94B19"/>
    <w:rsid w:val="00A95464"/>
    <w:rsid w:val="00A96E2E"/>
    <w:rsid w:val="00AA0BFF"/>
    <w:rsid w:val="00AA1651"/>
    <w:rsid w:val="00AA21A0"/>
    <w:rsid w:val="00AA2318"/>
    <w:rsid w:val="00AA4ED3"/>
    <w:rsid w:val="00AA5BB0"/>
    <w:rsid w:val="00AB153E"/>
    <w:rsid w:val="00AB1B0F"/>
    <w:rsid w:val="00AB3567"/>
    <w:rsid w:val="00AB57A7"/>
    <w:rsid w:val="00AC0F8B"/>
    <w:rsid w:val="00AC30D4"/>
    <w:rsid w:val="00AC44AF"/>
    <w:rsid w:val="00AC577A"/>
    <w:rsid w:val="00AC68FA"/>
    <w:rsid w:val="00AC76DE"/>
    <w:rsid w:val="00AC7768"/>
    <w:rsid w:val="00AD43D8"/>
    <w:rsid w:val="00AD5016"/>
    <w:rsid w:val="00AD709D"/>
    <w:rsid w:val="00AD752A"/>
    <w:rsid w:val="00AE5BD6"/>
    <w:rsid w:val="00AF0002"/>
    <w:rsid w:val="00AF0746"/>
    <w:rsid w:val="00AF5D62"/>
    <w:rsid w:val="00AF61B7"/>
    <w:rsid w:val="00AF6FAA"/>
    <w:rsid w:val="00B009BD"/>
    <w:rsid w:val="00B02012"/>
    <w:rsid w:val="00B024CE"/>
    <w:rsid w:val="00B1061C"/>
    <w:rsid w:val="00B10AD6"/>
    <w:rsid w:val="00B131B3"/>
    <w:rsid w:val="00B13B0B"/>
    <w:rsid w:val="00B1552B"/>
    <w:rsid w:val="00B1607D"/>
    <w:rsid w:val="00B16109"/>
    <w:rsid w:val="00B17027"/>
    <w:rsid w:val="00B1722B"/>
    <w:rsid w:val="00B178FA"/>
    <w:rsid w:val="00B220EC"/>
    <w:rsid w:val="00B23A7E"/>
    <w:rsid w:val="00B23C75"/>
    <w:rsid w:val="00B242A1"/>
    <w:rsid w:val="00B25F67"/>
    <w:rsid w:val="00B27316"/>
    <w:rsid w:val="00B3036E"/>
    <w:rsid w:val="00B325B8"/>
    <w:rsid w:val="00B32D42"/>
    <w:rsid w:val="00B36A3A"/>
    <w:rsid w:val="00B45936"/>
    <w:rsid w:val="00B53CAC"/>
    <w:rsid w:val="00B5641D"/>
    <w:rsid w:val="00B60436"/>
    <w:rsid w:val="00B60570"/>
    <w:rsid w:val="00B60FEF"/>
    <w:rsid w:val="00B6239B"/>
    <w:rsid w:val="00B638AE"/>
    <w:rsid w:val="00B6496E"/>
    <w:rsid w:val="00B64CDA"/>
    <w:rsid w:val="00B663F6"/>
    <w:rsid w:val="00B666CB"/>
    <w:rsid w:val="00B66D03"/>
    <w:rsid w:val="00B71435"/>
    <w:rsid w:val="00B77050"/>
    <w:rsid w:val="00B7767A"/>
    <w:rsid w:val="00B81000"/>
    <w:rsid w:val="00B84F2B"/>
    <w:rsid w:val="00B877B3"/>
    <w:rsid w:val="00B87CC5"/>
    <w:rsid w:val="00B91022"/>
    <w:rsid w:val="00B92158"/>
    <w:rsid w:val="00B92D03"/>
    <w:rsid w:val="00B93DCD"/>
    <w:rsid w:val="00B9553C"/>
    <w:rsid w:val="00B955E7"/>
    <w:rsid w:val="00B961EE"/>
    <w:rsid w:val="00BA08A2"/>
    <w:rsid w:val="00BA3CA4"/>
    <w:rsid w:val="00BA535B"/>
    <w:rsid w:val="00BA5C28"/>
    <w:rsid w:val="00BA5D2D"/>
    <w:rsid w:val="00BB0F4B"/>
    <w:rsid w:val="00BB1771"/>
    <w:rsid w:val="00BB36F8"/>
    <w:rsid w:val="00BB5027"/>
    <w:rsid w:val="00BB6CF7"/>
    <w:rsid w:val="00BB78B1"/>
    <w:rsid w:val="00BC04FC"/>
    <w:rsid w:val="00BC47BB"/>
    <w:rsid w:val="00BC74A0"/>
    <w:rsid w:val="00BD1816"/>
    <w:rsid w:val="00BD3AEF"/>
    <w:rsid w:val="00BD6369"/>
    <w:rsid w:val="00BD6486"/>
    <w:rsid w:val="00BD66DC"/>
    <w:rsid w:val="00BD66F3"/>
    <w:rsid w:val="00BE793B"/>
    <w:rsid w:val="00BF022E"/>
    <w:rsid w:val="00BF1C21"/>
    <w:rsid w:val="00BF1F81"/>
    <w:rsid w:val="00BF2BB4"/>
    <w:rsid w:val="00BF66A5"/>
    <w:rsid w:val="00BF796C"/>
    <w:rsid w:val="00C007C1"/>
    <w:rsid w:val="00C040B0"/>
    <w:rsid w:val="00C05E5B"/>
    <w:rsid w:val="00C06CE8"/>
    <w:rsid w:val="00C10E54"/>
    <w:rsid w:val="00C1174E"/>
    <w:rsid w:val="00C11AAD"/>
    <w:rsid w:val="00C13A96"/>
    <w:rsid w:val="00C16CD2"/>
    <w:rsid w:val="00C17D88"/>
    <w:rsid w:val="00C2094D"/>
    <w:rsid w:val="00C214EE"/>
    <w:rsid w:val="00C2206C"/>
    <w:rsid w:val="00C32455"/>
    <w:rsid w:val="00C3252B"/>
    <w:rsid w:val="00C34396"/>
    <w:rsid w:val="00C43279"/>
    <w:rsid w:val="00C453DF"/>
    <w:rsid w:val="00C4585F"/>
    <w:rsid w:val="00C465F0"/>
    <w:rsid w:val="00C4793D"/>
    <w:rsid w:val="00C5138A"/>
    <w:rsid w:val="00C56238"/>
    <w:rsid w:val="00C567E0"/>
    <w:rsid w:val="00C614CE"/>
    <w:rsid w:val="00C61D96"/>
    <w:rsid w:val="00C62E8B"/>
    <w:rsid w:val="00C6449B"/>
    <w:rsid w:val="00C65631"/>
    <w:rsid w:val="00C67CC1"/>
    <w:rsid w:val="00C71D72"/>
    <w:rsid w:val="00C72CB4"/>
    <w:rsid w:val="00C756F5"/>
    <w:rsid w:val="00C75D44"/>
    <w:rsid w:val="00C76B68"/>
    <w:rsid w:val="00C83CF1"/>
    <w:rsid w:val="00C87950"/>
    <w:rsid w:val="00C91DD3"/>
    <w:rsid w:val="00C92AB7"/>
    <w:rsid w:val="00C933B2"/>
    <w:rsid w:val="00C954BA"/>
    <w:rsid w:val="00C95FAE"/>
    <w:rsid w:val="00C96B59"/>
    <w:rsid w:val="00C97109"/>
    <w:rsid w:val="00C97AB6"/>
    <w:rsid w:val="00CA286F"/>
    <w:rsid w:val="00CA2B6A"/>
    <w:rsid w:val="00CA2CD0"/>
    <w:rsid w:val="00CA3806"/>
    <w:rsid w:val="00CA3F4B"/>
    <w:rsid w:val="00CA44F3"/>
    <w:rsid w:val="00CB5C62"/>
    <w:rsid w:val="00CB6B05"/>
    <w:rsid w:val="00CC146D"/>
    <w:rsid w:val="00CC3314"/>
    <w:rsid w:val="00CD0D8E"/>
    <w:rsid w:val="00CD4A42"/>
    <w:rsid w:val="00CE0D05"/>
    <w:rsid w:val="00CE1CF9"/>
    <w:rsid w:val="00CE3281"/>
    <w:rsid w:val="00CE3502"/>
    <w:rsid w:val="00CE3735"/>
    <w:rsid w:val="00CE40F8"/>
    <w:rsid w:val="00CE79EE"/>
    <w:rsid w:val="00CF0081"/>
    <w:rsid w:val="00CF0EE3"/>
    <w:rsid w:val="00CF1ADC"/>
    <w:rsid w:val="00CF2692"/>
    <w:rsid w:val="00CF70AA"/>
    <w:rsid w:val="00D01C72"/>
    <w:rsid w:val="00D02BF3"/>
    <w:rsid w:val="00D033B7"/>
    <w:rsid w:val="00D073FC"/>
    <w:rsid w:val="00D11662"/>
    <w:rsid w:val="00D13DB5"/>
    <w:rsid w:val="00D16E46"/>
    <w:rsid w:val="00D179B0"/>
    <w:rsid w:val="00D21244"/>
    <w:rsid w:val="00D21C57"/>
    <w:rsid w:val="00D27DB2"/>
    <w:rsid w:val="00D32286"/>
    <w:rsid w:val="00D33340"/>
    <w:rsid w:val="00D33582"/>
    <w:rsid w:val="00D361FE"/>
    <w:rsid w:val="00D40E6A"/>
    <w:rsid w:val="00D415D2"/>
    <w:rsid w:val="00D41BB8"/>
    <w:rsid w:val="00D42EB4"/>
    <w:rsid w:val="00D43AE0"/>
    <w:rsid w:val="00D44365"/>
    <w:rsid w:val="00D47F4B"/>
    <w:rsid w:val="00D51F3E"/>
    <w:rsid w:val="00D536C8"/>
    <w:rsid w:val="00D56996"/>
    <w:rsid w:val="00D61B07"/>
    <w:rsid w:val="00D6249D"/>
    <w:rsid w:val="00D6579D"/>
    <w:rsid w:val="00D66D87"/>
    <w:rsid w:val="00D70DA5"/>
    <w:rsid w:val="00D726E2"/>
    <w:rsid w:val="00D73340"/>
    <w:rsid w:val="00D76150"/>
    <w:rsid w:val="00D76778"/>
    <w:rsid w:val="00D77991"/>
    <w:rsid w:val="00D80861"/>
    <w:rsid w:val="00D84010"/>
    <w:rsid w:val="00D86542"/>
    <w:rsid w:val="00D87487"/>
    <w:rsid w:val="00D878F3"/>
    <w:rsid w:val="00D92D13"/>
    <w:rsid w:val="00D930A5"/>
    <w:rsid w:val="00D94C41"/>
    <w:rsid w:val="00D94CBB"/>
    <w:rsid w:val="00D94F15"/>
    <w:rsid w:val="00D95B69"/>
    <w:rsid w:val="00D96309"/>
    <w:rsid w:val="00D96F49"/>
    <w:rsid w:val="00DA241C"/>
    <w:rsid w:val="00DA3E87"/>
    <w:rsid w:val="00DA5214"/>
    <w:rsid w:val="00DA5C17"/>
    <w:rsid w:val="00DA684E"/>
    <w:rsid w:val="00DB2E9A"/>
    <w:rsid w:val="00DB32F2"/>
    <w:rsid w:val="00DB3655"/>
    <w:rsid w:val="00DB53CA"/>
    <w:rsid w:val="00DB5B2B"/>
    <w:rsid w:val="00DB62B0"/>
    <w:rsid w:val="00DB7531"/>
    <w:rsid w:val="00DC25CB"/>
    <w:rsid w:val="00DC38A9"/>
    <w:rsid w:val="00DC4724"/>
    <w:rsid w:val="00DC4AB9"/>
    <w:rsid w:val="00DC55EA"/>
    <w:rsid w:val="00DC5E71"/>
    <w:rsid w:val="00DC6147"/>
    <w:rsid w:val="00DC6979"/>
    <w:rsid w:val="00DD0993"/>
    <w:rsid w:val="00DD42FF"/>
    <w:rsid w:val="00DD53C2"/>
    <w:rsid w:val="00DD776E"/>
    <w:rsid w:val="00DE079C"/>
    <w:rsid w:val="00DE167B"/>
    <w:rsid w:val="00DE380B"/>
    <w:rsid w:val="00DE5D04"/>
    <w:rsid w:val="00DF0AD9"/>
    <w:rsid w:val="00DF5C42"/>
    <w:rsid w:val="00DF5CB1"/>
    <w:rsid w:val="00DF77C2"/>
    <w:rsid w:val="00E004AC"/>
    <w:rsid w:val="00E046EE"/>
    <w:rsid w:val="00E04A74"/>
    <w:rsid w:val="00E04FE9"/>
    <w:rsid w:val="00E05FA0"/>
    <w:rsid w:val="00E065C3"/>
    <w:rsid w:val="00E17462"/>
    <w:rsid w:val="00E17E1A"/>
    <w:rsid w:val="00E22EBE"/>
    <w:rsid w:val="00E2393C"/>
    <w:rsid w:val="00E23C28"/>
    <w:rsid w:val="00E24915"/>
    <w:rsid w:val="00E24E9C"/>
    <w:rsid w:val="00E25340"/>
    <w:rsid w:val="00E27131"/>
    <w:rsid w:val="00E27A6A"/>
    <w:rsid w:val="00E3210F"/>
    <w:rsid w:val="00E34377"/>
    <w:rsid w:val="00E37565"/>
    <w:rsid w:val="00E4073A"/>
    <w:rsid w:val="00E46862"/>
    <w:rsid w:val="00E503F6"/>
    <w:rsid w:val="00E50D7E"/>
    <w:rsid w:val="00E5228E"/>
    <w:rsid w:val="00E5286B"/>
    <w:rsid w:val="00E52C6F"/>
    <w:rsid w:val="00E52FA4"/>
    <w:rsid w:val="00E5383D"/>
    <w:rsid w:val="00E546D6"/>
    <w:rsid w:val="00E568A5"/>
    <w:rsid w:val="00E60828"/>
    <w:rsid w:val="00E61CC4"/>
    <w:rsid w:val="00E66F63"/>
    <w:rsid w:val="00E70730"/>
    <w:rsid w:val="00E70B96"/>
    <w:rsid w:val="00E715F7"/>
    <w:rsid w:val="00E72CD7"/>
    <w:rsid w:val="00E737D7"/>
    <w:rsid w:val="00E74C18"/>
    <w:rsid w:val="00E75554"/>
    <w:rsid w:val="00E773B0"/>
    <w:rsid w:val="00E81DD7"/>
    <w:rsid w:val="00E83F4B"/>
    <w:rsid w:val="00E85F6E"/>
    <w:rsid w:val="00E86629"/>
    <w:rsid w:val="00E879EF"/>
    <w:rsid w:val="00E94F1C"/>
    <w:rsid w:val="00E9556C"/>
    <w:rsid w:val="00E95FFC"/>
    <w:rsid w:val="00E97DAA"/>
    <w:rsid w:val="00EA174B"/>
    <w:rsid w:val="00EA32E4"/>
    <w:rsid w:val="00EB16B7"/>
    <w:rsid w:val="00EB2BF1"/>
    <w:rsid w:val="00EB402C"/>
    <w:rsid w:val="00EB4193"/>
    <w:rsid w:val="00EC03DA"/>
    <w:rsid w:val="00EC2053"/>
    <w:rsid w:val="00EC2E93"/>
    <w:rsid w:val="00EC445C"/>
    <w:rsid w:val="00EC6B33"/>
    <w:rsid w:val="00EC7BA3"/>
    <w:rsid w:val="00ED0052"/>
    <w:rsid w:val="00ED1676"/>
    <w:rsid w:val="00ED4077"/>
    <w:rsid w:val="00ED5279"/>
    <w:rsid w:val="00ED6394"/>
    <w:rsid w:val="00EE2551"/>
    <w:rsid w:val="00EE5536"/>
    <w:rsid w:val="00EE6DEE"/>
    <w:rsid w:val="00EE710B"/>
    <w:rsid w:val="00EF4066"/>
    <w:rsid w:val="00EF4F6E"/>
    <w:rsid w:val="00EF5DD5"/>
    <w:rsid w:val="00EF7156"/>
    <w:rsid w:val="00F00C59"/>
    <w:rsid w:val="00F01371"/>
    <w:rsid w:val="00F018C2"/>
    <w:rsid w:val="00F0628E"/>
    <w:rsid w:val="00F06EDD"/>
    <w:rsid w:val="00F0723E"/>
    <w:rsid w:val="00F07AA4"/>
    <w:rsid w:val="00F10977"/>
    <w:rsid w:val="00F10FFB"/>
    <w:rsid w:val="00F11394"/>
    <w:rsid w:val="00F13441"/>
    <w:rsid w:val="00F178B6"/>
    <w:rsid w:val="00F178FF"/>
    <w:rsid w:val="00F2095B"/>
    <w:rsid w:val="00F26A44"/>
    <w:rsid w:val="00F30EED"/>
    <w:rsid w:val="00F321AC"/>
    <w:rsid w:val="00F34A6C"/>
    <w:rsid w:val="00F37E90"/>
    <w:rsid w:val="00F41620"/>
    <w:rsid w:val="00F42BFD"/>
    <w:rsid w:val="00F44FEE"/>
    <w:rsid w:val="00F45E45"/>
    <w:rsid w:val="00F46E73"/>
    <w:rsid w:val="00F476E2"/>
    <w:rsid w:val="00F479A8"/>
    <w:rsid w:val="00F50970"/>
    <w:rsid w:val="00F5259B"/>
    <w:rsid w:val="00F52D0E"/>
    <w:rsid w:val="00F52FE8"/>
    <w:rsid w:val="00F531B9"/>
    <w:rsid w:val="00F55542"/>
    <w:rsid w:val="00F578E6"/>
    <w:rsid w:val="00F61659"/>
    <w:rsid w:val="00F62EB9"/>
    <w:rsid w:val="00F645B2"/>
    <w:rsid w:val="00F66388"/>
    <w:rsid w:val="00F66B58"/>
    <w:rsid w:val="00F71C9C"/>
    <w:rsid w:val="00F725E3"/>
    <w:rsid w:val="00F74BC6"/>
    <w:rsid w:val="00F7547F"/>
    <w:rsid w:val="00F76314"/>
    <w:rsid w:val="00F7784F"/>
    <w:rsid w:val="00F80C07"/>
    <w:rsid w:val="00F81692"/>
    <w:rsid w:val="00F839CE"/>
    <w:rsid w:val="00F847A9"/>
    <w:rsid w:val="00F848FF"/>
    <w:rsid w:val="00F9275B"/>
    <w:rsid w:val="00F92DBA"/>
    <w:rsid w:val="00F9566B"/>
    <w:rsid w:val="00FA27EB"/>
    <w:rsid w:val="00FA3F14"/>
    <w:rsid w:val="00FA4620"/>
    <w:rsid w:val="00FA57DC"/>
    <w:rsid w:val="00FA7E1B"/>
    <w:rsid w:val="00FA7E3E"/>
    <w:rsid w:val="00FB02B2"/>
    <w:rsid w:val="00FB3F99"/>
    <w:rsid w:val="00FB5F3D"/>
    <w:rsid w:val="00FB7D5D"/>
    <w:rsid w:val="00FC0649"/>
    <w:rsid w:val="00FC2B7B"/>
    <w:rsid w:val="00FC3420"/>
    <w:rsid w:val="00FC3F08"/>
    <w:rsid w:val="00FC4787"/>
    <w:rsid w:val="00FC676E"/>
    <w:rsid w:val="00FC678D"/>
    <w:rsid w:val="00FC7A6B"/>
    <w:rsid w:val="00FD2044"/>
    <w:rsid w:val="00FD3A86"/>
    <w:rsid w:val="00FD4408"/>
    <w:rsid w:val="00FD4593"/>
    <w:rsid w:val="00FD70AD"/>
    <w:rsid w:val="00FE1ED3"/>
    <w:rsid w:val="00FE4F21"/>
    <w:rsid w:val="00FE57BD"/>
    <w:rsid w:val="00FE63BD"/>
    <w:rsid w:val="00FF4D9F"/>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4935E6-BB34-4556-96B9-91791DE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3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1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Нижний колонтитул1"/>
    <w:basedOn w:val="a"/>
    <w:next w:val="a4"/>
    <w:link w:val="a5"/>
    <w:uiPriority w:val="99"/>
    <w:unhideWhenUsed/>
    <w:rsid w:val="00C65631"/>
    <w:pPr>
      <w:tabs>
        <w:tab w:val="center" w:pos="4844"/>
        <w:tab w:val="right" w:pos="9689"/>
      </w:tabs>
      <w:spacing w:after="0" w:line="240" w:lineRule="auto"/>
    </w:pPr>
    <w:rPr>
      <w:rFonts w:ascii="Times New Roman" w:hAnsi="Times New Roman"/>
      <w:sz w:val="28"/>
    </w:rPr>
  </w:style>
  <w:style w:type="character" w:customStyle="1" w:styleId="a5">
    <w:name w:val="Нижний колонтитул Знак"/>
    <w:basedOn w:val="a0"/>
    <w:link w:val="1"/>
    <w:uiPriority w:val="99"/>
    <w:rsid w:val="00C65631"/>
    <w:rPr>
      <w:rFonts w:ascii="Times New Roman" w:hAnsi="Times New Roman"/>
      <w:sz w:val="28"/>
    </w:rPr>
  </w:style>
  <w:style w:type="paragraph" w:styleId="a4">
    <w:name w:val="footer"/>
    <w:basedOn w:val="a"/>
    <w:link w:val="10"/>
    <w:uiPriority w:val="99"/>
    <w:unhideWhenUsed/>
    <w:rsid w:val="00C65631"/>
    <w:pPr>
      <w:tabs>
        <w:tab w:val="center" w:pos="4844"/>
        <w:tab w:val="right" w:pos="9689"/>
      </w:tabs>
      <w:spacing w:after="0" w:line="240" w:lineRule="auto"/>
    </w:pPr>
  </w:style>
  <w:style w:type="character" w:customStyle="1" w:styleId="10">
    <w:name w:val="Нижний колонтитул Знак1"/>
    <w:basedOn w:val="a0"/>
    <w:link w:val="a4"/>
    <w:uiPriority w:val="99"/>
    <w:rsid w:val="00C65631"/>
  </w:style>
  <w:style w:type="paragraph" w:styleId="a6">
    <w:name w:val="header"/>
    <w:basedOn w:val="a"/>
    <w:link w:val="a7"/>
    <w:uiPriority w:val="99"/>
    <w:unhideWhenUsed/>
    <w:rsid w:val="00F06EDD"/>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F06EDD"/>
  </w:style>
  <w:style w:type="paragraph" w:styleId="a8">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a"/>
    <w:link w:val="a9"/>
    <w:uiPriority w:val="99"/>
    <w:unhideWhenUsed/>
    <w:qFormat/>
    <w:rsid w:val="00081026"/>
    <w:pPr>
      <w:spacing w:after="0" w:line="240" w:lineRule="auto"/>
    </w:pPr>
    <w:rPr>
      <w:rFonts w:ascii="Times New Roman" w:hAnsi="Times New Roman"/>
      <w:sz w:val="20"/>
      <w:szCs w:val="20"/>
    </w:rPr>
  </w:style>
  <w:style w:type="character" w:customStyle="1" w:styleId="a9">
    <w:name w:val="Текст сноски Знак"/>
    <w:aliases w:val="Char Знак,Знак1 Знак,Знак Знак, Char Знак, Знак1 Знак, Знак Знак,single space Знак,footnote text Знак,FOOTNOTES Знак,fn Знак,Footnote Text Char1 Знак,Footnote Text Char2 Char Знак,Footnote Text Char1 Char Char Знак, Cha Знак,Cha Знак"/>
    <w:basedOn w:val="a0"/>
    <w:link w:val="a8"/>
    <w:uiPriority w:val="99"/>
    <w:rsid w:val="00081026"/>
    <w:rPr>
      <w:rFonts w:ascii="Times New Roman" w:hAnsi="Times New Roman"/>
      <w:sz w:val="20"/>
      <w:szCs w:val="20"/>
    </w:rPr>
  </w:style>
  <w:style w:type="character" w:styleId="aa">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rsid w:val="00081026"/>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a"/>
    <w:uiPriority w:val="99"/>
    <w:qFormat/>
    <w:rsid w:val="00081026"/>
    <w:pPr>
      <w:spacing w:after="0" w:line="240" w:lineRule="exact"/>
      <w:jc w:val="both"/>
    </w:pPr>
    <w:rPr>
      <w:vertAlign w:val="superscript"/>
    </w:rPr>
  </w:style>
  <w:style w:type="paragraph" w:styleId="ab">
    <w:name w:val="List Paragraph"/>
    <w:aliases w:val="List Paragraph 1,Абзац списка1"/>
    <w:basedOn w:val="a"/>
    <w:link w:val="ac"/>
    <w:uiPriority w:val="34"/>
    <w:qFormat/>
    <w:rsid w:val="00BB6CF7"/>
    <w:pPr>
      <w:ind w:left="720"/>
      <w:contextualSpacing/>
    </w:pPr>
  </w:style>
  <w:style w:type="character" w:customStyle="1" w:styleId="ac">
    <w:name w:val="Абзац списка Знак"/>
    <w:aliases w:val="List Paragraph 1 Знак,Абзац списка1 Знак"/>
    <w:link w:val="ab"/>
    <w:uiPriority w:val="34"/>
    <w:rsid w:val="006F10B2"/>
  </w:style>
  <w:style w:type="paragraph" w:styleId="ad">
    <w:name w:val="Normal (Web)"/>
    <w:basedOn w:val="a"/>
    <w:uiPriority w:val="99"/>
    <w:unhideWhenUsed/>
    <w:qFormat/>
    <w:rsid w:val="00997A6D"/>
    <w:rPr>
      <w:rFonts w:ascii="Times New Roman" w:hAnsi="Times New Roman" w:cs="Times New Roman"/>
      <w:sz w:val="24"/>
      <w:szCs w:val="24"/>
    </w:rPr>
  </w:style>
  <w:style w:type="character" w:styleId="ae">
    <w:name w:val="Hyperlink"/>
    <w:basedOn w:val="a0"/>
    <w:uiPriority w:val="99"/>
    <w:unhideWhenUsed/>
    <w:rsid w:val="00845126"/>
    <w:rPr>
      <w:color w:val="0563C1" w:themeColor="hyperlink"/>
      <w:u w:val="single"/>
    </w:rPr>
  </w:style>
  <w:style w:type="character" w:styleId="af">
    <w:name w:val="annotation reference"/>
    <w:basedOn w:val="a0"/>
    <w:uiPriority w:val="99"/>
    <w:semiHidden/>
    <w:unhideWhenUsed/>
    <w:rsid w:val="00D16E46"/>
    <w:rPr>
      <w:sz w:val="16"/>
      <w:szCs w:val="16"/>
    </w:rPr>
  </w:style>
  <w:style w:type="paragraph" w:styleId="af0">
    <w:name w:val="annotation text"/>
    <w:basedOn w:val="a"/>
    <w:link w:val="af1"/>
    <w:uiPriority w:val="99"/>
    <w:semiHidden/>
    <w:unhideWhenUsed/>
    <w:rsid w:val="00D16E46"/>
    <w:pPr>
      <w:spacing w:line="240" w:lineRule="auto"/>
    </w:pPr>
    <w:rPr>
      <w:sz w:val="20"/>
      <w:szCs w:val="20"/>
    </w:rPr>
  </w:style>
  <w:style w:type="character" w:customStyle="1" w:styleId="af1">
    <w:name w:val="Текст примечания Знак"/>
    <w:basedOn w:val="a0"/>
    <w:link w:val="af0"/>
    <w:uiPriority w:val="99"/>
    <w:semiHidden/>
    <w:rsid w:val="00D16E46"/>
    <w:rPr>
      <w:sz w:val="20"/>
      <w:szCs w:val="20"/>
    </w:rPr>
  </w:style>
  <w:style w:type="paragraph" w:styleId="af2">
    <w:name w:val="Balloon Text"/>
    <w:basedOn w:val="a"/>
    <w:link w:val="af3"/>
    <w:uiPriority w:val="99"/>
    <w:semiHidden/>
    <w:unhideWhenUsed/>
    <w:rsid w:val="00D16E4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16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25786">
      <w:bodyDiv w:val="1"/>
      <w:marLeft w:val="0"/>
      <w:marRight w:val="0"/>
      <w:marTop w:val="0"/>
      <w:marBottom w:val="0"/>
      <w:divBdr>
        <w:top w:val="none" w:sz="0" w:space="0" w:color="auto"/>
        <w:left w:val="none" w:sz="0" w:space="0" w:color="auto"/>
        <w:bottom w:val="none" w:sz="0" w:space="0" w:color="auto"/>
        <w:right w:val="none" w:sz="0" w:space="0" w:color="auto"/>
      </w:divBdr>
    </w:div>
    <w:div w:id="780999301">
      <w:bodyDiv w:val="1"/>
      <w:marLeft w:val="0"/>
      <w:marRight w:val="0"/>
      <w:marTop w:val="0"/>
      <w:marBottom w:val="0"/>
      <w:divBdr>
        <w:top w:val="none" w:sz="0" w:space="0" w:color="auto"/>
        <w:left w:val="none" w:sz="0" w:space="0" w:color="auto"/>
        <w:bottom w:val="none" w:sz="0" w:space="0" w:color="auto"/>
        <w:right w:val="none" w:sz="0" w:space="0" w:color="auto"/>
      </w:divBdr>
    </w:div>
    <w:div w:id="824470446">
      <w:bodyDiv w:val="1"/>
      <w:marLeft w:val="0"/>
      <w:marRight w:val="0"/>
      <w:marTop w:val="0"/>
      <w:marBottom w:val="0"/>
      <w:divBdr>
        <w:top w:val="none" w:sz="0" w:space="0" w:color="auto"/>
        <w:left w:val="none" w:sz="0" w:space="0" w:color="auto"/>
        <w:bottom w:val="none" w:sz="0" w:space="0" w:color="auto"/>
        <w:right w:val="none" w:sz="0" w:space="0" w:color="auto"/>
      </w:divBdr>
    </w:div>
    <w:div w:id="949749142">
      <w:bodyDiv w:val="1"/>
      <w:marLeft w:val="0"/>
      <w:marRight w:val="0"/>
      <w:marTop w:val="0"/>
      <w:marBottom w:val="0"/>
      <w:divBdr>
        <w:top w:val="none" w:sz="0" w:space="0" w:color="auto"/>
        <w:left w:val="none" w:sz="0" w:space="0" w:color="auto"/>
        <w:bottom w:val="none" w:sz="0" w:space="0" w:color="auto"/>
        <w:right w:val="none" w:sz="0" w:space="0" w:color="auto"/>
      </w:divBdr>
    </w:div>
    <w:div w:id="1017732736">
      <w:bodyDiv w:val="1"/>
      <w:marLeft w:val="0"/>
      <w:marRight w:val="0"/>
      <w:marTop w:val="0"/>
      <w:marBottom w:val="0"/>
      <w:divBdr>
        <w:top w:val="none" w:sz="0" w:space="0" w:color="auto"/>
        <w:left w:val="none" w:sz="0" w:space="0" w:color="auto"/>
        <w:bottom w:val="none" w:sz="0" w:space="0" w:color="auto"/>
        <w:right w:val="none" w:sz="0" w:space="0" w:color="auto"/>
      </w:divBdr>
    </w:div>
    <w:div w:id="1185436470">
      <w:bodyDiv w:val="1"/>
      <w:marLeft w:val="0"/>
      <w:marRight w:val="0"/>
      <w:marTop w:val="0"/>
      <w:marBottom w:val="0"/>
      <w:divBdr>
        <w:top w:val="none" w:sz="0" w:space="0" w:color="auto"/>
        <w:left w:val="none" w:sz="0" w:space="0" w:color="auto"/>
        <w:bottom w:val="none" w:sz="0" w:space="0" w:color="auto"/>
        <w:right w:val="none" w:sz="0" w:space="0" w:color="auto"/>
      </w:divBdr>
    </w:div>
    <w:div w:id="1620139367">
      <w:bodyDiv w:val="1"/>
      <w:marLeft w:val="0"/>
      <w:marRight w:val="0"/>
      <w:marTop w:val="0"/>
      <w:marBottom w:val="0"/>
      <w:divBdr>
        <w:top w:val="none" w:sz="0" w:space="0" w:color="auto"/>
        <w:left w:val="none" w:sz="0" w:space="0" w:color="auto"/>
        <w:bottom w:val="none" w:sz="0" w:space="0" w:color="auto"/>
        <w:right w:val="none" w:sz="0" w:space="0" w:color="auto"/>
      </w:divBdr>
    </w:div>
    <w:div w:id="21073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rm.md/activitatea-curtii-de-conturi-1-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21DDF-F829-4880-A36C-C51239BE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2178</Words>
  <Characters>12417</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Lungu Igor</dc:creator>
  <cp:keywords/>
  <dc:description/>
  <cp:lastModifiedBy>Paiu Eugenia</cp:lastModifiedBy>
  <cp:revision>3</cp:revision>
  <dcterms:created xsi:type="dcterms:W3CDTF">2020-12-08T10:31:00Z</dcterms:created>
  <dcterms:modified xsi:type="dcterms:W3CDTF">2020-12-08T10:31:00Z</dcterms:modified>
</cp:coreProperties>
</file>